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60512e_s8pos.htm"/>
      <w:bookmarkStart w:id="1" w:name="kscohu20260512e_s8pos"/>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filed with the Securities and Exchange Commission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333-132605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333-160760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333-186973</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333-207016</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333-233080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333-273711</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POST-EFFECTIVE AMENDMENT NO.1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333-132605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333-160760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333-186973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333-207016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333-233080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333-273711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815"/>
        <w:gridCol w:w="60"/>
        <w:gridCol w:w="1535"/>
      </w:tblGrid>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95-1934119</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17087 Via Del Campo, San Diego, California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92127-1711</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2005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2026 Equity Incentive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Vice President, Finance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92127-1711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(858) 848-8100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Larry W. Nishnick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4365 Executive Drive, Suite 1100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 (858) 677-1400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Fax: (858) 677-1401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75" w:type="dxa"/>
        <w:jc w:val="left"/>
        <w:tblInd w:w="0" w:type="dxa"/>
        <w:tblLayout w:type="fixed"/>
        <w:tblCellMar>
          <w:top w:w="0" w:type="dxa"/>
          <w:left w:w="0" w:type="dxa"/>
          <w:bottom w:w="0" w:type="dxa"/>
          <w:right w:w="0" w:type="dxa"/>
        </w:tblCellMar>
      </w:tblPr>
      <w:tblGrid>
        <w:gridCol w:w="1820"/>
        <w:gridCol w:w="230"/>
        <w:gridCol w:w="2225"/>
        <w:gridCol w:w="20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hAnsi="Times New Roman"/>
          <w:b/>
          <w:i/>
          <w:caps w:val="false"/>
          <w:smallCaps w:val="false"/>
          <w:sz w:val="20"/>
        </w:rPr>
        <w:t>less</w:t>
      </w:r>
      <w:r>
        <w:rPr>
          <w:rFonts w:ascii="Times New Roman" w:hAnsi="Times New Roman"/>
          <w:caps w:val="false"/>
          <w:smallCaps w:val="false"/>
          <w:sz w:val="20"/>
        </w:rPr>
        <w:t xml:space="preserve"> one share for each share subject to any equity award granted under the Prior Plan between March 20, 2026 and prior to the Effective Date (the “Newly Authorized Shares”); </w:t>
      </w:r>
      <w:r>
        <w:rPr>
          <w:rFonts w:ascii="Times New Roman" w:hAnsi="Times New Roman"/>
          <w:b/>
          <w:i/>
          <w:caps w:val="false"/>
          <w:smallCaps w:val="false"/>
          <w:sz w:val="20"/>
        </w:rPr>
        <w:t>plus</w:t>
      </w:r>
      <w:r>
        <w:rPr>
          <w:rFonts w:ascii="Times New Roman" w:hAnsi="Times New Roman"/>
          <w:caps w:val="false"/>
          <w:smallCaps w:val="false"/>
          <w:sz w:val="20"/>
        </w:rPr>
        <w:t xml:space="preserve"> any shares of Common Stock subject to share awards granted under the Prior Plan that are outstanding on March 16, 2026 or which are granted and outstanding after March 16, 2026 and prior to the Effective Date, and that: (i) are subject to stock options or stock appreciation rights which expire, or for any reason are forfeited, cancelled, or terminated without being exercised; (ii) 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with the filing of this Post-Effective Amendment, the Company is filing a Registration Statement on Form S-8 to register the Newly Authorized Shares for offer and sale under the 2026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b/>
          <w:caps w:val="false"/>
          <w:smallCaps w:val="false"/>
          <w:sz w:val="20"/>
          <w:u w:val="single"/>
        </w:rPr>
        <w:t>Incorporation of Documents by Reference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Registrant hereby incorporates by reference into this Registration Statement the following documents previously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2">
              <w:r>
                <w:rPr>
                  <w:rStyle w:val="InternetLink"/>
                  <w:rFonts w:ascii="Times New Roman;Times;serif" w:hAnsi="Times New Roman;Times;serif"/>
                  <w:caps w:val="false"/>
                  <w:smallCaps w:val="false"/>
                  <w:sz w:val="20"/>
                  <w:u w:val="single"/>
                </w:rPr>
                <w:t>Annual Report on Form 10-K for the fiscal year ended December 27, 2025</w:t>
              </w:r>
            </w:hyperlink>
            <w:r>
              <w:rPr>
                <w:rFonts w:ascii="Times New Roman;Times;serif" w:hAnsi="Times New Roman;Times;serif"/>
                <w:caps w:val="false"/>
                <w:smallCaps w:val="false"/>
                <w:sz w:val="20"/>
              </w:rPr>
              <w:t>, filed with the Commission on February 17, 2026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The information contained in the Registrant’s definitive proxy statement on Schedule 14A</w:t>
              </w:r>
            </w:hyperlink>
            <w:r>
              <w:rPr>
                <w:rFonts w:ascii="Times New Roman;Times;serif" w:hAnsi="Times New Roman;Times;serif"/>
                <w:caps w:val="false"/>
                <w:smallCaps w:val="false"/>
                <w:sz w:val="20"/>
              </w:rPr>
              <w:t>, filed with the Commission on April 2, 2026, and incorporated into Part III of the Registrant’s Annual Report referred to in (a) above;</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30"/>
        <w:gridCol w:w="7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37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4">
              <w:r>
                <w:rPr>
                  <w:rStyle w:val="InternetLink"/>
                  <w:rFonts w:ascii="Times New Roman;Times;serif" w:hAnsi="Times New Roman;Times;serif"/>
                  <w:caps w:val="false"/>
                  <w:smallCaps w:val="false"/>
                  <w:sz w:val="20"/>
                </w:rPr>
                <w:t>Current Report on Form 8-K</w:t>
              </w:r>
            </w:hyperlink>
            <w:r>
              <w:rPr>
                <w:rFonts w:ascii="Times New Roman;Times;serif" w:hAnsi="Times New Roman;Times;serif"/>
                <w:caps w:val="false"/>
                <w:smallCaps w:val="false"/>
                <w:sz w:val="20"/>
              </w:rPr>
              <w:t xml:space="preserve"> filed with the Commission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reports filed with the Commission pursuant to Sections 13(a) or 15(d) of the Securities Exchange Act of 1934, as amended (the “Exchange Act”), since the end of the fiscal year covered by the Registrant’s Annual Report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description of the Registrant’s common stock, par value $1.00, contained in the Registrant’s registration statement on </w:t>
            </w:r>
            <w:hyperlink r:id="rId5">
              <w:r>
                <w:rPr>
                  <w:rStyle w:val="InternetLink"/>
                  <w:rFonts w:ascii="Times New Roman;Times;serif" w:hAnsi="Times New Roman;Times;serif"/>
                  <w:caps w:val="false"/>
                  <w:smallCaps w:val="false"/>
                  <w:sz w:val="20"/>
                </w:rPr>
                <w:t>Form 8-A</w:t>
              </w:r>
            </w:hyperlink>
            <w:r>
              <w:rPr>
                <w:rFonts w:ascii="Times New Roman;Times;serif" w:hAnsi="Times New Roman;Times;serif"/>
                <w:caps w:val="false"/>
                <w:smallCaps w:val="false"/>
                <w:sz w:val="20"/>
              </w:rPr>
              <w:t xml:space="preserve"> filed with the Commission on December 12, 1996 (File No. 000-21875), as supplemented by </w:t>
            </w:r>
            <w:hyperlink r:id="rId6">
              <w:r>
                <w:rPr>
                  <w:rStyle w:val="InternetLink"/>
                  <w:rFonts w:ascii="Times New Roman;Times;serif" w:hAnsi="Times New Roman;Times;serif"/>
                  <w:caps w:val="false"/>
                  <w:smallCaps w:val="false"/>
                  <w:sz w:val="20"/>
                  <w:u w:val="single"/>
                </w:rPr>
                <w:t>Exhibit 4.1</w:t>
              </w:r>
            </w:hyperlink>
            <w:r>
              <w:rPr>
                <w:rFonts w:ascii="Times New Roman;Times;serif" w:hAnsi="Times New Roman;Times;serif"/>
                <w:caps w:val="false"/>
                <w:smallCaps w:val="false"/>
                <w:sz w:val="20"/>
              </w:rPr>
              <w:t> to the Registrant’s Annual Report on Form 10-K for the fiscal year ended December 31, 2022, filed with the Commission on February 17,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b/>
          <w:caps w:val="false"/>
          <w:smallCaps w:val="false"/>
          <w:sz w:val="20"/>
          <w:u w:val="single"/>
        </w:rPr>
        <w:t>Description of Securities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b/>
          <w:caps w:val="false"/>
          <w:smallCaps w:val="false"/>
          <w:sz w:val="20"/>
          <w:u w:val="single"/>
        </w:rPr>
        <w:t>Interests of Named Experts and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b/>
          <w:caps w:val="false"/>
          <w:smallCaps w:val="false"/>
          <w:sz w:val="20"/>
          <w:u w:val="single"/>
        </w:rPr>
        <w:t>Indemnification of Directors and Officers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u w:val="single"/>
        </w:rPr>
        <w:t>Exemption from Registration Claimed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b/>
          <w:caps w:val="false"/>
          <w:smallCaps w:val="false"/>
          <w:sz w:val="20"/>
          <w:u w:val="single"/>
        </w:rPr>
        <w:t>Exhibits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7">
              <w:r>
                <w:rPr>
                  <w:rStyle w:val="InternetLink"/>
                </w:rPr>
                <w:t>Amended and Restated Certificate of Incorporation of Cohu, Inc. incorporated herein by reference to Exhibit 3.1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8">
              <w:r>
                <w:rPr>
                  <w:rStyle w:val="InternetLink"/>
                </w:rPr>
                <w:t>Amended and Restated Bylaws of Cohu, Inc. incorporated herein by reference to Exhibit 3.2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45.htm">
              <w:r>
                <w:rPr>
                  <w:rStyle w:val="InternetLink"/>
                  <w:rFonts w:ascii="Times New Roman" w:hAnsi="Times New Roman"/>
                  <w:caps w:val="false"/>
                  <w:smallCaps w:val="false"/>
                  <w:sz w:val="20"/>
                </w:rPr>
                <w:t>Opinion of DLA Piper LLP (US).</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46.htm">
              <w:r>
                <w:rPr>
                  <w:rStyle w:val="InternetLink"/>
                  <w:rFonts w:ascii="Times New Roman" w:hAnsi="Times New Roman"/>
                  <w:caps w:val="false"/>
                  <w:smallCaps w:val="false"/>
                  <w:sz w:val="20"/>
                </w:rPr>
                <w:t>Consent of Independent Registered Public Accounting Firm.</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45.htm">
              <w:r>
                <w:rPr>
                  <w:rStyle w:val="InternetLink"/>
                  <w:rFonts w:ascii="Times New Roman" w:hAnsi="Times New Roman"/>
                  <w:caps w:val="false"/>
                  <w:smallCaps w:val="false"/>
                  <w:sz w:val="20"/>
                </w:rPr>
                <w:t>Consent of DLA Piper LLP (US) (included in Exhibit 5.1).</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Registration Statement).</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Amended and Restated Cohu, Inc. 1997 Employee Stock Purchase Plan, incorporated herein by reference to Appendix D to the Cohu, Inc. Definitive Proxy Statement on Schedule 14A, filed with the Securities and Exchange Commission on April 2, 2026.</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Cohu, Inc. 2026 Equity Incentive Plan, incorporated herein by reference to Appendix C to the Cohu, Inc. Definitive Proxy Statement on Schedule 14A, filed with the Securities and Exchange Commission on April 2, 2026.</w:t>
              </w:r>
            </w:hyperlink>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left"/>
        <w:rPr>
          <w:rFonts w:ascii="Times New Roman" w:hAnsi="Times New Roman"/>
          <w:sz w:val="20"/>
        </w:rPr>
      </w:pPr>
      <w:r>
        <w:rPr>
          <w:rFonts w:ascii="Times New Roman" w:hAnsi="Times New Roman"/>
          <w:sz w:val="20"/>
        </w:rPr>
        <w:t># Indicates a management contract or compensatory plan or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9. </w:t>
      </w:r>
      <w:r>
        <w:rPr>
          <w:rFonts w:ascii="Times New Roman;Times;serif" w:hAnsi="Times New Roman;Times;serif"/>
          <w:b/>
          <w:sz w:val="20"/>
          <w:u w:val="single"/>
        </w:rPr>
        <w:t>Undertakings</w:t>
      </w:r>
      <w:r>
        <w:rPr>
          <w:rFonts w:ascii="Times New Roman;Times;serif" w:hAnsi="Times New Roman;Times;serif"/>
          <w: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r>
        <w:rPr>
          <w:rFonts w:ascii="Times New Roman;Times;serif" w:hAnsi="Times New Roman;Times;serif"/>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that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pStyle w:val="TextBody"/>
        <w:bidi w:val="0"/>
        <w:spacing w:before="0" w:after="0"/>
        <w:ind w:left="0" w:right="0" w:firstLine="72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35"/>
        <w:gridCol w:w="4610"/>
      </w:tblGrid>
      <w:tr>
        <w:trPr/>
        <w:tc>
          <w:tcPr>
            <w:tcW w:w="4945"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 INC.</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46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Post-Effective Amendment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895"/>
        <w:gridCol w:w="60"/>
        <w:gridCol w:w="4595"/>
        <w:gridCol w:w="60"/>
        <w:gridCol w:w="11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 w:name="ex_961545.htm"/>
      <w:bookmarkStart w:id="4" w:name="ksex_961545"/>
      <w:bookmarkEnd w:id="3"/>
      <w:bookmarkEnd w:id="4"/>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75"/>
        <w:gridCol w:w="2825"/>
      </w:tblGrid>
      <w:tr>
        <w:trPr/>
        <w:tc>
          <w:tcPr>
            <w:tcW w:w="1875" w:type="dxa"/>
            <w:tcBorders/>
            <w:vAlign w:val="center"/>
          </w:tcPr>
          <w:p>
            <w:pPr>
              <w:pStyle w:val="TableContents"/>
              <w:bidi w:val="0"/>
              <w:spacing w:before="0" w:after="0"/>
              <w:jc w:val="left"/>
              <w:rPr/>
            </w:pPr>
            <w:r>
              <w:rPr/>
              <w:drawing>
                <wp:inline distT="0" distB="0" distL="0" distR="0">
                  <wp:extent cx="11906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190625" cy="723900"/>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DLA Piper LLP (US)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4365 Executive Drive, Suite 1100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San Diego, California 92121-2133</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 :(858) 677-1400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 :(858)-677-1401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www.dlapiper.com</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 Post-Effective Amendment to Registration Statements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legal counsel for Cohu,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we are rendering this opinion in connection with the Post-Effective Amendment (the “</w:t>
      </w:r>
      <w:r>
        <w:rPr>
          <w:rFonts w:ascii="Times New Roman" w:hAnsi="Times New Roman"/>
          <w:b/>
          <w:i/>
          <w:caps w:val="false"/>
          <w:smallCaps w:val="false"/>
          <w:sz w:val="20"/>
        </w:rPr>
        <w:t>Post-Effective</w:t>
      </w:r>
      <w:r>
        <w:rPr>
          <w:rFonts w:ascii="Times New Roman" w:hAnsi="Times New Roman"/>
          <w:caps w:val="false"/>
          <w:smallCaps w:val="false"/>
          <w:sz w:val="20"/>
        </w:rPr>
        <w:t> </w:t>
      </w:r>
      <w:r>
        <w:rPr>
          <w:rFonts w:ascii="Times New Roman" w:hAnsi="Times New Roman"/>
          <w:b/>
          <w:i/>
          <w:caps w:val="false"/>
          <w:smallCaps w:val="false"/>
          <w:sz w:val="20"/>
        </w:rPr>
        <w:t>Amendment</w:t>
      </w:r>
      <w:r>
        <w:rPr>
          <w:rFonts w:ascii="Times New Roman" w:hAnsi="Times New Roman"/>
          <w:caps w:val="false"/>
          <w:smallCaps w:val="false"/>
          <w:sz w:val="20"/>
        </w:rPr>
        <w:t>”) to (i) Registration Statement on Form S-8 (File No. 333-132605) filed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hAnsi="Times New Roman"/>
          <w:b/>
          <w:i/>
          <w:caps w:val="false"/>
          <w:smallCaps w:val="false"/>
          <w:sz w:val="20"/>
        </w:rPr>
        <w:t>Prior Registration Statements</w:t>
      </w:r>
      <w:r>
        <w:rPr>
          <w:rFonts w:ascii="Times New Roman" w:hAnsi="Times New Roman"/>
          <w:caps w:val="false"/>
          <w:smallCaps w:val="false"/>
          <w:sz w:val="20"/>
        </w:rPr>
        <w:t>”) pursuant to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Prior Registration Statements registered the issuance of shares of the Company’s common stock pursuant to awards granted under the Company’s 2005 Equity Incentive Plan (the “</w:t>
      </w:r>
      <w:r>
        <w:rPr>
          <w:rFonts w:ascii="Times New Roman" w:hAnsi="Times New Roman"/>
          <w:b/>
          <w:i/>
          <w:caps w:val="false"/>
          <w:smallCaps w:val="false"/>
          <w:sz w:val="20"/>
        </w:rPr>
        <w:t>Prior Plan</w:t>
      </w:r>
      <w:r>
        <w:rPr>
          <w:rFonts w:ascii="Times New Roman" w:hAnsi="Times New Roman"/>
          <w:caps w:val="false"/>
          <w:smallCaps w:val="false"/>
          <w:sz w:val="20"/>
        </w:rPr>
        <w:t>”). The Post-Effective Amendment reflects that any shares (the “</w:t>
      </w:r>
      <w:r>
        <w:rPr>
          <w:rFonts w:ascii="Times New Roman" w:hAnsi="Times New Roman"/>
          <w:b/>
          <w:i/>
          <w:caps w:val="false"/>
          <w:smallCaps w:val="false"/>
          <w:sz w:val="20"/>
        </w:rPr>
        <w:t>Returning Shares</w:t>
      </w:r>
      <w:r>
        <w:rPr>
          <w:rFonts w:ascii="Times New Roman" w:hAnsi="Times New Roman"/>
          <w:caps w:val="false"/>
          <w:smallCaps w:val="false"/>
          <w:sz w:val="20"/>
        </w:rPr>
        <w:t>”) that are currently subject to outstanding awards under the Prior Plan will become available for issuance under the Company’s 2026 Equity Incentive Plan (the “</w:t>
      </w:r>
      <w:r>
        <w:rPr>
          <w:rFonts w:ascii="Times New Roman" w:hAnsi="Times New Roman"/>
          <w:b/>
          <w:i/>
          <w:caps w:val="false"/>
          <w:smallCaps w:val="false"/>
          <w:sz w:val="20"/>
        </w:rPr>
        <w:t>2026 Plan</w:t>
      </w:r>
      <w:r>
        <w:rPr>
          <w:rFonts w:ascii="Times New Roman" w:hAnsi="Times New Roman"/>
          <w:caps w:val="false"/>
          <w:smallCaps w:val="false"/>
          <w:sz w:val="20"/>
        </w:rPr>
        <w:t>”) if such awards under the Prior Plan subsequently expire, terminate or are otherwise surrendered, canceled or forfeited or are settled in cash in lieu of common stock as set forth in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61546.htm"/>
      <w:bookmarkStart w:id="6" w:name="ksex_961546"/>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021535/000143774926004339/cohu20251227_10k.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hyperlink" Target="http://www.sec.gov/ix?doc=/Archives/edgar/data/21535/000143774926017386/cohu20260512_8k.htm" TargetMode="External"/><Relationship Id="rId5" Type="http://schemas.openxmlformats.org/officeDocument/2006/relationships/hyperlink" Target="http://www.sec.gov/Archives/edgar/data/21535/0000936392-96-001175.txt" TargetMode="External"/><Relationship Id="rId6" Type="http://schemas.openxmlformats.org/officeDocument/2006/relationships/hyperlink" Target="http://www.sec.gov/Archives/edgar/data/21535/000143774923003782/ex_474581.htm" TargetMode="External"/><Relationship Id="rId7" Type="http://schemas.openxmlformats.org/officeDocument/2006/relationships/hyperlink" Target="http://www.sec.gov/Archives/edgar/data/21535/000143774926017386/ex_960997.htm" TargetMode="External"/><Relationship Id="rId8" Type="http://schemas.openxmlformats.org/officeDocument/2006/relationships/hyperlink" Target="http://www.sec.gov/Archives/edgar/data/21535/000143774926017386/ex_960998.htm" TargetMode="External"/><Relationship Id="rId9" Type="http://schemas.openxmlformats.org/officeDocument/2006/relationships/hyperlink" Target="http://www.sec.gov/ix?doc=/Archives/edgar/data/0000021535/000143774926010960/cohu20260326_def14a.htm" TargetMode="External"/><Relationship Id="rId10" Type="http://schemas.openxmlformats.org/officeDocument/2006/relationships/hyperlink" Target="http://www.sec.gov/ix?doc=/Archives/edgar/data/0000021535/000143774926010960/cohu20260326_def14a.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4034</Words>
  <Characters>21553</Characters>
  <CharactersWithSpaces>25703</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