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ohu20260512g_s8pos.htm"/>
      <w:bookmarkStart w:id="1" w:name="kscohu20260512g_s8pos"/>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filed with the Securities and Exchange Commission on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333-132605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333-160760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333-186973</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333-207016</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333-233080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333-273711</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POST-EFFECTIVE AMENDMENT NO.1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333-132605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333-160760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333-186973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333-207016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333-233080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333-273711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815"/>
        <w:gridCol w:w="60"/>
        <w:gridCol w:w="1535"/>
      </w:tblGrid>
      <w:tr>
        <w:trPr/>
        <w:tc>
          <w:tcPr>
            <w:tcW w:w="38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95-1934119</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17087 Via Del Campo, San Diego, California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92127-1711</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2005 Equity Incentive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2026 Equity Incentive Plan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Jeffrey D. Jones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Senior Vice President, Finance and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17087 Via Del Campo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92127-1711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(858) 848-8100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Larry W. Nishnick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4365 Executive Drive, Suite 1100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Tel: (858) 677-1400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Fax: (858) 677-1401</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75" w:type="dxa"/>
        <w:jc w:val="left"/>
        <w:tblInd w:w="0" w:type="dxa"/>
        <w:tblLayout w:type="fixed"/>
        <w:tblCellMar>
          <w:top w:w="0" w:type="dxa"/>
          <w:left w:w="0" w:type="dxa"/>
          <w:bottom w:w="0" w:type="dxa"/>
          <w:right w:w="0" w:type="dxa"/>
        </w:tblCellMar>
      </w:tblPr>
      <w:tblGrid>
        <w:gridCol w:w="1820"/>
        <w:gridCol w:w="230"/>
        <w:gridCol w:w="2225"/>
        <w:gridCol w:w="20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both"/>
              <w:rPr>
                <w:rFonts w:ascii="Wingdings" w:hAnsi="Wingdings"/>
                <w:caps w:val="false"/>
                <w:smallCaps w:val="false"/>
                <w:sz w:val="20"/>
              </w:rPr>
            </w:pPr>
            <w:r>
              <w:rPr>
                <w:rFonts w:ascii="Wingdings" w:hAnsi="Wingdings"/>
                <w:caps w:val="false"/>
                <w:smallCaps w:val="false"/>
                <w:sz w:val="20"/>
              </w:rPr>
              <w:t>o</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Cohu, Inc. (the “Company”) previously filed (i) Registration Statement on Form S-8 (File No. 333-132605) with the Securities and Exchange Commission (the “Commission”) on March 21, 2006, (ii) Registration Statement on Form S-8 (File No. 333-160760) with the Commission on July 23, 2009, (iii) Registration Statement on Form S-8 (File No. 333-186973) with the Commission on February 28, 2013, (iv) Registration Statement on Form S-8 (File No. 333-207016) with the Commission on September 18, 2015, (v) Registration Statement on Form S-8 (File No. 333-233080) with the Commission on August 7, 2019; and (vi) Registration Statement on Form S-8 (File No. 333-273711) with the Commission on August 4, 2023 (collectively, the “Prior Registration Statements”), to register the offer and sale of shares of the Company’s common stock, par value $1.00 per share (the “Common Stock”) issuable under the Company’s 2005 Equity Incentive Plan (the “Prior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15, 2026 (the “Effective Date”), the Company’s stockholders approved the Company’s 2026 Equity Incentive Plan (the “2026 Plan”) as a successor to the Prior Plan. Effective as of the Effective Date, no additional awards may be granted under the Prior Plan, and all awards granted under the Prior Plan that are outstanding on the Effective Date will remain subject to the terms of the Prior Plan (except to the extent such outstanding awards result in Returning Shares (as defined below) that become available for issuance pursuant to awards granted under the 2026 Plan). Under the terms of the 2026 Plan, a maximum of 3,400,000 shares of Common Stock, </w:t>
      </w:r>
      <w:r>
        <w:rPr>
          <w:rFonts w:ascii="Times New Roman" w:hAnsi="Times New Roman"/>
          <w:b/>
          <w:i/>
          <w:caps w:val="false"/>
          <w:smallCaps w:val="false"/>
          <w:sz w:val="20"/>
        </w:rPr>
        <w:t>less</w:t>
      </w:r>
      <w:r>
        <w:rPr>
          <w:rFonts w:ascii="Times New Roman" w:hAnsi="Times New Roman"/>
          <w:caps w:val="false"/>
          <w:smallCaps w:val="false"/>
          <w:sz w:val="20"/>
        </w:rPr>
        <w:t xml:space="preserve"> one share for each share subject to any equity award granted under the Prior Plan between March 20, 2026 and prior to the Effective Date (the “Newly Authorized Shares”); </w:t>
      </w:r>
      <w:r>
        <w:rPr>
          <w:rFonts w:ascii="Times New Roman" w:hAnsi="Times New Roman"/>
          <w:b/>
          <w:i/>
          <w:caps w:val="false"/>
          <w:smallCaps w:val="false"/>
          <w:sz w:val="20"/>
        </w:rPr>
        <w:t>plus</w:t>
      </w:r>
      <w:r>
        <w:rPr>
          <w:rFonts w:ascii="Times New Roman" w:hAnsi="Times New Roman"/>
          <w:caps w:val="false"/>
          <w:smallCaps w:val="false"/>
          <w:sz w:val="20"/>
        </w:rPr>
        <w:t xml:space="preserve"> any shares of Common Stock subject to share awards granted under the Prior Plan that are outstanding on March 16, 2026 or which are granted and outstanding after March 16, 2026 and prior to the Effective Date, and that: (i) are subject to stock options or stock appreciation rights which expire, or for any reason are forfeited, cancelled, or terminated without being exercised; (ii) are not issued because such share award or any portion thereof expires or otherwise terminates without all of the shares covered by such share award having been issued; (iii) are not issued because such award or any portion thereof is settled in cash; or (iv) are forfeited back to or repurchased by the Company for an amount not greater than the participant's purchase price because of the failure to meet a contingency or condition required for the vesting of such shares (the “Returning Shares”) may be issued under the 2026 Plan. Shares subject to outstanding awards granted under the Prior Plan that are (A) withheld by the Company in satisfaction of the payment of the purchase or exercise price of an option or stock appreciation right, or (B) withheld by the Company in satisfaction of the payment of withholding taxes, are not Returning Shares and will not become available for issuance under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Post-Effective Amendment No. 1 (the “Post-Effective Amendment”) to the Prior Registration Statements is to register the Returning Shares for issuance under the 2026 Plan (as such shares would no longer be issuable under the Prior Plan), in accordance with Item 512(a)(1)(iii) of Regulation S-K and Securities Act Forms Compliance and Disclosure Interpretation 126.43. No additional securities are being registered by this Post-Effective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Contemporaneously with the filing of this Post-Effective Amendment, the Company is filing a Registration Statement on Form S-8 to register the Newly Authorized Shares for offer and sale under the 2026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this information will be delivered to the participants in the 2026 Plan covered by this Post-Effective Amendment as required by Rule 428(b)(1)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3. </w:t>
      </w:r>
      <w:r>
        <w:rPr>
          <w:rFonts w:ascii="Times New Roman" w:hAnsi="Times New Roman"/>
          <w:b/>
          <w:caps w:val="false"/>
          <w:smallCaps w:val="false"/>
          <w:sz w:val="20"/>
          <w:u w:val="single"/>
        </w:rPr>
        <w:t>Incorporation of Documents by Reference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Registrant hereby incorporates by reference into this Registration Statement the following documents previously filed with the Commission: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Registrant’s </w:t>
            </w:r>
            <w:hyperlink r:id="rId2">
              <w:r>
                <w:rPr>
                  <w:rStyle w:val="InternetLink"/>
                  <w:rFonts w:ascii="Times New Roman;Times;serif" w:hAnsi="Times New Roman;Times;serif"/>
                  <w:caps w:val="false"/>
                  <w:smallCaps w:val="false"/>
                  <w:sz w:val="20"/>
                  <w:u w:val="single"/>
                </w:rPr>
                <w:t>Annual Report on Form 10-K for the fiscal year ended December 27, 2025</w:t>
              </w:r>
            </w:hyperlink>
            <w:r>
              <w:rPr>
                <w:rFonts w:ascii="Times New Roman;Times;serif" w:hAnsi="Times New Roman;Times;serif"/>
                <w:caps w:val="false"/>
                <w:smallCaps w:val="false"/>
                <w:sz w:val="20"/>
              </w:rPr>
              <w:t>, filed with the Commission on February 17, 2026 (the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The information contained in the Registrant’s definitive proxy statement on Schedule 14A</w:t>
              </w:r>
            </w:hyperlink>
            <w:r>
              <w:rPr>
                <w:rFonts w:ascii="Times New Roman;Times;serif" w:hAnsi="Times New Roman;Times;serif"/>
                <w:caps w:val="false"/>
                <w:smallCaps w:val="false"/>
                <w:sz w:val="20"/>
              </w:rPr>
              <w:t>, filed with the Commission on April 2, 2026, and incorporated into Part III of the Registrant’s Annual Report referred to in (a) above;</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230"/>
        <w:gridCol w:w="73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37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Registrant’s </w:t>
            </w:r>
            <w:hyperlink r:id="rId4">
              <w:r>
                <w:rPr>
                  <w:rStyle w:val="InternetLink"/>
                  <w:rFonts w:ascii="Times New Roman;Times;serif" w:hAnsi="Times New Roman;Times;serif"/>
                  <w:caps w:val="false"/>
                  <w:smallCaps w:val="false"/>
                  <w:sz w:val="20"/>
                </w:rPr>
                <w:t>Current Report on Form 8-K</w:t>
              </w:r>
            </w:hyperlink>
            <w:r>
              <w:rPr>
                <w:rFonts w:ascii="Times New Roman;Times;serif" w:hAnsi="Times New Roman;Times;serif"/>
                <w:caps w:val="false"/>
                <w:smallCaps w:val="false"/>
                <w:sz w:val="20"/>
              </w:rPr>
              <w:t xml:space="preserve"> filed with the Commission on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reports filed with the Commission pursuant to Sections 13(a) or 15(d) of the Securities Exchange Act of 1934, as amended (the “Exchange Act”), since the end of the fiscal year covered by the Registrant’s Annual Report referred to in (a)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6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description of the Registrant’s common stock, par value $1.00, contained in the Registrant’s registration statement on </w:t>
            </w:r>
            <w:hyperlink r:id="rId5">
              <w:r>
                <w:rPr>
                  <w:rStyle w:val="InternetLink"/>
                  <w:rFonts w:ascii="Times New Roman;Times;serif" w:hAnsi="Times New Roman;Times;serif"/>
                  <w:caps w:val="false"/>
                  <w:smallCaps w:val="false"/>
                  <w:sz w:val="20"/>
                </w:rPr>
                <w:t>Form 8-A</w:t>
              </w:r>
            </w:hyperlink>
            <w:r>
              <w:rPr>
                <w:rFonts w:ascii="Times New Roman;Times;serif" w:hAnsi="Times New Roman;Times;serif"/>
                <w:caps w:val="false"/>
                <w:smallCaps w:val="false"/>
                <w:sz w:val="20"/>
              </w:rPr>
              <w:t xml:space="preserve"> filed with the Commission on December 12, 1996 (File No. 000-21875), as supplemented by </w:t>
            </w:r>
            <w:hyperlink r:id="rId6">
              <w:r>
                <w:rPr>
                  <w:rStyle w:val="InternetLink"/>
                  <w:rFonts w:ascii="Times New Roman;Times;serif" w:hAnsi="Times New Roman;Times;serif"/>
                  <w:caps w:val="false"/>
                  <w:smallCaps w:val="false"/>
                  <w:sz w:val="20"/>
                  <w:u w:val="single"/>
                </w:rPr>
                <w:t>Exhibit 4.1</w:t>
              </w:r>
            </w:hyperlink>
            <w:r>
              <w:rPr>
                <w:rFonts w:ascii="Times New Roman;Times;serif" w:hAnsi="Times New Roman;Times;serif"/>
                <w:caps w:val="false"/>
                <w:smallCaps w:val="false"/>
                <w:sz w:val="20"/>
              </w:rPr>
              <w:t> to the Registrant’s Annual Report on Form 10-K for the fiscal year ended December 31, 2022, filed with the Commission on February 17, 2023,,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documents or information deemed to have been furnished and not filed in accordance with the rules of the Commission shall not be deemed incorporated by reference into this Registration Statement. Under no circumstances will any information furnished under current items 2.02 or 7.01 of Form 8-K be deemed incorporated herein by reference unless such Form 8-K expressly provides to the contrary.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4. </w:t>
      </w:r>
      <w:r>
        <w:rPr>
          <w:rFonts w:ascii="Times New Roman" w:hAnsi="Times New Roman"/>
          <w:b/>
          <w:caps w:val="false"/>
          <w:smallCaps w:val="false"/>
          <w:sz w:val="20"/>
          <w:u w:val="single"/>
        </w:rPr>
        <w:t>Description of Securities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b/>
          <w:caps w:val="false"/>
          <w:smallCaps w:val="false"/>
          <w:sz w:val="20"/>
          <w:u w:val="single"/>
        </w:rPr>
        <w:t>Interests of Named Experts and Counsel</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6. </w:t>
      </w:r>
      <w:r>
        <w:rPr>
          <w:rFonts w:ascii="Times New Roman" w:hAnsi="Times New Roman"/>
          <w:b/>
          <w:caps w:val="false"/>
          <w:smallCaps w:val="false"/>
          <w:sz w:val="20"/>
          <w:u w:val="single"/>
        </w:rPr>
        <w:t>Indemnification of Directors and Officers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Delaware law authorizes corporations to eliminate the personal liability of directors and, subject to statutory limitations, certain officers to corporations and their stockholders for monetary damages for breach or alleged breach of the directors’ or officers’ “duty of care” to the extent permitted by Section 102(b)(7) of the Delaware General Corporation Law (the “DGCL”). While the relevant statute does not change directors' or officers’ duty of care, it enables corporations to limit available relief to equitable remedies such as injunction or rescission. The statute has no effect on directors' or officers’ duty of loyalty, acts or omissions not in good faith or involving intentional misconduct or knowing violations of law, illegal payment of dividends and approval of any transaction from which a director or officer derives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adopted provisions in its Amended and Restated Certificate of Incorporation, as amended, which eliminate the personal liability of its directors and, to the extent permitted by the DGCL, its officers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 to believe his or her conduct was unlawful. In a derivative action, or an action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entered into indemnification agreements with certain of its executive officers and directors, indemnifying them against certain potential liabilities that may arise as a result of their service to the Company, and providing certain other protections. The Company also maintains insurance policies which insure the officers and directors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u w:val="single"/>
        </w:rPr>
        <w:t>Exemption from Registration Claimed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8. </w:t>
      </w:r>
      <w:r>
        <w:rPr>
          <w:rFonts w:ascii="Times New Roman" w:hAnsi="Times New Roman"/>
          <w:b/>
          <w:caps w:val="false"/>
          <w:smallCaps w:val="false"/>
          <w:sz w:val="20"/>
          <w:u w:val="single"/>
        </w:rPr>
        <w:t>Exhibits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Exhibits</w:t>
            </w:r>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7">
              <w:r>
                <w:rPr>
                  <w:rStyle w:val="InternetLink"/>
                </w:rPr>
                <w:t>Amended and Restated Certificate of Incorporation of Cohu, Inc. incorporated herein by reference to Exhibit 3.1 from the Cohu, Inc. Current Report on Form 8-K filed with the Securities and Exchange Commission on May 15,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8">
              <w:r>
                <w:rPr>
                  <w:rStyle w:val="InternetLink"/>
                </w:rPr>
                <w:t>Amended and Restated Bylaws of Cohu, Inc. incorporated herein by reference to Exhibit 3.2 from the Cohu, Inc. Current Report on Form 8-K filed with the Securities and Exchange Commission on May 15,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611.htm">
              <w:r>
                <w:rPr>
                  <w:rStyle w:val="InternetLink"/>
                  <w:rFonts w:ascii="Times New Roman" w:hAnsi="Times New Roman"/>
                  <w:caps w:val="false"/>
                  <w:smallCaps w:val="false"/>
                  <w:sz w:val="20"/>
                </w:rPr>
                <w:t>Opinion of DLA Piper LLP (US).</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612.htm">
              <w:r>
                <w:rPr>
                  <w:rStyle w:val="InternetLink"/>
                  <w:rFonts w:ascii="Times New Roman" w:hAnsi="Times New Roman"/>
                  <w:caps w:val="false"/>
                  <w:smallCaps w:val="false"/>
                  <w:sz w:val="20"/>
                </w:rPr>
                <w:t>Consent of Independent Registered Public Accounting Firm.</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611.htm">
              <w:r>
                <w:rPr>
                  <w:rStyle w:val="InternetLink"/>
                  <w:rFonts w:ascii="Times New Roman" w:hAnsi="Times New Roman"/>
                  <w:caps w:val="false"/>
                  <w:smallCaps w:val="false"/>
                  <w:sz w:val="20"/>
                </w:rPr>
                <w:t>Consent of DLA Piper LLP (US) (included in Exhibit 5.1).</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(included on the signature page of this Registration Statement).</w:t>
              </w:r>
            </w:hyperlink>
          </w:p>
        </w:tc>
      </w:tr>
      <w:tr>
        <w:trPr/>
        <w:tc>
          <w:tcPr>
            <w:tcW w:w="710"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Amended and Restated Cohu, Inc. 1997 Employee Stock Purchase Plan, incorporated herein by reference to Appendix D to the Cohu, Inc. Definitive Proxy Statement on Schedule 14A, filed with the Securities and Exchange Commission on April 2, 2026.</w:t>
              </w:r>
            </w:hyperlink>
          </w:p>
        </w:tc>
      </w:tr>
      <w:tr>
        <w:trPr/>
        <w:tc>
          <w:tcPr>
            <w:tcW w:w="710"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Cohu, Inc. 2026 Equity Incentive Plan, incorporated herein by reference to Appendix C to the Cohu, Inc. Definitive Proxy Statement on Schedule 14A, filed with the Securities and Exchange Commission on April 2, 2026.</w:t>
              </w:r>
            </w:hyperlink>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left"/>
        <w:rPr>
          <w:rFonts w:ascii="Times New Roman" w:hAnsi="Times New Roman"/>
          <w:sz w:val="20"/>
        </w:rPr>
      </w:pPr>
      <w:r>
        <w:rPr>
          <w:rFonts w:ascii="Times New Roman" w:hAnsi="Times New Roman"/>
          <w:sz w:val="20"/>
        </w:rPr>
        <w:t># Indicates a management contract or compensatory plan or arrangement.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9. </w:t>
      </w:r>
      <w:r>
        <w:rPr>
          <w:rFonts w:ascii="Times New Roman;Times;serif" w:hAnsi="Times New Roman;Times;serif"/>
          <w:b/>
          <w:sz w:val="20"/>
          <w:u w:val="single"/>
        </w:rPr>
        <w:t>Undertakings</w:t>
      </w:r>
      <w:r>
        <w:rPr>
          <w:rFonts w:ascii="Times New Roman;Times;serif" w:hAnsi="Times New Roman;Times;serif"/>
          <w:b/>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t> </w:t>
      </w:r>
      <w:r>
        <w:rPr>
          <w:rFonts w:ascii="Times New Roman;Times;serif" w:hAnsi="Times New Roman;Times;serif"/>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Exhibit 107 to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clauses (A)(1)(i) and (A)(1)(ii) above shall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that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San Diego, State of California, on May 15, 2026.</w:t>
      </w:r>
    </w:p>
    <w:p>
      <w:pPr>
        <w:pStyle w:val="TextBody"/>
        <w:bidi w:val="0"/>
        <w:spacing w:before="0" w:after="0"/>
        <w:ind w:left="0" w:right="0" w:firstLine="72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35"/>
        <w:gridCol w:w="4610"/>
      </w:tblGrid>
      <w:tr>
        <w:trPr/>
        <w:tc>
          <w:tcPr>
            <w:tcW w:w="4945"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COHU, INC.</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46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D. Jones</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D. Jones</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Finance &amp;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hereby constitutes and appoints Luis A. Müller and Jeffrey D. Jones, and each of them, as his or her true and lawful attorney-in-fact, proxy and agent with the full power of substitution, for him or her in any and all capacities, to sign any and all amendments (including post-effective amendments) to the Registration Statement on Form S-8, and to file the same, with all exhibits thereto and other documents in connection therewith, with the Securities and Exchange Commission,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this Post-Effective Amendment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1895"/>
        <w:gridCol w:w="60"/>
        <w:gridCol w:w="4595"/>
        <w:gridCol w:w="60"/>
        <w:gridCol w:w="1160"/>
      </w:tblGrid>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5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center"/>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James A. Donahue</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Chairperson of the Board</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A. Donahue</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 Bendush</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 Bendush</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J. Bilodeau</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J. Bilodeau</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Andrew M. Caggia</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Andrew M. Caggia</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Yon Jorden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Yon Jorden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Andreas W. Mattes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Andreas W. Mattes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Nina L. Richardson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Nina L. Richardson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Karen M. Rapp</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Karen M. Rapp</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 w:name="ex_961611.htm"/>
      <w:bookmarkStart w:id="4" w:name="ksex_961611"/>
      <w:bookmarkEnd w:id="3"/>
      <w:bookmarkEnd w:id="4"/>
      <w:r>
        <w:rPr>
          <w:rFonts w:ascii="Times New Roman" w:hAnsi="Times New Roman"/>
          <w:b/>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75"/>
        <w:gridCol w:w="2825"/>
      </w:tblGrid>
      <w:tr>
        <w:trPr/>
        <w:tc>
          <w:tcPr>
            <w:tcW w:w="1875" w:type="dxa"/>
            <w:tcBorders/>
            <w:vAlign w:val="center"/>
          </w:tcPr>
          <w:p>
            <w:pPr>
              <w:pStyle w:val="TableContents"/>
              <w:bidi w:val="0"/>
              <w:spacing w:before="0" w:after="0"/>
              <w:jc w:val="left"/>
              <w:rPr/>
            </w:pPr>
            <w:r>
              <w:rPr/>
              <w:drawing>
                <wp:inline distT="0" distB="0" distL="0" distR="0">
                  <wp:extent cx="11906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190625" cy="723900"/>
                          </a:xfrm>
                          <a:prstGeom prst="rect">
                            <a:avLst/>
                          </a:prstGeom>
                        </pic:spPr>
                      </pic:pic>
                    </a:graphicData>
                  </a:graphic>
                </wp:inline>
              </w:drawing>
            </w:r>
          </w:p>
        </w:tc>
        <w:tc>
          <w:tcPr>
            <w:tcW w:w="28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DLA Piper LLP (US)</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4365 Executive Drive, Suite 1100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San Diego, California 92121-2133</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 :(858) 677-1400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F :(858)-677-1401</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www.dlapiper.com</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17087 Via Del Campo</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Diego, CA 92127-1711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 Post-Effective Amendment to Registration Statements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legal counsel for Cohu,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we are rendering this opinion in connection with the Post-Effective Amendment (the “</w:t>
      </w:r>
      <w:r>
        <w:rPr>
          <w:rFonts w:ascii="Times New Roman" w:hAnsi="Times New Roman"/>
          <w:b/>
          <w:i/>
          <w:caps w:val="false"/>
          <w:smallCaps w:val="false"/>
          <w:sz w:val="20"/>
        </w:rPr>
        <w:t>Post-Effective</w:t>
      </w:r>
      <w:r>
        <w:rPr>
          <w:rFonts w:ascii="Times New Roman" w:hAnsi="Times New Roman"/>
          <w:caps w:val="false"/>
          <w:smallCaps w:val="false"/>
          <w:sz w:val="20"/>
        </w:rPr>
        <w:t> </w:t>
      </w:r>
      <w:r>
        <w:rPr>
          <w:rFonts w:ascii="Times New Roman" w:hAnsi="Times New Roman"/>
          <w:b/>
          <w:i/>
          <w:caps w:val="false"/>
          <w:smallCaps w:val="false"/>
          <w:sz w:val="20"/>
        </w:rPr>
        <w:t>Amendment</w:t>
      </w:r>
      <w:r>
        <w:rPr>
          <w:rFonts w:ascii="Times New Roman" w:hAnsi="Times New Roman"/>
          <w:caps w:val="false"/>
          <w:smallCaps w:val="false"/>
          <w:sz w:val="20"/>
        </w:rPr>
        <w:t>”) to (i) Registration Statement on Form S-8 (File No. 333-132605) filed with the Securities and Exchange Commission (the “</w:t>
      </w:r>
      <w:r>
        <w:rPr>
          <w:rFonts w:ascii="Times New Roman" w:hAnsi="Times New Roman"/>
          <w:b/>
          <w:i/>
          <w:caps w:val="false"/>
          <w:smallCaps w:val="false"/>
          <w:sz w:val="20"/>
        </w:rPr>
        <w:t>Commission</w:t>
      </w:r>
      <w:r>
        <w:rPr>
          <w:rFonts w:ascii="Times New Roman" w:hAnsi="Times New Roman"/>
          <w:caps w:val="false"/>
          <w:smallCaps w:val="false"/>
          <w:sz w:val="20"/>
        </w:rPr>
        <w:t>”) on March 21, 2006, (ii) Registration Statement on Form S-8 (File No. 333-160760) filed with the Commission on July 23, 2009, (iii) Registration Statement on Form S-8 (File No. 333-186973) filed with the Commission on February 28, 2013, (iv) Registration Statement on Form S-8 (File No. 333-207016) filed with the Commission on September 18, 2015, (v) Registration Statement on Form S-8 (File No. 333-233080) filed with the Commission on August 7, 2019; and (vi) Registration Statement on Form S-8 (File No. 333-273711) filed with the Commission on August 4, 2023 (collectively, the “</w:t>
      </w:r>
      <w:r>
        <w:rPr>
          <w:rFonts w:ascii="Times New Roman" w:hAnsi="Times New Roman"/>
          <w:b/>
          <w:i/>
          <w:caps w:val="false"/>
          <w:smallCaps w:val="false"/>
          <w:sz w:val="20"/>
        </w:rPr>
        <w:t>Prior Registration Statements</w:t>
      </w:r>
      <w:r>
        <w:rPr>
          <w:rFonts w:ascii="Times New Roman" w:hAnsi="Times New Roman"/>
          <w:caps w:val="false"/>
          <w:smallCaps w:val="false"/>
          <w:sz w:val="20"/>
        </w:rPr>
        <w:t>”) pursuant to the Securities Act of 1933, as amended (the “</w:t>
      </w:r>
      <w:r>
        <w:rPr>
          <w:rFonts w:ascii="Times New Roman" w:hAnsi="Times New Roman"/>
          <w:b/>
          <w:i/>
          <w:caps w:val="false"/>
          <w:smallCaps w:val="false"/>
          <w:sz w:val="20"/>
        </w:rPr>
        <w:t>Securities Act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Prior Registration Statements registered the issuance of shares of the Company’s common stock pursuant to awards granted under the Company’s 2005 Equity Incentive Plan (the “</w:t>
      </w:r>
      <w:r>
        <w:rPr>
          <w:rFonts w:ascii="Times New Roman" w:hAnsi="Times New Roman"/>
          <w:b/>
          <w:i/>
          <w:caps w:val="false"/>
          <w:smallCaps w:val="false"/>
          <w:sz w:val="20"/>
        </w:rPr>
        <w:t>Prior Plan</w:t>
      </w:r>
      <w:r>
        <w:rPr>
          <w:rFonts w:ascii="Times New Roman" w:hAnsi="Times New Roman"/>
          <w:caps w:val="false"/>
          <w:smallCaps w:val="false"/>
          <w:sz w:val="20"/>
        </w:rPr>
        <w:t>”). The Post-Effective Amendment reflects that any shares (the “</w:t>
      </w:r>
      <w:r>
        <w:rPr>
          <w:rFonts w:ascii="Times New Roman" w:hAnsi="Times New Roman"/>
          <w:b/>
          <w:i/>
          <w:caps w:val="false"/>
          <w:smallCaps w:val="false"/>
          <w:sz w:val="20"/>
        </w:rPr>
        <w:t>Returning Shares</w:t>
      </w:r>
      <w:r>
        <w:rPr>
          <w:rFonts w:ascii="Times New Roman" w:hAnsi="Times New Roman"/>
          <w:caps w:val="false"/>
          <w:smallCaps w:val="false"/>
          <w:sz w:val="20"/>
        </w:rPr>
        <w:t>”) that are currently subject to outstanding awards under the Prior Plan will become available for issuance under the Company’s 2026 Equity Incentive Plan (the “</w:t>
      </w:r>
      <w:r>
        <w:rPr>
          <w:rFonts w:ascii="Times New Roman" w:hAnsi="Times New Roman"/>
          <w:b/>
          <w:i/>
          <w:caps w:val="false"/>
          <w:smallCaps w:val="false"/>
          <w:sz w:val="20"/>
        </w:rPr>
        <w:t>2026 Plan</w:t>
      </w:r>
      <w:r>
        <w:rPr>
          <w:rFonts w:ascii="Times New Roman" w:hAnsi="Times New Roman"/>
          <w:caps w:val="false"/>
          <w:smallCaps w:val="false"/>
          <w:sz w:val="20"/>
        </w:rPr>
        <w:t>”) if such awards under the Prior Plan subsequently expire, terminate or are otherwise surrendered, canceled or forfeited or are settled in cash in lieu of common stock as set forth in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examined such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corporation laws of the State of Delaware and the federal law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such examination, we are of the opinion that the Returning Shares which may be issued under the 2026 Plan, when issued against receipt of the consideration therefor in accordance with the provisions of the 2026 Plan, will be validly issued, fully paid and nonassessable. We hereby consent to the filing of this opinion as Exhibit 5.1 to the Post-Effective Amendment referred to above and the use of our name wherever it appears in the Post-Effective Amendment.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opinion letter is given to you solely for use in connection with the issuance of the Returning Shares in accordance with the Post-Effective Amendment and is not to be relied on for any other purpose. Our opinion is expressly limited to the matters set forth above, and we render no opinion, whether by implication or otherwise, as to any other matters relating to the Company, the Returning Shares or the Post-Effective Amendment.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Respectfully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 w:name="ex_961612.htm"/>
      <w:bookmarkStart w:id="6" w:name="ksex_961612"/>
      <w:bookmarkEnd w:id="5"/>
      <w:bookmarkEnd w:id="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Post-Effective Amendment No. 1 to the Registration Statements (Form S-8 Nos. 333-132605, 333-160760, 333-186973, 333-207016, 333-233080, and 333-273711) pertaining to the Cohu, Inc. 2005 Equity Incentive Plan and the Cohu, Inc. 2026 Equity Incentive Plan of our reports dated February 17, 2026, with respect to the consolidated financial statements of Cohu, Inc. and the effectiveness of internal control over financial reporting of Cohu, Inc., included in its Annual Report (Form 10-K) for the year ended December 27,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Diego,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0021535/000143774926004339/cohu20251227_10k.htm" TargetMode="External"/><Relationship Id="rId3" Type="http://schemas.openxmlformats.org/officeDocument/2006/relationships/hyperlink" Target="http://www.sec.gov/ix?doc=/Archives/edgar/data/21535/000143774926010960/cohu20260326_def14a.htm" TargetMode="External"/><Relationship Id="rId4" Type="http://schemas.openxmlformats.org/officeDocument/2006/relationships/hyperlink" Target="http://www.sec.gov/ix?doc=/Archives/edgar/data/21535/000143774926017386/cohu20260512_8k.htm" TargetMode="External"/><Relationship Id="rId5" Type="http://schemas.openxmlformats.org/officeDocument/2006/relationships/hyperlink" Target="http://www.sec.gov/Archives/edgar/data/21535/0000936392-96-001175.txt" TargetMode="External"/><Relationship Id="rId6" Type="http://schemas.openxmlformats.org/officeDocument/2006/relationships/hyperlink" Target="http://www.sec.gov/Archives/edgar/data/21535/000143774923003782/ex_474581.htm" TargetMode="External"/><Relationship Id="rId7" Type="http://schemas.openxmlformats.org/officeDocument/2006/relationships/hyperlink" Target="http://www.sec.gov/Archives/edgar/data/21535/000143774926017386/ex_960997.htm" TargetMode="External"/><Relationship Id="rId8" Type="http://schemas.openxmlformats.org/officeDocument/2006/relationships/hyperlink" Target="http://www.sec.gov/Archives/edgar/data/21535/000143774926017386/ex_960998.htm" TargetMode="External"/><Relationship Id="rId9" Type="http://schemas.openxmlformats.org/officeDocument/2006/relationships/hyperlink" Target="http://www.sec.gov/ix?doc=/Archives/edgar/data/0000021535/000143774926010960/cohu20260326_def14a.htm" TargetMode="External"/><Relationship Id="rId10" Type="http://schemas.openxmlformats.org/officeDocument/2006/relationships/hyperlink" Target="http://www.sec.gov/ix?doc=/Archives/edgar/data/0000021535/000143774926010960/cohu20260326_def14a.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4034</Words>
  <Characters>21553</Characters>
  <CharactersWithSpaces>25703</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