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b/>
          <w:caps w:val="false"/>
          <w:smallCaps w:val="false"/>
          <w:sz w:val="20"/>
        </w:rPr>
      </w:pPr>
      <w:bookmarkStart w:id="0" w:name="cohu20260512_s8.htm"/>
      <w:bookmarkStart w:id="1" w:name="kscohu20260512_s8"/>
      <w:bookmarkEnd w:id="0"/>
      <w:bookmarkEnd w:id="1"/>
      <w:r>
        <w:rPr>
          <w:rFonts w:ascii="Times New Roman" w:hAnsi="Times New Roman"/>
          <w:b/>
          <w:caps w:val="false"/>
          <w:smallCaps w:val="false"/>
          <w:sz w:val="20"/>
        </w:rPr>
        <w:t>As filed with the Securities and Exchange Commission on May 15, 2026</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S-8</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REGISTRATION STATEMENT</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UNDER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tbl>
      <w:tblPr>
        <w:tblW w:w="4954" w:type="dxa"/>
        <w:jc w:val="left"/>
        <w:tblInd w:w="0" w:type="dxa"/>
        <w:tblLayout w:type="fixed"/>
        <w:tblCellMar>
          <w:top w:w="0" w:type="dxa"/>
          <w:left w:w="0" w:type="dxa"/>
          <w:bottom w:w="0" w:type="dxa"/>
          <w:right w:w="0" w:type="dxa"/>
        </w:tblCellMar>
      </w:tblPr>
      <w:tblGrid>
        <w:gridCol w:w="3072"/>
        <w:gridCol w:w="1882"/>
      </w:tblGrid>
      <w:tr>
        <w:trPr/>
        <w:tc>
          <w:tcPr>
            <w:tcW w:w="3072"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left"/>
              <w:rPr/>
            </w:pPr>
            <w:r>
              <w:rPr/>
              <w:t> </w:t>
            </w:r>
          </w:p>
        </w:tc>
      </w:tr>
      <w:tr>
        <w:trPr/>
        <w:tc>
          <w:tcPr>
            <w:tcW w:w="307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882"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95-1934119</w:t>
            </w:r>
          </w:p>
        </w:tc>
      </w:tr>
      <w:tr>
        <w:trPr/>
        <w:tc>
          <w:tcPr>
            <w:tcW w:w="307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88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3072" w:type="dxa"/>
            <w:tcBorders/>
            <w:vAlign w:val="center"/>
          </w:tcPr>
          <w:p>
            <w:pPr>
              <w:pStyle w:val="TableContents"/>
              <w:bidi w:val="0"/>
              <w:spacing w:before="0" w:after="283"/>
              <w:jc w:val="left"/>
              <w:rPr/>
            </w:pPr>
            <w:r>
              <w:rPr/>
              <w:t> </w:t>
            </w:r>
          </w:p>
        </w:tc>
        <w:tc>
          <w:tcPr>
            <w:tcW w:w="1882" w:type="dxa"/>
            <w:tcBorders/>
            <w:vAlign w:val="center"/>
          </w:tcPr>
          <w:p>
            <w:pPr>
              <w:pStyle w:val="TableContents"/>
              <w:bidi w:val="0"/>
              <w:spacing w:before="0" w:after="283"/>
              <w:jc w:val="left"/>
              <w:rPr/>
            </w:pPr>
            <w:r>
              <w:rPr/>
              <w:t> </w:t>
            </w:r>
          </w:p>
        </w:tc>
      </w:tr>
      <w:tr>
        <w:trPr/>
        <w:tc>
          <w:tcPr>
            <w:tcW w:w="495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17087 Via Del Campo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California 92127-1711</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2026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Amended and Restated Cohu, Inc. 1997 Employee Stock Purchase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(Full title of the plan)</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Vice President, Finance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17087 Via Del Campo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California 92127-1711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(858) 848-8100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Larry W. Nishnick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4365 Executive Drive, Suite 1100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 (858) 677-1400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Fax: (858) 677-1401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00" w:type="dxa"/>
        <w:jc w:val="left"/>
        <w:tblInd w:w="0" w:type="dxa"/>
        <w:tblLayout w:type="fixed"/>
        <w:tblCellMar>
          <w:top w:w="0" w:type="dxa"/>
          <w:left w:w="0" w:type="dxa"/>
          <w:bottom w:w="0" w:type="dxa"/>
          <w:right w:w="0" w:type="dxa"/>
        </w:tblCellMar>
      </w:tblPr>
      <w:tblGrid>
        <w:gridCol w:w="2225"/>
        <w:gridCol w:w="60"/>
        <w:gridCol w:w="230"/>
        <w:gridCol w:w="2225"/>
        <w:gridCol w:w="60"/>
        <w:gridCol w:w="20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Cohu, Inc. 2026 Equity Incentive Plan and the Amended and Restated Cohu, Inc. 1997 Employee Stock Purchase Plan covered by this registration statement on Form S-8 (this “Registration Statement”) as required by Rule 428(b)(1)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b/>
          <w:caps w:val="false"/>
          <w:smallCaps w:val="false"/>
          <w:sz w:val="20"/>
          <w:u w:val="single"/>
        </w:rPr>
        <w:t>Incorporation of Documents by Reference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Registrant hereby incorporates by reference into this Registration Statement the following documents previously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32"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w:t>
            </w:r>
            <w:hyperlink r:id="rId2">
              <w:r>
                <w:rPr>
                  <w:rStyle w:val="InternetLink"/>
                  <w:rFonts w:ascii="Times New Roman" w:hAnsi="Times New Roman"/>
                  <w:caps w:val="false"/>
                  <w:smallCaps w:val="false"/>
                  <w:sz w:val="20"/>
                  <w:u w:val="single"/>
                </w:rPr>
                <w:t>Annual Report on Form 10-K for the fiscal year ended December 27, 2025</w:t>
              </w:r>
            </w:hyperlink>
            <w:r>
              <w:rPr>
                <w:rFonts w:ascii="Times New Roman" w:hAnsi="Times New Roman"/>
                <w:caps w:val="false"/>
                <w:smallCaps w:val="false"/>
                <w:sz w:val="20"/>
              </w:rPr>
              <w:t>, filed with the Commission on February 17, 2026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9"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The information contained in the Registrant’s definitive proxy statement on Schedule 14A</w:t>
              </w:r>
            </w:hyperlink>
            <w:r>
              <w:rPr>
                <w:rFonts w:ascii="Times New Roman" w:hAnsi="Times New Roman"/>
                <w:caps w:val="false"/>
                <w:smallCaps w:val="false"/>
                <w:sz w:val="20"/>
              </w:rPr>
              <w:t>, filed with the Commission on April 2, 2026, and incorporated into Part III of the Registrant’s Annual Report referred to in (a) above;</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30"/>
        <w:gridCol w:w="7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7370"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Registrant’s </w:t>
            </w:r>
            <w:hyperlink r:id="rId4">
              <w:r>
                <w:rPr>
                  <w:rStyle w:val="InternetLink"/>
                  <w:rFonts w:ascii="Times New Roman" w:hAnsi="Times New Roman"/>
                  <w:caps w:val="false"/>
                  <w:smallCaps w:val="false"/>
                  <w:sz w:val="20"/>
                </w:rPr>
                <w:t>Current Report on Form 8-K</w:t>
              </w:r>
            </w:hyperlink>
            <w:r>
              <w:rPr>
                <w:rFonts w:ascii="Times New Roman" w:hAnsi="Times New Roman"/>
                <w:caps w:val="false"/>
                <w:smallCaps w:val="false"/>
                <w:sz w:val="20"/>
              </w:rPr>
              <w:t xml:space="preserve"> filed with the Commission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reports filed with the Commission pursuant to Sections 13(a) or 15(d) of the Securities Exchange Act of 1934, as amended (the “Exchange Act”), since the end of the fiscal year covered by the Registrant’s Annual Report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61"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the Registrant’s common stock, par value $1.00, contained in the Registrant’s registration statement on </w:t>
            </w:r>
            <w:hyperlink r:id="rId5">
              <w:r>
                <w:rPr>
                  <w:rStyle w:val="InternetLink"/>
                  <w:rFonts w:ascii="Times New Roman" w:hAnsi="Times New Roman"/>
                  <w:caps w:val="false"/>
                  <w:smallCaps w:val="false"/>
                  <w:sz w:val="20"/>
                </w:rPr>
                <w:t>Form 8-A</w:t>
              </w:r>
            </w:hyperlink>
            <w:r>
              <w:rPr>
                <w:rFonts w:ascii="Times New Roman" w:hAnsi="Times New Roman"/>
                <w:caps w:val="false"/>
                <w:smallCaps w:val="false"/>
                <w:sz w:val="20"/>
              </w:rPr>
              <w:t xml:space="preserve"> filed with the Commission on December 12, 1996 (File No. 000-21875), as supplemented by </w:t>
            </w:r>
            <w:hyperlink r:id="rId6">
              <w:r>
                <w:rPr>
                  <w:rStyle w:val="InternetLink"/>
                  <w:rFonts w:ascii="Times New Roman" w:hAnsi="Times New Roman"/>
                  <w:caps w:val="false"/>
                  <w:smallCaps w:val="false"/>
                  <w:sz w:val="20"/>
                  <w:u w:val="single"/>
                </w:rPr>
                <w:t>Exhibit 4.1</w:t>
              </w:r>
            </w:hyperlink>
            <w:r>
              <w:rPr>
                <w:rFonts w:ascii="Times New Roman" w:hAnsi="Times New Roman"/>
                <w:caps w:val="false"/>
                <w:smallCaps w:val="false"/>
                <w:sz w:val="20"/>
              </w:rPr>
              <w:t> to the Registrant’s Annual Report on Form 10-K for the fiscal year ended December 31, 2022, filed with the Commission on February 17,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documents that the Registrant files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(other than information furnished pursuant to Item 2.02 or Item 7.01 of any Current Report on Form 8-K, unless expressly stated otherwise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b/>
          <w:caps w:val="false"/>
          <w:smallCaps w:val="false"/>
          <w:sz w:val="20"/>
          <w:u w:val="single"/>
        </w:rPr>
        <w:t>Description of Securities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b/>
          <w:caps w:val="false"/>
          <w:smallCaps w:val="false"/>
          <w:sz w:val="20"/>
          <w:u w:val="single"/>
        </w:rPr>
        <w:t>Interests of Named Experts and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b/>
          <w:caps w:val="false"/>
          <w:smallCaps w:val="false"/>
          <w:sz w:val="20"/>
          <w:u w:val="single"/>
        </w:rPr>
        <w:t>Indemnification of Directors and Officers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u w:val="single"/>
        </w:rPr>
        <w:t>Exemption from Registration Claimed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b/>
          <w:caps w:val="false"/>
          <w:smallCaps w:val="false"/>
          <w:sz w:val="20"/>
          <w:u w:val="single"/>
        </w:rPr>
        <w:t>Exhibits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exhibits are filed or incorporated by reference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 to Exhibits</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7">
              <w:r>
                <w:rPr>
                  <w:rStyle w:val="InternetLink"/>
                  <w:rFonts w:ascii="Times New Roman;Times;serif" w:hAnsi="Times New Roman;Times;serif"/>
                  <w:sz w:val="20"/>
                </w:rPr>
                <w:t>Amended and Restated Certificate of Incorporation of Cohu, Inc. incorporated herein by reference to Exhibit 3.1 from the Cohu, Inc. Current Report on Form 8-K filed with the Securities and Exchange Commission on May 15, 2026</w:t>
              </w:r>
            </w:hyperlink>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8">
              <w:r>
                <w:rPr>
                  <w:rStyle w:val="InternetLink"/>
                  <w:rFonts w:ascii="Times New Roman;Times;serif" w:hAnsi="Times New Roman;Times;serif"/>
                  <w:sz w:val="20"/>
                </w:rPr>
                <w:t>Amended and Restated Bylaws of Cohu, Inc. incorporated herein by reference to Exhibit 3.2 from the Cohu, Inc. Current Report on Form 8-K filed with the Securities and Exchange Commission on May 15, 2026</w:t>
              </w:r>
            </w:hyperlink>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w:anchor="ex_961468.htm">
              <w:r>
                <w:rPr>
                  <w:rStyle w:val="InternetLink"/>
                  <w:rFonts w:ascii="Times New Roman;Times;serif" w:hAnsi="Times New Roman;Times;serif"/>
                  <w:caps w:val="false"/>
                  <w:smallCaps w:val="false"/>
                  <w:sz w:val="20"/>
                </w:rPr>
                <w:t>Opinion of DLA Piper LLP (US).</w:t>
              </w:r>
            </w:hyperlink>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w:anchor="ex_961469.htm">
              <w:r>
                <w:rPr>
                  <w:rStyle w:val="InternetLink"/>
                  <w:rFonts w:ascii="Times New Roman;Times;serif" w:hAnsi="Times New Roman;Times;serif"/>
                  <w:caps w:val="false"/>
                  <w:smallCaps w:val="false"/>
                  <w:sz w:val="20"/>
                </w:rPr>
                <w:t>Consent of Independent Registered Public Accounting Firm.</w:t>
              </w:r>
            </w:hyperlink>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23.2*</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w:anchor="ex_961468.htm">
              <w:r>
                <w:rPr>
                  <w:rStyle w:val="InternetLink"/>
                  <w:rFonts w:ascii="Times New Roman;Times;serif" w:hAnsi="Times New Roman;Times;serif"/>
                  <w:caps w:val="false"/>
                  <w:smallCaps w:val="false"/>
                  <w:sz w:val="20"/>
                </w:rPr>
                <w:t>Consent of DLA Piper LLP (US) (included in Exhibit 5.1).</w:t>
              </w:r>
            </w:hyperlink>
          </w:p>
        </w:tc>
      </w:tr>
      <w:tr>
        <w:trPr/>
        <w:tc>
          <w:tcPr>
            <w:tcW w:w="7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w:anchor="poa">
              <w:r>
                <w:rPr>
                  <w:rStyle w:val="InternetLink"/>
                  <w:rFonts w:ascii="Times New Roman;Times;serif" w:hAnsi="Times New Roman;Times;serif"/>
                  <w:caps w:val="false"/>
                  <w:smallCaps w:val="false"/>
                  <w:sz w:val="20"/>
                </w:rPr>
                <w:t>Power of Attorney (included on the signature page of this Registration Statement).</w:t>
              </w:r>
            </w:hyperlink>
          </w:p>
        </w:tc>
      </w:tr>
      <w:tr>
        <w:trPr/>
        <w:tc>
          <w:tcPr>
            <w:tcW w:w="725" w:type="dxa"/>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caps w:val="false"/>
                  <w:smallCaps w:val="false"/>
                  <w:sz w:val="20"/>
                  <w:u w:val="single"/>
                </w:rPr>
                <w:t>Amended and Restated Cohu, Inc. 1997 Employee Stock Purchase Plan, incorporated herein by reference to Appendix D to the Cohu, Inc. Definitive Proxy Statement on Schedule 14A, filed with the Securities and Exchange Commission on April 2, 2026.</w:t>
              </w:r>
            </w:hyperlink>
          </w:p>
        </w:tc>
      </w:tr>
      <w:tr>
        <w:trPr/>
        <w:tc>
          <w:tcPr>
            <w:tcW w:w="725" w:type="dxa"/>
            <w:tcBorders/>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99.2#</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0"/>
              <w:ind w:left="0" w:right="0" w:hanging="0"/>
              <w:jc w:val="left"/>
              <w:rPr/>
            </w:pPr>
            <w:hyperlink r:id="rId10">
              <w:r>
                <w:rPr>
                  <w:rStyle w:val="InternetLink"/>
                  <w:rFonts w:ascii="Times New Roman;Times;serif" w:hAnsi="Times New Roman;Times;serif"/>
                  <w:caps w:val="false"/>
                  <w:smallCaps w:val="false"/>
                  <w:sz w:val="20"/>
                  <w:u w:val="single"/>
                </w:rPr>
                <w:t>Cohu, Inc. 2026 Equity Incentive Plan, incorporated herein by reference to Appendix C to the Cohu, Inc. Definitive Proxy Statement on Schedule 14A, filed with the Securities and Exchange Commission on April 2, 2026.</w:t>
              </w:r>
            </w:hyperlink>
          </w:p>
        </w:tc>
      </w:tr>
      <w:tr>
        <w:trPr/>
        <w:tc>
          <w:tcPr>
            <w:tcW w:w="7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ex_961470.htm">
              <w:r>
                <w:rPr>
                  <w:rStyle w:val="InternetLink"/>
                  <w:rFonts w:ascii="Times New Roman;Times;serif" w:hAnsi="Times New Roman;Times;serif"/>
                  <w:sz w:val="20"/>
                </w:rPr>
                <w:t>Filing Fee Table.</w:t>
              </w:r>
            </w:hyperlink>
          </w:p>
        </w:tc>
      </w:tr>
      <w:tr>
        <w:trPr/>
        <w:tc>
          <w:tcPr>
            <w:tcW w:w="10205" w:type="dxa"/>
            <w:gridSpan w:val="3"/>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Filed herewith.</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Indicates a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9. </w:t>
      </w:r>
      <w:r>
        <w:rPr>
          <w:rFonts w:ascii="Times New Roman" w:hAnsi="Times New Roman"/>
          <w:b/>
          <w:caps w:val="false"/>
          <w:smallCaps w:val="false"/>
          <w:sz w:val="20"/>
          <w:u w:val="single"/>
        </w:rPr>
        <w:t>Undertakings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that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20"/>
        <w:gridCol w:w="4550"/>
      </w:tblGrid>
      <w:tr>
        <w:trPr/>
        <w:tc>
          <w:tcPr>
            <w:tcW w:w="487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COHU, INC.</w:t>
            </w:r>
          </w:p>
        </w:tc>
      </w:tr>
      <w:tr>
        <w:trPr/>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5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r>
      <w:tr>
        <w:trPr/>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r>
      <w:tr>
        <w:trPr/>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the undersigned officers and directors of Cohu, Inc., a Delaware corporation, do hereby constitute and appoint Luis A. Müller and Jeffrey D. Jones, and each of them, the lawful attorneys-in-fact and agents with full power of substitution, each with power to act alone, and authority to do any and all acts and things and to execute any and all instruments which said attorneys and agents, and any one of them, determine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all that said attorneys and agents, or any one of them, shall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7724" w:type="dxa"/>
        <w:jc w:val="left"/>
        <w:tblInd w:w="0" w:type="dxa"/>
        <w:tblLayout w:type="fixed"/>
        <w:tblCellMar>
          <w:top w:w="0" w:type="dxa"/>
          <w:left w:w="0" w:type="dxa"/>
          <w:bottom w:w="28" w:type="dxa"/>
          <w:right w:w="0" w:type="dxa"/>
        </w:tblCellMar>
      </w:tblPr>
      <w:tblGrid>
        <w:gridCol w:w="1895"/>
        <w:gridCol w:w="60"/>
        <w:gridCol w:w="2267"/>
        <w:gridCol w:w="2282"/>
        <w:gridCol w:w="60"/>
        <w:gridCol w:w="11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A. Donahue</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A. Donahue</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 Bendush</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 Bendush</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67" w:type="dxa"/>
            <w:tcBorders/>
            <w:tcMar>
              <w:bottom w:w="0" w:type="dxa"/>
            </w:tcMar>
            <w:vAlign w:val="center"/>
          </w:tcPr>
          <w:p>
            <w:pPr>
              <w:pStyle w:val="TableContents"/>
              <w:bidi w:val="0"/>
              <w:spacing w:before="0" w:after="283"/>
              <w:jc w:val="left"/>
              <w:rPr/>
            </w:pPr>
            <w:r>
              <w:rPr/>
              <w:t> </w:t>
            </w:r>
          </w:p>
        </w:tc>
        <w:tc>
          <w:tcPr>
            <w:tcW w:w="22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J. Bilodeau</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J. Bilodeau</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Andrew M. Caggia</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Andrew M. Caggia</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Yon Jorden</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Yon Jorden</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Andreas W. Mattes</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Andreas W. Mattes</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Nina L. Richardson</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Karen M. Rapp</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Karen M. Rapp</w:t>
            </w:r>
          </w:p>
        </w:tc>
        <w:tc>
          <w:tcPr>
            <w:tcW w:w="60" w:type="dxa"/>
            <w:tcBorders/>
            <w:tcMar>
              <w:bottom w:w="0" w:type="dxa"/>
            </w:tcMar>
            <w:vAlign w:val="center"/>
          </w:tcPr>
          <w:p>
            <w:pPr>
              <w:pStyle w:val="TableContents"/>
              <w:bidi w:val="0"/>
              <w:spacing w:before="0" w:after="283"/>
              <w:jc w:val="left"/>
              <w:rPr/>
            </w:pPr>
            <w:r>
              <w:rPr/>
              <w:t> </w:t>
            </w:r>
          </w:p>
        </w:tc>
        <w:tc>
          <w:tcPr>
            <w:tcW w:w="454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 w:name="ex_961468.htm"/>
      <w:bookmarkStart w:id="4" w:name="ksex_961468"/>
      <w:bookmarkEnd w:id="3"/>
      <w:bookmarkEnd w:id="4"/>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0"/>
        <w:gridCol w:w="2825"/>
      </w:tblGrid>
      <w:tr>
        <w:trPr/>
        <w:tc>
          <w:tcPr>
            <w:tcW w:w="1860"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1811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181100" cy="714375"/>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DLA Piper LLP (US)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4365 Executive Drive, Suite 1100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San Diego, California 92121-2133</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 :(858) 677-1400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 :(858)-677-1401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www.dlapiper.com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 Registration Statements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legal counsel for Cohu,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we are rendering this opinion in connection with the registration on Form S-8 (the “</w:t>
      </w:r>
      <w:r>
        <w:rPr>
          <w:rFonts w:ascii="Times New Roman" w:hAnsi="Times New Roman"/>
          <w:b/>
          <w:i/>
          <w:caps w:val="false"/>
          <w:smallCaps w:val="false"/>
          <w:sz w:val="20"/>
        </w:rPr>
        <w:t>Registration Statement</w:t>
      </w:r>
      <w:r>
        <w:rPr>
          <w:rFonts w:ascii="Times New Roman" w:hAnsi="Times New Roman"/>
          <w:caps w:val="false"/>
          <w:smallCaps w:val="false"/>
          <w:sz w:val="20"/>
        </w:rPr>
        <w:t>”), under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 of (i) 3,400,000 shares of common stock, $1.00 par value of the Company (“</w:t>
      </w:r>
      <w:r>
        <w:rPr>
          <w:rFonts w:ascii="Times New Roman" w:hAnsi="Times New Roman"/>
          <w:b/>
          <w:i/>
          <w:caps w:val="false"/>
          <w:smallCaps w:val="false"/>
          <w:sz w:val="20"/>
        </w:rPr>
        <w:t>Common Stock</w:t>
      </w:r>
      <w:r>
        <w:rPr>
          <w:rFonts w:ascii="Times New Roman" w:hAnsi="Times New Roman"/>
          <w:caps w:val="false"/>
          <w:smallCaps w:val="false"/>
          <w:sz w:val="20"/>
        </w:rPr>
        <w:t>”) which may be issued pursuant to the Cohu, Inc. 2026 Equity Incentive Plan (the “</w:t>
      </w:r>
      <w:r>
        <w:rPr>
          <w:rFonts w:ascii="Times New Roman" w:hAnsi="Times New Roman"/>
          <w:b/>
          <w:i/>
          <w:caps w:val="false"/>
          <w:smallCaps w:val="false"/>
          <w:sz w:val="20"/>
        </w:rPr>
        <w:t>2026 Plan</w:t>
      </w:r>
      <w:r>
        <w:rPr>
          <w:rFonts w:ascii="Times New Roman" w:hAnsi="Times New Roman"/>
          <w:caps w:val="false"/>
          <w:smallCaps w:val="false"/>
          <w:sz w:val="20"/>
        </w:rPr>
        <w:t>”) and (ii) 600,000 shares of Common Stock (collectively, the “</w:t>
      </w:r>
      <w:r>
        <w:rPr>
          <w:rFonts w:ascii="Times New Roman" w:hAnsi="Times New Roman"/>
          <w:b/>
          <w:i/>
          <w:caps w:val="false"/>
          <w:smallCaps w:val="false"/>
          <w:sz w:val="20"/>
        </w:rPr>
        <w:t>Shares</w:t>
      </w:r>
      <w:r>
        <w:rPr>
          <w:rFonts w:ascii="Times New Roman" w:hAnsi="Times New Roman"/>
          <w:caps w:val="false"/>
          <w:smallCaps w:val="false"/>
          <w:sz w:val="20"/>
        </w:rPr>
        <w:t>”), which may be issued pursuant to the Amended and Restated Cohu, Inc. 1997 Employee Stock Purchase Plan (the “</w:t>
      </w:r>
      <w:r>
        <w:rPr>
          <w:rFonts w:ascii="Times New Roman" w:hAnsi="Times New Roman"/>
          <w:b/>
          <w:i/>
          <w:caps w:val="false"/>
          <w:smallCaps w:val="false"/>
          <w:sz w:val="20"/>
        </w:rPr>
        <w:t>ESPP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such examination, we are of the opinion that the Shares which may be issued under the 2026 Plan and the ESPP, when issued against receipt of the consideration therefor in accordance with the provisions of the 2026 Plan or the ESPP, as applicable,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as Exhibit 5.1 to the Registration Statement referred to above and the use of our name wherever it appears in the Registration Statement. In giving this consent, we do not admit that we are within the category of persons whose consent is required under Section 7 of the Securities Act or the rules and regulations of the Securities and Exchange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61469.htm"/>
      <w:bookmarkStart w:id="6" w:name="ksex_961469"/>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 (Form S-8) pertaining to the Cohu, Inc. 2026 Equity Incentive Plan and the Amended and Restated Cohu, Inc. 1997 Employee Stock Purchase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ex_961470.htm"/>
      <w:bookmarkStart w:id="8" w:name="ksex_961470"/>
      <w:bookmarkStart w:id="9" w:name="ex_961470.htm"/>
      <w:bookmarkStart w:id="10" w:name="ksex_961470"/>
      <w:bookmarkEnd w:id="9"/>
      <w:bookmarkEnd w:id="10"/>
      <w:r>
        <w:br w:type="page"/>
      </w:r>
    </w:p>
    <w:tbl>
      <w:tblPr>
        <w:tblW w:w="3549" w:type="dxa"/>
        <w:jc w:val="left"/>
        <w:tblInd w:w="0" w:type="dxa"/>
        <w:tblLayout w:type="fixed"/>
        <w:tblCellMar>
          <w:top w:w="28" w:type="dxa"/>
          <w:left w:w="28" w:type="dxa"/>
          <w:bottom w:w="28" w:type="dxa"/>
          <w:right w:w="28" w:type="dxa"/>
        </w:tblCellMar>
      </w:tblPr>
      <w:tblGrid>
        <w:gridCol w:w="3395"/>
        <w:gridCol w:w="154"/>
      </w:tblGrid>
      <w:tr>
        <w:trPr/>
        <w:tc>
          <w:tcPr>
            <w:tcW w:w="354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b/>
              </w:rPr>
            </w:pPr>
            <w:r>
              <w:rPr>
                <w:b/>
              </w:rPr>
              <w:t xml:space="preserve">COHU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5"/>
        <w:gridCol w:w="1283"/>
        <w:gridCol w:w="1193"/>
        <w:gridCol w:w="1183"/>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$1.00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3,400,000 </w:t>
            </w:r>
          </w:p>
        </w:tc>
        <w:tc>
          <w:tcPr>
            <w:tcW w:w="1183" w:type="dxa"/>
            <w:tcBorders/>
            <w:shd w:fill="E7E7E2" w:val="clear"/>
            <w:vAlign w:val="center"/>
          </w:tcPr>
          <w:p>
            <w:pPr>
              <w:pStyle w:val="TableContents"/>
              <w:bidi w:val="0"/>
              <w:spacing w:before="0" w:after="283"/>
              <w:jc w:val="right"/>
              <w:rPr/>
            </w:pPr>
            <w:r>
              <w:rPr/>
              <w:t xml:space="preserve">$ 49.23 </w:t>
            </w:r>
          </w:p>
        </w:tc>
        <w:tc>
          <w:tcPr>
            <w:tcW w:w="1801" w:type="dxa"/>
            <w:tcBorders/>
            <w:shd w:fill="E7E7E2" w:val="clear"/>
            <w:vAlign w:val="center"/>
          </w:tcPr>
          <w:p>
            <w:pPr>
              <w:pStyle w:val="TableContents"/>
              <w:bidi w:val="0"/>
              <w:spacing w:before="0" w:after="283"/>
              <w:jc w:val="right"/>
              <w:rPr/>
            </w:pPr>
            <w:r>
              <w:rPr/>
              <w:t xml:space="preserve">$ 167,382,000.00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$ 23,115.45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0" w:type="dxa"/>
            <w:tcBorders/>
            <w:shd w:fill="E7E7E2" w:val="clear"/>
            <w:vAlign w:val="center"/>
          </w:tcPr>
          <w:p>
            <w:pPr>
              <w:pStyle w:val="TableContents"/>
              <w:bidi w:val="0"/>
              <w:spacing w:before="0" w:after="283"/>
              <w:jc w:val="left"/>
              <w:rPr/>
            </w:pPr>
            <w:r>
              <w:rPr/>
              <w:t xml:space="preserve">Equity </w:t>
            </w:r>
          </w:p>
        </w:tc>
        <w:tc>
          <w:tcPr>
            <w:tcW w:w="1015" w:type="dxa"/>
            <w:tcBorders/>
            <w:shd w:fill="E7E7E2" w:val="clear"/>
            <w:vAlign w:val="center"/>
          </w:tcPr>
          <w:p>
            <w:pPr>
              <w:pStyle w:val="TableContents"/>
              <w:bidi w:val="0"/>
              <w:spacing w:before="0" w:after="283"/>
              <w:jc w:val="left"/>
              <w:rPr/>
            </w:pPr>
            <w:r>
              <w:rPr/>
              <w:t xml:space="preserve">Common stock, par value $1.00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600,000 </w:t>
            </w:r>
          </w:p>
        </w:tc>
        <w:tc>
          <w:tcPr>
            <w:tcW w:w="1183" w:type="dxa"/>
            <w:tcBorders/>
            <w:shd w:fill="E7E7E2" w:val="clear"/>
            <w:vAlign w:val="center"/>
          </w:tcPr>
          <w:p>
            <w:pPr>
              <w:pStyle w:val="TableContents"/>
              <w:bidi w:val="0"/>
              <w:spacing w:before="0" w:after="283"/>
              <w:jc w:val="right"/>
              <w:rPr/>
            </w:pPr>
            <w:r>
              <w:rPr/>
              <w:t xml:space="preserve">$ 41.85 </w:t>
            </w:r>
          </w:p>
        </w:tc>
        <w:tc>
          <w:tcPr>
            <w:tcW w:w="1801" w:type="dxa"/>
            <w:tcBorders/>
            <w:shd w:fill="E7E7E2" w:val="clear"/>
            <w:vAlign w:val="center"/>
          </w:tcPr>
          <w:p>
            <w:pPr>
              <w:pStyle w:val="TableContents"/>
              <w:bidi w:val="0"/>
              <w:spacing w:before="0" w:after="283"/>
              <w:jc w:val="right"/>
              <w:rPr/>
            </w:pPr>
            <w:r>
              <w:rPr/>
              <w:t xml:space="preserve">$ 25,110,000.00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$ 3,467.69 </w:t>
            </w:r>
          </w:p>
        </w:tc>
      </w:tr>
      <w:tr>
        <w:trPr/>
        <w:tc>
          <w:tcPr>
            <w:tcW w:w="4682"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1" w:name="MaxAggtOfferingPrice"/>
            <w:bookmarkEnd w:id="11"/>
            <w:r>
              <w:rPr/>
              <w:t xml:space="preserve">$ 192,492,000.00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$ 26,583.14 </w:t>
            </w:r>
          </w:p>
        </w:tc>
      </w:tr>
      <w:tr>
        <w:trPr/>
        <w:tc>
          <w:tcPr>
            <w:tcW w:w="4682"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82"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4" w:name="NetFeeAmt"/>
            <w:bookmarkEnd w:id="14"/>
            <w:r>
              <w:rPr/>
              <w:t xml:space="preserve">$ 26,583.14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562"/>
        <w:gridCol w:w="8441"/>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covers any additional shares of the Registrant's common stock (the "Common Stock") that become issuable under the 2026 Equity Incentive Plan (the "2026 Plan") and the Amended and Restated 1997 Employee Stock Purchase Plan (the "ESPP") by reason of any stock dividend, stock split, recapitalization or other similar transaction. (2) Represents additional shares of the Registrant's Common Stock available for issuance under the 2026 Plan. (3) Estimated pursuant to Rule 457(c) and (h) solely for purposes of calculating the registration fee. The price is calculated on the basis of the average of the high and low prices of the Registrant's Common Stock on May 14, 2026, as reported on the Nasdaq Global Select Market. </w:t>
            </w:r>
          </w:p>
        </w:tc>
      </w:tr>
      <w:tr>
        <w:trPr/>
        <w:tc>
          <w:tcPr>
            <w:tcW w:w="1764" w:type="dxa"/>
            <w:gridSpan w:val="2"/>
            <w:tcBorders/>
            <w:vAlign w:val="center"/>
          </w:tcPr>
          <w:p>
            <w:pPr>
              <w:pStyle w:val="HorizontalLine"/>
              <w:pBdr>
                <w:bottom w:val="double" w:sz="2" w:space="0" w:color="808080"/>
              </w:pBdr>
              <w:bidi w:val="0"/>
              <w:spacing w:before="0" w:after="283"/>
              <w:jc w:val="left"/>
              <w:rPr/>
            </w:pPr>
            <w:r>
              <w:rPr/>
            </w:r>
          </w:p>
        </w:tc>
        <w:tc>
          <w:tcPr>
            <w:tcW w:w="8441"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(4) Represents additional shares of the Registrant's Common Stock available for issuance under the ESPP. (5) Estimated pursuant to Rule 457(c) and (h) solely for purposes of calculating the registration fee. The price is calculated on the basis of the average of the high and low prices of the Registrant's Common Stock on May 14, 2026, as reported on the Nasdaq Global Select Market, multiplied by 85%. Pursuant to the ESPP, the purchase price of a share of the Registrant's Common Stock is 85% of the lesser of the fair market value of the Common Stock on the date of commencement of the offering period or on the last day of the offering period. </w:t>
            </w:r>
          </w:p>
        </w:tc>
      </w:tr>
      <w:tr>
        <w:trPr/>
        <w:tc>
          <w:tcPr>
            <w:tcW w:w="1764" w:type="dxa"/>
            <w:gridSpan w:val="2"/>
            <w:tcBorders/>
            <w:vAlign w:val="center"/>
          </w:tcPr>
          <w:p>
            <w:pPr>
              <w:pStyle w:val="HorizontalLine"/>
              <w:pBdr>
                <w:bottom w:val="double" w:sz="2" w:space="0" w:color="808080"/>
              </w:pBdr>
              <w:bidi w:val="0"/>
              <w:spacing w:before="0" w:after="283"/>
              <w:jc w:val="left"/>
              <w:rPr/>
            </w:pPr>
            <w:r>
              <w:rPr/>
            </w:r>
          </w:p>
        </w:tc>
        <w:tc>
          <w:tcPr>
            <w:tcW w:w="844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021535/000143774926004339/cohu20251227_10k.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hyperlink" Target="http://www.sec.gov/ix?doc=/Archives/edgar/data/21535/000143774926017386/cohu20260512_8k.htm" TargetMode="External"/><Relationship Id="rId5" Type="http://schemas.openxmlformats.org/officeDocument/2006/relationships/hyperlink" Target="http://www.sec.gov/Archives/edgar/data/21535/0000936392-96-001175.txt" TargetMode="External"/><Relationship Id="rId6" Type="http://schemas.openxmlformats.org/officeDocument/2006/relationships/hyperlink" Target="http://www.sec.gov/Archives/edgar/data/21535/000143774923003782/ex_474581.htm" TargetMode="External"/><Relationship Id="rId7" Type="http://schemas.openxmlformats.org/officeDocument/2006/relationships/hyperlink" Target="http://www.sec.gov/Archives/edgar/data/21535/000143774926017386/ex_960997.htm" TargetMode="External"/><Relationship Id="rId8" Type="http://schemas.openxmlformats.org/officeDocument/2006/relationships/hyperlink" Target="http://www.sec.gov/Archives/edgar/data/21535/000143774926017386/ex_960998.htm" TargetMode="External"/><Relationship Id="rId9" Type="http://schemas.openxmlformats.org/officeDocument/2006/relationships/hyperlink" Target="http://www.sec.gov/ix?doc=/Archives/edgar/data/0000021535/000143774926010960/cohu20260326_def14a.htm" TargetMode="External"/><Relationship Id="rId10" Type="http://schemas.openxmlformats.org/officeDocument/2006/relationships/hyperlink" Target="http://www.sec.gov/ix?doc=/Archives/edgar/data/0000021535/000143774926010960/cohu20260326_def14a.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3684</Words>
  <Characters>19456</Characters>
  <CharactersWithSpaces>23230</CharactersWithSpaces>
  <Paragraphs>499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