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Muller Luis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98,071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980,206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98,071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1,078,277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17,376</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1,060,901</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be earned only after the certification of achievement of specified performance goals (total shareholder return). Provided such goals are achieved and subject to continued service through the vesting date, performance is scheduled and measured in full on the third anniversary of the date of grant.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four equal annual installments beginning with the anniversary of the date of grant (assuming continued service through the vesting dates).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615,300 RSUs (excluding the impact of shares that will be withheld to cover tax obligations) previously reported that in the future will be converted on a one-for-one basis into shares of Cohu, Inc. Common Stock immediately upon the vesting dates (assuming continued service through the vesting dates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9513"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2026-03-12T17:35:29Z</dcterms:created>
  <dcterms:modified xsi:type="dcterms:W3CDTF">2026-03-12T17:35:29Z</dcterms:modified>
</cp:coreProperties>
</file>