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Jones Jeffrey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17087 VIA DEL CAMPO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COHU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COHU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Sr. VP Finance &amp; CFO</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350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DIEGO</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92127</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jc w:val="center"/>
              <w:ind w:left="7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Performance Stock Units</w:t>
            </w:r>
          </w:p>
        </w:tc>
        <w:tc>
          <w:tcPr>
            <w:tcW w:w="1820" w:type="dxa"/>
            <w:vAlign w:val="bottom"/>
            <w:tcBorders>
              <w:bottom w:val="single" w:sz="8" w:color="2C2C2C"/>
            </w:tcBorders>
            <w:gridSpan w:val="3"/>
          </w:tcPr>
          <w:p>
            <w:pPr>
              <w:jc w:val="center"/>
              <w:ind w:left="707"/>
              <w:spacing w:after="0"/>
              <w:rPr>
                <w:sz w:val="20"/>
                <w:szCs w:val="20"/>
                <w:color w:val="auto"/>
              </w:rPr>
            </w:pPr>
            <w:r>
              <w:rPr>
                <w:rFonts w:ascii="Times New Roman" w:cs="Times New Roman" w:eastAsia="Times New Roman" w:hAnsi="Times New Roman"/>
                <w:sz w:val="17"/>
                <w:szCs w:val="17"/>
                <w:color w:val="0000FF"/>
              </w:rPr>
              <w:t>03/10/2026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3"/>
              </w:rPr>
              <w:t>26,969</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0" w:type="dxa"/>
            <w:vAlign w:val="bottom"/>
            <w:tcBorders>
              <w:bottom w:val="single" w:sz="8" w:color="2C2C2C"/>
            </w:tcBorders>
            <w:gridSpan w:val="3"/>
          </w:tcPr>
          <w:p>
            <w:pPr>
              <w:jc w:val="center"/>
              <w:ind w:left="49"/>
              <w:spacing w:after="0"/>
              <w:rPr>
                <w:sz w:val="20"/>
                <w:szCs w:val="20"/>
                <w:color w:val="auto"/>
              </w:rPr>
            </w:pPr>
            <w:r>
              <w:rPr>
                <w:rFonts w:ascii="Times New Roman" w:cs="Times New Roman" w:eastAsia="Times New Roman" w:hAnsi="Times New Roman"/>
                <w:sz w:val="17"/>
                <w:szCs w:val="17"/>
                <w:color w:val="0000FF"/>
              </w:rPr>
              <w:t>364,628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Restricted Stock Units</w:t>
            </w:r>
          </w:p>
        </w:tc>
        <w:tc>
          <w:tcPr>
            <w:tcW w:w="1820" w:type="dxa"/>
            <w:vAlign w:val="bottom"/>
            <w:tcBorders>
              <w:bottom w:val="single" w:sz="8" w:color="2C2C2C"/>
            </w:tcBorders>
            <w:gridSpan w:val="3"/>
          </w:tcPr>
          <w:p>
            <w:pPr>
              <w:jc w:val="center"/>
              <w:ind w:left="707"/>
              <w:spacing w:after="0"/>
              <w:rPr>
                <w:sz w:val="20"/>
                <w:szCs w:val="20"/>
                <w:color w:val="auto"/>
              </w:rPr>
            </w:pPr>
            <w:r>
              <w:rPr>
                <w:rFonts w:ascii="Times New Roman" w:cs="Times New Roman" w:eastAsia="Times New Roman" w:hAnsi="Times New Roman"/>
                <w:sz w:val="17"/>
                <w:szCs w:val="17"/>
                <w:color w:val="0000FF"/>
              </w:rPr>
              <w:t>03/10/2026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3"/>
              </w:rPr>
              <w:t>26,969</w:t>
            </w:r>
            <w:r>
              <w:rPr>
                <w:rFonts w:ascii="Times New Roman" w:cs="Times New Roman" w:eastAsia="Times New Roman" w:hAnsi="Times New Roman"/>
                <w:sz w:val="22"/>
                <w:szCs w:val="22"/>
                <w:color w:val="008000"/>
                <w:w w:val="93"/>
                <w:vertAlign w:val="superscript"/>
              </w:rPr>
              <w:t>(2)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0" w:type="dxa"/>
            <w:vAlign w:val="bottom"/>
            <w:tcBorders>
              <w:bottom w:val="single" w:sz="8" w:color="2C2C2C"/>
            </w:tcBorders>
            <w:gridSpan w:val="3"/>
          </w:tcPr>
          <w:p>
            <w:pPr>
              <w:jc w:val="center"/>
              <w:ind w:left="49"/>
              <w:spacing w:after="0"/>
              <w:rPr>
                <w:sz w:val="20"/>
                <w:szCs w:val="20"/>
                <w:color w:val="auto"/>
              </w:rPr>
            </w:pPr>
            <w:r>
              <w:rPr>
                <w:rFonts w:ascii="Times New Roman" w:cs="Times New Roman" w:eastAsia="Times New Roman" w:hAnsi="Times New Roman"/>
                <w:sz w:val="17"/>
                <w:szCs w:val="17"/>
                <w:color w:val="0000FF"/>
              </w:rPr>
              <w:t>391,597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727"/>
              <w:spacing w:after="0"/>
              <w:rPr>
                <w:sz w:val="20"/>
                <w:szCs w:val="20"/>
                <w:color w:val="auto"/>
              </w:rPr>
            </w:pPr>
            <w:r>
              <w:rPr>
                <w:rFonts w:ascii="Times New Roman" w:cs="Times New Roman" w:eastAsia="Times New Roman" w:hAnsi="Times New Roman"/>
                <w:sz w:val="17"/>
                <w:szCs w:val="17"/>
                <w:color w:val="0000FF"/>
              </w:rPr>
              <w:t>03/11/2026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3"/>
              </w:rPr>
              <w:t>5,576</w:t>
            </w:r>
            <w:r>
              <w:rPr>
                <w:rFonts w:ascii="Times New Roman" w:cs="Times New Roman" w:eastAsia="Times New Roman" w:hAnsi="Times New Roman"/>
                <w:sz w:val="22"/>
                <w:szCs w:val="22"/>
                <w:color w:val="008000"/>
                <w:w w:val="93"/>
                <w:vertAlign w:val="superscript"/>
              </w:rPr>
              <w:t>(3)</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0" w:type="dxa"/>
            <w:vAlign w:val="bottom"/>
            <w:tcBorders>
              <w:bottom w:val="single" w:sz="8" w:color="2C2C2C"/>
            </w:tcBorders>
            <w:gridSpan w:val="3"/>
          </w:tcPr>
          <w:p>
            <w:pPr>
              <w:jc w:val="center"/>
              <w:ind w:left="69"/>
              <w:spacing w:after="0"/>
              <w:rPr>
                <w:sz w:val="20"/>
                <w:szCs w:val="20"/>
                <w:color w:val="auto"/>
              </w:rPr>
            </w:pPr>
            <w:r>
              <w:rPr>
                <w:rFonts w:ascii="Times New Roman" w:cs="Times New Roman" w:eastAsia="Times New Roman" w:hAnsi="Times New Roman"/>
                <w:sz w:val="17"/>
                <w:szCs w:val="17"/>
                <w:color w:val="0000FF"/>
                <w:w w:val="96"/>
              </w:rPr>
              <w:t>386,021</w:t>
            </w:r>
            <w:r>
              <w:rPr>
                <w:rFonts w:ascii="Times New Roman" w:cs="Times New Roman" w:eastAsia="Times New Roman" w:hAnsi="Times New Roman"/>
                <w:sz w:val="22"/>
                <w:szCs w:val="22"/>
                <w:color w:val="008000"/>
                <w:w w:val="96"/>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Stock Units (also referred to as RSUs) that will be converted on a one-for-one basis into shares of Cohu, Inc. Common Stock upon vesting. These performance stock units will be earned only after the certification of achievement of specified performance goals (total shareholder return). Provided such goals are achieved and subject to continued service through the vesting date, performance is scheduled and measured in full on the third anniversary of the date of grant. The number of shares shown is the target award level. The actual number of shares that may vest ranges from 0% to 200% of the target amount, depending on achievement of specified performance goals.</w:t>
      </w:r>
    </w:p>
    <w:p>
      <w:pPr>
        <w:spacing w:after="0" w:line="24"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Cohu, Inc. Common Stock upon vesting. The RSUs vest in four equal annual installments beginning with the anniversary of the date of grant (assuming continued service through the vesting dates).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were automatically withheld upon vesting of Restricted Stock Units (RSUs) to cover tax obligations in a transaction exempt under Rule 16(b)-3.</w:t>
      </w:r>
    </w:p>
    <w:p>
      <w:pPr>
        <w:spacing w:after="0" w:line="5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Number of shares includes 188,486 RSUs (excluding the impact of shares that will be withheld to cover tax obligations) previously reported that in the future will be converted on a one-for-one basis into shares of Cohu, Inc. Common Stock immediately upon the vesting dates (assuming continued service through the vesting dates and achievement of specified performance goals).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Luis A. Muller, by Power</w:t>
            </w:r>
          </w:p>
        </w:tc>
        <w:tc>
          <w:tcPr>
            <w:tcW w:w="10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03/12/2026</w:t>
            </w:r>
          </w:p>
        </w:tc>
        <w:tc>
          <w:tcPr>
            <w:tcW w:w="0" w:type="dxa"/>
            <w:vAlign w:val="bottom"/>
          </w:tcPr>
          <w:p>
            <w:pPr>
              <w:spacing w:after="0"/>
              <w:rPr>
                <w:sz w:val="1"/>
                <w:szCs w:val="1"/>
                <w:color w:val="auto"/>
              </w:rPr>
            </w:pPr>
          </w:p>
        </w:tc>
      </w:tr>
      <w:tr>
        <w:trPr>
          <w:trHeight w:val="87"/>
        </w:trPr>
        <w:tc>
          <w:tcPr>
            <w:tcW w:w="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1160" w:type="dxa"/>
            <w:vAlign w:val="bottom"/>
            <w:vMerge w:val="restart"/>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20" w:type="dxa"/>
            <w:vAlign w:val="bottom"/>
            <w:tcBorders>
              <w:bottom w:val="single" w:sz="8" w:color="auto"/>
            </w:tcBorders>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19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020" w:type="dxa"/>
            <w:vAlign w:val="bottom"/>
            <w:gridSpan w:val="2"/>
          </w:tcPr>
          <w:p>
            <w:pPr>
              <w:ind w:left="2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16572" TargetMode="External"/><Relationship Id="rId14"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2026-03-12T17:31:28Z</dcterms:created>
  <dcterms:modified xsi:type="dcterms:W3CDTF">2026-03-12T17:31:28Z</dcterms:modified>
</cp:coreProperties>
</file>