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Ilgenfritz Klaus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17087 VIA DEL CAMPO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COHU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COHU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85"/>
        <w:spacing w:after="0"/>
        <w:rPr>
          <w:sz w:val="20"/>
          <w:szCs w:val="20"/>
          <w:color w:val="auto"/>
        </w:rPr>
      </w:pPr>
      <w:r>
        <w:rPr>
          <w:rFonts w:ascii="Times New Roman" w:cs="Times New Roman" w:eastAsia="Times New Roman" w:hAnsi="Times New Roman"/>
          <w:sz w:val="17"/>
          <w:szCs w:val="17"/>
          <w:color w:val="0000FF"/>
        </w:rPr>
        <w:t>Sr. VP &amp; Chief Product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350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 DIEGO</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92127</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jc w:val="center"/>
              <w:ind w:left="7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Performance Stock Units</w:t>
            </w:r>
          </w:p>
        </w:tc>
        <w:tc>
          <w:tcPr>
            <w:tcW w:w="1820" w:type="dxa"/>
            <w:vAlign w:val="bottom"/>
            <w:tcBorders>
              <w:bottom w:val="single" w:sz="8" w:color="2C2C2C"/>
            </w:tcBorders>
            <w:gridSpan w:val="3"/>
          </w:tcPr>
          <w:p>
            <w:pPr>
              <w:jc w:val="center"/>
              <w:ind w:left="707"/>
              <w:spacing w:after="0"/>
              <w:rPr>
                <w:sz w:val="20"/>
                <w:szCs w:val="20"/>
                <w:color w:val="auto"/>
              </w:rPr>
            </w:pPr>
            <w:r>
              <w:rPr>
                <w:rFonts w:ascii="Times New Roman" w:cs="Times New Roman" w:eastAsia="Times New Roman" w:hAnsi="Times New Roman"/>
                <w:sz w:val="17"/>
                <w:szCs w:val="17"/>
                <w:color w:val="0000FF"/>
              </w:rPr>
              <w:t>03/10/2026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w w:val="93"/>
              </w:rPr>
              <w:t>13,076</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400" w:type="dxa"/>
            <w:vAlign w:val="bottom"/>
            <w:tcBorders>
              <w:bottom w:val="single" w:sz="8" w:color="2C2C2C"/>
            </w:tcBorders>
            <w:gridSpan w:val="3"/>
          </w:tcPr>
          <w:p>
            <w:pPr>
              <w:jc w:val="center"/>
              <w:ind w:left="49"/>
              <w:spacing w:after="0"/>
              <w:rPr>
                <w:sz w:val="20"/>
                <w:szCs w:val="20"/>
                <w:color w:val="auto"/>
              </w:rPr>
            </w:pPr>
            <w:r>
              <w:rPr>
                <w:rFonts w:ascii="Times New Roman" w:cs="Times New Roman" w:eastAsia="Times New Roman" w:hAnsi="Times New Roman"/>
                <w:sz w:val="17"/>
                <w:szCs w:val="17"/>
                <w:color w:val="0000FF"/>
              </w:rPr>
              <w:t>90,461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Restricted Stock Units</w:t>
            </w:r>
          </w:p>
        </w:tc>
        <w:tc>
          <w:tcPr>
            <w:tcW w:w="1820" w:type="dxa"/>
            <w:vAlign w:val="bottom"/>
            <w:tcBorders>
              <w:bottom w:val="single" w:sz="8" w:color="2C2C2C"/>
            </w:tcBorders>
            <w:gridSpan w:val="3"/>
          </w:tcPr>
          <w:p>
            <w:pPr>
              <w:jc w:val="center"/>
              <w:ind w:left="707"/>
              <w:spacing w:after="0"/>
              <w:rPr>
                <w:sz w:val="20"/>
                <w:szCs w:val="20"/>
                <w:color w:val="auto"/>
              </w:rPr>
            </w:pPr>
            <w:r>
              <w:rPr>
                <w:rFonts w:ascii="Times New Roman" w:cs="Times New Roman" w:eastAsia="Times New Roman" w:hAnsi="Times New Roman"/>
                <w:sz w:val="17"/>
                <w:szCs w:val="17"/>
                <w:color w:val="0000FF"/>
              </w:rPr>
              <w:t>03/10/2026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w w:val="93"/>
              </w:rPr>
              <w:t>13,076</w:t>
            </w:r>
            <w:r>
              <w:rPr>
                <w:rFonts w:ascii="Times New Roman" w:cs="Times New Roman" w:eastAsia="Times New Roman" w:hAnsi="Times New Roman"/>
                <w:sz w:val="22"/>
                <w:szCs w:val="22"/>
                <w:color w:val="008000"/>
                <w:w w:val="93"/>
                <w:vertAlign w:val="superscript"/>
              </w:rPr>
              <w:t>(2)</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400" w:type="dxa"/>
            <w:vAlign w:val="bottom"/>
            <w:tcBorders>
              <w:bottom w:val="single" w:sz="8" w:color="2C2C2C"/>
            </w:tcBorders>
            <w:gridSpan w:val="3"/>
          </w:tcPr>
          <w:p>
            <w:pPr>
              <w:jc w:val="center"/>
              <w:ind w:left="49"/>
              <w:spacing w:after="0"/>
              <w:rPr>
                <w:sz w:val="20"/>
                <w:szCs w:val="20"/>
                <w:color w:val="auto"/>
              </w:rPr>
            </w:pPr>
            <w:r>
              <w:rPr>
                <w:rFonts w:ascii="Times New Roman" w:cs="Times New Roman" w:eastAsia="Times New Roman" w:hAnsi="Times New Roman"/>
                <w:sz w:val="17"/>
                <w:szCs w:val="17"/>
                <w:color w:val="0000FF"/>
              </w:rPr>
              <w:t>103,537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Units</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727"/>
              <w:spacing w:after="0"/>
              <w:rPr>
                <w:sz w:val="20"/>
                <w:szCs w:val="20"/>
                <w:color w:val="auto"/>
              </w:rPr>
            </w:pPr>
            <w:r>
              <w:rPr>
                <w:rFonts w:ascii="Times New Roman" w:cs="Times New Roman" w:eastAsia="Times New Roman" w:hAnsi="Times New Roman"/>
                <w:sz w:val="17"/>
                <w:szCs w:val="17"/>
                <w:color w:val="0000FF"/>
              </w:rPr>
              <w:t>03/11/2026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w w:val="93"/>
              </w:rPr>
              <w:t>2,225</w:t>
            </w:r>
            <w:r>
              <w:rPr>
                <w:rFonts w:ascii="Times New Roman" w:cs="Times New Roman" w:eastAsia="Times New Roman" w:hAnsi="Times New Roman"/>
                <w:sz w:val="22"/>
                <w:szCs w:val="22"/>
                <w:color w:val="008000"/>
                <w:w w:val="93"/>
                <w:vertAlign w:val="superscript"/>
              </w:rPr>
              <w:t>(3)</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400" w:type="dxa"/>
            <w:vAlign w:val="bottom"/>
            <w:tcBorders>
              <w:bottom w:val="single" w:sz="8" w:color="2C2C2C"/>
            </w:tcBorders>
            <w:gridSpan w:val="3"/>
          </w:tcPr>
          <w:p>
            <w:pPr>
              <w:jc w:val="center"/>
              <w:ind w:left="69"/>
              <w:spacing w:after="0"/>
              <w:rPr>
                <w:sz w:val="20"/>
                <w:szCs w:val="20"/>
                <w:color w:val="auto"/>
              </w:rPr>
            </w:pPr>
            <w:r>
              <w:rPr>
                <w:rFonts w:ascii="Times New Roman" w:cs="Times New Roman" w:eastAsia="Times New Roman" w:hAnsi="Times New Roman"/>
                <w:sz w:val="17"/>
                <w:szCs w:val="17"/>
                <w:color w:val="0000FF"/>
                <w:w w:val="96"/>
              </w:rPr>
              <w:t>101,312</w:t>
            </w:r>
            <w:r>
              <w:rPr>
                <w:rFonts w:ascii="Times New Roman" w:cs="Times New Roman" w:eastAsia="Times New Roman" w:hAnsi="Times New Roman"/>
                <w:sz w:val="22"/>
                <w:szCs w:val="22"/>
                <w:color w:val="008000"/>
                <w:w w:val="96"/>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Stock Units (also referred to as RSUs) that will be converted on a one-for-one basis into shares of Cohu, Inc. Common Stock upon vesting. These performance stock units will be earned only after the certification of achievement of specified performance goals (total shareholder return). Provided such goals are achieved and subject to continued service through the vesting date, performance is scheduled and measured in full on the third anniversary of the date of grant. The number of shares shown is the target award level. The actual number of shares that may vest ranges from 0% to 200% of the target amount, depending on achievement of specified performance goals.</w:t>
      </w:r>
    </w:p>
    <w:p>
      <w:pPr>
        <w:spacing w:after="0" w:line="24"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Cohu, Inc. Common Stock upon vesting. The RSUs vest in four equal annual installments beginning with the anniversary of the date of grant (assuming continued service through the vesting dates).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that were automatically withheld upon vesting of Restricted Stock Units (RSUs) to cover tax obligations in a transaction exempt under Rule 16(b)-3.</w:t>
      </w:r>
    </w:p>
    <w:p>
      <w:pPr>
        <w:spacing w:after="0" w:line="50"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Number of shares includes 84,896 RSUs (excluding the impact of shares that will be withheld to cover tax obligations) previously reported that in the future will be converted on a one-for-one basis into shares of Cohu, Inc. Common Stock immediately upon the vesting dates (assuming continued service through the vesting dates and achievement of specified performance goals).</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Jeffrey D. Jones, by Power</w:t>
            </w:r>
          </w:p>
        </w:tc>
        <w:tc>
          <w:tcPr>
            <w:tcW w:w="6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03/12/2026</w:t>
            </w:r>
          </w:p>
        </w:tc>
        <w:tc>
          <w:tcPr>
            <w:tcW w:w="0" w:type="dxa"/>
            <w:vAlign w:val="bottom"/>
          </w:tcPr>
          <w:p>
            <w:pPr>
              <w:spacing w:after="0"/>
              <w:rPr>
                <w:sz w:val="1"/>
                <w:szCs w:val="1"/>
                <w:color w:val="auto"/>
              </w:rPr>
            </w:pPr>
          </w:p>
        </w:tc>
      </w:tr>
      <w:tr>
        <w:trPr>
          <w:trHeight w:val="87"/>
        </w:trPr>
        <w:tc>
          <w:tcPr>
            <w:tcW w:w="8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13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20" w:type="dxa"/>
            <w:vAlign w:val="bottom"/>
            <w:tcBorders>
              <w:bottom w:val="single" w:sz="8" w:color="auto"/>
            </w:tcBorders>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61573" TargetMode="External"/><Relationship Id="rId14"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2026-03-12T17:28:52Z</dcterms:created>
  <dcterms:modified xsi:type="dcterms:W3CDTF">2026-03-12T17:28:52Z</dcterms:modified>
</cp:coreProperties>
</file>