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48260</wp:posOffset>
            </wp:positionV>
            <wp:extent cx="713486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254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107315</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line="238" w:lineRule="auto"/>
        <w:rPr>
          <w:sz w:val="20"/>
          <w:szCs w:val="20"/>
          <w:color w:val="auto"/>
        </w:rPr>
      </w:pPr>
      <w:r>
        <w:rPr>
          <w:rFonts w:ascii="Times New Roman" w:cs="Times New Roman" w:eastAsia="Times New Roman" w:hAnsi="Times New Roman"/>
          <w:sz w:val="18"/>
          <w:szCs w:val="18"/>
          <w:b w:val="1"/>
          <w:bCs w:val="1"/>
          <w:color w:val="auto"/>
        </w:rPr>
        <w:t>Washington, D. C. 20549</w:t>
      </w:r>
    </w:p>
    <w:p>
      <w:pPr>
        <w:jc w:val="center"/>
        <w:ind w:right="-19"/>
        <w:spacing w:after="0" w:line="237" w:lineRule="auto"/>
        <w:rPr>
          <w:sz w:val="20"/>
          <w:szCs w:val="20"/>
          <w:color w:val="auto"/>
        </w:rPr>
      </w:pPr>
      <w:r>
        <w:rPr>
          <w:rFonts w:ascii="Times New Roman" w:cs="Times New Roman" w:eastAsia="Times New Roman" w:hAnsi="Times New Roman"/>
          <w:sz w:val="32"/>
          <w:szCs w:val="32"/>
          <w:b w:val="1"/>
          <w:bCs w:val="1"/>
          <w:color w:val="auto"/>
        </w:rPr>
        <w:t>FORM 10-K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195" w:lineRule="exact"/>
        <w:rPr>
          <w:sz w:val="24"/>
          <w:szCs w:val="24"/>
          <w:color w:val="auto"/>
        </w:rPr>
      </w:pPr>
    </w:p>
    <w:p>
      <w:pPr>
        <w:ind w:left="3960" w:right="1980" w:hanging="3954"/>
        <w:spacing w:after="0" w:line="258" w:lineRule="auto"/>
        <w:tabs>
          <w:tab w:leader="none" w:pos="64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27, 2025</w:t>
      </w:r>
    </w:p>
    <w:p>
      <w:pPr>
        <w:ind w:left="55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196" w:lineRule="exact"/>
        <w:rPr>
          <w:sz w:val="24"/>
          <w:szCs w:val="24"/>
          <w:color w:val="auto"/>
        </w:rPr>
      </w:pPr>
    </w:p>
    <w:p>
      <w:pPr>
        <w:ind w:left="4380" w:right="1600" w:hanging="4374"/>
        <w:spacing w:after="0" w:line="258" w:lineRule="auto"/>
        <w:tabs>
          <w:tab w:leader="none" w:pos="635"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to</w:t>
      </w:r>
    </w:p>
    <w:p>
      <w:pPr>
        <w:ind w:left="4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1-4298</w:t>
      </w:r>
    </w:p>
    <w:p>
      <w:pPr>
        <w:spacing w:after="0" w:line="1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COHU, INC</w:t>
      </w:r>
      <w:r>
        <w:rPr>
          <w:rFonts w:ascii="Times New Roman" w:cs="Times New Roman" w:eastAsia="Times New Roman" w:hAnsi="Times New Roman"/>
          <w:sz w:val="32"/>
          <w:szCs w:val="32"/>
          <w:color w:val="auto"/>
        </w:rPr>
        <w:t>.</w:t>
      </w:r>
    </w:p>
    <w:p>
      <w:pPr>
        <w:spacing w:after="0" w:line="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195" w:lineRule="exact"/>
        <w:rPr>
          <w:sz w:val="24"/>
          <w:szCs w:val="24"/>
          <w:color w:val="auto"/>
        </w:rPr>
      </w:pPr>
    </w:p>
    <w:tbl>
      <w:tblPr>
        <w:tblLayout w:type="fixed"/>
        <w:tblInd w:w="1160" w:type="dxa"/>
        <w:tblCellMar>
          <w:top w:w="0" w:type="dxa"/>
          <w:left w:w="0" w:type="dxa"/>
          <w:bottom w:w="0" w:type="dxa"/>
          <w:right w:w="0" w:type="dxa"/>
        </w:tblCellMar>
      </w:tblPr>
      <w:tr>
        <w:trPr>
          <w:trHeight w:val="212"/>
        </w:trPr>
        <w:tc>
          <w:tcPr>
            <w:tcW w:w="4660" w:type="dxa"/>
            <w:vAlign w:val="bottom"/>
          </w:tcPr>
          <w:p>
            <w:pPr>
              <w:jc w:val="center"/>
              <w:ind w:right="125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880" w:type="dxa"/>
            <w:vAlign w:val="bottom"/>
          </w:tcPr>
          <w:p>
            <w:pPr>
              <w:jc w:val="center"/>
              <w:ind w:left="1272"/>
              <w:spacing w:after="0"/>
              <w:rPr>
                <w:sz w:val="20"/>
                <w:szCs w:val="20"/>
                <w:color w:val="auto"/>
              </w:rPr>
            </w:pPr>
            <w:r>
              <w:rPr>
                <w:rFonts w:ascii="Times New Roman" w:cs="Times New Roman" w:eastAsia="Times New Roman" w:hAnsi="Times New Roman"/>
                <w:sz w:val="18"/>
                <w:szCs w:val="18"/>
                <w:b w:val="1"/>
                <w:bCs w:val="1"/>
                <w:color w:val="auto"/>
                <w:w w:val="96"/>
              </w:rPr>
              <w:t>95-1934119</w:t>
            </w:r>
          </w:p>
        </w:tc>
      </w:tr>
      <w:tr>
        <w:trPr>
          <w:trHeight w:val="212"/>
        </w:trPr>
        <w:tc>
          <w:tcPr>
            <w:tcW w:w="4660" w:type="dxa"/>
            <w:vAlign w:val="bottom"/>
          </w:tcPr>
          <w:p>
            <w:pPr>
              <w:ind w:left="600"/>
              <w:spacing w:after="0"/>
              <w:rPr>
                <w:sz w:val="20"/>
                <w:szCs w:val="20"/>
                <w:color w:val="auto"/>
              </w:rPr>
            </w:pPr>
            <w:r>
              <w:rPr>
                <w:rFonts w:ascii="Times New Roman" w:cs="Times New Roman" w:eastAsia="Times New Roman" w:hAnsi="Times New Roman"/>
                <w:sz w:val="18"/>
                <w:szCs w:val="18"/>
                <w:i w:val="1"/>
                <w:iCs w:val="1"/>
                <w:color w:val="auto"/>
              </w:rPr>
              <w:t>(State or other jurisdiction of</w:t>
            </w:r>
          </w:p>
        </w:tc>
        <w:tc>
          <w:tcPr>
            <w:tcW w:w="3880" w:type="dxa"/>
            <w:vAlign w:val="bottom"/>
          </w:tcPr>
          <w:p>
            <w:pPr>
              <w:jc w:val="center"/>
              <w:ind w:left="1272"/>
              <w:spacing w:after="0"/>
              <w:rPr>
                <w:sz w:val="20"/>
                <w:szCs w:val="20"/>
                <w:color w:val="auto"/>
              </w:rPr>
            </w:pPr>
            <w:r>
              <w:rPr>
                <w:rFonts w:ascii="Times New Roman" w:cs="Times New Roman" w:eastAsia="Times New Roman" w:hAnsi="Times New Roman"/>
                <w:sz w:val="18"/>
                <w:szCs w:val="18"/>
                <w:i w:val="1"/>
                <w:iCs w:val="1"/>
                <w:color w:val="auto"/>
                <w:w w:val="97"/>
              </w:rPr>
              <w:t>(I.R.S. Employer Identification No.)</w:t>
            </w:r>
          </w:p>
        </w:tc>
      </w:tr>
      <w:tr>
        <w:trPr>
          <w:trHeight w:val="233"/>
        </w:trPr>
        <w:tc>
          <w:tcPr>
            <w:tcW w:w="4660" w:type="dxa"/>
            <w:vAlign w:val="bottom"/>
          </w:tcPr>
          <w:p>
            <w:pPr>
              <w:jc w:val="center"/>
              <w:ind w:right="1252"/>
              <w:spacing w:after="0"/>
              <w:rPr>
                <w:sz w:val="20"/>
                <w:szCs w:val="20"/>
                <w:color w:val="auto"/>
              </w:rPr>
            </w:pPr>
            <w:r>
              <w:rPr>
                <w:rFonts w:ascii="Times New Roman" w:cs="Times New Roman" w:eastAsia="Times New Roman" w:hAnsi="Times New Roman"/>
                <w:sz w:val="18"/>
                <w:szCs w:val="18"/>
                <w:i w:val="1"/>
                <w:iCs w:val="1"/>
                <w:color w:val="auto"/>
                <w:w w:val="98"/>
              </w:rPr>
              <w:t>Incorporation or Organization)</w:t>
            </w:r>
          </w:p>
        </w:tc>
        <w:tc>
          <w:tcPr>
            <w:tcW w:w="3880" w:type="dxa"/>
            <w:vAlign w:val="bottom"/>
          </w:tcPr>
          <w:p>
            <w:pPr>
              <w:spacing w:after="0"/>
              <w:rPr>
                <w:sz w:val="20"/>
                <w:szCs w:val="20"/>
                <w:color w:val="auto"/>
              </w:rPr>
            </w:pPr>
          </w:p>
        </w:tc>
      </w:tr>
      <w:tr>
        <w:trPr>
          <w:trHeight w:val="403"/>
        </w:trPr>
        <w:tc>
          <w:tcPr>
            <w:tcW w:w="4660" w:type="dxa"/>
            <w:vAlign w:val="bottom"/>
          </w:tcPr>
          <w:p>
            <w:pPr>
              <w:jc w:val="center"/>
              <w:ind w:right="1272"/>
              <w:spacing w:after="0"/>
              <w:rPr>
                <w:sz w:val="20"/>
                <w:szCs w:val="20"/>
                <w:color w:val="auto"/>
              </w:rPr>
            </w:pPr>
            <w:r>
              <w:rPr>
                <w:rFonts w:ascii="Times New Roman" w:cs="Times New Roman" w:eastAsia="Times New Roman" w:hAnsi="Times New Roman"/>
                <w:sz w:val="18"/>
                <w:szCs w:val="18"/>
                <w:b w:val="1"/>
                <w:bCs w:val="1"/>
                <w:color w:val="auto"/>
                <w:w w:val="97"/>
              </w:rPr>
              <w:t>17087 Via Del Campo San Diego, California</w:t>
            </w:r>
          </w:p>
        </w:tc>
        <w:tc>
          <w:tcPr>
            <w:tcW w:w="3880" w:type="dxa"/>
            <w:vAlign w:val="bottom"/>
          </w:tcPr>
          <w:p>
            <w:pPr>
              <w:jc w:val="center"/>
              <w:ind w:left="1272"/>
              <w:spacing w:after="0"/>
              <w:rPr>
                <w:sz w:val="20"/>
                <w:szCs w:val="20"/>
                <w:color w:val="auto"/>
              </w:rPr>
            </w:pPr>
            <w:r>
              <w:rPr>
                <w:rFonts w:ascii="Times New Roman" w:cs="Times New Roman" w:eastAsia="Times New Roman" w:hAnsi="Times New Roman"/>
                <w:sz w:val="18"/>
                <w:szCs w:val="18"/>
                <w:b w:val="1"/>
                <w:bCs w:val="1"/>
                <w:color w:val="auto"/>
                <w:w w:val="96"/>
              </w:rPr>
              <w:t>92127-1711</w:t>
            </w:r>
          </w:p>
        </w:tc>
      </w:tr>
      <w:tr>
        <w:trPr>
          <w:trHeight w:val="233"/>
        </w:trPr>
        <w:tc>
          <w:tcPr>
            <w:tcW w:w="4660" w:type="dxa"/>
            <w:vAlign w:val="bottom"/>
          </w:tcPr>
          <w:p>
            <w:pPr>
              <w:jc w:val="center"/>
              <w:ind w:right="1252"/>
              <w:spacing w:after="0"/>
              <w:rPr>
                <w:sz w:val="20"/>
                <w:szCs w:val="20"/>
                <w:color w:val="auto"/>
              </w:rPr>
            </w:pPr>
            <w:r>
              <w:rPr>
                <w:rFonts w:ascii="Times New Roman" w:cs="Times New Roman" w:eastAsia="Times New Roman" w:hAnsi="Times New Roman"/>
                <w:sz w:val="18"/>
                <w:szCs w:val="18"/>
                <w:i w:val="1"/>
                <w:iCs w:val="1"/>
                <w:color w:val="auto"/>
                <w:w w:val="97"/>
              </w:rPr>
              <w:t>(Address of principal executive offices)</w:t>
            </w:r>
          </w:p>
        </w:tc>
        <w:tc>
          <w:tcPr>
            <w:tcW w:w="3880" w:type="dxa"/>
            <w:vAlign w:val="bottom"/>
          </w:tcPr>
          <w:p>
            <w:pPr>
              <w:jc w:val="center"/>
              <w:ind w:left="1252"/>
              <w:spacing w:after="0"/>
              <w:rPr>
                <w:sz w:val="20"/>
                <w:szCs w:val="20"/>
                <w:color w:val="auto"/>
              </w:rPr>
            </w:pPr>
            <w:r>
              <w:rPr>
                <w:rFonts w:ascii="Times New Roman" w:cs="Times New Roman" w:eastAsia="Times New Roman" w:hAnsi="Times New Roman"/>
                <w:sz w:val="18"/>
                <w:szCs w:val="18"/>
                <w:i w:val="1"/>
                <w:iCs w:val="1"/>
                <w:color w:val="auto"/>
                <w:w w:val="99"/>
              </w:rPr>
              <w:t>(Zip Code)</w:t>
            </w:r>
          </w:p>
        </w:tc>
      </w:tr>
    </w:tbl>
    <w:p>
      <w:pPr>
        <w:spacing w:after="0" w:line="1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 (858) 848-8100</w:t>
      </w:r>
    </w:p>
    <w:p>
      <w:pPr>
        <w:spacing w:after="0" w:line="217" w:lineRule="exact"/>
        <w:rPr>
          <w:sz w:val="24"/>
          <w:szCs w:val="24"/>
          <w:color w:val="auto"/>
        </w:rPr>
      </w:pPr>
    </w:p>
    <w:tbl>
      <w:tblPr>
        <w:tblLayout w:type="fixed"/>
        <w:tblInd w:w="680" w:type="dxa"/>
        <w:tblCellMar>
          <w:top w:w="0" w:type="dxa"/>
          <w:left w:w="0" w:type="dxa"/>
          <w:bottom w:w="0" w:type="dxa"/>
          <w:right w:w="0" w:type="dxa"/>
        </w:tblCellMar>
      </w:tblPr>
      <w:tr>
        <w:trPr>
          <w:trHeight w:val="233"/>
        </w:trPr>
        <w:tc>
          <w:tcPr>
            <w:tcW w:w="4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540" w:type="dxa"/>
            <w:vAlign w:val="bottom"/>
            <w:gridSpan w:val="3"/>
          </w:tcPr>
          <w:p>
            <w:pPr>
              <w:jc w:val="center"/>
              <w:ind w:left="52"/>
              <w:spacing w:after="0"/>
              <w:rPr>
                <w:sz w:val="20"/>
                <w:szCs w:val="20"/>
                <w:color w:val="auto"/>
              </w:rPr>
            </w:pPr>
            <w:r>
              <w:rPr>
                <w:rFonts w:ascii="Times New Roman" w:cs="Times New Roman" w:eastAsia="Times New Roman" w:hAnsi="Times New Roman"/>
                <w:sz w:val="18"/>
                <w:szCs w:val="18"/>
                <w:b w:val="1"/>
                <w:bCs w:val="1"/>
                <w:color w:val="auto"/>
                <w:w w:val="97"/>
              </w:rPr>
              <w:t>Securities registered pursuant to Section 12(b) of the Act:</w:t>
            </w:r>
          </w:p>
        </w:tc>
        <w:tc>
          <w:tcPr>
            <w:tcW w:w="40" w:type="dxa"/>
            <w:vAlign w:val="bottom"/>
          </w:tcPr>
          <w:p>
            <w:pPr>
              <w:spacing w:after="0"/>
              <w:rPr>
                <w:sz w:val="20"/>
                <w:szCs w:val="20"/>
                <w:color w:val="auto"/>
              </w:rPr>
            </w:pPr>
          </w:p>
        </w:tc>
        <w:tc>
          <w:tcPr>
            <w:tcW w:w="3020" w:type="dxa"/>
            <w:vAlign w:val="bottom"/>
          </w:tcPr>
          <w:p>
            <w:pPr>
              <w:spacing w:after="0"/>
              <w:rPr>
                <w:sz w:val="20"/>
                <w:szCs w:val="20"/>
                <w:color w:val="auto"/>
              </w:rPr>
            </w:pPr>
          </w:p>
        </w:tc>
      </w:tr>
      <w:tr>
        <w:trPr>
          <w:trHeight w:val="383"/>
        </w:trPr>
        <w:tc>
          <w:tcPr>
            <w:tcW w:w="480" w:type="dxa"/>
            <w:vAlign w:val="bottom"/>
          </w:tcPr>
          <w:p>
            <w:pPr>
              <w:spacing w:after="0"/>
              <w:rPr>
                <w:sz w:val="24"/>
                <w:szCs w:val="24"/>
                <w:color w:val="auto"/>
              </w:rPr>
            </w:pPr>
          </w:p>
        </w:tc>
        <w:tc>
          <w:tcPr>
            <w:tcW w:w="212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640" w:type="dxa"/>
            <w:vAlign w:val="bottom"/>
          </w:tcPr>
          <w:p>
            <w:pPr>
              <w:spacing w:after="0"/>
              <w:rPr>
                <w:sz w:val="24"/>
                <w:szCs w:val="24"/>
                <w:color w:val="auto"/>
              </w:rPr>
            </w:pPr>
          </w:p>
        </w:tc>
        <w:tc>
          <w:tcPr>
            <w:tcW w:w="2900" w:type="dxa"/>
            <w:vAlign w:val="bottom"/>
            <w:gridSpan w:val="2"/>
          </w:tcPr>
          <w:p>
            <w:pPr>
              <w:jc w:val="center"/>
              <w:ind w:right="1500"/>
              <w:spacing w:after="0"/>
              <w:rPr>
                <w:sz w:val="20"/>
                <w:szCs w:val="20"/>
                <w:color w:val="auto"/>
              </w:rPr>
            </w:pPr>
            <w:r>
              <w:rPr>
                <w:rFonts w:ascii="Times New Roman" w:cs="Times New Roman" w:eastAsia="Times New Roman" w:hAnsi="Times New Roman"/>
                <w:sz w:val="18"/>
                <w:szCs w:val="18"/>
                <w:b w:val="1"/>
                <w:bCs w:val="1"/>
                <w:color w:val="auto"/>
                <w:w w:val="96"/>
              </w:rPr>
              <w:t>Trading Symbol(s)</w:t>
            </w:r>
          </w:p>
        </w:tc>
        <w:tc>
          <w:tcPr>
            <w:tcW w:w="30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 of Exchange on Which Registered</w:t>
            </w:r>
          </w:p>
        </w:tc>
      </w:tr>
      <w:tr>
        <w:trPr>
          <w:trHeight w:val="20"/>
        </w:trPr>
        <w:tc>
          <w:tcPr>
            <w:tcW w:w="48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r>
      <w:tr>
        <w:trPr>
          <w:trHeight w:val="233"/>
        </w:trPr>
        <w:tc>
          <w:tcPr>
            <w:tcW w:w="26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Common Stock, $1.00 par value</w:t>
            </w:r>
          </w:p>
        </w:tc>
        <w:tc>
          <w:tcPr>
            <w:tcW w:w="1640" w:type="dxa"/>
            <w:vAlign w:val="bottom"/>
          </w:tcPr>
          <w:p>
            <w:pPr>
              <w:spacing w:after="0"/>
              <w:rPr>
                <w:sz w:val="20"/>
                <w:szCs w:val="20"/>
                <w:color w:val="auto"/>
              </w:rPr>
            </w:pPr>
          </w:p>
        </w:tc>
        <w:tc>
          <w:tcPr>
            <w:tcW w:w="2900" w:type="dxa"/>
            <w:vAlign w:val="bottom"/>
            <w:gridSpan w:val="2"/>
          </w:tcPr>
          <w:p>
            <w:pPr>
              <w:jc w:val="center"/>
              <w:ind w:right="1500"/>
              <w:spacing w:after="0"/>
              <w:rPr>
                <w:sz w:val="20"/>
                <w:szCs w:val="20"/>
                <w:color w:val="auto"/>
              </w:rPr>
            </w:pPr>
            <w:r>
              <w:rPr>
                <w:rFonts w:ascii="Times New Roman" w:cs="Times New Roman" w:eastAsia="Times New Roman" w:hAnsi="Times New Roman"/>
                <w:sz w:val="18"/>
                <w:szCs w:val="18"/>
                <w:b w:val="1"/>
                <w:bCs w:val="1"/>
                <w:color w:val="auto"/>
                <w:w w:val="96"/>
              </w:rPr>
              <w:t>COHU</w:t>
            </w:r>
          </w:p>
        </w:tc>
        <w:tc>
          <w:tcPr>
            <w:tcW w:w="40" w:type="dxa"/>
            <w:vAlign w:val="bottom"/>
          </w:tcPr>
          <w:p>
            <w:pPr>
              <w:spacing w:after="0"/>
              <w:rPr>
                <w:sz w:val="20"/>
                <w:szCs w:val="20"/>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The Nasdaq Stock Market LLC</w:t>
            </w:r>
          </w:p>
        </w:tc>
      </w:tr>
    </w:tbl>
    <w:p>
      <w:pPr>
        <w:spacing w:after="0" w:line="200" w:lineRule="exact"/>
        <w:rPr>
          <w:sz w:val="24"/>
          <w:szCs w:val="24"/>
          <w:color w:val="auto"/>
        </w:rPr>
      </w:pP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166" w:lineRule="exact"/>
        <w:rPr>
          <w:sz w:val="24"/>
          <w:szCs w:val="24"/>
          <w:color w:val="auto"/>
        </w:rPr>
      </w:pPr>
    </w:p>
    <w:p>
      <w:pPr>
        <w:ind w:left="180" w:right="2580"/>
        <w:spacing w:after="0" w:line="226"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ind w:left="180"/>
        <w:spacing w:after="0"/>
        <w:rPr>
          <w:sz w:val="20"/>
          <w:szCs w:val="20"/>
          <w:color w:val="auto"/>
        </w:rPr>
      </w:pPr>
      <w:r>
        <w:rPr>
          <w:rFonts w:ascii="Times New Roman" w:cs="Times New Roman" w:eastAsia="Times New Roman" w:hAnsi="Times New Roman"/>
          <w:sz w:val="15"/>
          <w:szCs w:val="15"/>
          <w:color w:val="auto"/>
        </w:rPr>
        <w:t>Indicate by check mark whether the registrant (1) has filed all reports required to be filed by Section 13 or 15(d) of the Securities Exchange Act of 1934 during the preceding</w:t>
      </w:r>
    </w:p>
    <w:p>
      <w:pPr>
        <w:spacing w:after="0" w:line="17" w:lineRule="exact"/>
        <w:rPr>
          <w:sz w:val="24"/>
          <w:szCs w:val="24"/>
          <w:color w:val="auto"/>
        </w:rPr>
      </w:pPr>
    </w:p>
    <w:p>
      <w:pPr>
        <w:jc w:val="right"/>
        <w:spacing w:after="0" w:line="199" w:lineRule="exact"/>
        <w:rPr>
          <w:sz w:val="20"/>
          <w:szCs w:val="20"/>
          <w:color w:val="auto"/>
        </w:rPr>
      </w:pPr>
      <w:r>
        <w:rPr>
          <w:rFonts w:ascii="Times New Roman" w:cs="Times New Roman" w:eastAsia="Times New Roman" w:hAnsi="Times New Roman"/>
          <w:sz w:val="16"/>
          <w:szCs w:val="16"/>
          <w:color w:val="auto"/>
        </w:rPr>
        <w:t xml:space="preserve">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Indicate by check mark whether the registrant has submitted electronically every Interactive Data File required to be submitted pursuant to Rule 405 of Regulation S-T</w:t>
      </w:r>
    </w:p>
    <w:p>
      <w:pPr>
        <w:spacing w:after="0" w:line="184" w:lineRule="exact"/>
        <w:rPr>
          <w:sz w:val="20"/>
          <w:szCs w:val="20"/>
          <w:color w:val="auto"/>
        </w:rPr>
      </w:pPr>
      <w:r>
        <w:rPr>
          <w:rFonts w:ascii="Times New Roman" w:cs="Times New Roman" w:eastAsia="Times New Roman" w:hAnsi="Times New Roman"/>
          <w:sz w:val="16"/>
          <w:szCs w:val="16"/>
          <w:color w:val="auto"/>
        </w:rPr>
        <w:t xml:space="preserve">(§232.405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4" w:lineRule="exact"/>
        <w:rPr>
          <w:sz w:val="24"/>
          <w:szCs w:val="24"/>
          <w:color w:val="auto"/>
        </w:rPr>
      </w:pPr>
    </w:p>
    <w:p>
      <w:pPr>
        <w:jc w:val="both"/>
        <w:ind w:right="280" w:firstLine="177"/>
        <w:spacing w:after="0" w:line="270"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jc w:val="center"/>
        <w:spacing w:after="0" w:line="184" w:lineRule="exact"/>
        <w:tabs>
          <w:tab w:leader="none" w:pos="140" w:val="left"/>
        </w:tabs>
        <w:rPr>
          <w:sz w:val="20"/>
          <w:szCs w:val="20"/>
          <w:color w:val="auto"/>
        </w:rPr>
      </w:pPr>
      <w:r>
        <w:rPr>
          <w:rFonts w:ascii="Times New Roman" w:cs="Times New Roman" w:eastAsia="Times New Roman" w:hAnsi="Times New Roman"/>
          <w:sz w:val="16"/>
          <w:szCs w:val="16"/>
          <w:color w:val="auto"/>
        </w:rPr>
        <w:t>Large accelerated filer</w:t>
      </w:r>
      <w:r>
        <w:rPr>
          <w:sz w:val="20"/>
          <w:szCs w:val="20"/>
          <w:color w:val="auto"/>
        </w:rPr>
        <w:tab/>
      </w:r>
      <w:r>
        <w:rPr>
          <w:rFonts w:ascii="MS PGothic" w:cs="MS PGothic" w:eastAsia="MS PGothic" w:hAnsi="MS PGothic"/>
          <w:sz w:val="15"/>
          <w:szCs w:val="15"/>
          <w:color w:val="auto"/>
        </w:rPr>
        <w:t xml:space="preserve">☑ </w:t>
      </w:r>
      <w:r>
        <w:rPr>
          <w:rFonts w:ascii="Times New Roman" w:cs="Times New Roman" w:eastAsia="Times New Roman" w:hAnsi="Times New Roman"/>
          <w:sz w:val="15"/>
          <w:szCs w:val="15"/>
          <w:color w:val="auto"/>
        </w:rPr>
        <w:t>Accelerated filer</w:t>
      </w:r>
      <w:r>
        <w:rPr>
          <w:rFonts w:ascii="MS PGothic" w:cs="MS PGothic" w:eastAsia="MS PGothic" w:hAnsi="MS PGothic"/>
          <w:sz w:val="15"/>
          <w:szCs w:val="15"/>
          <w:color w:val="auto"/>
        </w:rPr>
        <w:t xml:space="preserve">  ☐ </w:t>
      </w:r>
      <w:r>
        <w:rPr>
          <w:rFonts w:ascii="Times New Roman" w:cs="Times New Roman" w:eastAsia="Times New Roman" w:hAnsi="Times New Roman"/>
          <w:sz w:val="15"/>
          <w:szCs w:val="15"/>
          <w:color w:val="auto"/>
        </w:rPr>
        <w:t>Non-accelerated filer</w:t>
      </w:r>
      <w:r>
        <w:rPr>
          <w:rFonts w:ascii="MS PGothic" w:cs="MS PGothic" w:eastAsia="MS PGothic" w:hAnsi="MS PGothic"/>
          <w:sz w:val="15"/>
          <w:szCs w:val="15"/>
          <w:color w:val="auto"/>
        </w:rPr>
        <w:t xml:space="preserve">  ☐ </w:t>
      </w:r>
      <w:r>
        <w:rPr>
          <w:rFonts w:ascii="Times New Roman" w:cs="Times New Roman" w:eastAsia="Times New Roman" w:hAnsi="Times New Roman"/>
          <w:sz w:val="15"/>
          <w:szCs w:val="15"/>
          <w:color w:val="auto"/>
        </w:rPr>
        <w:t>Smaller reporting company</w:t>
      </w:r>
      <w:r>
        <w:rPr>
          <w:rFonts w:ascii="MS PGothic" w:cs="MS PGothic" w:eastAsia="MS PGothic" w:hAnsi="MS PGothic"/>
          <w:sz w:val="15"/>
          <w:szCs w:val="15"/>
          <w:color w:val="auto"/>
        </w:rPr>
        <w:t xml:space="preserve"> ☐ </w:t>
      </w:r>
      <w:r>
        <w:rPr>
          <w:rFonts w:ascii="Times New Roman" w:cs="Times New Roman" w:eastAsia="Times New Roman" w:hAnsi="Times New Roman"/>
          <w:sz w:val="15"/>
          <w:szCs w:val="15"/>
          <w:color w:val="auto"/>
        </w:rPr>
        <w:t>Emerging growth company</w:t>
      </w:r>
      <w:r>
        <w:rPr>
          <w:rFonts w:ascii="MS PGothic" w:cs="MS PGothic" w:eastAsia="MS PGothic" w:hAnsi="MS PGothic"/>
          <w:sz w:val="15"/>
          <w:szCs w:val="15"/>
          <w:color w:val="auto"/>
        </w:rPr>
        <w:t xml:space="preserve"> ☐</w:t>
      </w:r>
    </w:p>
    <w:p>
      <w:pPr>
        <w:spacing w:after="0" w:line="24" w:lineRule="exact"/>
        <w:rPr>
          <w:sz w:val="24"/>
          <w:szCs w:val="24"/>
          <w:color w:val="auto"/>
        </w:rPr>
      </w:pPr>
    </w:p>
    <w:p>
      <w:pPr>
        <w:ind w:firstLine="177"/>
        <w:spacing w:after="0" w:line="19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right="240" w:firstLine="177"/>
        <w:spacing w:after="0" w:line="19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ind w:right="340" w:firstLine="177"/>
        <w:spacing w:after="0" w:line="199"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ind w:right="340" w:firstLine="177"/>
        <w:spacing w:after="0" w:line="196"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 w:lineRule="exact"/>
        <w:rPr>
          <w:sz w:val="24"/>
          <w:szCs w:val="24"/>
          <w:color w:val="auto"/>
        </w:rPr>
      </w:pPr>
    </w:p>
    <w:p>
      <w:pPr>
        <w:ind w:left="16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ind w:right="440" w:firstLine="177"/>
        <w:spacing w:after="0" w:line="256" w:lineRule="auto"/>
        <w:rPr>
          <w:sz w:val="20"/>
          <w:szCs w:val="20"/>
          <w:color w:val="auto"/>
        </w:rPr>
      </w:pPr>
      <w:r>
        <w:rPr>
          <w:rFonts w:ascii="Times New Roman" w:cs="Times New Roman" w:eastAsia="Times New Roman" w:hAnsi="Times New Roman"/>
          <w:sz w:val="16"/>
          <w:szCs w:val="16"/>
          <w:color w:val="auto"/>
        </w:rPr>
        <w:t>The aggregate market value of voting stock held by non-affiliates of the registrant was approximately $879,400,000 based on the closing stock price as reported by the Nasdaq Stock Market LLC as of June 27, 2025. Shares of common stock held by each officer and director and by each person or group who owns 5% or more of the outstanding common stock have been excluded in that such persons or groups may be deemed to be affiliates. This determination of affiliate status is not necessarily a conclusive determination for other purposes.</w:t>
      </w:r>
    </w:p>
    <w:p>
      <w:pPr>
        <w:spacing w:after="0" w:line="1"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6"/>
          <w:szCs w:val="16"/>
          <w:color w:val="auto"/>
        </w:rPr>
        <w:t>As of February 4, 2026, the Registrant had 46,888,325 shares of its $1.00 par value common stock outstanding.</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26" w:lineRule="exact"/>
        <w:rPr>
          <w:sz w:val="24"/>
          <w:szCs w:val="24"/>
          <w:color w:val="auto"/>
        </w:rPr>
      </w:pPr>
    </w:p>
    <w:p>
      <w:pPr>
        <w:ind w:right="200" w:firstLine="177"/>
        <w:spacing w:after="0" w:line="278" w:lineRule="auto"/>
        <w:rPr>
          <w:sz w:val="20"/>
          <w:szCs w:val="20"/>
          <w:color w:val="auto"/>
        </w:rPr>
      </w:pPr>
      <w:r>
        <w:rPr>
          <w:rFonts w:ascii="Times New Roman" w:cs="Times New Roman" w:eastAsia="Times New Roman" w:hAnsi="Times New Roman"/>
          <w:sz w:val="16"/>
          <w:szCs w:val="16"/>
          <w:color w:val="auto"/>
        </w:rPr>
        <w:t>Portions of the Proxy Statement for Cohu, Inc.’s 2026 Annual Meeting of Stockholders to be held on May 15, 2026, and to be filed pursuant to Regulation 14A within 120 days after registrant’s fiscal year ended December 27, 2025,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18415</wp:posOffset>
            </wp:positionV>
            <wp:extent cx="71348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60960</wp:posOffset>
            </wp:positionV>
            <wp:extent cx="713486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254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338455</wp:posOffset>
            </wp:positionV>
            <wp:extent cx="71348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86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83"/>
        </w:trPr>
        <w:tc>
          <w:tcPr>
            <w:tcW w:w="5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940" w:type="dxa"/>
            <w:vAlign w:val="bottom"/>
            <w:gridSpan w:val="8"/>
          </w:tcPr>
          <w:p>
            <w:pPr>
              <w:jc w:val="center"/>
              <w:ind w:right="3520"/>
              <w:spacing w:after="0"/>
              <w:rPr>
                <w:sz w:val="20"/>
                <w:szCs w:val="20"/>
                <w:color w:val="auto"/>
              </w:rPr>
            </w:pPr>
            <w:r>
              <w:rPr>
                <w:rFonts w:ascii="Times New Roman" w:cs="Times New Roman" w:eastAsia="Times New Roman" w:hAnsi="Times New Roman"/>
                <w:sz w:val="18"/>
                <w:szCs w:val="18"/>
                <w:b w:val="1"/>
                <w:bCs w:val="1"/>
                <w:color w:val="auto"/>
                <w:w w:val="97"/>
              </w:rPr>
              <w:t>COHU, INC.</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4"/>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940" w:type="dxa"/>
            <w:vAlign w:val="bottom"/>
            <w:gridSpan w:val="12"/>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8"/>
              </w:rPr>
              <w:t>FORM 10-K FOR THE FISCAL YEAR ENDED DECEMBER 27, 2025</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4"/>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80" w:type="dxa"/>
            <w:vAlign w:val="bottom"/>
            <w:gridSpan w:val="9"/>
          </w:tcPr>
          <w:p>
            <w:pPr>
              <w:jc w:val="center"/>
              <w:ind w:right="2800"/>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83"/>
        </w:trPr>
        <w:tc>
          <w:tcPr>
            <w:tcW w:w="9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EE"/>
              </w:rPr>
              <w:t>PART I</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04"/>
        </w:trPr>
        <w:tc>
          <w:tcPr>
            <w:tcW w:w="5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320" w:type="dxa"/>
            <w:vAlign w:val="bottom"/>
            <w:gridSpan w:val="5"/>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6"/>
              </w:rPr>
              <w:t>Business</w:t>
            </w:r>
          </w:p>
        </w:tc>
        <w:tc>
          <w:tcPr>
            <w:tcW w:w="8320" w:type="dxa"/>
            <w:vAlign w:val="bottom"/>
            <w:gridSpan w:val="21"/>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0000EE"/>
              </w:rPr>
              <w:t>1</w:t>
            </w: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04"/>
        </w:trPr>
        <w:tc>
          <w:tcPr>
            <w:tcW w:w="9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7"/>
              </w:rPr>
              <w:t>Risk Factors</w:t>
            </w:r>
          </w:p>
        </w:tc>
        <w:tc>
          <w:tcPr>
            <w:tcW w:w="8060" w:type="dxa"/>
            <w:vAlign w:val="bottom"/>
            <w:gridSpan w:val="19"/>
          </w:tcPr>
          <w:p>
            <w:pPr>
              <w:spacing w:after="0"/>
              <w:rPr>
                <w:sz w:val="24"/>
                <w:szCs w:val="24"/>
                <w:color w:val="auto"/>
              </w:rPr>
            </w:pPr>
          </w:p>
        </w:tc>
        <w:tc>
          <w:tcPr>
            <w:tcW w:w="1200" w:type="dxa"/>
            <w:vAlign w:val="bottom"/>
            <w:gridSpan w:val="2"/>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10</w:t>
            </w:r>
          </w:p>
        </w:tc>
      </w:tr>
      <w:tr>
        <w:trPr>
          <w:trHeight w:val="404"/>
        </w:trPr>
        <w:tc>
          <w:tcPr>
            <w:tcW w:w="9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1B.</w:t>
            </w:r>
          </w:p>
        </w:tc>
        <w:tc>
          <w:tcPr>
            <w:tcW w:w="20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7"/>
              </w:rPr>
              <w:t>Unresolved Staff Comments</w:t>
            </w:r>
          </w:p>
        </w:tc>
        <w:tc>
          <w:tcPr>
            <w:tcW w:w="6940" w:type="dxa"/>
            <w:vAlign w:val="bottom"/>
            <w:gridSpan w:val="12"/>
          </w:tcPr>
          <w:p>
            <w:pPr>
              <w:spacing w:after="0"/>
              <w:rPr>
                <w:sz w:val="24"/>
                <w:szCs w:val="24"/>
                <w:color w:val="auto"/>
              </w:rPr>
            </w:pPr>
          </w:p>
        </w:tc>
        <w:tc>
          <w:tcPr>
            <w:tcW w:w="1200" w:type="dxa"/>
            <w:vAlign w:val="bottom"/>
            <w:gridSpan w:val="2"/>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25</w:t>
            </w:r>
          </w:p>
        </w:tc>
      </w:tr>
      <w:tr>
        <w:trPr>
          <w:trHeight w:val="404"/>
        </w:trPr>
        <w:tc>
          <w:tcPr>
            <w:tcW w:w="9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1C.</w:t>
            </w:r>
          </w:p>
        </w:tc>
        <w:tc>
          <w:tcPr>
            <w:tcW w:w="10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6"/>
              </w:rPr>
              <w:t>Cybersecurity</w:t>
            </w:r>
          </w:p>
        </w:tc>
        <w:tc>
          <w:tcPr>
            <w:tcW w:w="7960" w:type="dxa"/>
            <w:vAlign w:val="bottom"/>
            <w:gridSpan w:val="18"/>
          </w:tcPr>
          <w:p>
            <w:pPr>
              <w:spacing w:after="0"/>
              <w:rPr>
                <w:sz w:val="24"/>
                <w:szCs w:val="24"/>
                <w:color w:val="auto"/>
              </w:rPr>
            </w:pPr>
          </w:p>
        </w:tc>
        <w:tc>
          <w:tcPr>
            <w:tcW w:w="1200" w:type="dxa"/>
            <w:vAlign w:val="bottom"/>
            <w:gridSpan w:val="2"/>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25</w:t>
            </w:r>
          </w:p>
        </w:tc>
      </w:tr>
      <w:tr>
        <w:trPr>
          <w:trHeight w:val="404"/>
        </w:trPr>
        <w:tc>
          <w:tcPr>
            <w:tcW w:w="9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2.</w:t>
            </w:r>
          </w:p>
        </w:tc>
        <w:tc>
          <w:tcPr>
            <w:tcW w:w="89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Properties</w:t>
            </w: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27</w:t>
            </w: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640" w:type="dxa"/>
            <w:vAlign w:val="bottom"/>
            <w:tcBorders>
              <w:left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04"/>
        </w:trPr>
        <w:tc>
          <w:tcPr>
            <w:tcW w:w="9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3.</w:t>
            </w:r>
          </w:p>
        </w:tc>
        <w:tc>
          <w:tcPr>
            <w:tcW w:w="13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7"/>
              </w:rPr>
              <w:t>Legal Proceedings</w:t>
            </w:r>
          </w:p>
        </w:tc>
        <w:tc>
          <w:tcPr>
            <w:tcW w:w="7640" w:type="dxa"/>
            <w:vAlign w:val="bottom"/>
            <w:gridSpan w:val="16"/>
          </w:tcPr>
          <w:p>
            <w:pPr>
              <w:spacing w:after="0"/>
              <w:rPr>
                <w:sz w:val="24"/>
                <w:szCs w:val="24"/>
                <w:color w:val="auto"/>
              </w:rPr>
            </w:pPr>
          </w:p>
        </w:tc>
        <w:tc>
          <w:tcPr>
            <w:tcW w:w="1200" w:type="dxa"/>
            <w:vAlign w:val="bottom"/>
            <w:gridSpan w:val="2"/>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27</w:t>
            </w:r>
          </w:p>
        </w:tc>
      </w:tr>
      <w:tr>
        <w:trPr>
          <w:trHeight w:val="404"/>
        </w:trPr>
        <w:tc>
          <w:tcPr>
            <w:tcW w:w="9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4.</w:t>
            </w:r>
          </w:p>
        </w:tc>
        <w:tc>
          <w:tcPr>
            <w:tcW w:w="89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27</w:t>
            </w:r>
          </w:p>
        </w:tc>
      </w:tr>
      <w:tr>
        <w:trPr>
          <w:trHeight w:val="404"/>
        </w:trPr>
        <w:tc>
          <w:tcPr>
            <w:tcW w:w="9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EE"/>
              </w:rPr>
              <w:t>PART II</w:t>
            </w:r>
          </w:p>
        </w:tc>
        <w:tc>
          <w:tcPr>
            <w:tcW w:w="3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404"/>
        </w:trPr>
        <w:tc>
          <w:tcPr>
            <w:tcW w:w="64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260" w:type="dxa"/>
            <w:vAlign w:val="bottom"/>
            <w:gridSpan w:val="4"/>
          </w:tcPr>
          <w:p>
            <w:pPr>
              <w:spacing w:after="0"/>
              <w:rPr>
                <w:sz w:val="24"/>
                <w:szCs w:val="24"/>
                <w:color w:val="auto"/>
              </w:rPr>
            </w:pPr>
          </w:p>
        </w:tc>
        <w:tc>
          <w:tcPr>
            <w:tcW w:w="794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7"/>
              </w:rPr>
              <w:t>Market for Registrant’s Common Equity, Related Stockholder Matters and Issuer Purchases of Equity Securities</w:t>
            </w:r>
          </w:p>
        </w:tc>
        <w:tc>
          <w:tcPr>
            <w:tcW w:w="1020" w:type="dxa"/>
            <w:vAlign w:val="bottom"/>
          </w:tcPr>
          <w:p>
            <w:pPr>
              <w:spacing w:after="0"/>
              <w:rPr>
                <w:sz w:val="24"/>
                <w:szCs w:val="24"/>
                <w:color w:val="auto"/>
              </w:rPr>
            </w:pPr>
          </w:p>
        </w:tc>
        <w:tc>
          <w:tcPr>
            <w:tcW w:w="1200" w:type="dxa"/>
            <w:vAlign w:val="bottom"/>
            <w:gridSpan w:val="2"/>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28</w:t>
            </w:r>
          </w:p>
        </w:tc>
      </w:tr>
      <w:tr>
        <w:trPr>
          <w:trHeight w:val="404"/>
        </w:trPr>
        <w:tc>
          <w:tcPr>
            <w:tcW w:w="9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6.</w:t>
            </w:r>
          </w:p>
        </w:tc>
        <w:tc>
          <w:tcPr>
            <w:tcW w:w="89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Reserved</w:t>
            </w: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29</w:t>
            </w:r>
          </w:p>
        </w:tc>
      </w:tr>
      <w:tr>
        <w:trPr>
          <w:trHeight w:val="20"/>
        </w:trPr>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04"/>
        </w:trPr>
        <w:tc>
          <w:tcPr>
            <w:tcW w:w="9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7.</w:t>
            </w:r>
          </w:p>
        </w:tc>
        <w:tc>
          <w:tcPr>
            <w:tcW w:w="89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30</w:t>
            </w:r>
          </w:p>
        </w:tc>
      </w:tr>
      <w:tr>
        <w:trPr>
          <w:trHeight w:val="404"/>
        </w:trPr>
        <w:tc>
          <w:tcPr>
            <w:tcW w:w="9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7A.</w:t>
            </w:r>
          </w:p>
        </w:tc>
        <w:tc>
          <w:tcPr>
            <w:tcW w:w="6340" w:type="dxa"/>
            <w:vAlign w:val="bottom"/>
            <w:tcBorders>
              <w:top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2620" w:type="dxa"/>
            <w:vAlign w:val="bottom"/>
            <w:gridSpan w:val="4"/>
          </w:tcPr>
          <w:p>
            <w:pPr>
              <w:spacing w:after="0"/>
              <w:rPr>
                <w:sz w:val="24"/>
                <w:szCs w:val="24"/>
                <w:color w:val="auto"/>
              </w:rPr>
            </w:pPr>
          </w:p>
        </w:tc>
        <w:tc>
          <w:tcPr>
            <w:tcW w:w="1200" w:type="dxa"/>
            <w:vAlign w:val="bottom"/>
            <w:gridSpan w:val="2"/>
          </w:tcPr>
          <w:p>
            <w:pPr>
              <w:spacing w:after="0"/>
              <w:rPr>
                <w:sz w:val="24"/>
                <w:szCs w:val="24"/>
                <w:color w:val="auto"/>
              </w:rPr>
            </w:pPr>
          </w:p>
        </w:tc>
        <w:tc>
          <w:tcPr>
            <w:tcW w:w="18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41</w:t>
            </w:r>
          </w:p>
        </w:tc>
      </w:tr>
      <w:tr>
        <w:trPr>
          <w:trHeight w:val="404"/>
        </w:trPr>
        <w:tc>
          <w:tcPr>
            <w:tcW w:w="9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8.</w:t>
            </w:r>
          </w:p>
        </w:tc>
        <w:tc>
          <w:tcPr>
            <w:tcW w:w="3280" w:type="dxa"/>
            <w:vAlign w:val="bottom"/>
            <w:tcBorders>
              <w:top w:val="single" w:sz="8" w:color="0000EE"/>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7"/>
              </w:rPr>
              <w:t>Financial Statements and Supplementary Data</w:t>
            </w:r>
          </w:p>
        </w:tc>
        <w:tc>
          <w:tcPr>
            <w:tcW w:w="1000" w:type="dxa"/>
            <w:vAlign w:val="bottom"/>
            <w:tcBorders>
              <w:top w:val="single" w:sz="8" w:color="0000EE"/>
            </w:tcBorders>
            <w:gridSpan w:val="2"/>
          </w:tcPr>
          <w:p>
            <w:pPr>
              <w:spacing w:after="0"/>
              <w:rPr>
                <w:sz w:val="24"/>
                <w:szCs w:val="24"/>
                <w:color w:val="auto"/>
              </w:rPr>
            </w:pPr>
          </w:p>
        </w:tc>
        <w:tc>
          <w:tcPr>
            <w:tcW w:w="4680" w:type="dxa"/>
            <w:vAlign w:val="bottom"/>
            <w:gridSpan w:val="7"/>
          </w:tcPr>
          <w:p>
            <w:pPr>
              <w:spacing w:after="0"/>
              <w:rPr>
                <w:sz w:val="24"/>
                <w:szCs w:val="24"/>
                <w:color w:val="auto"/>
              </w:rPr>
            </w:pPr>
          </w:p>
        </w:tc>
        <w:tc>
          <w:tcPr>
            <w:tcW w:w="1200" w:type="dxa"/>
            <w:vAlign w:val="bottom"/>
            <w:gridSpan w:val="2"/>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42</w:t>
            </w:r>
          </w:p>
        </w:tc>
      </w:tr>
      <w:tr>
        <w:trPr>
          <w:trHeight w:val="404"/>
        </w:trPr>
        <w:tc>
          <w:tcPr>
            <w:tcW w:w="9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9.</w:t>
            </w:r>
          </w:p>
        </w:tc>
        <w:tc>
          <w:tcPr>
            <w:tcW w:w="89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42</w:t>
            </w:r>
          </w:p>
        </w:tc>
      </w:tr>
      <w:tr>
        <w:trPr>
          <w:trHeight w:val="404"/>
        </w:trPr>
        <w:tc>
          <w:tcPr>
            <w:tcW w:w="9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9A.</w:t>
            </w:r>
          </w:p>
        </w:tc>
        <w:tc>
          <w:tcPr>
            <w:tcW w:w="6360" w:type="dxa"/>
            <w:vAlign w:val="bottom"/>
            <w:tcBorders>
              <w:top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2600" w:type="dxa"/>
            <w:vAlign w:val="bottom"/>
            <w:gridSpan w:val="3"/>
          </w:tcPr>
          <w:p>
            <w:pPr>
              <w:spacing w:after="0"/>
              <w:rPr>
                <w:sz w:val="24"/>
                <w:szCs w:val="24"/>
                <w:color w:val="auto"/>
              </w:rPr>
            </w:pPr>
          </w:p>
        </w:tc>
        <w:tc>
          <w:tcPr>
            <w:tcW w:w="1200" w:type="dxa"/>
            <w:vAlign w:val="bottom"/>
            <w:gridSpan w:val="2"/>
          </w:tcPr>
          <w:p>
            <w:pPr>
              <w:spacing w:after="0"/>
              <w:rPr>
                <w:sz w:val="24"/>
                <w:szCs w:val="24"/>
                <w:color w:val="auto"/>
              </w:rPr>
            </w:pPr>
          </w:p>
        </w:tc>
        <w:tc>
          <w:tcPr>
            <w:tcW w:w="18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43</w:t>
            </w:r>
          </w:p>
        </w:tc>
      </w:tr>
      <w:tr>
        <w:trPr>
          <w:trHeight w:val="404"/>
        </w:trPr>
        <w:tc>
          <w:tcPr>
            <w:tcW w:w="9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9B.</w:t>
            </w:r>
          </w:p>
        </w:tc>
        <w:tc>
          <w:tcPr>
            <w:tcW w:w="130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7"/>
              </w:rPr>
              <w:t>Other Information</w:t>
            </w:r>
          </w:p>
        </w:tc>
        <w:tc>
          <w:tcPr>
            <w:tcW w:w="440" w:type="dxa"/>
            <w:vAlign w:val="bottom"/>
            <w:tcBorders>
              <w:top w:val="single" w:sz="8" w:color="0000EE"/>
            </w:tcBorders>
            <w:gridSpan w:val="3"/>
          </w:tcPr>
          <w:p>
            <w:pPr>
              <w:spacing w:after="0"/>
              <w:rPr>
                <w:sz w:val="24"/>
                <w:szCs w:val="24"/>
                <w:color w:val="auto"/>
              </w:rPr>
            </w:pPr>
          </w:p>
        </w:tc>
        <w:tc>
          <w:tcPr>
            <w:tcW w:w="7220" w:type="dxa"/>
            <w:vAlign w:val="bottom"/>
            <w:gridSpan w:val="14"/>
          </w:tcPr>
          <w:p>
            <w:pPr>
              <w:spacing w:after="0"/>
              <w:rPr>
                <w:sz w:val="24"/>
                <w:szCs w:val="24"/>
                <w:color w:val="auto"/>
              </w:rPr>
            </w:pPr>
          </w:p>
        </w:tc>
        <w:tc>
          <w:tcPr>
            <w:tcW w:w="1200" w:type="dxa"/>
            <w:vAlign w:val="bottom"/>
            <w:gridSpan w:val="2"/>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45</w:t>
            </w:r>
          </w:p>
        </w:tc>
      </w:tr>
      <w:tr>
        <w:trPr>
          <w:trHeight w:val="404"/>
        </w:trPr>
        <w:tc>
          <w:tcPr>
            <w:tcW w:w="9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9C.</w:t>
            </w:r>
          </w:p>
        </w:tc>
        <w:tc>
          <w:tcPr>
            <w:tcW w:w="89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45</w:t>
            </w:r>
          </w:p>
        </w:tc>
      </w:tr>
      <w:tr>
        <w:trPr>
          <w:trHeight w:val="404"/>
        </w:trPr>
        <w:tc>
          <w:tcPr>
            <w:tcW w:w="7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b w:val="1"/>
                <w:bCs w:val="1"/>
                <w:color w:val="0000EE"/>
                <w:w w:val="93"/>
              </w:rPr>
              <w:t>PART III</w:t>
            </w:r>
          </w:p>
        </w:tc>
        <w:tc>
          <w:tcPr>
            <w:tcW w:w="180" w:type="dxa"/>
            <w:vAlign w:val="bottom"/>
            <w:gridSpan w:val="2"/>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404"/>
        </w:trPr>
        <w:tc>
          <w:tcPr>
            <w:tcW w:w="9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10.</w:t>
            </w:r>
          </w:p>
        </w:tc>
        <w:tc>
          <w:tcPr>
            <w:tcW w:w="89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46</w:t>
            </w:r>
          </w:p>
        </w:tc>
      </w:tr>
      <w:tr>
        <w:trPr>
          <w:trHeight w:val="404"/>
        </w:trPr>
        <w:tc>
          <w:tcPr>
            <w:tcW w:w="9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11.</w:t>
            </w:r>
          </w:p>
        </w:tc>
        <w:tc>
          <w:tcPr>
            <w:tcW w:w="178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7"/>
              </w:rPr>
              <w:t>Executive Compensation</w:t>
            </w:r>
          </w:p>
        </w:tc>
        <w:tc>
          <w:tcPr>
            <w:tcW w:w="2240" w:type="dxa"/>
            <w:vAlign w:val="bottom"/>
            <w:tcBorders>
              <w:top w:val="single" w:sz="8" w:color="0000EE"/>
            </w:tcBorders>
            <w:gridSpan w:val="5"/>
          </w:tcPr>
          <w:p>
            <w:pPr>
              <w:spacing w:after="0"/>
              <w:rPr>
                <w:sz w:val="24"/>
                <w:szCs w:val="24"/>
                <w:color w:val="auto"/>
              </w:rPr>
            </w:pPr>
          </w:p>
        </w:tc>
        <w:tc>
          <w:tcPr>
            <w:tcW w:w="4940" w:type="dxa"/>
            <w:vAlign w:val="bottom"/>
            <w:gridSpan w:val="8"/>
          </w:tcPr>
          <w:p>
            <w:pPr>
              <w:spacing w:after="0"/>
              <w:rPr>
                <w:sz w:val="24"/>
                <w:szCs w:val="24"/>
                <w:color w:val="auto"/>
              </w:rPr>
            </w:pPr>
          </w:p>
        </w:tc>
        <w:tc>
          <w:tcPr>
            <w:tcW w:w="1200" w:type="dxa"/>
            <w:vAlign w:val="bottom"/>
            <w:gridSpan w:val="2"/>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46</w:t>
            </w:r>
          </w:p>
        </w:tc>
      </w:tr>
      <w:tr>
        <w:trPr>
          <w:trHeight w:val="404"/>
        </w:trPr>
        <w:tc>
          <w:tcPr>
            <w:tcW w:w="9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12.</w:t>
            </w:r>
          </w:p>
        </w:tc>
        <w:tc>
          <w:tcPr>
            <w:tcW w:w="89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46</w:t>
            </w:r>
          </w:p>
        </w:tc>
      </w:tr>
      <w:tr>
        <w:trPr>
          <w:trHeight w:val="404"/>
        </w:trPr>
        <w:tc>
          <w:tcPr>
            <w:tcW w:w="9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13.</w:t>
            </w:r>
          </w:p>
        </w:tc>
        <w:tc>
          <w:tcPr>
            <w:tcW w:w="5360" w:type="dxa"/>
            <w:vAlign w:val="bottom"/>
            <w:tcBorders>
              <w:top w:val="single" w:sz="8" w:color="0000EE"/>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7"/>
              </w:rPr>
              <w:t>Certain Relationships and Related Transactions, and Director Independence</w:t>
            </w:r>
          </w:p>
        </w:tc>
        <w:tc>
          <w:tcPr>
            <w:tcW w:w="1800" w:type="dxa"/>
            <w:vAlign w:val="bottom"/>
            <w:tcBorders>
              <w:top w:val="single" w:sz="8" w:color="0000EE"/>
            </w:tcBorders>
            <w:gridSpan w:val="3"/>
          </w:tcPr>
          <w:p>
            <w:pPr>
              <w:spacing w:after="0"/>
              <w:rPr>
                <w:sz w:val="24"/>
                <w:szCs w:val="24"/>
                <w:color w:val="auto"/>
              </w:rPr>
            </w:pPr>
          </w:p>
        </w:tc>
        <w:tc>
          <w:tcPr>
            <w:tcW w:w="1800" w:type="dxa"/>
            <w:vAlign w:val="bottom"/>
            <w:gridSpan w:val="2"/>
          </w:tcPr>
          <w:p>
            <w:pPr>
              <w:spacing w:after="0"/>
              <w:rPr>
                <w:sz w:val="24"/>
                <w:szCs w:val="24"/>
                <w:color w:val="auto"/>
              </w:rPr>
            </w:pPr>
          </w:p>
        </w:tc>
        <w:tc>
          <w:tcPr>
            <w:tcW w:w="1200" w:type="dxa"/>
            <w:vAlign w:val="bottom"/>
            <w:gridSpan w:val="2"/>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46</w:t>
            </w:r>
          </w:p>
        </w:tc>
      </w:tr>
      <w:tr>
        <w:trPr>
          <w:trHeight w:val="404"/>
        </w:trPr>
        <w:tc>
          <w:tcPr>
            <w:tcW w:w="9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14.</w:t>
            </w:r>
          </w:p>
        </w:tc>
        <w:tc>
          <w:tcPr>
            <w:tcW w:w="89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Principal Accounting Fees and Services</w:t>
            </w: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46</w:t>
            </w:r>
          </w:p>
        </w:tc>
      </w:tr>
      <w:tr>
        <w:trPr>
          <w:trHeight w:val="404"/>
        </w:trPr>
        <w:tc>
          <w:tcPr>
            <w:tcW w:w="9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EE"/>
              </w:rPr>
              <w:t>PART IV</w:t>
            </w:r>
          </w:p>
        </w:tc>
        <w:tc>
          <w:tcPr>
            <w:tcW w:w="3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404"/>
        </w:trPr>
        <w:tc>
          <w:tcPr>
            <w:tcW w:w="70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auto"/>
              </w:rPr>
              <w:t>Item 15.</w:t>
            </w:r>
          </w:p>
        </w:tc>
        <w:tc>
          <w:tcPr>
            <w:tcW w:w="200" w:type="dxa"/>
            <w:vAlign w:val="bottom"/>
            <w:gridSpan w:val="3"/>
          </w:tcPr>
          <w:p>
            <w:pPr>
              <w:spacing w:after="0"/>
              <w:rPr>
                <w:sz w:val="24"/>
                <w:szCs w:val="24"/>
                <w:color w:val="auto"/>
              </w:rPr>
            </w:pPr>
          </w:p>
        </w:tc>
        <w:tc>
          <w:tcPr>
            <w:tcW w:w="28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7"/>
              </w:rPr>
              <w:t>Exhibits, Financial Statement Schedules</w:t>
            </w:r>
          </w:p>
        </w:tc>
        <w:tc>
          <w:tcPr>
            <w:tcW w:w="6100" w:type="dxa"/>
            <w:vAlign w:val="bottom"/>
            <w:gridSpan w:val="10"/>
          </w:tcPr>
          <w:p>
            <w:pPr>
              <w:spacing w:after="0"/>
              <w:rPr>
                <w:sz w:val="24"/>
                <w:szCs w:val="24"/>
                <w:color w:val="auto"/>
              </w:rPr>
            </w:pPr>
          </w:p>
        </w:tc>
        <w:tc>
          <w:tcPr>
            <w:tcW w:w="1200" w:type="dxa"/>
            <w:vAlign w:val="bottom"/>
            <w:gridSpan w:val="2"/>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47</w:t>
            </w:r>
          </w:p>
        </w:tc>
      </w:tr>
      <w:tr>
        <w:trPr>
          <w:trHeight w:val="404"/>
        </w:trPr>
        <w:tc>
          <w:tcPr>
            <w:tcW w:w="9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16.</w:t>
            </w:r>
          </w:p>
        </w:tc>
        <w:tc>
          <w:tcPr>
            <w:tcW w:w="89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Form 10-K Summary</w:t>
            </w: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95</w:t>
            </w:r>
          </w:p>
        </w:tc>
      </w:tr>
      <w:tr>
        <w:trPr>
          <w:trHeight w:val="404"/>
        </w:trPr>
        <w:tc>
          <w:tcPr>
            <w:tcW w:w="9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3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0" w:type="dxa"/>
            <w:vAlign w:val="bottom"/>
            <w:gridSpan w:val="2"/>
          </w:tcPr>
          <w:p>
            <w:pPr>
              <w:spacing w:after="0"/>
              <w:rPr>
                <w:sz w:val="24"/>
                <w:szCs w:val="24"/>
                <w:color w:val="auto"/>
              </w:rPr>
            </w:pPr>
          </w:p>
        </w:tc>
        <w:tc>
          <w:tcPr>
            <w:tcW w:w="18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96</w:t>
            </w:r>
          </w:p>
        </w:tc>
      </w:tr>
      <w:tr>
        <w:trPr>
          <w:trHeight w:val="583"/>
        </w:trPr>
        <w:tc>
          <w:tcPr>
            <w:tcW w:w="5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r>
    </w:tbl>
    <w:p>
      <w:pPr>
        <w:sectPr>
          <w:pgSz w:w="11900" w:h="16838" w:orient="portrait"/>
          <w:cols w:equalWidth="0" w:num="1">
            <w:col w:w="11240"/>
          </w:cols>
          <w:pgMar w:left="320" w:top="10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54"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This Annual Report on Form 10-K contains forward-looking statements within the meaning of the Securities Exchange Act of 1934 and the Securities Act of 1933, which are subject to known and unknown risks and uncertainties. The forward-looking statements include statements concerning, among other things, our business strategy (including the influence of anticipated trends and developments in our business and the markets in which we operate), financial results, operating results, revenues, gross margin, operating expenses, products, projected costs and capital expenditures, research and development programs, sales and marketing initiatives, acquisitions and competition. In some cases, you can identify these statements by our use of forward-looking words, such as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might,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will,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could,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should,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expect,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anticipate,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believe,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estimate,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predict,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intend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continue,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negative or plural of these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words and other comparable terminology. Forward-looking statements are based on information available to us as of the filing date of this Annual Report on Form 10-K and our current expectations about future events, which are inherently subject to change and involve assumptions and known and unknown risks and uncertainties.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you should not place undue reliance on these forward-looking statements. We have no obligation to update any of these statements, and we assume no obligation to do so. Actual events or results may differ materially from those expressed or implied by these statements due to various factors, including but not limited to the matters discussed below in the section entitled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elsewhere in this Annual Report on Form 10-K. This Form 10-K also contains estimates, projections and other information concerning our industry, our business, and the markets for certain of our products, including data regarding the estimated size of those markets.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general publications, government data, and similar sources.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Cohu, Inc. (“Cohu”, “we”, “our”, “us” and the “Company”) was founded in 1947 and is a global supplier of equipment and services optimizing semiconductor manufacturing yield and productivity. Cohu’s differentiated and broad product portfolio enables optimized yield and productivity, accelerating customers’ manufacturing time-to-market. Our products and services provide enabling capability and technology to customers that deliver connectivity around the globe, autonomous driving to our cities, high-performance computing to enable artificial intelligence (“AI”) applications, advanced medical equipment to improve lives, robotic automation to accelerate productivity, and much more.</w:t>
      </w:r>
    </w:p>
    <w:p>
      <w:pPr>
        <w:spacing w:after="0" w:line="185"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8"/>
          <w:szCs w:val="18"/>
          <w:color w:val="auto"/>
        </w:rPr>
        <w:t>Cohu’s recurring revenue consists of interface products, services, spares, upgrades, configuration tooling, and software analytics, supporting a resilient and scalable business model which complements the systems revenue driven by the capital expenditure of our customers. Our active equipment installed base exceeds 25,000 systems, serving over 280 high-volume manufacturing facilities across 108 customers in 31 countries.</w:t>
      </w:r>
    </w:p>
    <w:p>
      <w:pPr>
        <w:spacing w:after="0" w:line="178"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Cohu’s strategy is centered on innovation, with substantial research and development (“R&amp;D”) investments in product development. Cohu is capitalizing on high-growth opportunities in high-bandwidth memory (“HBM”) inspection, high performance processor test in AI applications (CPUs, embedded-NPUs, discrete and integrated GPUs, ASICs and xPUs), mixed signal devices, silicon carbide (“SiC”) and gallium nitride (“GaN”) wide bandgap test, and AI-driven software analytics. Our employees around the world are challenged every day to design, build and deliver technology and business solutions to meet our customers’ requirements.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 and Services</w:t>
      </w:r>
    </w:p>
    <w:p>
      <w:pPr>
        <w:spacing w:after="0" w:line="219"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8"/>
          <w:szCs w:val="18"/>
          <w:color w:val="auto"/>
        </w:rPr>
        <w:t>Cohu is a leading supplier of semiconductor test automation and interface solutions, and a growing provider of semiconductor test equipment, inspection and metrology solutions, and software analytics to optimize semiconductor manufacturing yield and productivity.</w:t>
      </w:r>
    </w:p>
    <w:p>
      <w:pPr>
        <w:spacing w:after="0" w:line="163" w:lineRule="exact"/>
        <w:rPr>
          <w:sz w:val="20"/>
          <w:szCs w:val="20"/>
          <w:color w:val="auto"/>
        </w:rPr>
      </w:pPr>
    </w:p>
    <w:p>
      <w:pPr>
        <w:jc w:val="both"/>
        <w:ind w:right="400"/>
        <w:spacing w:after="0" w:line="259" w:lineRule="auto"/>
        <w:rPr>
          <w:sz w:val="20"/>
          <w:szCs w:val="20"/>
          <w:color w:val="auto"/>
        </w:rPr>
      </w:pPr>
      <w:r>
        <w:rPr>
          <w:rFonts w:ascii="Times New Roman" w:cs="Times New Roman" w:eastAsia="Times New Roman" w:hAnsi="Times New Roman"/>
          <w:sz w:val="18"/>
          <w:szCs w:val="18"/>
          <w:color w:val="auto"/>
        </w:rPr>
        <w:t>We offer a comprehensive suite of equipment, interface solutions, software, spares and services designed to address the evolving requirements of global semiconductor manufacturers. Our products support customers across computing &amp; networking, automotive, industrial, mobile and consumer electronics markets – consistently delivering high yield, improved productivity, and lower cost of test.</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7"/>
          <w:szCs w:val="17"/>
          <w:color w:val="auto"/>
        </w:rPr>
        <w:t>Cohu’s systems are designed to support smart manufacturing initiatives, including interface with robotics, automated guided vehicles (“AGVs”), overhead transport systems (“OHTs”), and automated mobile robots (“AMRs”) to reduce manual handling and enhance workplace safety. Our energy-efficient product designs are intended to lower test-cell power consumption, reduce operational expenses and thereby support customer sustainability goals.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product portfolio is organized into several key lines:</w:t>
      </w:r>
    </w:p>
    <w:p>
      <w:pPr>
        <w:spacing w:after="0" w:line="21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Test Automation</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Test automation products include equipment and systems used to automate movement of semiconductor devices, control temperature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test, optimize throughput and efficiency, ensure quality and maximize yield in volume production. These systems use innovative active thermal management (“ATC”) technology which optimizes yield through precise temperature control of high-performance processors during test and CPUs, GPUs, ASIC accelerators, network processors and other high-performance devices.</w:t>
      </w:r>
    </w:p>
    <w:p>
      <w:pPr>
        <w:spacing w:after="0" w:line="177" w:lineRule="exact"/>
        <w:rPr>
          <w:sz w:val="20"/>
          <w:szCs w:val="20"/>
          <w:color w:val="auto"/>
        </w:rPr>
      </w:pPr>
    </w:p>
    <w:p>
      <w:pPr>
        <w:ind w:right="360"/>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Inspection and Metrology</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used to provide advanced quality inspection and metrology of molded leaded and leadless devices, post-singulated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wafer level chip scale packages (“WLCSP”), and bare dies. Full six-sided optical inspection with infrared technology provide the ability to inspect the structure underneath the surface for improved production yield. Deep learning and pattern recognition boosts inspection yield, reduces over rejection, and enhances manufacturing efficiency.</w:t>
      </w:r>
    </w:p>
    <w:p>
      <w:pPr>
        <w:spacing w:after="0" w:line="17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Semiconductor Automated Test Equipment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u w:val="single" w:color="auto"/>
          <w:color w:val="auto"/>
        </w:rPr>
        <w:t>ATE</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Semiconductor ATE consists of an instrumentation and universal platform for testing semiconductor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devices with best-in-class solutions in radio frequency (“RF”), digital, mixed signal and power management applications, delivering faster time to yield. Our semiconductor ATE are used both for wafer-level and device package testing.</w:t>
      </w:r>
    </w:p>
    <w:p>
      <w:pPr>
        <w:spacing w:after="0" w:line="173"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Interface Solutions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Interface products consist of a full suite of test contactors and power probe cards that provide the electrical interface between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semiconductor test equipment and the semiconductor device presented by the test automation; optimizing signal performance via an array of consumable probe pins. Test interfaces are specific to individual semiconductor device designs, need to be replaced frequently, and increase in size and complexity with the number of devices tested in parallel; test interface is a key contributor to our recurring revenue.</w:t>
      </w:r>
    </w:p>
    <w:p>
      <w:pPr>
        <w:spacing w:after="0" w:line="17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Software Analytics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Software analytics products include an AI-driven digital twin software platform offering a suite of data analytics specializing in process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that turns complexity into clarity – driving smarter decisions, faster automation, and measurable business impact across the factory floor. These solutions leverage machine learning and proprietary scripting languages (DTQL®) to optimize yield and defect detection. Our software analytics provide real-time online performance monitoring, prescriptive maintenance, and machine learning process control to improve equipment utilization.</w:t>
      </w:r>
    </w:p>
    <w:p>
      <w:pPr>
        <w:spacing w:after="0" w:line="17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Services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include device applications, spares, and board repair, complemented by service agreements, which generate a more stable and consistent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stream. Our global service team consisting of highly skilled field engineers provide virtual and on-site support for our installed base. Our web-based communication and service customer portal platform is integrated with our enterprise resource planning (“ERP”) system providing customers with 24/7 real-time access.</w:t>
      </w:r>
    </w:p>
    <w:p>
      <w:pPr>
        <w:spacing w:after="0" w:line="17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Cohu’s ongoing investments in R&amp;D and strategic acquisitions, including advanced analytics platforms and test interface technologies, continue to expand our technology portfolio and addressable market, positioning Cohu as a leader in semiconductor test and inspection solutions.</w:t>
      </w:r>
    </w:p>
    <w:p>
      <w:pPr>
        <w:spacing w:after="0" w:line="163" w:lineRule="exact"/>
        <w:rPr>
          <w:sz w:val="20"/>
          <w:szCs w:val="20"/>
          <w:color w:val="auto"/>
        </w:rPr>
      </w:pPr>
    </w:p>
    <w:p>
      <w:pPr>
        <w:ind w:right="260"/>
        <w:spacing w:after="0" w:line="304" w:lineRule="auto"/>
        <w:rPr>
          <w:sz w:val="20"/>
          <w:szCs w:val="20"/>
          <w:color w:val="auto"/>
        </w:rPr>
      </w:pPr>
      <w:r>
        <w:rPr>
          <w:rFonts w:ascii="Times New Roman" w:cs="Times New Roman" w:eastAsia="Times New Roman" w:hAnsi="Times New Roman"/>
          <w:sz w:val="17"/>
          <w:szCs w:val="17"/>
          <w:color w:val="auto"/>
        </w:rPr>
        <w:t>We have one reportable segment, Semiconductor Test and Inspection Equipment (“Semiconductor Test &amp; Inspection”). Financial information on our reportable segment for each of the last three years is included in Note 11, “Segment and Geographic Information” in Part IV, Item 15(a) of this Form 10-K.</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Sales by Product Line</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24"/>
        </w:trPr>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During the last three fiscal years, our consolidated net sales were distributed as follows:</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23"/>
        </w:trPr>
        <w:tc>
          <w:tcPr>
            <w:tcW w:w="5880" w:type="dxa"/>
            <w:vAlign w:val="bottom"/>
            <w:gridSpan w:val="2"/>
          </w:tcPr>
          <w:p>
            <w:pPr>
              <w:spacing w:after="0"/>
              <w:rPr>
                <w:sz w:val="24"/>
                <w:szCs w:val="24"/>
                <w:color w:val="auto"/>
              </w:rPr>
            </w:pPr>
          </w:p>
        </w:tc>
        <w:tc>
          <w:tcPr>
            <w:tcW w:w="11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spacing w:after="0"/>
              <w:rPr>
                <w:sz w:val="24"/>
                <w:szCs w:val="24"/>
                <w:color w:val="auto"/>
              </w:rPr>
            </w:pPr>
          </w:p>
        </w:tc>
      </w:tr>
      <w:tr>
        <w:trPr>
          <w:trHeight w:val="205"/>
        </w:trPr>
        <w:tc>
          <w:tcPr>
            <w:tcW w:w="320" w:type="dxa"/>
            <w:vAlign w:val="bottom"/>
          </w:tcPr>
          <w:p>
            <w:pPr>
              <w:spacing w:after="0"/>
              <w:rPr>
                <w:sz w:val="17"/>
                <w:szCs w:val="17"/>
                <w:color w:val="auto"/>
              </w:rPr>
            </w:pPr>
          </w:p>
        </w:tc>
        <w:tc>
          <w:tcPr>
            <w:tcW w:w="6680" w:type="dxa"/>
            <w:vAlign w:val="bottom"/>
            <w:gridSpan w:val="2"/>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Semiconductor test &amp; inspection systems (including kits)</w:t>
            </w:r>
          </w:p>
        </w:tc>
        <w:tc>
          <w:tcPr>
            <w:tcW w:w="620" w:type="dxa"/>
            <w:vAlign w:val="bottom"/>
            <w:gridSpan w:val="2"/>
            <w:shd w:val="clear" w:color="auto" w:fill="CCEEFF"/>
          </w:tcPr>
          <w:p>
            <w:pPr>
              <w:jc w:val="right"/>
              <w:ind w:right="120"/>
              <w:spacing w:after="0" w:line="205" w:lineRule="exact"/>
              <w:rPr>
                <w:sz w:val="20"/>
                <w:szCs w:val="20"/>
                <w:color w:val="auto"/>
              </w:rPr>
            </w:pPr>
            <w:r>
              <w:rPr>
                <w:rFonts w:ascii="Times New Roman" w:cs="Times New Roman" w:eastAsia="Times New Roman" w:hAnsi="Times New Roman"/>
                <w:sz w:val="18"/>
                <w:szCs w:val="18"/>
                <w:color w:val="auto"/>
              </w:rPr>
              <w:t>40%</w:t>
            </w:r>
          </w:p>
        </w:tc>
        <w:tc>
          <w:tcPr>
            <w:tcW w:w="1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line="205" w:lineRule="exact"/>
              <w:rPr>
                <w:sz w:val="20"/>
                <w:szCs w:val="20"/>
                <w:color w:val="auto"/>
              </w:rPr>
            </w:pPr>
            <w:r>
              <w:rPr>
                <w:rFonts w:ascii="Times New Roman" w:cs="Times New Roman" w:eastAsia="Times New Roman" w:hAnsi="Times New Roman"/>
                <w:sz w:val="18"/>
                <w:szCs w:val="18"/>
                <w:color w:val="auto"/>
              </w:rPr>
              <w:t>35%</w:t>
            </w:r>
          </w:p>
        </w:tc>
        <w:tc>
          <w:tcPr>
            <w:tcW w:w="1640" w:type="dxa"/>
            <w:vAlign w:val="bottom"/>
            <w:gridSpan w:val="2"/>
            <w:shd w:val="clear" w:color="auto" w:fill="CCEEFF"/>
          </w:tcPr>
          <w:p>
            <w:pPr>
              <w:jc w:val="right"/>
              <w:ind w:right="20"/>
              <w:spacing w:after="0" w:line="205" w:lineRule="exact"/>
              <w:rPr>
                <w:sz w:val="20"/>
                <w:szCs w:val="20"/>
                <w:color w:val="auto"/>
              </w:rPr>
            </w:pPr>
            <w:r>
              <w:rPr>
                <w:rFonts w:ascii="Times New Roman" w:cs="Times New Roman" w:eastAsia="Times New Roman" w:hAnsi="Times New Roman"/>
                <w:sz w:val="18"/>
                <w:szCs w:val="18"/>
                <w:color w:val="auto"/>
              </w:rPr>
              <w:t>51%</w:t>
            </w:r>
          </w:p>
        </w:tc>
      </w:tr>
      <w:tr>
        <w:trPr>
          <w:trHeight w:val="240"/>
        </w:trPr>
        <w:tc>
          <w:tcPr>
            <w:tcW w:w="320" w:type="dxa"/>
            <w:vAlign w:val="bottom"/>
          </w:tcPr>
          <w:p>
            <w:pPr>
              <w:spacing w:after="0"/>
              <w:rPr>
                <w:sz w:val="20"/>
                <w:szCs w:val="20"/>
                <w:color w:val="auto"/>
              </w:rPr>
            </w:pPr>
          </w:p>
        </w:tc>
        <w:tc>
          <w:tcPr>
            <w:tcW w:w="6680" w:type="dxa"/>
            <w:vAlign w:val="bottom"/>
            <w:gridSpan w:val="2"/>
          </w:tcPr>
          <w:p>
            <w:pPr>
              <w:spacing w:after="0" w:line="240" w:lineRule="exact"/>
              <w:rPr>
                <w:sz w:val="20"/>
                <w:szCs w:val="20"/>
                <w:color w:val="auto"/>
              </w:rPr>
            </w:pPr>
            <w:r>
              <w:rPr>
                <w:rFonts w:ascii="Times New Roman" w:cs="Times New Roman" w:eastAsia="Times New Roman" w:hAnsi="Times New Roman"/>
                <w:sz w:val="17"/>
                <w:szCs w:val="17"/>
                <w:color w:val="auto"/>
              </w:rPr>
              <w:t xml:space="preserve">Recurring revenues </w:t>
            </w:r>
            <w:r>
              <w:rPr>
                <w:rFonts w:ascii="Times New Roman" w:cs="Times New Roman" w:eastAsia="Times New Roman" w:hAnsi="Times New Roman"/>
                <w:sz w:val="27"/>
                <w:szCs w:val="27"/>
                <w:color w:val="auto"/>
                <w:vertAlign w:val="superscript"/>
              </w:rPr>
              <w:t>(1)</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w:t>
            </w:r>
          </w:p>
        </w:tc>
        <w:tc>
          <w:tcPr>
            <w:tcW w:w="110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w:t>
            </w: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-8890</wp:posOffset>
            </wp:positionV>
            <wp:extent cx="6671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71945" cy="8255"/>
                    </a:xfrm>
                    <a:prstGeom prst="rect">
                      <a:avLst/>
                    </a:prstGeom>
                    <a:noFill/>
                  </pic:spPr>
                </pic:pic>
              </a:graphicData>
            </a:graphic>
          </wp:anchor>
        </w:drawing>
      </w:r>
    </w:p>
    <w:p>
      <w:pPr>
        <w:ind w:left="5580" w:right="2900" w:hanging="5256"/>
        <w:spacing w:after="0" w:line="496" w:lineRule="auto"/>
        <w:tabs>
          <w:tab w:leader="none" w:pos="57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Recurring revenues include interface products, spares, kits (not as part of system sales), software and services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-72390</wp:posOffset>
            </wp:positionV>
            <wp:extent cx="7134860"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R&amp;D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219"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Cohu’s R&amp;D activities focus on advancing technologies that address the increasing complexity of semiconductor devices and evolving requirements of our global customer base. Our R&amp;D teams comprised of multidisciplinary engineers, scientists, and software developers work closely with customers and industry partners to design solutions that meet stringent quality standards.</w:t>
      </w:r>
    </w:p>
    <w:p>
      <w:pPr>
        <w:spacing w:after="0" w:line="178"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8"/>
          <w:szCs w:val="18"/>
          <w:color w:val="auto"/>
        </w:rPr>
        <w:t>Our innovation strategy prioritizes new capabilities in high-precision inspection and metrology, thermal control, automation, signal integrity, and AI-driven analytics. These investments strengthen Cohu’s intellectual property portfolio and support the introduction of next-generation products and enhancements across our test, interface, inspection, and software product offerings.</w:t>
      </w:r>
    </w:p>
    <w:p>
      <w:pPr>
        <w:spacing w:after="0" w:line="178" w:lineRule="exact"/>
        <w:rPr>
          <w:sz w:val="20"/>
          <w:szCs w:val="20"/>
          <w:color w:val="auto"/>
        </w:rPr>
      </w:pPr>
    </w:p>
    <w:p>
      <w:pPr>
        <w:ind w:right="340"/>
        <w:spacing w:after="0" w:line="274" w:lineRule="auto"/>
        <w:rPr>
          <w:sz w:val="20"/>
          <w:szCs w:val="20"/>
          <w:color w:val="auto"/>
        </w:rPr>
      </w:pPr>
      <w:r>
        <w:rPr>
          <w:rFonts w:ascii="Times New Roman" w:cs="Times New Roman" w:eastAsia="Times New Roman" w:hAnsi="Times New Roman"/>
          <w:sz w:val="18"/>
          <w:szCs w:val="18"/>
          <w:color w:val="auto"/>
        </w:rPr>
        <w:t>Cohu’s total R&amp;D expenditure was $92.2 million in fiscal 2025, $84.8 million in fiscal 2024 and $88.6 million in fiscal 2023. This investment reflects our commitment to technology leadership and positions the company to capitalize on future growth opportunities in semiconductor markets.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219"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8"/>
          <w:szCs w:val="18"/>
          <w:color w:val="auto"/>
        </w:rPr>
        <w:t>Cohu serves a broad and growing set of semiconductor applications across automotive, industrial, mobile, consumer, and computing end-markets through our portfolio of products and services.</w:t>
      </w:r>
    </w:p>
    <w:p>
      <w:pPr>
        <w:spacing w:after="0" w:line="163"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8"/>
          <w:szCs w:val="18"/>
          <w:color w:val="auto"/>
        </w:rPr>
        <w:t>We continue to invest in research and development to meet rapidly increasing technical requirements across these markets. Our R&amp;D priorities are aligned with customer needs for stringent quality while addressing ever evolving technical challenges. These investments, spanning AI-enabled analytics, high-precision inspection and metrology, advanced thermal control, and intelligent automation, expand our serviceable available market (“SAM”) to approximately $3 billion and strengthen our competitive differentiation in high-complexity device segments. Cohu is well positioned in several of the fastest-growing semiconductor categories, including high-performance computing, HBM, high power semiconductors supporting AI infrastructure, advanced driver assistance systems (“ADAS”), electric vehicles, factory automation, and physical AI. Growth programs in these segments delivered incremental revenue gains in fiscal 2025, with increased recurring orders and design wins indicating stronger pull-though opportunities across test automation, inspection platforms, semiconductor test and interface products. In addition, Cohu’s continued focus on more stable revenue through our recurring product offerings enhances our long-term growth profile.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Cohu’s customers span the global semiconductor ecosystem and rely on our systems to address increasing demands for quality. Our customer base includes:</w:t>
      </w:r>
    </w:p>
    <w:p>
      <w:pPr>
        <w:spacing w:after="0" w:line="2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Integrated Device Manufacturers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u w:val="single" w:color="auto"/>
          <w:color w:val="auto"/>
        </w:rPr>
        <w:t>IDMs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IDMs design, manufacture, and test their own semiconductor devices. They depend on Cohu’s high-precision test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automation, semiconductor test, interface solutions, thermal control systems, and inspection platforms to support high-volume manufacturing with tight quality and performance requirements.</w:t>
      </w:r>
    </w:p>
    <w:p>
      <w:pPr>
        <w:spacing w:after="0" w:line="173" w:lineRule="exact"/>
        <w:rPr>
          <w:sz w:val="20"/>
          <w:szCs w:val="20"/>
          <w:color w:val="auto"/>
        </w:rPr>
      </w:pPr>
    </w:p>
    <w:p>
      <w:pPr>
        <w:jc w:val="both"/>
        <w:ind w:right="460"/>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Outsourced Semiconductor Assembly and Test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u w:val="single" w:color="auto"/>
          <w:color w:val="auto"/>
        </w:rPr>
        <w:t>OSATs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OSATs provide contract assembly and test services for a diverse mix of fabless customers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IDMs. Their customers require flexible, high-throughput solutions capable of supporting a wide range of package types, heterogeneous integration, and complex power and thermal test requirements. Cohu’s product portfolio enables OSATs to scale capacity efficiently while meeting stringent quality and reliability expectations.</w:t>
      </w:r>
    </w:p>
    <w:p>
      <w:pPr>
        <w:spacing w:after="0" w:line="17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Fabless Semiconductor Companies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Fabless companies design semiconductor devices and typically outsource manufacturing and test to OSATs. They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increasingly influence test strategies to ensure device performance, reliability, and cost targets are met. They collaborate with Cohu directly or through OSAT partners to evaluate our products. Cohu’s equipment and software support manufacturers across all end-markets.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last three fiscal years, customers that comprised 10% or greater of our consolidated net sales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2025</w:t>
            </w: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2024</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2023</w:t>
            </w:r>
          </w:p>
        </w:tc>
        <w:tc>
          <w:tcPr>
            <w:tcW w:w="1220" w:type="dxa"/>
            <w:vAlign w:val="bottom"/>
          </w:tcPr>
          <w:p>
            <w:pPr>
              <w:spacing w:after="0"/>
              <w:rPr>
                <w:sz w:val="20"/>
                <w:szCs w:val="20"/>
                <w:color w:val="auto"/>
              </w:rPr>
            </w:pPr>
          </w:p>
        </w:tc>
      </w:tr>
      <w:tr>
        <w:trPr>
          <w:trHeight w:val="20"/>
        </w:trPr>
        <w:tc>
          <w:tcPr>
            <w:tcW w:w="4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05"/>
        </w:trPr>
        <w:tc>
          <w:tcPr>
            <w:tcW w:w="480" w:type="dxa"/>
            <w:vAlign w:val="bottom"/>
          </w:tcPr>
          <w:p>
            <w:pPr>
              <w:spacing w:after="0"/>
              <w:rPr>
                <w:sz w:val="17"/>
                <w:szCs w:val="17"/>
                <w:color w:val="auto"/>
              </w:rPr>
            </w:pPr>
          </w:p>
        </w:tc>
        <w:tc>
          <w:tcPr>
            <w:tcW w:w="444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STMicroelectronics</w:t>
            </w:r>
          </w:p>
        </w:tc>
        <w:tc>
          <w:tcPr>
            <w:tcW w:w="1720" w:type="dxa"/>
            <w:vAlign w:val="bottom"/>
            <w:gridSpan w:val="2"/>
            <w:shd w:val="clear" w:color="auto" w:fill="CCEEFF"/>
          </w:tcPr>
          <w:p>
            <w:pPr>
              <w:jc w:val="right"/>
              <w:ind w:right="20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18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12.0%</w:t>
            </w:r>
          </w:p>
        </w:tc>
        <w:tc>
          <w:tcPr>
            <w:tcW w:w="1220" w:type="dxa"/>
            <w:vAlign w:val="bottom"/>
          </w:tcPr>
          <w:p>
            <w:pPr>
              <w:spacing w:after="0"/>
              <w:rPr>
                <w:sz w:val="17"/>
                <w:szCs w:val="17"/>
                <w:color w:val="auto"/>
              </w:rPr>
            </w:pPr>
          </w:p>
        </w:tc>
      </w:tr>
      <w:tr>
        <w:trPr>
          <w:trHeight w:val="177"/>
        </w:trPr>
        <w:tc>
          <w:tcPr>
            <w:tcW w:w="480" w:type="dxa"/>
            <w:vAlign w:val="bottom"/>
          </w:tcPr>
          <w:p>
            <w:pPr>
              <w:spacing w:after="0"/>
              <w:rPr>
                <w:sz w:val="15"/>
                <w:szCs w:val="15"/>
                <w:color w:val="auto"/>
              </w:rPr>
            </w:pPr>
          </w:p>
        </w:tc>
        <w:tc>
          <w:tcPr>
            <w:tcW w:w="444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 Less than 10% of consolidated net sales.</w:t>
            </w:r>
          </w:p>
        </w:tc>
        <w:tc>
          <w:tcPr>
            <w:tcW w:w="15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220" w:type="dxa"/>
            <w:vAlign w:val="bottom"/>
          </w:tcPr>
          <w:p>
            <w:pPr>
              <w:spacing w:after="0"/>
              <w:rPr>
                <w:sz w:val="15"/>
                <w:szCs w:val="15"/>
                <w:color w:val="auto"/>
              </w:rPr>
            </w:pPr>
          </w:p>
        </w:tc>
      </w:tr>
      <w:tr>
        <w:trPr>
          <w:trHeight w:val="387"/>
        </w:trPr>
        <w:tc>
          <w:tcPr>
            <w:tcW w:w="4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520" w:type="dxa"/>
            <w:vAlign w:val="bottom"/>
          </w:tcPr>
          <w:p>
            <w:pPr>
              <w:jc w:val="right"/>
              <w:ind w:right="692"/>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11"/>
        </w:trPr>
        <w:tc>
          <w:tcPr>
            <w:tcW w:w="480" w:type="dxa"/>
            <w:vAlign w:val="bottom"/>
            <w:tcBorders>
              <w:bottom w:val="single" w:sz="8" w:color="auto"/>
            </w:tcBorders>
          </w:tcPr>
          <w:p>
            <w:pPr>
              <w:spacing w:after="0"/>
              <w:rPr>
                <w:sz w:val="9"/>
                <w:szCs w:val="9"/>
                <w:color w:val="auto"/>
              </w:rPr>
            </w:pPr>
          </w:p>
        </w:tc>
        <w:tc>
          <w:tcPr>
            <w:tcW w:w="44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jc w:val="both"/>
        <w:ind w:right="40"/>
        <w:spacing w:after="0" w:line="259" w:lineRule="auto"/>
        <w:rPr>
          <w:sz w:val="20"/>
          <w:szCs w:val="20"/>
          <w:color w:val="auto"/>
        </w:rPr>
      </w:pPr>
      <w:r>
        <w:rPr>
          <w:rFonts w:ascii="Times New Roman" w:cs="Times New Roman" w:eastAsia="Times New Roman" w:hAnsi="Times New Roman"/>
          <w:sz w:val="18"/>
          <w:szCs w:val="18"/>
          <w:color w:val="auto"/>
        </w:rPr>
        <w:t>The loss of, or a significant reduction in, orders by this or other significant customers, including reductions due to market, economic or competitive conditions or the outsourcing of semiconductor test to subcontractors that are not our customers, would adversely affect our financial condition and results of operations. For further information, see Item 1A entitled “Risk Factors” below.</w:t>
      </w:r>
    </w:p>
    <w:p>
      <w:pPr>
        <w:spacing w:after="0" w:line="178" w:lineRule="exact"/>
        <w:rPr>
          <w:sz w:val="20"/>
          <w:szCs w:val="20"/>
          <w:color w:val="auto"/>
        </w:rPr>
      </w:pPr>
    </w:p>
    <w:p>
      <w:pPr>
        <w:ind w:right="660"/>
        <w:spacing w:after="0" w:line="274" w:lineRule="auto"/>
        <w:rPr>
          <w:sz w:val="20"/>
          <w:szCs w:val="20"/>
          <w:color w:val="auto"/>
        </w:rPr>
      </w:pPr>
      <w:r>
        <w:rPr>
          <w:rFonts w:ascii="Times New Roman" w:cs="Times New Roman" w:eastAsia="Times New Roman" w:hAnsi="Times New Roman"/>
          <w:sz w:val="18"/>
          <w:szCs w:val="18"/>
          <w:color w:val="auto"/>
        </w:rPr>
        <w:t>Additional financial information on revenues from external customers by geographic area for each of the last three fiscal years is included in Note 11, “Segment and Geographic Information” in Part IV, Item 15(a) of this Form 10-K.</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Efforts</w:t>
      </w:r>
    </w:p>
    <w:p>
      <w:pPr>
        <w:spacing w:after="0" w:line="219"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color w:val="auto"/>
        </w:rPr>
        <w:t>Cohu markets its solutions globally through a direct sales organization and technical marketing managers focused on expanding our presence in high growth semiconductor segments. Our commercial model is primarily driven by a direct sales force supported by targeted independent representatives, enabling effective engagement globally with major IDMs, fabless companies, OSATs, and customers in emerging regions.</w:t>
      </w:r>
    </w:p>
    <w:p>
      <w:pPr>
        <w:spacing w:after="0" w:line="178"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As semiconductor test, thermal systems, automation, and analytics capabilities become increasingly critical, our sales organization maintains deep technical expertise in both our product portfolio and the performance requirements of semiconductor test applications. Their technical fluency enables direct collaboration with management, engineering, operations, and procurement teams to identify upgrade opportunities with the installed base, and expand recurring revenue from software, services, and interface solutions.</w:t>
      </w:r>
    </w:p>
    <w:p>
      <w:pPr>
        <w:spacing w:after="0" w:line="18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Cohu continues to strengthen its regional presence across Asia-Pacific, Europe, and the U.S. where local technical engagement is essential for securing design-win positions and capturing new capacity investments. In markets with significant growth potential, we deploy dedicated Cohu personnel to deepen customer relationships and support long term revenue expansion.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Landscape</w:t>
      </w:r>
    </w:p>
    <w:p>
      <w:pPr>
        <w:spacing w:after="0" w:line="219"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color w:val="auto"/>
        </w:rPr>
        <w:t>Cohu operates in the highly competitive semiconductor test, automation, and inspection equipment market. The industry is characterized by rapid technological change, cyclical demand, and a concentrated customer base, with a limited number of large semiconductor manufacturers and OSAT providers accounting for a significant portion of industry sales.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Key Competitors</w:t>
      </w:r>
    </w:p>
    <w:p>
      <w:pPr>
        <w:spacing w:after="0" w:line="219"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color w:val="auto"/>
        </w:rPr>
        <w:t>Cohu’s primary competitors include established global players in semiconductor test and inspection, such as Advantest, Teradyne, Hon Precision, KLA, and other Asia-based manufacturers. These companies compete across product lines including semiconductor test and automation, inspection and metrology systems, test interface solutions, and software analytics.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Competitive Differentiation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Cohu differentiates through:</w:t>
      </w:r>
    </w:p>
    <w:p>
      <w:pPr>
        <w:spacing w:after="0" w:line="217" w:lineRule="exact"/>
        <w:rPr>
          <w:sz w:val="20"/>
          <w:szCs w:val="20"/>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broad and integrated product portfolio, spanning test, automation, inspection, interface solutions, thermal subsystems, and software analytics.</w:t>
      </w:r>
    </w:p>
    <w:p>
      <w:pPr>
        <w:spacing w:after="0" w:line="243" w:lineRule="exact"/>
        <w:rPr>
          <w:rFonts w:ascii="Times New Roman" w:cs="Times New Roman" w:eastAsia="Times New Roman" w:hAnsi="Times New Roman"/>
          <w:sz w:val="18"/>
          <w:szCs w:val="18"/>
          <w:color w:val="auto"/>
        </w:rPr>
      </w:pPr>
    </w:p>
    <w:p>
      <w:pPr>
        <w:ind w:left="640" w:right="100" w:hanging="316"/>
        <w:spacing w:after="0" w:line="274"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investments in R&amp;D, particularly in solutions for high-growth markets such as high-performance computing, automotive (“ADAS”), and HBM.</w:t>
      </w:r>
    </w:p>
    <w:p>
      <w:pPr>
        <w:spacing w:after="0" w:line="16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Proprietary technologies in active thermal control, vision inspection, and machine learning-based process control, and precision test instrumentation.</w:t>
      </w:r>
    </w:p>
    <w:p>
      <w:pPr>
        <w:spacing w:after="0" w:line="255" w:lineRule="exact"/>
        <w:rPr>
          <w:rFonts w:ascii="Times New Roman" w:cs="Times New Roman" w:eastAsia="Times New Roman" w:hAnsi="Times New Roman"/>
          <w:sz w:val="17"/>
          <w:szCs w:val="17"/>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resilient recurring revenue model, with a strong focus on services, consumables, and software analytics.</w:t>
      </w:r>
    </w:p>
    <w:p>
      <w:pPr>
        <w:spacing w:after="0" w:line="24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Strategic partnerships, targeted acquisitions, and a disciplined approach to capital allocation, enabling expansion into new markets and technologies.</w:t>
      </w:r>
    </w:p>
    <w:p>
      <w:pPr>
        <w:spacing w:after="0" w:line="255" w:lineRule="exact"/>
        <w:rPr>
          <w:rFonts w:ascii="Times New Roman" w:cs="Times New Roman" w:eastAsia="Times New Roman" w:hAnsi="Times New Roman"/>
          <w:sz w:val="17"/>
          <w:szCs w:val="17"/>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large and highly skilled global field service organization, enabling us to support semiconductor manufacturing customers throughout the world.</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color w:val="auto"/>
        </w:rPr>
        <w:t>Market Position and Strategy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Cohu holds a strong market position in each of its business verticals. Our strategy emphasizes:</w:t>
      </w:r>
    </w:p>
    <w:p>
      <w:pPr>
        <w:spacing w:after="0" w:line="217" w:lineRule="exact"/>
        <w:rPr>
          <w:sz w:val="20"/>
          <w:szCs w:val="20"/>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Accelerating growth in high-performance computing and physical AI applications.</w:t>
      </w:r>
    </w:p>
    <w:p>
      <w:pPr>
        <w:spacing w:after="0" w:line="24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relationships with major customers and leading OSATs.</w:t>
      </w:r>
    </w:p>
    <w:p>
      <w:pPr>
        <w:spacing w:after="0" w:line="24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our service and recurring revenue business.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Industry Risks and Challenges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competitive landscape is shaped by several factors:</w:t>
      </w:r>
    </w:p>
    <w:p>
      <w:pPr>
        <w:spacing w:after="0" w:line="217" w:lineRule="exact"/>
        <w:rPr>
          <w:sz w:val="20"/>
          <w:szCs w:val="20"/>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innovation cycles and the need for continuous investment in new product development.</w:t>
      </w:r>
    </w:p>
    <w:p>
      <w:pPr>
        <w:spacing w:after="0" w:line="24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pressures and margin erosion, particularly in mature product lines.</w:t>
      </w:r>
    </w:p>
    <w:p>
      <w:pPr>
        <w:spacing w:after="0" w:line="24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and supply chain risks, including trade restrictions and regional market volatility.</w:t>
      </w:r>
    </w:p>
    <w:p>
      <w:pPr>
        <w:spacing w:after="0" w:line="24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attract and retain engineering and technical talent.</w:t>
      </w:r>
    </w:p>
    <w:p>
      <w:pPr>
        <w:spacing w:after="0" w:line="244"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8"/>
          <w:szCs w:val="18"/>
          <w:color w:val="auto"/>
        </w:rPr>
        <w:t>We believe that our ongoing focus on innovation, customer relationships, and operational excellence positions us to compete effectively and capture growth opportunities in the evolving semiconductor ecosystem.</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Cyclicality</w:t>
      </w:r>
    </w:p>
    <w:p>
      <w:pPr>
        <w:spacing w:after="0" w:line="21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The semiconductor industry has historically been characterized by pronounced cyclicality and seasonal demand patterns, with recurring periods of oversupply, excess capacity, and rapid shifts in capital spending. These cycles have consistently influenced the timing and magnitude of customer investments in semiconductor test, automation, inspection and metrology equipment.</w:t>
      </w:r>
    </w:p>
    <w:p>
      <w:pPr>
        <w:spacing w:after="0" w:line="17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the industry transitions to newer generations of semiconductors including devices supporting AI, HBM, power electronics such as SiC, mobile, automotive, edge computing, and data center applications we expect these longstanding cyclical dynamics to continue. These next generation technologies introduce higher complexity, increased performance requirements, and more demanding test strategies, yet remain subject to the same macroeconomic factors, supply/demand imbalances, and capacity expansion cycles that have defined the industry for decades.</w:t>
      </w:r>
    </w:p>
    <w:p>
      <w:pPr>
        <w:spacing w:after="0" w:line="18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Accordingly, we anticipate that demand for our systems will continue to fluctuate in response to industry investment cycles, customer utilization rates, inventory corrections, new technology ramps, and broader market conditions. While these cycles can create variable periods of intense capital spending followed by contraction, they also reinforce the long-term need for highly differentiated test and automation solutions that enable customers to achieve faster time-to-yield, higher throughput, and improved cost of test.</w:t>
      </w:r>
    </w:p>
    <w:p>
      <w:pPr>
        <w:spacing w:after="0" w:line="180"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8"/>
          <w:szCs w:val="18"/>
          <w:color w:val="auto"/>
        </w:rPr>
        <w:t>We remain focused on navigating these fluctuations through operational discipline, a diversified product portfolio, a growing base of recurring revenue, and continued innovation aligned with the most resilient and fast-growing segments of the semiconductor market.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backlog of unfilled orders for products was $165.1 million at December 27, 2025 and $138.0 million at December 28, 2024.</w:t>
      </w:r>
    </w:p>
    <w:p>
      <w:pPr>
        <w:spacing w:after="0" w:line="21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Backlog is generally expected to ship within the next twelve months. Our backlog at any point in time may not be representative of actual sales in any future period due to the possibility of customer changes in delivery schedules, cancellation of orders, potential delays in product shipments, and difficulties in obtaining parts from suppliers or failure to satisfy customer acceptance requirements resulting in the inability to recognize revenue under accounting requirements. Furthermore, many orders are subject to cancellation or rescheduling by the customer with limited or no penalty. A reduction in backlog during any period could have a material adverse effect on our business, financial condition, and results of operations.</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00"/>
          </w:cols>
          <w:pgMar w:left="320" w:top="570"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80" w:lineRule="exact"/>
        <w:rPr>
          <w:sz w:val="20"/>
          <w:szCs w:val="20"/>
          <w:color w:val="auto"/>
        </w:rPr>
      </w:pPr>
    </w:p>
    <w:p>
      <w:pPr>
        <w:spacing w:after="0" w:line="226" w:lineRule="exact"/>
        <w:rPr>
          <w:sz w:val="20"/>
          <w:szCs w:val="20"/>
          <w:color w:val="auto"/>
        </w:rPr>
      </w:pPr>
      <w:r>
        <w:rPr>
          <w:rFonts w:ascii="Times New Roman" w:cs="Times New Roman" w:eastAsia="Times New Roman" w:hAnsi="Times New Roman"/>
          <w:sz w:val="18"/>
          <w:szCs w:val="18"/>
          <w:color w:val="auto"/>
        </w:rPr>
        <w:t>Cohu’s approach to identifying, securing, and enforcing our intellectual property (“IP”) is a core element of our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competitive strength in the semiconductor test, automation, and inspection markets. We maintain a proactive and disciplined IP strategy that ensures our innovations, ranging from advanced automation architectures to software analytics, contactor technologies, precision test instrumentation, thermal subsystems, and inspection platforms, are effectively protected across all major regions in which we operate.</w:t>
      </w:r>
    </w:p>
    <w:p>
      <w:pPr>
        <w:spacing w:after="0" w:line="156" w:lineRule="exact"/>
        <w:rPr>
          <w:sz w:val="20"/>
          <w:szCs w:val="20"/>
          <w:color w:val="auto"/>
        </w:rPr>
      </w:pPr>
    </w:p>
    <w:p>
      <w:pPr>
        <w:spacing w:after="0" w:line="226" w:lineRule="exact"/>
        <w:rPr>
          <w:sz w:val="20"/>
          <w:szCs w:val="20"/>
          <w:color w:val="auto"/>
        </w:rPr>
      </w:pPr>
      <w:r>
        <w:rPr>
          <w:rFonts w:ascii="Times New Roman" w:cs="Times New Roman" w:eastAsia="Times New Roman" w:hAnsi="Times New Roman"/>
          <w:sz w:val="18"/>
          <w:szCs w:val="18"/>
          <w:color w:val="auto"/>
        </w:rPr>
        <w:t>Our ability to design, manufacture, and commercialize industry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leading solutions depends not only on formal legal protections, such as patents, trademarks, copyrights, and trade secrets, but also on Cohu’s deep domain expertise, engineering excellence, global manufacturing capabilities, and our continued investment in R&amp;D, as well as our agility in responding to new technology inflection points. These capabilities enable us to safeguard the value we create and defend the differentiated performance our customers rely on.</w:t>
      </w:r>
    </w:p>
    <w:p>
      <w:pPr>
        <w:spacing w:after="0" w:line="195" w:lineRule="exact"/>
        <w:rPr>
          <w:sz w:val="20"/>
          <w:szCs w:val="20"/>
          <w:color w:val="auto"/>
        </w:rPr>
      </w:pPr>
    </w:p>
    <w:p>
      <w:pPr>
        <w:jc w:val="both"/>
        <w:ind w:right="200"/>
        <w:spacing w:after="0" w:line="259" w:lineRule="auto"/>
        <w:rPr>
          <w:sz w:val="20"/>
          <w:szCs w:val="20"/>
          <w:color w:val="auto"/>
        </w:rPr>
      </w:pPr>
      <w:r>
        <w:rPr>
          <w:rFonts w:ascii="Times New Roman" w:cs="Times New Roman" w:eastAsia="Times New Roman" w:hAnsi="Times New Roman"/>
          <w:sz w:val="18"/>
          <w:szCs w:val="18"/>
          <w:color w:val="auto"/>
        </w:rPr>
        <w:t>We believe our IP portfolio is a critical asset that underpins our market position. Accordingly, we will continue to implement robust measures to strengthen and protect our IP, prevent misappropriation, and preserve the significant competitive advantages derived from our decades of innovation in semiconductor test and inspection.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19" w:lineRule="exact"/>
        <w:rPr>
          <w:sz w:val="20"/>
          <w:szCs w:val="20"/>
          <w:color w:val="auto"/>
        </w:rPr>
      </w:pPr>
    </w:p>
    <w:p>
      <w:pPr>
        <w:ind w:right="80"/>
        <w:spacing w:after="0" w:line="223" w:lineRule="exact"/>
        <w:rPr>
          <w:sz w:val="20"/>
          <w:szCs w:val="20"/>
          <w:color w:val="auto"/>
        </w:rPr>
      </w:pPr>
      <w:r>
        <w:rPr>
          <w:rFonts w:ascii="Times New Roman" w:cs="Times New Roman" w:eastAsia="Times New Roman" w:hAnsi="Times New Roman"/>
          <w:sz w:val="18"/>
          <w:szCs w:val="18"/>
          <w:color w:val="auto"/>
        </w:rPr>
        <w:t>Cohu maintains a globally integrated manufacturing footprint designed to support the production of advanced semiconductor test, automation, interface, inspection and metrology solutions. Our operations are strategically distributed to balance cost efficiency, supply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chain resilience, engineering collaboration, and close proximity to customer manufacturing sites. This structure enables rapid response to technology transitions, shorter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 for next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generation semiconductor devices, and reliable product delivery in markets where precision, reliability, and quality are essential.</w:t>
      </w:r>
    </w:p>
    <w:p>
      <w:pPr>
        <w:spacing w:after="0" w:line="170" w:lineRule="exact"/>
        <w:rPr>
          <w:sz w:val="20"/>
          <w:szCs w:val="20"/>
          <w:color w:val="auto"/>
        </w:rPr>
      </w:pPr>
    </w:p>
    <w:p>
      <w:pPr>
        <w:ind w:right="240"/>
        <w:spacing w:after="0" w:line="252" w:lineRule="auto"/>
        <w:rPr>
          <w:sz w:val="20"/>
          <w:szCs w:val="20"/>
          <w:color w:val="auto"/>
        </w:rPr>
      </w:pPr>
      <w:r>
        <w:rPr>
          <w:rFonts w:ascii="Times New Roman" w:cs="Times New Roman" w:eastAsia="Times New Roman" w:hAnsi="Times New Roman"/>
          <w:sz w:val="18"/>
          <w:szCs w:val="18"/>
          <w:color w:val="auto"/>
        </w:rPr>
        <w:t>Our manufacturing sites leverage the unique strengths of each region in which we operate. Our largest facility, located in Melaka, Malaysia, supports high-volume production of our test automation and inspection product families. We maintain a smaller operational footprint in the U.S. and Germany, located within these innovation centers, to support test automation and inspection product development, and accelerated product commercialization. Additional volume manufacturing facilities in the Philippines, Singapore and Japan support interface solutions, contactors, advanced spring probes, and industrial test contacts, each with ISO-certified operations and specialized engineering capabilities.</w:t>
      </w:r>
    </w:p>
    <w:p>
      <w:pPr>
        <w:spacing w:after="0" w:line="185" w:lineRule="exact"/>
        <w:rPr>
          <w:sz w:val="20"/>
          <w:szCs w:val="20"/>
          <w:color w:val="auto"/>
        </w:rPr>
      </w:pPr>
    </w:p>
    <w:p>
      <w:pPr>
        <w:jc w:val="both"/>
        <w:ind w:right="300"/>
        <w:spacing w:after="0" w:line="259" w:lineRule="auto"/>
        <w:rPr>
          <w:sz w:val="20"/>
          <w:szCs w:val="20"/>
          <w:color w:val="auto"/>
        </w:rPr>
      </w:pPr>
      <w:r>
        <w:rPr>
          <w:rFonts w:ascii="Times New Roman" w:cs="Times New Roman" w:eastAsia="Times New Roman" w:hAnsi="Times New Roman"/>
          <w:sz w:val="18"/>
          <w:szCs w:val="18"/>
          <w:color w:val="auto"/>
        </w:rPr>
        <w:t>Cohu’s supply chain is further strengthened by long-standing relationships with strategic partners, including dedicated semiconductor ATE manufacturing operations at a facility of Jabil, Inc. (“Jabil”), in Penang, Malaysia equipped with automated process lines, smart-factory capabilities, and Lean Six Sigma practices to deliver high-quality system builds at scale.</w:t>
      </w:r>
    </w:p>
    <w:p>
      <w:pPr>
        <w:spacing w:after="0" w:line="178"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8"/>
          <w:szCs w:val="18"/>
          <w:color w:val="auto"/>
        </w:rPr>
        <w:t>Our globally distributed operations enable close alignment with regional customer requirements. Local engineering and applications teams in Asia-Pacific, Europe and the U.S. support manufacturing transfers, customization, and on-site collaboration. This proximity ensures Cohu remains tightly connected to evolving device roadmaps in high-growth segments.</w:t>
      </w:r>
    </w:p>
    <w:p>
      <w:pPr>
        <w:spacing w:after="0" w:line="178" w:lineRule="exact"/>
        <w:rPr>
          <w:sz w:val="20"/>
          <w:szCs w:val="20"/>
          <w:color w:val="auto"/>
        </w:rPr>
      </w:pPr>
    </w:p>
    <w:p>
      <w:pPr>
        <w:ind w:right="1000"/>
        <w:spacing w:after="0" w:line="274" w:lineRule="auto"/>
        <w:rPr>
          <w:sz w:val="20"/>
          <w:szCs w:val="20"/>
          <w:color w:val="auto"/>
        </w:rPr>
      </w:pPr>
      <w:r>
        <w:rPr>
          <w:rFonts w:ascii="Times New Roman" w:cs="Times New Roman" w:eastAsia="Times New Roman" w:hAnsi="Times New Roman"/>
          <w:sz w:val="18"/>
          <w:szCs w:val="18"/>
          <w:color w:val="auto"/>
        </w:rPr>
        <w:t>Together, these capabilities allow Cohu to deliver highly engineered solutions with consistency, quality, and responsiveness while maintaining a manufacturing base that is scalable, flexible, and well positioned to support long-term growth in the semiconductor industry.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Regulations</w:t>
      </w:r>
    </w:p>
    <w:p>
      <w:pPr>
        <w:spacing w:after="0" w:line="2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Cohu operates globally and our solutions ranging from test automation to software analytics are subject to a comprehensive framework of federal, state, local, and international laws. Because we support customers across critical semiconductor segments, including automotive, computing, mobile, industrial, and consumer markets, our products and services must comply with global trade requirements, including U.S. and foreign export controls, international treaties, sanctions regulations, customs rules, and local trade compliance standards in every region in which we operate.</w:t>
      </w:r>
    </w:p>
    <w:p>
      <w:pPr>
        <w:spacing w:after="0" w:line="180" w:lineRule="exact"/>
        <w:rPr>
          <w:sz w:val="20"/>
          <w:szCs w:val="20"/>
          <w:color w:val="auto"/>
        </w:rPr>
      </w:pPr>
    </w:p>
    <w:p>
      <w:pPr>
        <w:ind w:right="260"/>
        <w:spacing w:after="0" w:line="224" w:lineRule="exact"/>
        <w:rPr>
          <w:sz w:val="20"/>
          <w:szCs w:val="20"/>
          <w:color w:val="auto"/>
        </w:rPr>
      </w:pPr>
      <w:r>
        <w:rPr>
          <w:rFonts w:ascii="Times New Roman" w:cs="Times New Roman" w:eastAsia="Times New Roman" w:hAnsi="Times New Roman"/>
          <w:sz w:val="17"/>
          <w:szCs w:val="17"/>
          <w:color w:val="auto"/>
        </w:rPr>
        <w:t>We maintain a strong, proactive compliance posture and continually invest in the systems, processes, and expertise necessary to ensure responsible global operations. At present, the costs associated with meeting these regulatory obligations are not material to our capital investments, operating results, or competitive position. While future changes in global trade laws could introduce new compliance requirements, we do not currently anticipate any material impact on our ability to deliver products and services, expand into high</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growth semiconductor markets, or execute on our long</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term strategic objectives.</w:t>
      </w:r>
    </w:p>
    <w:p>
      <w:pPr>
        <w:spacing w:after="0" w:line="16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Sustainability</w:t>
      </w:r>
    </w:p>
    <w:p>
      <w:pPr>
        <w:spacing w:after="0" w:line="180" w:lineRule="exact"/>
        <w:rPr>
          <w:sz w:val="20"/>
          <w:szCs w:val="20"/>
          <w:color w:val="auto"/>
        </w:rPr>
      </w:pPr>
    </w:p>
    <w:p>
      <w:pPr>
        <w:ind w:right="60"/>
        <w:spacing w:after="0" w:line="232" w:lineRule="exact"/>
        <w:rPr>
          <w:sz w:val="20"/>
          <w:szCs w:val="20"/>
          <w:color w:val="auto"/>
        </w:rPr>
      </w:pPr>
      <w:r>
        <w:rPr>
          <w:rFonts w:ascii="Times New Roman" w:cs="Times New Roman" w:eastAsia="Times New Roman" w:hAnsi="Times New Roman"/>
          <w:sz w:val="18"/>
          <w:szCs w:val="18"/>
          <w:color w:val="auto"/>
        </w:rPr>
        <w:t>Cohu’s commitment to strong corporate governance is integral to how we operate and how we advance our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strategic objectives, including our sustainability priorities. We continue to strengthen a governance framework that ensures accountability across the organization, provides disciplined oversight of key risks and opportunities, and reinforces the high ethical standards that guide our global operations.</w:t>
      </w:r>
    </w:p>
    <w:p>
      <w:pPr>
        <w:spacing w:after="0" w:line="155" w:lineRule="exact"/>
        <w:rPr>
          <w:sz w:val="20"/>
          <w:szCs w:val="20"/>
          <w:color w:val="auto"/>
        </w:rPr>
      </w:pPr>
    </w:p>
    <w:p>
      <w:pPr>
        <w:jc w:val="both"/>
        <w:ind w:right="700"/>
        <w:spacing w:after="0" w:line="232" w:lineRule="exact"/>
        <w:rPr>
          <w:sz w:val="20"/>
          <w:szCs w:val="20"/>
          <w:color w:val="auto"/>
        </w:rPr>
      </w:pPr>
      <w:r>
        <w:rPr>
          <w:rFonts w:ascii="Times New Roman" w:cs="Times New Roman" w:eastAsia="Times New Roman" w:hAnsi="Times New Roman"/>
          <w:sz w:val="18"/>
          <w:szCs w:val="18"/>
          <w:color w:val="auto"/>
        </w:rPr>
        <w:t>As part of our commitment to transparent and science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aligned climate action, Cohu has formally initiated the process to develop near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emissions reduction targets with the Science Based Targets initiative (“SBTi”). This work reflects our focus on operational excellence, responsible growth, and alignment with leading global climate standards.</w:t>
      </w:r>
    </w:p>
    <w:p>
      <w:pPr>
        <w:spacing w:after="0" w:line="193"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7"/>
          <w:szCs w:val="17"/>
          <w:color w:val="auto"/>
        </w:rPr>
        <w:t>We publish a comprehensive Sustainability Report on our website that provides deeper insight into our environmental, social, and governance initiatives, including metrics aligned with the Sustainability Accounting Standards Board’s Technology &amp; Communications – Semiconductor Standard. We also participate in the Carbon Disclosure Project (“CDP”) and make our responses to its climate change questionnaire publicly available.</w:t>
      </w:r>
    </w:p>
    <w:p>
      <w:pPr>
        <w:spacing w:after="0" w:line="120" w:lineRule="exact"/>
        <w:rPr>
          <w:sz w:val="20"/>
          <w:szCs w:val="20"/>
          <w:color w:val="auto"/>
        </w:rPr>
      </w:pPr>
    </w:p>
    <w:p>
      <w:pPr>
        <w:ind w:right="180"/>
        <w:spacing w:after="0" w:line="232" w:lineRule="exact"/>
        <w:rPr>
          <w:sz w:val="20"/>
          <w:szCs w:val="20"/>
          <w:color w:val="auto"/>
        </w:rPr>
      </w:pPr>
      <w:r>
        <w:rPr>
          <w:rFonts w:ascii="Times New Roman" w:cs="Times New Roman" w:eastAsia="Times New Roman" w:hAnsi="Times New Roman"/>
          <w:sz w:val="18"/>
          <w:szCs w:val="18"/>
          <w:color w:val="auto"/>
        </w:rPr>
        <w:t>These materials including our Sustainability Report, SBTi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disclosures, CDP responses, and website are intended solely as additional resources for stakeholders and are not incorporated by reference into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or any other filing with the United States Securities and Exchange Commission (“SEC”). Any references to such materials are inactive textual references only.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1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As of December 27, 2025, Cohu employed approximately 2,857 people, across 25 countries, including about 80 temporary employees. Our workforce reflects the global nature of the semiconductor industry: roughly 15% of employees are based in the Americas, 10% in Europe, and 75% in Asia-Pacific. Headcount levels have fluctuated over the past five years, primarily reflecting the cyclical dynamics of the semiconductor equipment market as well as the impact of strategic acquisitions and divestitures.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support our position as a global leader in semiconductor test and automation, we are committed to fostering a safe, inclusive, and high-performance workplace that empowers our employees to innovate and grow. Our culture emphasizes continuous learning, professional development, ethical conduct, and direct engagement between managers and employees. These practices ensure that our teams remain agile, aligned, and equipped to meet the evolving needs of our customers in high growth markets.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 Engagement and Workplace Practices</w:t>
      </w:r>
    </w:p>
    <w:p>
      <w:pPr>
        <w:spacing w:after="0" w:line="2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anchor our workplace expectations in Cohu’s core values and our Code of Business Conduct and Ethics, which guide how we treat our colleagues, partners, and communities with professionalism, dignity, and respect. We take pride in cultivating an environment that encourages innovation, cross-functional collaboration, and open communication. Our policies support freedom of association and the right to collective bargaining in accordance with applicable local laws.</w:t>
      </w:r>
    </w:p>
    <w:p>
      <w:pPr>
        <w:spacing w:after="0" w:line="180"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While employees in the U.S. and most Asian locations are not covered by collective bargaining agreements, certain employee groups in Germany are represented by a works council and employees in Switzerland participate in the microtechnology and Swiss watch trade union. In France, all employees are covered by the “Metallurgie (ingénieurs et cadres)” Collective Bargaining Agreement, and certain employees in China belong to local trade unions. We have not experienced work stoppages and maintain strong, constructive relationships with our employees worldwide.</w:t>
      </w:r>
    </w:p>
    <w:p>
      <w:pPr>
        <w:spacing w:after="0" w:line="180"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8"/>
          <w:szCs w:val="18"/>
          <w:color w:val="auto"/>
        </w:rPr>
        <w:t>We are committed to maintaining workplaces free from discrimination and harassment of any kind. Employment decisions are based on skills, experience, and qualifications. We uphold global human rights principles and expect the same of our partners and suppliers.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color w:val="auto"/>
        </w:rPr>
        <w:t>Health and Safety</w:t>
      </w:r>
    </w:p>
    <w:p>
      <w:pPr>
        <w:spacing w:after="0" w:line="21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Employee health and safety are foundational to our operational excellence. We work to protect our teams and customers by conducting our operations in an environmentally responsible manner and by empowering employees to champion safe behaviors in all aspects of their work. Our goal is to drive work-related injuries and adverse health impacts as close to zero as possible through investment in safety programs, training, and protective equipment aligned with employee roles and global standards.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2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Cohu provides competitive compensation and benefits designed to attract, motivate, and retain a highly skilled workforce that is essential to our long-term success. Our compensation philosophy links employee performance to company performance through management incentive programs, equity incentive plans, global profit sharing, and other regionally tailored bonus structures. We comply with all applicable wage, hour, overtime, and benefits laws in every country in which we operate.</w:t>
      </w:r>
    </w:p>
    <w:p>
      <w:pPr>
        <w:spacing w:after="0" w:line="180"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To promote a strong sense of ownership and alignment with shareholders, restricted stock units are granted annually to many employees, and eligible employees may purchase Cohu common stock at a 15% discount through our Employee Stock Purchase Plan. Across our global workforce, we offer a comprehensive suite of locally relevant benefits, such as supplemental medical coverage, reimbursements, wellness programs, transportation subsidies, and paid time off.</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U.S., benefits include:</w:t>
      </w:r>
    </w:p>
    <w:p>
      <w:pPr>
        <w:spacing w:after="0" w:line="217" w:lineRule="exact"/>
        <w:rPr>
          <w:sz w:val="20"/>
          <w:szCs w:val="20"/>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 health and wellness coverage for employees working an average of 24+ hours per week</w:t>
      </w:r>
    </w:p>
    <w:p>
      <w:pPr>
        <w:spacing w:after="0" w:line="24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401(k) plan with employer matching contributions up to 4%</w:t>
      </w:r>
    </w:p>
    <w:p>
      <w:pPr>
        <w:spacing w:after="0" w:line="24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Tuition reimbursement programs</w:t>
      </w:r>
    </w:p>
    <w:p>
      <w:pPr>
        <w:spacing w:after="0" w:line="24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Parental leave for all new parents (birth, adoption, or foster placement)</w:t>
      </w:r>
    </w:p>
    <w:p>
      <w:pPr>
        <w:spacing w:after="0" w:line="24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Robust Paid Time Off programs covering illness, vacation, holidays, civic duties, and more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219" w:lineRule="exact"/>
        <w:rPr>
          <w:sz w:val="20"/>
          <w:szCs w:val="20"/>
          <w:color w:val="auto"/>
        </w:rPr>
      </w:pPr>
    </w:p>
    <w:p>
      <w:pPr>
        <w:ind w:right="220"/>
        <w:spacing w:after="0" w:line="274" w:lineRule="auto"/>
        <w:rPr>
          <w:sz w:val="20"/>
          <w:szCs w:val="20"/>
          <w:color w:val="auto"/>
        </w:rPr>
      </w:pPr>
      <w:r>
        <w:rPr>
          <w:rFonts w:ascii="Times New Roman" w:cs="Times New Roman" w:eastAsia="Times New Roman" w:hAnsi="Times New Roman"/>
          <w:sz w:val="18"/>
          <w:szCs w:val="18"/>
          <w:color w:val="auto"/>
        </w:rPr>
        <w:t>The following sets forth the names, ages, positions and offices held by all executive officers of Cohu as of February 4, 2026. Our executive officers serve at the discretion of the Board of Directors (the “Board”), until their successors are appointed.</w:t>
      </w:r>
    </w:p>
    <w:p>
      <w:pPr>
        <w:spacing w:after="0" w:line="16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7"/>
          <w:szCs w:val="17"/>
          <w:color w:val="auto"/>
        </w:rPr>
        <w:t>Dr. Luis Müller, 56, has served as President and Chief Executive Officer of Cohu and as a member of the Board since December 28, 2014. His previous roles at Cohu include serving as President of Cohu’s Semiconductor Equipment Group (“SEG”) from 2011 to 2014; Managing Director of Rasco GmbH (“Rasco”) from 2009 to 2010; Vice President of Delta Design’s High Speed Handling Group from 2008 to 2010; and Director of Engineering at Delta Design from 2005 to 2008. Prior to joining Cohu, Dr. Müller spent nine years at Teradyne Inc., where he held management positions in engineering and business development.</w:t>
      </w:r>
    </w:p>
    <w:p>
      <w:pPr>
        <w:spacing w:after="0" w:line="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Dr. Müller also serves as a director at Ralliant, Inc., a company which specializes in designing, developing, manufacturing and servicing precision instruments and highly engineered products, and where he serves on the Compensation and Nominating &amp; Governance Committees. Until January 2026, Dr. Müller served as a director and Chair of the Audit Committee at Celestica, Inc.</w:t>
      </w:r>
    </w:p>
    <w:p>
      <w:pPr>
        <w:spacing w:after="0" w:line="18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Mr. Jeffrey Jones, 64, has served as Senior Vice President, Finance and Chief Financial Officer of Cohu since February 3, 2022. Prior to that, Mr. Jones served as Vice President, Finance and Chief Financial Officer from November 2007 to February 2022, and as Vice President Finance and Controller of Cohu’s Delta Design subsidiary from July 2005 to November 2007. Prior to joining Delta Design, Mr. Jones, was Vice President and General Manager of the Systems Group at SBS Technologies, Inc., a designer and manufacturer of embedded computer products. Prior to SBS Technologies, Mr. Jones was an Audit Manager for Coopers &amp; Lybrand (now PricewaterhouseCoopers).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10" w:name="page11"/>
    <w:bookmarkEnd w:id="10"/>
    <w:p>
      <w:pPr>
        <w:spacing w:after="0" w:line="250" w:lineRule="auto"/>
        <w:rPr>
          <w:sz w:val="20"/>
          <w:szCs w:val="20"/>
          <w:color w:val="auto"/>
        </w:rPr>
      </w:pPr>
      <w:r>
        <w:rPr>
          <w:rFonts w:ascii="Times New Roman" w:cs="Times New Roman" w:eastAsia="Times New Roman" w:hAnsi="Times New Roman"/>
          <w:sz w:val="18"/>
          <w:szCs w:val="18"/>
          <w:color w:val="auto"/>
        </w:rPr>
        <w:t>Mr. Christopher Bohrson, 66, has served as Senior Vice President and Chief Customer Officer of Cohu since February 2, 2023. Prior to that, Mr. Bohrson served as Senior Vice President, Global Customer Group from February 2021 to February 2023, and as Sr. Vice President and General Manager, Test Handler Group beginning from October 2018 to February 2021. Previously, he was Vice President and General Manager for Digital Test Handlers from January 2017 until October 2018 and served as Vice President Sales and Service, Americas from May 2016 to January 2017. Prior to joining Cohu, from 2007 through 2016, Mr. Bohrson held several executive positions at Bosch Automotive Service Solutions/SPX, lastly as Vice President and General Manager of the OEM Diagnostics and Information Solutions group. Prior to that, Mr. Bohrson spent twenty years working in a variety of management and technical roles at Teradyne, Inc.’s semiconductor and broadband test division in the U.S. and Asia.</w:t>
      </w:r>
    </w:p>
    <w:p>
      <w:pPr>
        <w:spacing w:after="0" w:line="187" w:lineRule="exact"/>
        <w:rPr>
          <w:sz w:val="20"/>
          <w:szCs w:val="20"/>
          <w:color w:val="auto"/>
        </w:rPr>
      </w:pPr>
    </w:p>
    <w:p>
      <w:pPr>
        <w:ind w:right="260"/>
        <w:spacing w:after="0" w:line="252" w:lineRule="auto"/>
        <w:rPr>
          <w:sz w:val="20"/>
          <w:szCs w:val="20"/>
          <w:color w:val="auto"/>
        </w:rPr>
      </w:pPr>
      <w:r>
        <w:rPr>
          <w:rFonts w:ascii="Times New Roman" w:cs="Times New Roman" w:eastAsia="Times New Roman" w:hAnsi="Times New Roman"/>
          <w:sz w:val="18"/>
          <w:szCs w:val="18"/>
          <w:color w:val="auto"/>
        </w:rPr>
        <w:t>Mr. Klaus Ilgenfritz, 55, has served as Chief Product Officer of Cohu since January 2025, leading all of Cohu’s current hardware product groups: semiconductor test, interface solutions, test handlers, and inspection metrology. Prior to that, Mr. Ilgenfritz served as Vice President and General Manager, Test Handler Group from January 2023 to January 2025. Mr. Ilgenfritz joined Cohu in June 2011 as Vice President Sales and Service, Europe. Upon the acquisition of Xcerra in 2018, he was named Vice President and General Manager for the Gravity Test In-Strip business unit. Prior to joining Cohu, he held various general management as well as product project management roles at Infineon Technologies and Rohde &amp; Schwarz.</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Succession Planning</w:t>
      </w:r>
    </w:p>
    <w:p>
      <w:pPr>
        <w:spacing w:after="0" w:line="180" w:lineRule="exact"/>
        <w:rPr>
          <w:sz w:val="20"/>
          <w:szCs w:val="20"/>
          <w:color w:val="auto"/>
        </w:rPr>
      </w:pPr>
    </w:p>
    <w:p>
      <w:pPr>
        <w:jc w:val="both"/>
        <w:ind w:right="20"/>
        <w:spacing w:after="0" w:line="232" w:lineRule="exact"/>
        <w:rPr>
          <w:sz w:val="20"/>
          <w:szCs w:val="20"/>
          <w:color w:val="auto"/>
        </w:rPr>
      </w:pPr>
      <w:r>
        <w:rPr>
          <w:rFonts w:ascii="Times New Roman" w:cs="Times New Roman" w:eastAsia="Times New Roman" w:hAnsi="Times New Roman"/>
          <w:sz w:val="18"/>
          <w:szCs w:val="18"/>
          <w:color w:val="auto"/>
        </w:rPr>
        <w:t>Cohu conducts formal annual succession planning to ensure the strength and continuity of our leadership pipeline. We identify high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potential talent and create development paths that prepare employees for future roles, reinforcing our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standing commitment to promoting from within, demonstrated by the fact that 50% of our current executive leadership team rose through Cohu’s ranks.</w:t>
      </w:r>
    </w:p>
    <w:p>
      <w:pPr>
        <w:spacing w:after="0" w:line="193"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In 2025, we launched a new cohort of 30 rising mid to senior managers in our Leadership Development Program, designed to accelerate the development of top talent across the organization. This program consists of individual assessments, multiple in-person skills training sessions, and capstone projects presented to the executive leadership team. This continuing investment in growing future leaders resulted in 40% of the previous cohort being promoted to expanded roles after completing the program. This program strengthens our internal pipeline and ensures that we continue to cultivate the next generation of leaders capable of driving Cohu’s long-term success.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19"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Our website address is www.cohu.com. We make available free of charge, on or through our web site, our annual report on Form 10-K, quarterly reports on Form 10-Q, current reports on Form 8-K, and all amendments to those reports, as soon as reasonably practicable after such material is electronically filed with the SEC. Our Code of Business Conduct and Ethics and other documents related to our corporate governance are also posted on our website at https://cohu.gcs-web.com/corporate-governance/documents-charters. When required by the rules of the Nasdaq Stock Market, LLC (“Nasdaq”), or the SEC, we will disclose any future amendment to, or waiver of, any provision of the code of conduct for our chief executive officer and principal financial officer or any member or members of our board of directors on our website within four business days following the date of such amendment or waiver. Information contained on our web site is not deemed part of this report.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17"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In addition to the other information in this Annual Report on Form 10-K, you should carefully consider the risk factors discussed in this Annual Report on Form 10-K in evaluating Cohu and our business (the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If any of the identified risks actually occur, our business, financial condition and results of operations could be materially adversely affected, the trading price of our common stock could decline, and you may lose all or part of your investment in our common stock. The risks and uncertainties described in this Annual Report on Form 10-K are not the only ones we face. Additional risks that we currently do not know about, or that we currently deem to be immaterial, may also impair our business operations or the trading price of our common stock.</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Factors Summary</w:t>
      </w:r>
    </w:p>
    <w:p>
      <w:pPr>
        <w:spacing w:after="0" w:line="219"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You should carefully consider the following factors, as well as other information in this Annual Report on Form 10-K. If any of these risks materialize, our business, financial condition, and results of operations could be materially and adversely affected, and the trading price of our common stock could decline.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Our Business Operations, Growth Strategy and Industry</w:t>
      </w:r>
    </w:p>
    <w:p>
      <w:pPr>
        <w:spacing w:after="0" w:line="215" w:lineRule="exact"/>
        <w:rPr>
          <w:sz w:val="20"/>
          <w:szCs w:val="20"/>
          <w:color w:val="auto"/>
        </w:rPr>
      </w:pPr>
    </w:p>
    <w:p>
      <w:pPr>
        <w:ind w:right="28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Semiconductor equipment is subject to rapid technological change, product introductions and transitions which may result in inventory write-offs, and our new product development involves numerous risks and uncertainties.</w:t>
      </w:r>
    </w:p>
    <w:p>
      <w:pPr>
        <w:spacing w:after="0" w:line="160"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color w:val="auto"/>
        </w:rPr>
        <w:t>Semiconductor equipment and processes are subject to rapid technological change. We believe that our future success will depend in part on our ability to enhance existing products and develop new products with improved performance capabilities. In fiscal 2025, we incurred $92.2 million in R&amp;D expenses. We expect to continue to invest heavily in research and development and must manage product transitions successfully, as introductions of new products, including the products obtained in our acquisitions, may adversely impact sales and/or margins of existing products. We have in the past made material investments in new product platforms that for various reasons, such as technical challenges or lack of customer adoption, have not generated the expected sales or return. In addition, the introduction of new products by us or by our competitors, the migration to new semiconductor testing methodologies and the custom nature of our inventory parts increases the risk that our established products and related inventory may become obsolete, resulting in significant excess and obsolete inventory exposure leading to inventory write-offs and increased inventory reserve requirements, which could have a material adverse impact on our results of operations and financial condition. Additionally, the cost of investments in new product offerings and product enhancements could have a negative impact on our operating results.</w:t>
      </w:r>
    </w:p>
    <w:p>
      <w:pPr>
        <w:spacing w:after="0" w:line="189"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semiconductor industry we serve is cyclical, seasonal, volatile and unpredictable, and increased cyclicality could have an adverse impact on our sales and gross margin.</w:t>
      </w:r>
    </w:p>
    <w:p>
      <w:pPr>
        <w:spacing w:after="0" w:line="16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The semiconductor industry is highly cyclical and unpredictable. Capital equipment providers in the semiconductor industry, such as Cohu, have, in the past, been negatively impacted by both sudden slowdowns in global economies and recurring cyclicality within the markets we serve. Our revenues and margins are affected by sudden downturns, as seen in recent years with sharp declines in mobile, automotive, and industrial market sales. For instance, mobile market sales dropped 54% in 2023 and another 10% in 2024 and yet another decrease by 17% in 2025, while automotive and industrial system sales declined 24% in 2023 and 65% in 2024 but then increased 45% in 2025. These trends have had, and may continue to have, a significant adverse impact on our business. We are unable to predict how the likely duration, frequency and severity of disruptions in financial markets, credit availability, and adverse economic conditions throughout the world and the impact of the foregoing factors will affect our customers, and we cannot ensure that the level of revenues or new orders for a fiscal year or quarter will be sustained in subsequent periods.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outsource select manufacturing activities to third-party service providers, which decreases our control over the performance of these functions.</w:t>
      </w:r>
    </w:p>
    <w:p>
      <w:pPr>
        <w:spacing w:after="0" w:line="221"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We outsource certain product manufacturing to third-party service providers. Dependence on outsourcing reduces our control over the performance of the outsourced functions and may also adversely affect our ability to bring new products to market. For example, we depend upon Jabil to manufacture most of our semiconductor test systems from its facility located in Malaysia. In the event that Jabil is unable to meet our current delivery schedule for semiconductor test systems, or if Jabil experienced unexpected downtime, we may not be able to sell to our customers, or have significant delays in fulfilling their orders. If we experience significant delays or disruptions with Jabil, there can be no assurance that alternative capacity could be obtained on favorable terms, if available at all. If we do not effectively manage our outsourcing strategy with these providers, we may experience operational difficulties, increased costs, manufacturing interruptions or inefficiencies in the operation of our supply chain, any or all of which could delay our delivery of products to our customers, and materially and adversely affect our business, financial condition, and results of operations.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3" w:lineRule="exact"/>
        <w:rPr>
          <w:sz w:val="20"/>
          <w:szCs w:val="20"/>
          <w:color w:val="auto"/>
        </w:rPr>
      </w:pPr>
    </w:p>
    <w:p>
      <w:pPr>
        <w:ind w:right="58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deliver systems with defects, our reputation and demand for our systems may decrease, and the cost of quality events could be harmful to our operating results.</w:t>
      </w:r>
    </w:p>
    <w:p>
      <w:pPr>
        <w:spacing w:after="0" w:line="160"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18"/>
          <w:szCs w:val="18"/>
          <w:color w:val="auto"/>
        </w:rPr>
        <w:t>In the course of conducting our business, we must adequately address quality issues associated with our products and services, including defects in our engineering, design and manufacturing processes, as well as defects in third-party components included in our products. Our systems are complex and occasionally contain errors, defects and bugs when introduced. When this occurs, our credibility and the market acceptance and sales of our systems may be harmed. Further, if our systems contain errors, defects or bugs, computer viruses or malicious code as a result of cyber-attacks to our computer networks, our customers may experience costs due to the loss of use of the equipment or software and we may be required to expend significant capital and resources to alleviate these problems, including if related to a recall, as well as maintain or repair our reputation. To proactively address quality issues, we work extensively with our customers and suppliers and engage in product testing to determine the cause of quality problems and appropriate solutions. Finding solutions to quality issues can be expensive and may result in additional warranty, replacement and other costs.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of critical suppliers to deliver sufficient quantities of parts in a timely and cost-effective manner could adversely impact our operations.</w:t>
      </w:r>
    </w:p>
    <w:p>
      <w:pPr>
        <w:spacing w:after="0" w:line="221"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We use numerous vendors to supply parts, components and subassemblies for the manufacture of our products. Many key parts may be available only from a single supplier or a limited number of suppliers, increasing our vulnerability to supply interruptions. In addition, suppliers may, with or without advance notice, significantly raise prices or cease manufacturing certain components that are difficult to replace without significant reengineering of our products. On occasion, we have experienced problems in obtaining adequate and reliable quantities of various parts and components from certain key or sole source suppliers. For example, in 2025, we experienced supply constraints and delays in accessing certain critical components used in our test sockets due to governmental regulatory changes, which if not managed quickly and diligently, could have adversely impacted our ability to supply the finished goods and our overall gross margin in fiscal 2025. More broadly, our results of operations may be materially and adversely impacted if we do not receive sufficient parts to meet our requirements in a timely and cost-effective manner.</w:t>
      </w:r>
    </w:p>
    <w:p>
      <w:pPr>
        <w:spacing w:after="0" w:line="186"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Inflationary pressures, along with any further increase in interest rates, increase the threat of recession and may impact our financial condition or results of operations.</w:t>
      </w:r>
    </w:p>
    <w:p>
      <w:pPr>
        <w:spacing w:after="0" w:line="160"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Inflation and rising interest rates have increased costs for material, labor and services. These economic events are driven by factors beyond our control, and although inflationary pressures have recently moderated, we are unable to predict the future impacts, and such cost pressures may continue to adversely impact us. Our efforts to offset these cost pressures, such as through product price increases, or attempting to reduce operating costs elsewhere, may not be successful. Economic slowdowns, as seen in recent years, have dampened customer demand. Higher interest rates also increase our borrowing costs and may limit our ability to invest in growth.</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semiconductor equipment industry is intensely competitive, and we may not be able to maintain or win business over our competition.</w:t>
      </w:r>
    </w:p>
    <w:p>
      <w:pPr>
        <w:spacing w:after="0" w:line="221"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8"/>
          <w:szCs w:val="18"/>
          <w:color w:val="auto"/>
        </w:rPr>
        <w:t>The semiconductor equipment market is intensely competitive, with a few large customers accounting for most sales. In 2025, our ten largest customers represented 60% of total revenue. During the past five years, the percentage of our sales derived from these significant customers has varied greatly. Losing a major customer or failing to keep up with competitors’ innovations could significantly impact our results. For example, the test automation industry, while relatively small in terms of worldwide market size compared to other segments of the semiconductor equipment industry, has several participants resulting in intense competitive pricing pressures. In addition, there are emerging companies that provide or may provide innovative technology incorporated in products that may compete successfully against our products. We expect our competitors to continue to improve the design and performance of their current products and to introduce new products with improved performance capabilities. If we are unable to price our existing products competitively and successfully introduce new technologically advanced and competitively priced products, then we expect that these competitive conditions would negatively impact our gross margin and operating results.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3"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Consolidation in the semiconductor industry and within the semiconductor test equipment market could adversely affect the market for our products and negatively impact our ability to compete.</w:t>
      </w:r>
    </w:p>
    <w:p>
      <w:pPr>
        <w:spacing w:after="0" w:line="160"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18"/>
          <w:szCs w:val="18"/>
          <w:color w:val="auto"/>
        </w:rPr>
        <w:t>Consolidation in the semiconductor industry may reduce our customer base and could adversely affect the market for our products, which could cause a decline in our revenues. With consolidation, the number of actual and potential customers for our products has decreased in recent years. Consolidation may lead to relatively fewer opportunities to sell our products if we are not chosen as a supplier by any given prospective customer and may lead to increased pricing pressures from customers that have greater volume purchasing power. This consolidation trend could change our interactions and relationships with complementary tester, instrument, and probe card suppliers, and negatively impact our revenue and operating results.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cyclical nature of the semiconductor equipment industry places enormous demands on our employees, operations and infrastructure.</w:t>
      </w:r>
    </w:p>
    <w:p>
      <w:pPr>
        <w:spacing w:after="0" w:line="2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Sudden demand changes in business conditions, positive or negative, are common in our industry but the timing of such changes is very difficult to predict. Regardless of the reason, sudden changes in demand for semiconductor equipment may have a significant impact on our operations, and increases or decreases in demand are difficult to predict and proactively plan for. We have in the past and may in the future experience difficulties, particularly in manufacturing, and with training and recruiting large numbers of additions to our workforce. The volatility in headcount and business levels, combined with the cyclical nature of the semiconductor industry, may require that we invest substantial amounts in new operational and financial systems, procedures and quality controls. Any inability to meet such requirements will have an adverse impact on our business, financial position and results of operations.</w:t>
      </w:r>
    </w:p>
    <w:p>
      <w:pPr>
        <w:spacing w:after="0" w:line="181" w:lineRule="exact"/>
        <w:rPr>
          <w:sz w:val="20"/>
          <w:szCs w:val="20"/>
          <w:color w:val="auto"/>
        </w:rPr>
      </w:pPr>
    </w:p>
    <w:p>
      <w:pPr>
        <w:ind w:right="30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cannot continue to develop, manufacture, market and support products and services that meet customer requirements for innovation and quality, our revenue and gross margin may suffer.</w:t>
      </w:r>
    </w:p>
    <w:p>
      <w:pPr>
        <w:spacing w:after="0" w:line="160"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8"/>
          <w:szCs w:val="18"/>
          <w:color w:val="auto"/>
        </w:rPr>
        <w:t>The process of developing new high technology products and services and enhancing existing products and services is complex, costly and uncertain, and any failure by us to anticipate customers’ changing needs and emerging technological trends accurately could significantly harm our sales and results of operations. Our customers’ selection processes typically are lengthy and can require us to incur significant sales, service and engineering expenses, and to provide the customer evaluation systems for a period of time at no charge, in pursuit of a single customer opportunity. For example, we typically expend significant resources educating our prospective customers regarding the uses and benefits of our products, customizing our products in ways that are specific to the potential customer’s needs or consigning equipment, and we might not be reimbursed for such activities. The substantial resources we devote to our sales efforts may not result in any revenues from a customer. The delays inherent in these lengthy sales cycles increase the risk that a customer will decide to cancel, curtail, reduce or delay its product plans, causing us to lose anticipated sales.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attract and retain experienced personnel to help support our future growth, and competition for such personnel in our industry is high.</w:t>
      </w:r>
    </w:p>
    <w:p>
      <w:pPr>
        <w:spacing w:after="0" w:line="221"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Our success depends on attracting and retaining skilled personnel, especially in high-cost regions like California, Germany, and Switzerland. Competition for talent is fierce, and losing key employees could disrupt operations. The cost of living in these regions continues to rise, making recruitment and retention more challenging. In 2024, we experienced increased turnover in engineering roles in San Diego, California and Kolbermoor, Germany, which delayed several product development projects. In addition, the expansion of high technology companies worldwide and growth in the demand for semiconductors has increased demand for qualified personnel. There may be only a limited number of persons with the requisite skills and relevant industry experience to serve in these positions and it may become increasingly difficult for us to hire personnel over time. In order to attract and retain executives and other key employees, we must provide a competitive compensation package, including cash and stock-based compensation, along with other benefits and workplace policies. Our business, financial condition and results of operations could be materially adversely affected by the loss of any of our key employees, by the failure of any key employee to perform in his or her current position, or by our inability to attract and retain skilled employees.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ind w:right="5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use of AI within our product development involves risks and uncertainties that may impact our operational performance and be subject to legal and/or regulatory action.</w:t>
      </w:r>
    </w:p>
    <w:p>
      <w:pPr>
        <w:spacing w:after="0" w:line="160"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color w:val="auto"/>
        </w:rPr>
        <w:t>We use AI in our products to improve efficiency and performance. However, AI models may produce inaccurate results if not properly designed or trained, leading to increased downtime and higher maintenance costs for customers. Regulatory changes related to AI could require costly modifications to our products and processes. For example, our acquisition of Tignis, Inc. (“Tignis”) in 2025 introduced new compliance requirements for data privacy and algorithmic transparency. While our use of commercially developed and internally created AI technology is intended to accelerate innovation and improve productivity, the algorithmic calculations used by AI may result in incorrect data production and flawed root cause analysis of identified issues. If our AI models are incorrectly designed or implemented or input data is inaccurately captured, they may produce inaccurate or unreliable results, negatively impacting the performance and reliability of our solutions. If the data is incomplete, inadequate, or biased, it could lead to suboptimal model performance, impairing the functionality of our solutions. Any malfunction or unexpected behavior in our AI-driven systems could lead to increased downtime and higher maintenance costs for our customers and potential loss of revenue. Additionally, failures in the performance of our AI models could damage our reputation, erode customer trust, and result in loss of business and negative publicity.</w:t>
      </w:r>
    </w:p>
    <w:p>
      <w:pPr>
        <w:spacing w:after="0" w:line="19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AI laws and regulations have proliferated in the U.S. and globally in recent years, including in 2025. AI technology is evolving at an exponential pace and federal, state, international and local regulatory bodies are assessing its risks and opportunities and implementing regulations and guidance to manage risk. U.S. and international AI regulation generally focuses on high-risk or prohibited AI tools and systems, design requirements, risk assessments and transparency. In particular, safety and effectiveness, as well as avoidance of bias and discrimination is critical. On December 11, 2025, President Trump signed an executive order (“Ensuring a National Policy Framework for Artificial Intelligence”) that attempts to use federal authority to force states to drop certain regulations that may be targeted as “barriers” to technological development of AI and related systems. The executive order also directs the Attorney General to establish an AI Litigation Task Force, tasked with challenging (suing) states over their AI laws. While the executive order does not automatically preempt states from passing current or potential future legislation, it is not yet clear on what legal grounds the Department of Justice’s “AI Litigation Task Force” may challenge state-level AI regulation or what impact the executive order may have on current and evolving state regulation of AI.</w:t>
      </w:r>
    </w:p>
    <w:p>
      <w:pPr>
        <w:spacing w:after="0" w:line="187"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Additionally, the EU AI Act went into effect on August 1, 2024, which sets requirements for developers and deployers of AI systems based on a risk approach and extends its reach to those developers of AI outside of the EU where the AI product or output is used in the EU. AI regulation is continually evolving at the federal, state and international level and will continue to require financial and resource investment by us to develop, test and maintain our products and features to help us implement AI ethically in order to minimize unintended harmful impact. If we are unable to respond quickly and successfully to these developments in AI requirements or policies, we may lose our competitive position, and our products or technologies may become uncompetitive or obsolete resulting in a loss of sales.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Associated with Operating a Global Business</w:t>
      </w:r>
    </w:p>
    <w:p>
      <w:pPr>
        <w:spacing w:after="0" w:line="215" w:lineRule="exact"/>
        <w:rPr>
          <w:sz w:val="20"/>
          <w:szCs w:val="20"/>
          <w:color w:val="auto"/>
        </w:rPr>
      </w:pPr>
    </w:p>
    <w:p>
      <w:pPr>
        <w:ind w:right="38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are exposed to the risks of operating in certain foreign locations where we manufacture certain products and support our sales and services to the global semiconductor industry.</w:t>
      </w:r>
    </w:p>
    <w:p>
      <w:pPr>
        <w:spacing w:after="0" w:line="160"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color w:val="auto"/>
        </w:rPr>
        <w:t>We are a global corporation with offices and subsidiaries in certain foreign locations to manufacture our products and support our sales and services to the semiconductor industry. As such, we face risks in doing business globally. For example, while our corporate headquarters are located in California, additional key engineering, sales and administrative personnel are located in China, Germany, Japan, Malaysia, the Philippines, Singapore, Switzerland, Taiwan and elsewhere in the U.S., and our manufacturing operations are primarily located in Singapore, Malaysia, the Philippines, Japan, and the U.S. Additionally, sales of our products to customers outside of the U.S. represent a significant part of our past and anticipated revenues. Our international sales, based upon the ship-to location, as a percentage of our revenues were 90%, 86% and 88% for fiscal 2025, 2024 and 2023, respectively. In the future we expect international sales to continue to account for a significant percentage of our revenues. Certain aspects of transacting business internationally, including managing geographically dispersed operations presents difficult challenges associated with organizational alignment and infrastructure, communications and information technology, inventory control, customer relationship management, currency fluctuations, terrorist threats and related security matters and cultural diversities. If we are unsuccessful in managing such operations effectively, our business and results of operations will be adversely affected.</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We have observed a continuing trend of increasing risks and challenges in the conduct of our international business activities, including expanded tariffs and other trade barriers affecting the U.S., China and other locations. Additionally, we are required to comply with foreign import and export requirements, customs and value added tax standards that can be unclear or complex. Our failure to meet these requirements and standards could negatively impact our business operations. If one or more of these risks occur, it could require us to dedicate significant resources to remedy, and if we are unsuccessful in finding a solution, our financial results will suffer.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Geopolitical instability in locations critical to us and our customers may adversely impact our operations, sales and profitability.</w:t>
      </w:r>
    </w:p>
    <w:p>
      <w:pPr>
        <w:spacing w:after="0" w:line="221"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8"/>
          <w:szCs w:val="18"/>
          <w:color w:val="auto"/>
        </w:rPr>
        <w:t>The majority of our sales are made to destinations in Asia. Political or economic instability, particularly in Asia, may adversely impact the demand for capital equipment, including equipment of the type we manufacture and market. An increase in geopolitical tensions involving Asia could disrupt existing semiconductor chip manufacturing and increase the prospect of an interruption to the semiconductor chip supply across the world. The world’s largest semiconductor chip manufacturer is located in Taiwan and is a top supplier for many U.S. companies, many of which are part of our customer base. Additionally, other conflicts throughout the world may cause increased inflation in energy and logistics costs and could further cause general economic conditions in the U.S. or abroad to deteriorate. It is unknown how long any of these disruptions will continue and whether such disruptions will become more severe. If these trade sanctions, and related geopolitical tensions, are not resolved in the short term they could cause a lengthy disruption to all global companies. Any of these conflicts or other threatened conflicts could in turn cause an interruption to semiconductor chip supply. Related impacts to our customers and any increased costs, increased competition or constraints on resources such as freight, or other disruption in our supply chain, could result in an adverse impact to our financial results.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occurrence of natural disasters, health epidemics, and geopolitical instability and other threats may adversely impact our operations and sales.</w:t>
      </w:r>
    </w:p>
    <w:p>
      <w:pPr>
        <w:spacing w:after="0" w:line="22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Our corporate headquarters, located in San Diego, California, one of our engineering centers in Germany, and many of our Asia-based manufacturing plants, engineering sites, and sales and service offices are in locations known for being vulnerable to natural disasters and other risks, such as earthquakes, floods, tsunamis, fires, volcanic eruptions, and geopolitical risks, which at times have disrupted the local economies. For example, a significant earthquake or tsunami could materially affect operating results. Our business has previously been, and may in the future be, adversely impacted by evolving and extended public health requirements around the world, including government-mandated facility shutdowns. Although we believe that we carry reasonable and appropriate business insurance, we may not be insured for certain losses and business interruptions of this kind, or for geopolitical or terrorism impacts, and presently have very limited redundant, multiple site capacity in the event of a disaster. In the event of such disaster, our business would materially suffer.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materially and adversely affected by transition and physical climate change effects and related matters.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analyze climate change risks in two separate categories: transition risks and physical risks. Transition risks are those risks relating to the transition of the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global economy to a focus on more climate-friendly technologies. For instance, more stringent environmental policies or regulations could require us to incur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increased costs and significant capital investment to transition to lower emissions technologies. Focus on sustainability has increased, and we or our industry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could be stigmatized as not friendly to the environment, which could adversely affect our reputation and our business, including due to difficulties in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employee hiring and retention and our ability to access capital. Physical risks from climate change that could affect our business include acute weather events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as floods, tornadoes or other severe weather and ongoing changes such as rising temperatures or extreme variability in weather patterns. These events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could lead to increased capital costs from damage to our facilities, increased insurance premiums or reduced revenue from decreased production capacity</w:t>
      </w:r>
    </w:p>
    <w:p>
      <w:pPr>
        <w:spacing w:after="0" w:line="5"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based on supply chain interruptions. In addition, we regularly evaluate water</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related risks across its global operating sites, with a particular focus on locations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situated in areas of high or extremely high baseline water stress. Our assessment enables us to identify potential impacts on operational continuity,</w:t>
      </w:r>
    </w:p>
    <w:p>
      <w:pPr>
        <w:spacing w:after="0" w:line="4"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process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water needs, facility maintenance, and employee health and safety. For sites located in higher</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risk regions, we assess the potential for interruptions to</w:t>
      </w:r>
    </w:p>
    <w:p>
      <w:pPr>
        <w:spacing w:after="0" w:line="17"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municipal supply, competition for water resources, and degradation of source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water quality due to climatic or environmental conditions. While we attempt to</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focus on the short-term (0-3 years) and medium-term (3-5 years) as a strategy to enable us to take more pragmatic and tangible actions based on known or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reasonably predictable facts and circumstances, there can be no assurance that our predictions are accurate or will curtail adverse impacts. Any of these events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could have a material adverse effect on our business, financial condition or results of operations</w:t>
      </w:r>
      <w:r>
        <w:rPr>
          <w:rFonts w:ascii="Times New Roman" w:cs="Times New Roman" w:eastAsia="Times New Roman" w:hAnsi="Times New Roman"/>
          <w:sz w:val="18"/>
          <w:szCs w:val="18"/>
          <w:i w:val="1"/>
          <w:iCs w:val="1"/>
          <w:color w:val="auto"/>
        </w:rPr>
        <w: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3"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are exposed to additional risks as a result of increased attention by our stakeholders to sustainability, including environmental, social and governance matters.</w:t>
      </w:r>
    </w:p>
    <w:p>
      <w:pPr>
        <w:spacing w:after="0" w:line="160" w:lineRule="exact"/>
        <w:rPr>
          <w:sz w:val="20"/>
          <w:szCs w:val="20"/>
          <w:color w:val="auto"/>
        </w:rPr>
      </w:pPr>
    </w:p>
    <w:p>
      <w:pPr>
        <w:spacing w:after="0" w:line="214" w:lineRule="exact"/>
        <w:rPr>
          <w:sz w:val="20"/>
          <w:szCs w:val="20"/>
          <w:color w:val="auto"/>
        </w:rPr>
      </w:pPr>
      <w:r>
        <w:rPr>
          <w:rFonts w:ascii="Times New Roman" w:cs="Times New Roman" w:eastAsia="Times New Roman" w:hAnsi="Times New Roman"/>
          <w:sz w:val="17"/>
          <w:szCs w:val="17"/>
          <w:color w:val="auto"/>
        </w:rPr>
        <w:t>Our stakeholders, including customers, investors, advisory firms, employees, and suppliers among others, are increasing their attention to, and establishing expectations for, sustainability and related matters. These expectations can extend to our corporate practices, initiatives, and disclosures, as well as stakeholder standards or preferences for investments or doing business. Third-party agencies have also established or added standards for rating companies on a range of sustainability-related factors that may be inconsistent and subject to change. Conversely, “anti-ESG” sentiment has gained momentum across the U.S., with a growing number of states, federal agencies, the executive branch and Congress having enacted, proposed or indicated an intent to pursue “anti-ESG” policies, legislation or issued related legal opinions and engaged in related investigations and litigation. If investors subject to “anti-ESG” legislation view our ESG practices as being in contradiction of such “anti-ESG” policies, legislation or legal opinions, such investors may not invest in us and it could negatively impact the price of our common stock. In addition, corporate diversity, equity and inclusion (“DEI”) practices have recently come under increasing scrutiny. For example, some advocacy groups and federal and state officials have asserted that the U.S. Supreme Court’s decision striking down race-based affirmative action in higher education in June 2023 should be analogized to private employment matters and private contract matters and several media campaigns and cases alleging discrimination based on such arguments have been initiated since the decision. Additionally, in January 2025, President Trump signed a number of Executive Orders focused on DEI, which indicate continued scrutiny of DEI initiatives and potential related investigations of certain private entities with respect to DEI initiatives, including publicly traded companies. If we do not successfully manage expectations across varied stakeholder interests, it could erode stakeholder trust and impact our reputation, the costs of doing business, and the willingness of these stakeholders to engage with, invest in, or retain us. Also, the SEC adopted rules in March of 2024 aimed at enhancing and standardizing climate-related disclosures; however, these rules were voluntarily stayed in April 2024 pending the outcome of consolidated legal challenges in the U.S. Court of Appeals for the Eighth Circuit. The Court granted a motion on April 24, 2025, to hold the case in abeyance, pausing the litigation. On April 3, 2025, the European Parliament voted to adopt the ‘Stop</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the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Clock’ proposal, effectively pausing and delaying the implementation of the EU’s Corporate Sustainability Reporting Directive (CSRD) obligations for many companies and even revising the entities which are no longer in scope for reporting obligations, including ours. In contrast to these other ESG reporting regimes facing delays or uncertainty, California continues advancing its climate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disclosure framework by keeping its sweeping emissions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reporting mandate under SB 253 on track for its 2026 rollout, even as SB 261, its climate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risk reporting counterpart, is only partially paused pending appeal. Compliance with any new laws or regulations, including new or upcoming California or European requirements, increases our regulatory burden and could result in increased legal, accounting and compliance costs, make some activities more difficult, time-consuming and costly, affect the manner in which we conduct our business and adversely affect our profitability. In addition, we have provided voluntary disclosures on sustainability matters, including energy usage, greenhouse gas emissions, health and safety, and labor and human rights, many of which are based on assumptions or estimates which may evolve. We may fail, or be perceived to fail, in attaining or maintaining our sustainability-related initiatives. The topics on which we focus may not be popular with our stakeholders. These events or perceptions may expose us to additional reputational and operational risks.</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Acquisitions and Other Strategic Transactions</w:t>
      </w:r>
    </w:p>
    <w:p>
      <w:pPr>
        <w:spacing w:after="0" w:line="215" w:lineRule="exact"/>
        <w:rPr>
          <w:sz w:val="20"/>
          <w:szCs w:val="20"/>
          <w:color w:val="auto"/>
        </w:rPr>
      </w:pPr>
    </w:p>
    <w:p>
      <w:pPr>
        <w:ind w:right="240"/>
        <w:spacing w:after="0" w:line="309" w:lineRule="auto"/>
        <w:rPr>
          <w:sz w:val="20"/>
          <w:szCs w:val="20"/>
          <w:color w:val="auto"/>
        </w:rPr>
      </w:pPr>
      <w:r>
        <w:rPr>
          <w:rFonts w:ascii="Times New Roman" w:cs="Times New Roman" w:eastAsia="Times New Roman" w:hAnsi="Times New Roman"/>
          <w:sz w:val="17"/>
          <w:szCs w:val="17"/>
          <w:b w:val="1"/>
          <w:bCs w:val="1"/>
          <w:i w:val="1"/>
          <w:iCs w:val="1"/>
          <w:color w:val="auto"/>
        </w:rPr>
        <w:t>We may choose to acquire new and complementary businesses, products or technologies instead of developing them ourselves, and we may be unable to complete these acquisitions or may not be able to successfully integrate an acquired business in a cost-effective and non-disruptive manner.</w:t>
      </w:r>
    </w:p>
    <w:p>
      <w:pPr>
        <w:spacing w:after="0" w:line="137"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8"/>
          <w:szCs w:val="18"/>
          <w:color w:val="auto"/>
        </w:rPr>
        <w:t>Our success depends on our ability to continually enhance and broaden our product offerings in response to changing technologies, customer demands and competitive pressures. As part of our business strategy, we will continue to regularly evaluate investments in, or acquisitions of, complementary businesses, joint ventures, services and technologies, and we expect that periodically we will continue to make such investments and acquisitions in the future. We may, however, face competition for acquisition targets from larger and more established companies with greater financial resources, making it more difficult for us to complete acquisitions. We cannot provide any assurance that we will be successful in consummating future acquisitions on favorable terms or that we will realize the benefits that we anticipate from one or more acquisitions that we consummate. Integrating any business, product, technology or service into our current operations could be expensive and time-consuming and/or disrupt our ongoing business. Acquisitions and investments involve numerous risks, including, but not limited to: acquisitions may underperform and we may not achieve any forecasted growth, benefits or synergies; difficulties and increased costs in connection with integration of the personnel, operations, sales channels, technologies and products of acquired businesses; increasing the scope, geographic diversity and complexity of our business; diversion of management’s attention from other operational matters and current products and customers; difficulties entering potentially new markets or manufacturing in new geographies where we have no or limited direct prior experience; lack of synergy, or the inability to realize expected synergies, resulting from the acquisition; the potential loss of our key employees, customers or suppliers or acquired businesses; and potential unknown liabilities associated with the acquired businesses.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We may decide to finance future acquisitions and investments through a combination of borrowings, proceeds from equity or debt offerings and the use of cash, cash equivalents and short-term investments. If we finance acquisitions or investments by issuing equity securities, our existing stockholders may be diluted which would likely affect the market price of our stock. We may also elect to pursue financing in advance of completing strategic transactions and bearing the cost of such financing before the strategic transaction occurs. Mergers, acquisitions and investments are inherently risky and the inability to effectively manage these risks could materially and adversely affect our business, financial condition and results of operations. In addition, any impairment of goodwill or other intangible assets, amortization of intangible assets, write-down of other assets or charges resulting from the costs of acquisitions and purchase accounting could harm our business and operating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our Indebtedness, Financing and Future Access to Capital</w:t>
      </w:r>
    </w:p>
    <w:p>
      <w:pPr>
        <w:spacing w:after="0" w:line="215"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Due to the nature of our business, we need continued access to capital, which if not available to us or if not available on favorable terms, could harm our ability to operate or expand our business.</w:t>
      </w:r>
    </w:p>
    <w:p>
      <w:pPr>
        <w:spacing w:after="0" w:line="160" w:lineRule="exact"/>
        <w:rPr>
          <w:sz w:val="20"/>
          <w:szCs w:val="20"/>
          <w:color w:val="auto"/>
        </w:rPr>
      </w:pPr>
    </w:p>
    <w:p>
      <w:pPr>
        <w:ind w:right="220"/>
        <w:spacing w:after="0" w:line="304" w:lineRule="auto"/>
        <w:rPr>
          <w:sz w:val="20"/>
          <w:szCs w:val="20"/>
          <w:color w:val="auto"/>
        </w:rPr>
      </w:pPr>
      <w:r>
        <w:rPr>
          <w:rFonts w:ascii="Times New Roman" w:cs="Times New Roman" w:eastAsia="Times New Roman" w:hAnsi="Times New Roman"/>
          <w:sz w:val="17"/>
          <w:szCs w:val="17"/>
          <w:color w:val="auto"/>
        </w:rPr>
        <w:t>Our business requires capital to finance accounts receivable and product inventory that is not financed by trade creditors when our business is expanding. If cash from available sources is insufficient or cash is used for unanticipated needs, we may require additional capital sooner than anticipated.</w:t>
      </w:r>
    </w:p>
    <w:p>
      <w:pPr>
        <w:spacing w:after="0" w:line="14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We believe that our existing sources of liquidity, including cash resources, proceeds from our 1.5% convertible senior notes due 2031 (the “Notes”) and cash provided by operating activities will provide sufficient resources to meet our working capital and cash requirements for at least the next twelve months; however, a material adverse impact on our business from unforeseen events or a desire to reduce our outstanding indebtedness could result in a need to raise additional capital. Alternatively, we could decide to raise additional capital or incur additional indebtedness to fund strategic initiatives or operating activities, particularly if we pursue additional acquisitions. In the event we are required, or elect, to raise additional funds, we may be unable to do so on favorable terms, or at all, and may incur expenses in raising the additional funds and increase our interest rate exposure, and any future indebtedness could adversely affect our operating results and severely limit our ability to plan for, or react to, changes in our business or industry. For example, under our Credit Agreement which was repaid in full on February 9, 2024, we were limited by financial and other negative covenants in our credit arrangements, including limitations on our borrowing of additional funds and issuing dividends. If we cannot raise funds on acceptable terms or without stringent restrictions on business activities, we may not be able to take advantage of future opportunities or respond to competitive pressures or unanticipated requirements. Any inability to raise additional capital when required could have an adverse effect on our business and operating results.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foreign operations expose us to additional risks relating to currency fluctuations.</w:t>
      </w:r>
    </w:p>
    <w:p>
      <w:pPr>
        <w:spacing w:after="0" w:line="221"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8"/>
          <w:szCs w:val="18"/>
          <w:color w:val="auto"/>
        </w:rPr>
        <w:t>Our international operations are significant to our revenues and net income, and we plan to continue to grow internationally. We report our financial results in U.S. dollars, but we incur certain costs in other currencies and have certain foreign currency denominated assets and liabilities. For example, we have significant business operations located in Germany and Switzerland, each of which engage in transactions with end customers, while costs related to manufacturing products are incurred in our manufacturing facilities in Asia and raw material supply chain costs are incurred in yet other currencies. We, therefore, face exposure to fluctuations in currency exchange rates. Significant fluctuations in exchange rates between the U.S. dollar and foreign currencies may adversely affect our revenues and earnings, despite our hedging of a portion of our international currency exposures. Additionally, hedging programs are inherently risky, may be ineffective, and could expose us to additional costs and risks that could adversely affect our financial condition and results of operations.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3" w:lineRule="exact"/>
        <w:rPr>
          <w:sz w:val="20"/>
          <w:szCs w:val="20"/>
          <w:color w:val="auto"/>
        </w:rPr>
      </w:pPr>
    </w:p>
    <w:p>
      <w:pPr>
        <w:ind w:right="36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have recorded restructuring, inventory write-offs and asset impairment charges in the past, and may do so again in the future, which could have a material negative impact on our financial results.</w:t>
      </w:r>
    </w:p>
    <w:p>
      <w:pPr>
        <w:spacing w:after="0" w:line="160"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We plan to record restructuring charges in the first quarter of fiscal 2026, have previously recorded restructuring charges in prior years and we may implement restructuring plans in the future, which would require us to take additional, potentially material, restructuring charges related to employee terminations, asset disposal or exit costs. We may also be required to write off additional inventory if our product build plans or usage of inventory experience declines, and such additional write-offs could constitute material charges. In addition, significant adverse changes in market conditions could require us to take additional material impairment charges related to our long-lived assets if the changes impact the critical assumptions or estimates that we use in our assessment of the recoverability of our long-lived assets. Any such additional charges, whether related to restructuring, asset impairment or factory underutilization, may have a material negative impact on our operating results and related financial statements.</w:t>
      </w:r>
    </w:p>
    <w:p>
      <w:pPr>
        <w:spacing w:after="0" w:line="183" w:lineRule="exact"/>
        <w:rPr>
          <w:sz w:val="20"/>
          <w:szCs w:val="20"/>
          <w:color w:val="auto"/>
        </w:rPr>
      </w:pPr>
    </w:p>
    <w:p>
      <w:pPr>
        <w:ind w:right="66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are exposed to the instability of financial institutions where we maintain cash deposits or other liquid holdings, which could result in a lack of liquidity.</w:t>
      </w:r>
    </w:p>
    <w:p>
      <w:pPr>
        <w:spacing w:after="0" w:line="160"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8"/>
          <w:szCs w:val="18"/>
          <w:color w:val="auto"/>
        </w:rPr>
        <w:t>To ensure financial flexibility, we maintain a substantial amount of cash deposit holdings in financial banks that exceed the limits insured by the Federal Deposit Insurance Corporation (“FDIC”). A bank failure, default, or other adverse events that restrict the ability of financial institutions to perform, including elevated concerns of such potential events that are rapidly communicated across media platforms, may lead to liquidity constraints for those institutions. As a direct example which could have impacted us, on March 10, 2023, Silicon Valley Bank (“SVB”) experienced a significant and rapid withdrawal of funds that led to its collapse. The FDIC determined that it would guarantee all deposit amounts held at SVB, including amounts above FDIC insurance limits. However, there is no guarantee that the FDIC will similarly protect deposit amounts held above insurance limits if other banks were to fail or other adverse conditions were to impact financial institutions. Such events could cause the loss of cash deposits, limit our access to debt facilities and restrict our ability to obtain needed liquidity from financial institutions, hampering our ability to make strategic acquisitions or investments.</w:t>
      </w:r>
    </w:p>
    <w:p>
      <w:pPr>
        <w:spacing w:after="0" w:line="186"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Because a significant portion of our total assets is represented by goodwill, which is subject to mandatory impairment evaluation, and other intangibles, we could be required to write off some or all of its goodwill and other intangibles, which may adversely affect the combined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financial condition and results of operations.</w:t>
      </w:r>
    </w:p>
    <w:p>
      <w:pPr>
        <w:spacing w:after="0" w:line="174"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 xml:space="preserve">Goodwill and other intangibles comprise 29% of our total assets as of December 27, 2025, of which approximately $283.0 million of our total assets are allocated to goodwill. In accordance with Accounting Standards Codification (“ASC”) Topic 350, </w:t>
      </w:r>
      <w:r>
        <w:rPr>
          <w:rFonts w:ascii="Times New Roman" w:cs="Times New Roman" w:eastAsia="Times New Roman" w:hAnsi="Times New Roman"/>
          <w:sz w:val="17"/>
          <w:szCs w:val="17"/>
          <w:i w:val="1"/>
          <w:iCs w:val="1"/>
          <w:color w:val="auto"/>
        </w:rPr>
        <w:t>Intangibles - Goodwill and Other</w:t>
      </w:r>
      <w:r>
        <w:rPr>
          <w:rFonts w:ascii="Times New Roman" w:cs="Times New Roman" w:eastAsia="Times New Roman" w:hAnsi="Times New Roman"/>
          <w:sz w:val="17"/>
          <w:szCs w:val="17"/>
          <w:color w:val="auto"/>
        </w:rPr>
        <w:t>, goodwill is not amortized and is reviewed at least annually for impairment, or more frequently if there are indications of impairment. A decline in our stock price, weakening business performance, or adverse market conditions could increase the risk of impairment. All other intangible assets are subject to periodic amortization. We evaluate the remaining useful lives of other intangible assets each quarter to determine whether events and circumstances warrant a revision to the remaining period of amortization. When performing future impairment tests, it is possible that the carrying value of goodwill or other intangible assets could exceed their implied fair value, requiring a charge to operating results, and there is no assurance that additional impairment charges will not occur. For fiscal 2025, our IS reporting unit had limited headroom, meaning fair value only narrowly exceeded carrying value; as a result, even modest adverse changes in valuation assumptions, operating results, or market conditions could result in a future goodwill impairment charge. By comparison, our TH and ST reporting units each had substantially greater headroom at the assessment date, indicating a significantly larger cushion between fair value and carrying value. Goodwill associated with the IS reporting unit represented 39% of the total goodwill allocated across our reporting units as of the assessment date.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Owning Our Stock</w:t>
      </w:r>
    </w:p>
    <w:p>
      <w:pPr>
        <w:spacing w:after="0" w:line="215"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financial and operating results may vary and fall below analysts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estimates, or credit rating agencies may change their ratings on Cohu, any of which may cause the price of our common stock to decline or make it difficult to obtain other financing.</w:t>
      </w:r>
    </w:p>
    <w:p>
      <w:pPr>
        <w:spacing w:after="0" w:line="160"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Our operating results may fluctuate from quarter to quarter due to a variety of factors including many of the risk factors listed above. Due to these factors or other unanticipated events, quarter-to-quarter comparisons of our operating results may not be reliable indicators of our future performance. In addition, from time to time our quarterly financial results may fall below the expectations of the securities and industry analysts who publish reports on our company or of investors in general. This could cause the market price of our stock to decline, perhaps significantly. Additionally, any downgrades of our credit ratings or rating outlooks, if and when they were to occur, may materially and adversely affect the market price of our equity and the availability, cost or interest rate of other credit or financing. Our current credit ratings are considered non-investment grade and make it more costly (as compared to investment grade borrowers) for us or our subsidiaries to borrow money or enter into new credit facilities and to raise certain other types of capital and/or complete additional financings.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3" w:lineRule="exact"/>
        <w:rPr>
          <w:sz w:val="20"/>
          <w:szCs w:val="20"/>
          <w:color w:val="auto"/>
        </w:rPr>
      </w:pPr>
    </w:p>
    <w:p>
      <w:pPr>
        <w:ind w:right="30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and current and potential stockholders may lose confidence in our financial reporting.</w:t>
      </w:r>
    </w:p>
    <w:p>
      <w:pPr>
        <w:spacing w:after="0" w:line="160"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We are required by the SEC to establish and maintain adequate internal control over financial reporting that provides reasonable assurance regarding the reliability of our financial reporting and the preparation of financial statements in accordance with generally accepted accounting principles. We are likewise required, on a quarterly basis, to evaluate the effectiveness of our internal controls and to disclose any changes and material weaknesses in those internal controls. Although we believe that we have adequate internal controls in place at this time, we cannot be certain that, with significantly greater global complexity, we will be able to maintain adequate internal control over our financial reporting in future periods. Any failure to maintain such internal controls could adversely impact our ability to report our financial results on a timely and accurate basis. If our financial statements are not accurate, investors may not have a complete understanding of our operations. Inferior internal controls could also cause investors to lose confidence in our reported financial information, which could have a negative effect on the trading price of our stock. Likewise, if our financial statements are not filed on a timely basis as required by the SEC and Nasdaq Global Select Market, we could face severe consequences from those authorities. In either case, there could be a material adverse effect on our business and/or our stock price.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experienced significant volatility in our stock price.</w:t>
      </w:r>
    </w:p>
    <w:p>
      <w:pPr>
        <w:spacing w:after="0" w:line="22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A variety of factors may cause the price of our stock to be volatile. The stock market in general, and the market for shares of high-technology companies in particular, including ours, have experienced extreme price fluctuations, which have often been unrelated to the operating performance of affected companies. During the three-year period ended December 27, 2025, the price of our common stock has ranged from $43.99 to $12.57. The price of our stock may be more volatile than the stock of other companies due to, among other factors, the unpredictable, volatile and seasonal nature of the semiconductor industry, our significant customer concentration, intense competition in the test contactor, test handler, automated test equipment industry, our limited backlog, our debt levels, and our relatively low daily stock trading volume. The market price of our common stock is likely to continue to fluctuate significantly in the future, including fluctuations related and unrelated to our performance.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underperform relative to our expectations.</w:t>
      </w:r>
    </w:p>
    <w:p>
      <w:pPr>
        <w:spacing w:after="0" w:line="22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Our business and financial performance are subject to certain risks and uncertainties, as described in these risk factors. We may not achieve our forecasted growth rates, levels of revenue, earnings, or operating efficiency that we expect and may incur losses in the business at any time. Any underperformance from our expectations or forecasts could have a material adverse effect on our financial condition, results of operations, and cause abrupt, significant stock price declines. We may become subject to campaigns by shareholders advocating corporate actions such as financial restructuring, increased borrowing, special dividends, stock repurchases or divestitures. Such activities could interfere with our ability to execute our business plans, be costly and time-consuming, disrupt our operations, divert the attention of management or result in other short-term focused corporate actions, any of which could have an adverse effect on our business or stock price.</w:t>
      </w:r>
    </w:p>
    <w:p>
      <w:pPr>
        <w:spacing w:after="0" w:line="183"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performance of our business as affected by the level of our indebtedness could prevent us from meeting the obligations under the indentures governing the Notes or maintaining sufficient liquidity to operate our business or service our debt obligations, and we cannot provide any guarantee that we will be able to actively repurchase our common stock pursuant to a share repurchase program.</w:t>
      </w:r>
    </w:p>
    <w:p>
      <w:pPr>
        <w:spacing w:after="0" w:line="174"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8"/>
          <w:szCs w:val="18"/>
          <w:color w:val="auto"/>
        </w:rPr>
        <w:t>Our consolidated indebtedness may have the effect, among other things, of reducing our flexibility to respond to changing business and economic conditions and increasing borrowing costs. Given the significant uncertainty relating to the macroeconomic environment, there are potential scenarios under which we could fail to comply with these covenants, which would result in an event of default that, if not waived, could have a material adverse effect on our financial condition, results of operations or ability to continue to service our debt obligations. A default under our credit agreement or under the indentures governing the Notes may also significantly affect our ability to obtain additional or alternative financing. Our ability to make scheduled payments or to refinance our obligations with respect to indebtedness will depend on our operating and financial performance, which, in turn, is subject to prevailing economic conditions and to financial, business and other factors beyond our control. Our inability to refinance our indebtedness when necessary or to do so on attractive terms may have a material adverse effect on our liquidity and results of operations.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Depending on the impact of the macroeconomic environment, we may seek other sources of liquidity and other ways of preserving liquidity. No assurance can be made that sources of additional liquidity will be readily available or that we will be successful in obtaining or preserving such liquidity. Further, no assurance can be made that sources of additional liquidity will be available on terms that are favorable to us.</w:t>
      </w:r>
    </w:p>
    <w:p>
      <w:pPr>
        <w:spacing w:after="0" w:line="174" w:lineRule="exact"/>
        <w:rPr>
          <w:sz w:val="20"/>
          <w:szCs w:val="20"/>
          <w:color w:val="auto"/>
        </w:rPr>
      </w:pPr>
    </w:p>
    <w:p>
      <w:pPr>
        <w:ind w:right="66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issuance of shares of our common stock in connection with any future offerings of securities by us or conversion of the Notes, will dilute our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ownership interest in the company.</w:t>
      </w:r>
    </w:p>
    <w:p>
      <w:pPr>
        <w:spacing w:after="0" w:line="160"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18"/>
          <w:szCs w:val="18"/>
          <w:color w:val="auto"/>
        </w:rPr>
        <w:t>We may seek additional financing in the future to meet our capital needs or to meet our strategic initiatives or operating activities. We have in the past issued common stock as acquisition consideration and for general corporate purposes. For example, in March 2021, we issued 5,692,500 additional shares of our common stock in an underwritten follow-on public offering, which represented an increase of 13.4% of outstanding shares of common stock at the time. We may determine to utilize common stock as acquisition consideration, issue convertible debt, or pursue another follow-on equity offering to raise capital for debt reduction or for other general corporate purposes, at any time in the future. Any issuances of additional shares of our common stock would dilute shareholders’ ownership interest in our company, and shareholders would have a proportionately reduced ownership and voting interest in our company as a result of equity issuance. If we raise additional funds by issuing debt, we may be subject to limitations on our operations due to restrictive covenants. Additionally, our ability to make scheduled payments or refinance our obligations will depend on our operating and financial performance, which in turn is subject to prevailing economic conditions and financial, business and other factors beyond our control.</w:t>
      </w:r>
    </w:p>
    <w:p>
      <w:pPr>
        <w:spacing w:after="0" w:line="18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At our election, if applicable, we may settle Notes tendered for conversion partly in shares of our common stock. As a result, the conversion of some or all of the Notes may dilute the ownership interests of existing shareholders. Any sales in the public market of the shares of our common stock issuable upon such conversion of the Notes could adversely affect prevailing market prices of our common stock. In addition, the existence of the Notes may encourage short selling by market participants because the conversion of the Notes could depress the price of our common stock.</w:t>
      </w:r>
    </w:p>
    <w:p>
      <w:pPr>
        <w:spacing w:after="0" w:line="176"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stock repurchase program or our purchase of capped call transactions in connection with Notes may not have an impact that is fully reflected in the current stock valuation.</w:t>
      </w:r>
    </w:p>
    <w:p>
      <w:pPr>
        <w:spacing w:after="0" w:line="160"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8"/>
          <w:szCs w:val="18"/>
          <w:color w:val="auto"/>
        </w:rPr>
        <w:t>Effective November 2, 2021, a $70 million share repurchase program was authorized by the Board. On October 25, 2022, the Board authorized an additional $70 million under the share repurchase program. The stock repurchase program was authorized to potentially offset dilution from equity issuances under our equity incentive plans and because the Board believes that, for reasons unrelated to our performance, the trading price of our common stock from time to time may not be reflective of the true value of the Company. Repurchases have been, and may be made in the future, using our existing cash resources. We give no assurances as to when, how much and for what duration stock repurchases may be made. However, stock repurchases may adversely affect us if the economy turns downward, as it could leave us limited in our ability to obtain cash necessary for ongoing operations or strategic initiatives. In addition, any repurchase of stock may have no positive impact on our stock price. Further, as stock may be repurchased, given the volatility of our stock price, we may repurchase stock at prices which, in hindsight, are materially higher than the subsequent price of our stock.</w:t>
      </w:r>
    </w:p>
    <w:p>
      <w:pPr>
        <w:spacing w:after="0" w:line="190"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In connection with the issuance of the Notes, we entered into privately negotiated capped call transactions with one or more of the initial purchasers of the Notes or their respective affiliates and/or other financial institutions (the “option counterparties”). The capped call transactions initially cover, subject to anti-dilution adjustments substantially similar to those applicable to the Notes, the number of shares of our common stock underlying the Notes. The capped call transactions are expected generally to reduce or offset potential dilution to our common stock and/or offset any cash payments we may be required to make in excess of the principal amount of converted Notes, as the case may be, upon any conversion of the Notes, with such reduction and/or offset subject to a cap. In connection with establishing and maintaining their initial hedges of the capped call transactions, we understand that the option counterparties or their respective affiliates may modify their hedge positions by entering into or unwinding various derivatives with respect to our common stock and/or purchasing or selling our common stock or other securities of ours in secondary market transactions from time to time prior to the maturity of the Notes (and are likely to do so during any observation period relating to a conversion of the Notes or following any repurchase of the Notes by us if we elect to terminate or unwind the relevant portion of the capped call transactions). The effect, if any, of these activities on the trading price of our common stock will depend on a variety of factors, including market conditions, and is uncertain at this time. Any of these activities could, however, adversely affect the trading price of our common stock.</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3"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Provisions of our certificate of incorporation and bylaws and Delaware law or certain provisions governing the Notes may make a takeover of Cohu more difficult.</w:t>
      </w:r>
    </w:p>
    <w:p>
      <w:pPr>
        <w:spacing w:after="0" w:line="16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There are provisions in our basic corporate documents and under Delaware law that could discourage, delay or prevent a change in control, even if a change in control may be regarded as beneficial to some or all of our stockholders. Additionally, certain provisions in the Notes and the indentures governing the Notes could make a third-party attempt to acquire us more difficult or expensive. For example, if a takeover constitutes a fundamental change, then noteholders will have the right to require us to repurchase their Notes for cash. In addition, if a takeover constitutes a make-whole fundamental change, then we may be required to temporarily increase the conversion rate for the Notes. In either case, and in other cases, our obligations under the Notes and the indentures governing the Notes could increase the cost of acquiring us or otherwise discourage a third party from acquiring us or removing incumbent management, including in a transaction that noteholders or holders of our common stock may view as favorable.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Regulatory Matters</w:t>
      </w:r>
    </w:p>
    <w:p>
      <w:pPr>
        <w:spacing w:after="0" w:line="215"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Trade regulations and restrictions impact our ability to manufacture certain products and to sell to certain customers, specifically in China, which may materially harm and limit our business.</w:t>
      </w:r>
    </w:p>
    <w:p>
      <w:pPr>
        <w:spacing w:after="0" w:line="160"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We are subject to U.S. laws and regulations that limit and restrict the export of some of our products and services and may restrict our transactions with certain customers, business partners and other persons. In certain circumstances, export control and economic sanctions regulations prohibit the export of certain products, services and technologies, and in other circumstances are required to obtain an export license before exporting the controlled item. We must also comply with export restrictions and laws imposed by other countries affecting trade and investments. We maintain an export compliance program but there are risks that the compliance controls could be circumvented, exposing us to legal liabilities. There have been several significant changes in U.S. export regulations relating to China since 2019. Since then, export controls have continued to be issued relating to the Chinese semiconductor manufacturing, advanced computing, and supercomputer industries, where these additional controls may impact our ability, and/or that of our customers, to sell and ship products to semiconductor fabrication facilities located in China. These export controls include restrictions on certain semiconductor integrated circuits, commodities containing such integrated circuits, and semiconductor manufacturing equipment. Furthermore, the export controls restrict the ability of U.S. persons to support the development or production of integrated circuits at certain semiconductor fabrication facilities in China. In addition to the specific restrictions impacting our business, the regulations may have an adverse impact on certain actual or potential customers and on the global semiconductor industry. To the extent the regulations impact actual and potential customers or disrupt the global semiconductor industry, our business and revenues will be adversely impacted.</w:t>
      </w:r>
    </w:p>
    <w:p>
      <w:pPr>
        <w:spacing w:after="0" w:line="188"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Additionally, these collective export restrictions and the ongoing unpredictability of U.S.-China trade relations have encouraged China-based companies to actively seek to obtain a greater supply of similar or substitute products from our foreign competitors that are not subject to these restrictions, thereby decreasing our long-term competitiveness as a supplier to China-based companies. These ongoing actions indicate that the U.S. government may impose other new export restrictions. If implemented with no prior notice, even controls that ultimately have minimal long-term impact on us, may create short-term limitations on our business as we evaluate the full impact of such new and any subsequent controls. The prospect of future export controls that are implemented in a similar manner may continue to have an ongoing impact on our business, results of operations, or financial condition.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Unanticipated changes in our tax provisions, enactment of new tax laws, or exposure to additional income tax liabilities could affect our profitability.</w:t>
      </w:r>
    </w:p>
    <w:p>
      <w:pPr>
        <w:spacing w:after="0" w:line="2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7"/>
          <w:szCs w:val="17"/>
          <w:color w:val="auto"/>
        </w:rPr>
        <w:t>We are subject to income and other taxes in the U.S. and numerous foreign jurisdictions. Our tax liabilities are affected by, among other things, the amounts our affiliated entities charge each other for intercompany transactions. Our foreign subsidiaries in Germany, the Philippines, and Malaysia have income tax returns currently under routine examination by tax authorities for different periods between fiscal 2017 and 2024. We may be subject to ongoing tax examinations in various jurisdictions. Tax authorities may disagree with our intercompany charges or other matters and assess additional taxes. While we regularly assess the likely outcomes of these examinations to determine the appropriateness of our tax provision, tax audits are inherently uncertain, and an unfavorable outcome could occur. An unanticipated, unfavorable outcome in any specific period could harm our operating results for that period or future periods. The financial cost and management attention and time devoted to defending income tax positions may divert resources from our business operations, which could harm our business and profitability. Tax examinations may also adversely impact the timing and/or amount of our refund claims.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8"/>
          <w:szCs w:val="18"/>
          <w:color w:val="auto"/>
        </w:rPr>
        <w:t>Our effective tax rate has been and may continue to be adversely affected by changes in the mix of earnings in countries with differing statutory tax rates, changes in the valuation of our deferred tax assets and liabilities, changes in tax laws and the discovery of new information during our tax return preparation process. In particular, the carrying value of our deferred tax assets and the utilization of our net operating loss and credit carryforwards are dependent on our ability to generate future taxable income in the U.S. and other countries. Furthermore, these carryforwards are and may continue to be subject to annual limitations resulting from changes in our ownership.</w:t>
      </w:r>
    </w:p>
    <w:p>
      <w:pPr>
        <w:spacing w:after="0" w:line="185"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For example, beginning in fiscal 2022, the Tax Cuts and Jobs Act (“TCJA”), eliminated the option to deduct R&amp;D expenditures currently and required taxpayers to capitalize and amortize them over five or fifteen years pursuant to Internal Revenue Code Section 174. This increased our effective tax rate and our cash tax payable in fiscal 2022 through 2024. Although the requirement to capitalize R&amp;D performed in the U.S. was eliminated by the One Big Beautiful Bill Act (“OBBBA”) in fiscal 2025, the ongoing requirement to capitalize R&amp;D performed outside the U.S. continues to adversely impact our effective tax rate in fiscal 2025 and future years.</w:t>
      </w:r>
    </w:p>
    <w:p>
      <w:pPr>
        <w:spacing w:after="0" w:line="18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Also, the Organization for Economic Co-operation and Development (“OECD”) developed the pillar two global minimum tax framework (“Pillar Two”) under its Base Erosion and Profit Shifting ("BEPS") initiative, which provides for a minimum effective tax rate of 15% for multinational enterprises that meet certain consolidated revenue thresholds. Based on our evaluation of the applicable revenue thresholds and our current operating and legal structure, we do not expect the Pillar Two rules to apply to us. However, we will continue to monitor developments in tax legislation, regulatory guidance, and changes in our business that could affect the applicability of Pillar Two in future periods, these and other new tax legislation or initiatives could not only significantly increase our tax provision, cash tax liabilities, and effective tax rate, but could also significantly increase tax uncertainty due to differing interpretations and increased audit scrutiny, thereby adversely impacting our operational decisions and/or our profitability.</w:t>
      </w:r>
    </w:p>
    <w:p>
      <w:pPr>
        <w:spacing w:after="0" w:line="18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have tax incentives or tax holiday arrangements in the Philippines and Malaysia which may change or cease to be in effect or applicable, in part or in whole, for reasons within or beyond our control. In addition, if our assumptions and interpretations regarding tax laws, incentives or holiday arrangements prove to be incorrect or are otherwise modified, our corporate income tax burden may significantly increase. Also, some of our tax incentives in Malaysia are expiring and if we are unable to secure renewal of the expiring tax incentives, our effective tax rate may be adversely impacted.</w:t>
      </w:r>
    </w:p>
    <w:p>
      <w:pPr>
        <w:spacing w:after="0" w:line="176" w:lineRule="exact"/>
        <w:rPr>
          <w:sz w:val="20"/>
          <w:szCs w:val="20"/>
          <w:color w:val="auto"/>
        </w:rPr>
      </w:pPr>
    </w:p>
    <w:p>
      <w:pPr>
        <w:ind w:right="54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Compliance with regulations may impact sales to foreign customers and impose costs and any failure to comply with such laws may result in severe sanctions and liabilities, which may negatively affect our business, operating results and financial condition.</w:t>
      </w:r>
    </w:p>
    <w:p>
      <w:pPr>
        <w:spacing w:after="0" w:line="160"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Compliance with complex and dynamic U.S. and other foreign country laws and regulations that apply to our international sales activities increases our cost of doing business in international jurisdictions and could expose us or our employees to fines and penalties. These laws and regulations include import and export requirements including those under the U.S. State Department International Traffic in Arms Regulations (“ITAR”) and U.S. and other foreign business activity laws such as the UK Bribery Act or Foreign Corrupt Practices Act (“FCPA”), and local laws prohibiting corrupt payments to governmental officials. Violations of these laws and regulations could result in fines, criminal sanctions against us, our officers or our employees, prohibitions on the conduct of our business and damage to our reputation. Some of our business partners are located in parts of the world that have experienced governmental corruption to some degree and, in certain circumstances, strict compliance with anti-bribery laws may conflict with local customs and practices. The policies and procedures we have implemented to discourage these practices by our employees, our existing safeguards and any future improvements may prove to be ineffective, and our employees, consultants, sales agents or distributors may engage in conduct for which we might be held responsible. Although we have implemented policies and procedures designed to ensure compliance with these laws, there can be no assurances that our employees, contractors or agents will not violate our policies, or that our policies will be effective in preventing all potential violations. In addition, the U.S. government may seek to hold us liable for successor liability FCPA violations committed by companies in which we invest or that we acquire. Any such violations could include prohibitions on our ability to offer our products and services to one or more countries, and could also materially damage our reputation, our brand, our international expansion efforts, our ability to attract and retain employees, our business and our operating results. Further, defending against claims of violations of these laws and regulations, even if we are successful, could be time-consuming, result in costly litigation, divert management’s attention and resources and cause us to incur significant expenses.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addition, as a U.S. public company, we are subject to other regulations regarding our business and operations. For example, the SEC has adopted disclosure rules for companies that use conflict minerals in their products, with substantial supply chain verification requirements if the materials come from, or could have come from, the Democratic Republic of the Congo or adjoining countries. These rules and verification requirements impose additional costs on us and on our suppliers and may limit the sources or increase the cost of materials used in our products. Further, if we are unable to certify that our products are conflict free, we may face challenges with our customers that could place us at a competitive disadvantage, and our reputation may be harmed.</w:t>
      </w:r>
    </w:p>
    <w:p>
      <w:pPr>
        <w:spacing w:after="0" w:line="181"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Any failure to comply with environmental laws and regulations could subject us to significant fines and liabilities, and new laws and regulations (such as involving climate change) or changes in regulatory interpretation or enforcement could make compliance more difficult and costly.</w:t>
      </w:r>
    </w:p>
    <w:p>
      <w:pPr>
        <w:spacing w:after="0" w:line="160"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7"/>
          <w:szCs w:val="17"/>
          <w:color w:val="auto"/>
        </w:rPr>
        <w:t>We are subject to various U.S. federal, state and local, and foreign governmental laws and regulations relating to the protection of the environment, including those governing the discharge of pollutants into the air and water, the management and disposal of hazardous substances and wastes, the cleanup of contaminated sites and the maintenance of a safe workplace. We could incur substantial costs, including cleanup costs, civil or criminal fines or sanctions and third-party claims for property damage or personal injury, as a result of violations of or liabilities under environmental laws and regulations or non-compliance with the environmental permits required at our facilities. In addition, new regulations or shareholders or other public expectations for reductions in greenhouse gas emissions could result in increased energy, transportation and raw material costs, and may require us to make additional investments in facilities and equipment. As a result, the effects of climate change could have a long-term adverse impact on our business and results of operations.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may be changes in, and uncertainty with respect to, legislation, regulation and governmental policy in the U.S.</w:t>
      </w:r>
    </w:p>
    <w:p>
      <w:pPr>
        <w:spacing w:after="0" w:line="221" w:lineRule="exact"/>
        <w:rPr>
          <w:sz w:val="20"/>
          <w:szCs w:val="20"/>
          <w:color w:val="auto"/>
        </w:rPr>
      </w:pPr>
    </w:p>
    <w:p>
      <w:pPr>
        <w:ind w:right="60"/>
        <w:spacing w:after="0" w:line="214" w:lineRule="exact"/>
        <w:rPr>
          <w:sz w:val="20"/>
          <w:szCs w:val="20"/>
          <w:color w:val="auto"/>
        </w:rPr>
      </w:pPr>
      <w:r>
        <w:rPr>
          <w:rFonts w:ascii="Times New Roman" w:cs="Times New Roman" w:eastAsia="Times New Roman" w:hAnsi="Times New Roman"/>
          <w:sz w:val="17"/>
          <w:szCs w:val="17"/>
          <w:color w:val="auto"/>
        </w:rPr>
        <w:t>Specific legislative and regulatory proposals that could have a material impact on us include, but are not limited to, modifications to international trade policy, increased duties, tariffs or other export restrictions, public company reporting requirements, climate change and environmental regulation, corporate tax legislation, new employment and privacy laws, AI regulations, antitrust enforcement and other compliance regulations. For example, within public rulemakings from the U.S. Department of Commerce’s Bureau of Industry and Security (“BIS”) and related Federal Register actions alone, the semiconductor sector saw roughly 40–50 material changes to export laws and denied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lists in 2025. It can be challenging to continuously monitor evolving regulatory requirements and determine how best to implement appropriate compliance measures. Additionally, in early 2025, President Trump signed an executive order directing the Attorney General, for a period of 180 days , to (1) effectively halt the initiation of new FCPA investigations and enforcement actions and (2) undertake a detailed review of any such existing matters with an eye toward restoring proper bounds on enforcement. However, there can be no assurance that potential violations during this pause of enforcement minimize or eliminate the potential damages identified above.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Cybersecurity, Intellectual Property, Privacy and Litigation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could suffer in the event of cybersecurity breaches within our operational systems or products.</w:t>
      </w:r>
    </w:p>
    <w:p>
      <w:pPr>
        <w:spacing w:after="0" w:line="221"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Attempts by others to gain unauthorized access to information technology systems are becoming more sophisticated and are sometimes successful. These attempts, which might be related to industrial or other espionage, include covertly introducing malware to our computers and networks and impersonating authorized users, among others. We seek to detect and investigate all cybersecurity incidents and to prevent their recurrence, but in some cases, we might be unaware of an incident or its magnitude and effects. We have been impacted by immaterial “phishing” schemes and we are continuing our efforts to train employees on such risks but may still incur damages from such schemes in the future. We believe that the implementation of extensive employee telework practices has increased our cybersecurity risks. The theft, unauthorized use or publication of our intellectual property and/or confidential business information could harm our competitive position, reduce the value of our investment in research and development and other strategic initiatives or otherwise adversely affect our business. See Item 1C entitled “</w:t>
      </w:r>
      <w:r>
        <w:rPr>
          <w:rFonts w:ascii="Times New Roman" w:cs="Times New Roman" w:eastAsia="Times New Roman" w:hAnsi="Times New Roman"/>
          <w:sz w:val="17"/>
          <w:szCs w:val="17"/>
          <w:i w:val="1"/>
          <w:iCs w:val="1"/>
          <w:color w:val="auto"/>
        </w:rPr>
        <w:t>Cybersecurity</w:t>
      </w:r>
      <w:r>
        <w:rPr>
          <w:rFonts w:ascii="Times New Roman" w:cs="Times New Roman" w:eastAsia="Times New Roman" w:hAnsi="Times New Roman"/>
          <w:sz w:val="17"/>
          <w:szCs w:val="17"/>
          <w:color w:val="auto"/>
        </w:rPr>
        <w:t>” for additional information about our cybersecurity processes, oversight, risk mitigation and governance. To the extent that any security breach results in inappropriate disclosure of our customers’ or licensees’ confidential information, we may incur liability as a result. In response to these risks, we expect to continue to devote additional resources to the security of our information technology systems. Any future attacks which may disrupt our IT systems, or those of our suppliers, could impact our sales, financial results and stock price.</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fail to adequately protect our intellectual property and, therefore, lose our competitive advantage.</w:t>
      </w:r>
    </w:p>
    <w:p>
      <w:pPr>
        <w:spacing w:after="0" w:line="22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Our future success and competitive position depend in part upon our ability to obtain and maintain proprietary technology for our principal product families. If we fail to adequately protect our intellectual property, it will give our competitors a significant advantage. We own or have licensed a number of patents relating to our products, and have filed applications for additional patents. Any of our pending patent applications may be rejected, however, and we may be unable to develop additional proprietary technology that is patentable in the future. In addition, the patents that we do own or that have been issued or licensed to us may not provide us with competitive advantages and/or may be challenged by third parties.</w:t>
      </w:r>
    </w:p>
    <w:p>
      <w:pPr>
        <w:spacing w:after="0" w:line="185"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8"/>
          <w:szCs w:val="18"/>
          <w:color w:val="auto"/>
        </w:rPr>
        <w:t>Third parties may also design around our patents or copy our patented inventions without our knowledge. In addition to patent protection, we rely upon copyrights for protection of our proprietary software and documentation, trademarks for protection of our brand and source of goods, and trade secret law and confidentiality and exclusivity agreements for protection of our confidential and proprietary information and technology. These measures do not guarantee protection of our intellectual property, however. Even though we routinely enter into confidentiality agreements with our employees and other third parties there can be no assurances that trade secrets and proprietary information will not be disclosed, that others will not independently develop substantially equivalent proprietary information and techniques or otherwise gain access to our trade secrets, or that we can fully protect our trade secrets and proprietary information. It is also possible that third parties will misappropriate our trade secrets or other confidential information. We may be subject to cybersecurity breaches in which a third party obtains our confidential information. Third parties may also reverse engineer our products to copy our technology. Any of these circumstances could result in harm to our competitive position in the market.</w:t>
      </w:r>
    </w:p>
    <w:p>
      <w:pPr>
        <w:spacing w:after="0" w:line="18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Monitoring and preventing unauthorized use are also difficult and the measures we take to protect our intellectual property rights may not be adequate. From time to time, we may find it necessary to initiate litigation against other persons or entities to protect and/or enforce our intellectual property or contractual rights. However, litigation is costly and time consuming and there is no assurance that any lawsuit we bring will yield the result that we seek, as (i) the lawsuit may be dismissed or there could be an adverse finding, (ii) we may not be able to pursue the lawsuit due to the laws of the applicable country or (iii) there may be a subsequent unfavorable change in law that limits our ability to pursue the lawsuit. For example, litigation discovery practice in China, Japan, South Korea, continental Europe and Taiwan is not as robust as the U.S., so it can be more difficult to determine if a company is infringing on our patents and more challenging to bring a lawsuit. If this occurs, it would be easier for our competitors to develop and sell competing products in these countries resulting in a loss of sales.</w:t>
      </w:r>
    </w:p>
    <w:p>
      <w:pPr>
        <w:spacing w:after="0" w:line="186" w:lineRule="exact"/>
        <w:rPr>
          <w:sz w:val="20"/>
          <w:szCs w:val="20"/>
          <w:color w:val="auto"/>
        </w:rPr>
      </w:pPr>
    </w:p>
    <w:p>
      <w:pPr>
        <w:ind w:right="58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or defend ourselves against intellectual property infringement claims, which may be time-consuming and expensive, or affect the freedom to operate our business.</w:t>
      </w:r>
    </w:p>
    <w:p>
      <w:pPr>
        <w:spacing w:after="0" w:line="160"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Our competitors or other third parties may hold or obtain patents, copyrights, trademarks or other proprietary rights that could prevent, limit or interfere with our ability to make, use, develop, sell or market our products and services, which could make it more difficult for us to operate our business. From time to time, the holders of such intellectual property rights may assert their rights and urge us to take licenses and/or may bring suits alleging infringement or misappropriation of such rights, which could result in substantial costs, negative publicity and management attention, regardless of merit.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While we endeavor to obtain and protect the intellectual property rights that we expect will allow us to retain or advance our strategic initiatives in these circumstances, there can be no assurance that we will be able to adequately identify and protect the portions of intellectual property that are strategic to our business or mitigate the risk of potential suits or other legal demands by third parties. Accordingly, we may consider entering into licensing agreements with respect to such rights, although no assurance can be given that such licenses can be obtained on acceptable terms or that litigation will not occur, and such licenses and associated litigation could significantly increase our operating expenses. Further, if we are determined to have or believe there is a high likelihood that we have infringed upon a third party’s intellectual property rights, we may be required to cease making, selling or incorporating certain components or intellectual property into the goods and services we offer, to pay substantial damages and/or license royalties, to redesign our products and services and/or to establish and maintain alternative branding for our products and services. In the event that we are required to take one or more such actions, our brand, business, financial condition and operating results may be harmed.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privacy, identity protection and information security compliance may require significant resources and present certain risks.</w:t>
      </w:r>
    </w:p>
    <w:p>
      <w:pPr>
        <w:spacing w:after="0" w:line="221"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color w:val="auto"/>
        </w:rPr>
        <w:t>We collect, store, have access to and otherwise process certain confidential or sensitive data, including proprietary business information, customer data, personal data or other information that is subject to privacy and security laws, regulations and/or customer-imposed controls. We continue to monitor global privacy laws and legislation to determine their impact on our business. We do not process individual credit card information, but we do maintain certain personal identifiable information on our employees. Such employee information may be subject to the EU General Data Protection Regulation and/or the California Consumer Protection Act. We believe that we have implemented reasonable procedures and internal controls in compliance with these laws, but should such actions be insufficient, we may be subject to regulatory investigations, fines and legal costs. In addition, we operate in an environment in which there are different and potentially conflicting data privacy laws in effect in the various U.S. states and foreign jurisdictions in which we operate and we must understand and comply with each law and standard in each of these jurisdictions while ensuring the data is secure. Government enforcement actions can be costly and interrupt the regular operation of our business, and violations of data privacy laws can result in fines, reputational damage and civil lawsuits, any of which may adversely affect our business, reputation and financial statements.</w:t>
      </w:r>
    </w:p>
    <w:p>
      <w:pPr>
        <w:spacing w:after="0" w:line="19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7"/>
          <w:szCs w:val="17"/>
          <w:color w:val="auto"/>
        </w:rPr>
        <w:t>We could face negative consequences in the future if we, our suppliers, channel partners, customers or other third parties experience the actual or perceived risk of theft, loss, fraudulent use or misuse of data. Such an event could lead customers to select the products and services of our competitors. An incident could harm our reputation, cause unfavorable publicity or otherwise adversely affect certain potential customers’ perception of the security and reliability of our services as well as our credibility and reputation, which could result in the loss of sales or curtailed growth. While we maintain general liability and cybersecurity insurance coverage, such coverage might not be adequate or otherwise protect us from liabilities or damages with respect to claims alleging compromises of customer data, that such coverage will continue to be available to us on acceptable terms or at all, or that such coverage will pay future claims.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litigation or regulatory proceedings that could have an adverse effect on our business.</w:t>
      </w:r>
    </w:p>
    <w:p>
      <w:pPr>
        <w:spacing w:after="0" w:line="221" w:lineRule="exact"/>
        <w:rPr>
          <w:sz w:val="20"/>
          <w:szCs w:val="20"/>
          <w:color w:val="auto"/>
        </w:rPr>
      </w:pPr>
    </w:p>
    <w:p>
      <w:pPr>
        <w:jc w:val="both"/>
        <w:ind w:right="160"/>
        <w:spacing w:after="0" w:line="259" w:lineRule="auto"/>
        <w:rPr>
          <w:sz w:val="20"/>
          <w:szCs w:val="20"/>
          <w:color w:val="auto"/>
        </w:rPr>
      </w:pPr>
      <w:r>
        <w:rPr>
          <w:rFonts w:ascii="Times New Roman" w:cs="Times New Roman" w:eastAsia="Times New Roman" w:hAnsi="Times New Roman"/>
          <w:sz w:val="18"/>
          <w:szCs w:val="18"/>
          <w:color w:val="auto"/>
        </w:rPr>
        <w:t>From time to time, we may be subject to litigation or other administrative, regulatory or governmental proceedings, including tax audits and resulting claims that could require significant management time and resources and cause us to incur expenses and, in the event of an adverse decision, pay damages or incur costs in an amount that could have a material adverse effect on our financial position or results of operations.</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recognize the critical importance of developing, implementing, and maintaining robust cybersecurity measures to safeguard our information systems and protect the confidentiality, integrity, and availability of our intellectual property and data. We maintain policies and procedures designed to allow management to assess, identify, and manage material risks from cybersecurity threats. We integrate our cybersecurity policies and procedures into our overall enterprise risk management program, which is implemented by management and overseen by the Board through its Audit Committee.</w:t>
      </w:r>
    </w:p>
    <w:p>
      <w:pPr>
        <w:spacing w:after="0" w:line="180"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We utilize the Center for Internet Security (“CIS”) Critical Security Controls as a framework for managing our cybersecurity program. The CIS framework outlines 18 critical control areas relating to organizational security and provides effective methodologies, guidelines, and industry standard best practices to develop and manage a comprehensive cybersecurity program. Additionally, we align our controls to various international security certifications and standards and have adopted best practices from industry leading frameworks. Our cybersecurity program includes policies and procedures relating to encryption, data loss prevention technology, authentication technology, access control, anti-malware software, third-party risk monitoring, insider risk management and identity management. We engage third-party services to conduct evaluations of our security controls, whether through penetration testing, independent audits, or consulting on best practices to address new challenges. These evaluations include testing both the design and operational effectiveness of security controls. We also regularly obtain system and organization control (“SOC”) reports from our service providers (“SOC 2”). Members of our corporate information security organization receive information exchanges from their professional networks and attend training, webinars, and conferences to stay up to date on both trends and system-specific updates. In addition, all Cohu employees are required to complete continuous security awareness training including annual training, periodic testing and frequent notifications regarding updates on trends or types of attacks, each of which are designed to promote a company-wide culture of cybersecurity risk awareness and management.</w:t>
      </w:r>
    </w:p>
    <w:p>
      <w:pPr>
        <w:spacing w:after="0" w:line="189"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8"/>
          <w:szCs w:val="18"/>
          <w:color w:val="auto"/>
        </w:rPr>
        <w:t>In the last three fiscal years, we have not experienced any material cybersecurity incidents and the expenses we have incurred from cybersecurity incidents, including penalties and settlements, were immaterial. As a result, we do not believe that risks from cybersecurity threats, including as a result of any previous cybersecurity incidents, have materially affected us, our results of operations or financial condition. Notwithstanding the measures we take to assess, identify, and manage cybersecurity risks, we may not be successful in preventing or mitigating a cybersecurity incident that could have a material adverse effect on us and we may experience such incidents in the future and the scope and impact of any such future incidents cannot be predicted. For a discussion of how risks from identified cybersecurity threats, including as a result of any previous cybersecurity incidents, may materially affect or are reasonably likely to materially affect us, including our business strategy, results of operations or financial condition, see the risk factor entitled “</w:t>
      </w:r>
      <w:r>
        <w:rPr>
          <w:rFonts w:ascii="Times New Roman" w:cs="Times New Roman" w:eastAsia="Times New Roman" w:hAnsi="Times New Roman"/>
          <w:sz w:val="18"/>
          <w:szCs w:val="18"/>
          <w:i w:val="1"/>
          <w:iCs w:val="1"/>
          <w:color w:val="auto"/>
        </w:rPr>
        <w:t>Our business and operations could suffer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event of cybersecurity breaches within our operational systems or products</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the Board of Directors and the Audit Committee</w:t>
      </w:r>
    </w:p>
    <w:p>
      <w:pPr>
        <w:spacing w:after="0" w:line="219"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As part of the Board’s role in overseeing our enterprise risk management program, which includes our cybersecurity risk management, the Board is responsible for exercising oversight of management’s identification and management of, and planning for, material cybersecurity risks that may reasonably be expected to have an adverse effect on us. While the full Board has overall responsibility for risk oversight, the Board has delegated oversight responsibility related to risks from cybersecurity threats to the Audit Committee. The Audit Committee is informed of the Company’s cybersecurity risk management and receives an overview of its cybersecurity program from management at least annually, which typically includes a table top simulation and covers topics including, among others, recent cybersecurity risk landscape and trends, data security posture, results from third-party assessments, training and vulnerability testing, our incident response plan, material cybersecurity risks, whether developing or actual, as well as the steps management has taken to respond to such risks, emerging cybersecurity regulations, technologies and best practices. This review helps in identifying areas for improvement and in aligning cybersecurity efforts with the overall risk management framework and promotion of our business objectives and operational needs. In addition to our scheduled meetings, the Audit Committee maintains an ongoing dialogue with management, including regarding emerging or potential cybersecurity risks.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Management</w:t>
      </w:r>
    </w:p>
    <w:p>
      <w:pPr>
        <w:spacing w:after="0" w:line="219" w:lineRule="exact"/>
        <w:rPr>
          <w:sz w:val="20"/>
          <w:szCs w:val="20"/>
          <w:color w:val="auto"/>
        </w:rPr>
      </w:pPr>
    </w:p>
    <w:p>
      <w:pPr>
        <w:ind w:right="220"/>
        <w:spacing w:after="0" w:line="274" w:lineRule="auto"/>
        <w:rPr>
          <w:sz w:val="20"/>
          <w:szCs w:val="20"/>
          <w:color w:val="auto"/>
        </w:rPr>
      </w:pPr>
      <w:r>
        <w:rPr>
          <w:rFonts w:ascii="Times New Roman" w:cs="Times New Roman" w:eastAsia="Times New Roman" w:hAnsi="Times New Roman"/>
          <w:sz w:val="18"/>
          <w:szCs w:val="18"/>
          <w:color w:val="auto"/>
        </w:rPr>
        <w:t>Our corporate information security organization, led by our Chief Information Security Officer (“CISO”), is responsible for our overall information security strategy, policy, security engineering, operations and cyber threat detection and response.</w:t>
      </w:r>
    </w:p>
    <w:p>
      <w:pPr>
        <w:spacing w:after="0" w:line="16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Our CISO has over 35 years of experience in various roles in information technology and information security, including serving as SVP and CIO or VP and CIO at various defense, aerospace and semiconductor supplier companies. He holds a bachelor’s degree in Computer Science, an MBA, and holds several relevant certifications, including Information Technology Infrastructure Library (ITIL) Certification. The corporate information security organization manages and regularly enhances our enterprise security structure with the goal of preventing cybersecurity incidents to the extent feasible, while simultaneously increasing our system resilience in an effort to minimize the business impact should an incident occur. Central to this organization is our cybersecurity incident response team (“CIRT”), which is responsible for the protection, detection and response capabilities used in the defense of Cohu’s data and enterprise computing networks. In the event of an incident, we intend to follow our incident response plan, which outlines the steps to be followed from incident detection to mitigation, mitigation or eradication, recovery and notification, including notifying key functional areas, as well as the CISO, General Counsel, CEO, Chairperson of the Board and Chairperson of the Audit Committee and other members of the Board, as appropriate.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59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information concerning our principal properties at December 27, 2025, is set forth below:</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2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Major</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Approx.</w:t>
            </w:r>
          </w:p>
        </w:tc>
        <w:tc>
          <w:tcPr>
            <w:tcW w:w="1960" w:type="dxa"/>
            <w:vAlign w:val="bottom"/>
          </w:tcPr>
          <w:p>
            <w:pPr>
              <w:spacing w:after="0"/>
              <w:rPr>
                <w:sz w:val="18"/>
                <w:szCs w:val="18"/>
                <w:color w:val="auto"/>
              </w:rPr>
            </w:pPr>
          </w:p>
        </w:tc>
      </w:tr>
      <w:tr>
        <w:trPr>
          <w:trHeight w:val="232"/>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Activities</w:t>
            </w:r>
          </w:p>
        </w:tc>
        <w:tc>
          <w:tcPr>
            <w:tcW w:w="22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Sq. Ft.</w:t>
            </w:r>
          </w:p>
        </w:tc>
        <w:tc>
          <w:tcPr>
            <w:tcW w:w="120" w:type="dxa"/>
            <w:vAlign w:val="bottom"/>
          </w:tcPr>
          <w:p>
            <w:pPr>
              <w:spacing w:after="0"/>
              <w:rPr>
                <w:sz w:val="20"/>
                <w:szCs w:val="20"/>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Ownership</w:t>
            </w:r>
          </w:p>
        </w:tc>
      </w:tr>
      <w:tr>
        <w:trPr>
          <w:trHeight w:val="205"/>
        </w:trPr>
        <w:tc>
          <w:tcPr>
            <w:tcW w:w="542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San Diego, California</w:t>
            </w:r>
          </w:p>
        </w:tc>
        <w:tc>
          <w:tcPr>
            <w:tcW w:w="1700" w:type="dxa"/>
            <w:vAlign w:val="bottom"/>
            <w:gridSpan w:val="2"/>
            <w:shd w:val="clear" w:color="auto" w:fill="CCEEFF"/>
          </w:tcPr>
          <w:p>
            <w:pPr>
              <w:jc w:val="right"/>
              <w:ind w:right="220"/>
              <w:spacing w:after="0" w:line="205" w:lineRule="exact"/>
              <w:rPr>
                <w:sz w:val="20"/>
                <w:szCs w:val="20"/>
                <w:color w:val="auto"/>
              </w:rPr>
            </w:pPr>
            <w:r>
              <w:rPr>
                <w:rFonts w:ascii="Times New Roman" w:cs="Times New Roman" w:eastAsia="Times New Roman" w:hAnsi="Times New Roman"/>
                <w:sz w:val="18"/>
                <w:szCs w:val="18"/>
                <w:color w:val="auto"/>
              </w:rPr>
              <w:t>1, 2, 4, 5</w:t>
            </w:r>
          </w:p>
        </w:tc>
        <w:tc>
          <w:tcPr>
            <w:tcW w:w="1600" w:type="dxa"/>
            <w:vAlign w:val="bottom"/>
            <w:gridSpan w:val="2"/>
            <w:shd w:val="clear" w:color="auto" w:fill="CCEEFF"/>
          </w:tcPr>
          <w:p>
            <w:pPr>
              <w:jc w:val="right"/>
              <w:ind w:right="120"/>
              <w:spacing w:after="0" w:line="205" w:lineRule="exact"/>
              <w:rPr>
                <w:sz w:val="20"/>
                <w:szCs w:val="20"/>
                <w:color w:val="auto"/>
              </w:rPr>
            </w:pPr>
            <w:r>
              <w:rPr>
                <w:rFonts w:ascii="Times New Roman" w:cs="Times New Roman" w:eastAsia="Times New Roman" w:hAnsi="Times New Roman"/>
                <w:sz w:val="18"/>
                <w:szCs w:val="18"/>
                <w:color w:val="auto"/>
              </w:rPr>
              <w:t>78,000</w:t>
            </w:r>
          </w:p>
        </w:tc>
        <w:tc>
          <w:tcPr>
            <w:tcW w:w="1960" w:type="dxa"/>
            <w:vAlign w:val="bottom"/>
            <w:shd w:val="clear" w:color="auto" w:fill="CCEEFF"/>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Leased</w:t>
            </w:r>
          </w:p>
        </w:tc>
      </w:tr>
      <w:tr>
        <w:trPr>
          <w:trHeight w:val="212"/>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Melaka, Malaysia</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2, 3, 4, 5</w:t>
            </w: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117,000</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Owned</w:t>
            </w:r>
          </w:p>
        </w:tc>
      </w:tr>
      <w:tr>
        <w:trPr>
          <w:trHeight w:val="212"/>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Calamba City, Laguna, Philippines</w:t>
            </w: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2, 3, 4, 5</w:t>
            </w:r>
          </w:p>
        </w:tc>
        <w:tc>
          <w:tcPr>
            <w:tcW w:w="1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92,000</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Owned</w:t>
            </w:r>
          </w:p>
        </w:tc>
      </w:tr>
      <w:tr>
        <w:trPr>
          <w:trHeight w:val="212"/>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Kolbermoor, Germany</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2, 3, 4, 5</w:t>
            </w: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83,000</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Owned</w:t>
            </w:r>
          </w:p>
        </w:tc>
      </w:tr>
      <w:tr>
        <w:trPr>
          <w:trHeight w:val="212"/>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Osaka, Japan</w:t>
            </w: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2, 3, 4, 5</w:t>
            </w:r>
          </w:p>
        </w:tc>
        <w:tc>
          <w:tcPr>
            <w:tcW w:w="1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67,000</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Owned</w:t>
            </w:r>
          </w:p>
        </w:tc>
      </w:tr>
      <w:tr>
        <w:trPr>
          <w:trHeight w:val="212"/>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Norwood, Massachusetts</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2, 4, 5</w:t>
            </w: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46,000</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12"/>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 Chaux-de-Fonds, Switzerland</w:t>
            </w: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2, 4, 5</w:t>
            </w:r>
          </w:p>
        </w:tc>
        <w:tc>
          <w:tcPr>
            <w:tcW w:w="1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12"/>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Milpitas, California</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2, 4, 5</w:t>
            </w: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31,000</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12"/>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Singapore</w:t>
            </w: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2, 3, 4, 5</w:t>
            </w:r>
          </w:p>
        </w:tc>
        <w:tc>
          <w:tcPr>
            <w:tcW w:w="1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24,000</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12"/>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Lincoln, Rhode Island</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2, 3, 4, 5</w:t>
            </w: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22,000</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r>
      <w:tr>
        <w:trPr>
          <w:trHeight w:val="225"/>
        </w:trPr>
        <w:tc>
          <w:tcPr>
            <w:tcW w:w="5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 Paul, Minnesota</w:t>
            </w:r>
          </w:p>
        </w:tc>
        <w:tc>
          <w:tcPr>
            <w:tcW w:w="170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2, 4, 5</w:t>
            </w:r>
          </w:p>
        </w:tc>
        <w:tc>
          <w:tcPr>
            <w:tcW w:w="160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17,000</w:t>
            </w:r>
          </w:p>
        </w:tc>
        <w:tc>
          <w:tcPr>
            <w:tcW w:w="19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r>
    </w:tbl>
    <w:p>
      <w:pPr>
        <w:spacing w:after="0" w:line="19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Major activities have been separated into the following categories: 1. Corporate Administration/Principal Executive Offices and Global Headquarters, 2. Sales, Service and Customer Support, 3. Manufacturing, 4. Engineering and Product Development, and 5. Marketing, Finance and General Administration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addition to the locations listed above, we lease other properties primarily for sales and service, engineering, and general administration in various locations.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our facilities are suitable for their respective uses and are adequate for our present needs.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13, “Commitments and Contingencies” in Part IV, Item 15(a) of this Form 10-K for information regarding legal proceedings.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Common Equity, Related Stockholder Matters and Issuer Purchases of Equity Securities.</w:t>
      </w:r>
    </w:p>
    <w:p>
      <w:pPr>
        <w:spacing w:after="0" w:line="217" w:lineRule="exact"/>
        <w:rPr>
          <w:sz w:val="20"/>
          <w:szCs w:val="20"/>
          <w:color w:val="auto"/>
        </w:rPr>
      </w:pPr>
    </w:p>
    <w:p>
      <w:pPr>
        <w:ind w:left="520" w:hanging="514"/>
        <w:spacing w:after="0"/>
        <w:tabs>
          <w:tab w:leader="none" w:pos="5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 Information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Cohu, Inc. stock is traded on the Nasdaq Global Select Market under the symbol “COHU”.</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19"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color w:val="auto"/>
        </w:rPr>
        <w:t>At February 4, 2026, Cohu had 395 stockholders of record.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1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On May 5, 2020, the Board indefinitely suspended the quarterly cash dividend. The suspension is intended to support our strategy of maintaining liquidity and reducing indebtedness. Any determination to reinitiate dividend payments will be made at the discretion of the Board and will be evaluated periodically in light of, among other considerations, projected capital requirements, debt service obligations, research and development priorities, potential investments and acquisitions, legal and regulatory considerations, and stock repurchase activities. No assurance can be given as to whether or when cash dividends will be reinstated.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has been previously disclosed in our Current Report on Form 8-K filed with the SEC on September 29, 2025.</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19"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On October 28, 2021, we announced that the Board authorized a $70 million share repurchase program. This share repurchase program was effective as of November 2, 2021, and has no expiration date. On October 25, 2022, the Board authorized an additional $70 million under the share repurchase program. The timing of share repurchases and the number of shares of common stock to be repurchased will depend upon prevailing market conditions and other factors. Repurchases under this program will be made using our existing cash resources and may be commenced or suspended from time to time at our discretion without prior notice. Repurchases may be made in the open market, through 10b5-1 programs, or in privately negotiated transactions at prevailing market rates in accordance with federal securities laws. All such repurchased shares and related costs are held as treasury stock and accounted for at trade date using the cost method. The total number of shares of common stock we purchased during the fiscal year ended December 27, 2025, was 432,288 shares.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repurchase any shares of our common stock during the three months ending December 27, 2025.</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19"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8"/>
          <w:szCs w:val="18"/>
          <w:color w:val="auto"/>
        </w:rPr>
        <w:t>The information required by this Item regarding equity compensation plans is incorporated by reference to the information set forth in Part III, Item 12 of this Annual Report on Form 10-K.</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Comparative Stock Performance Graph</w:t>
      </w:r>
    </w:p>
    <w:p>
      <w:pPr>
        <w:spacing w:after="0" w:line="217"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The information contained in this Stock Performance Graph section shall not be deemed to be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soliciting material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filed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with the SEC or subject to the liabilities of Section 18 of the Exchange Act except to the extent that Cohu specifically incorporates it by reference into a document filed under the Securities Act or the Exchange Act.</w:t>
      </w:r>
    </w:p>
    <w:p>
      <w:pPr>
        <w:spacing w:after="0" w:line="175"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The graph below compares the cumulative total stockholder return on the common stock of Cohu for the last five fiscal years with the cumulative total return on custom Peer Group Indexes and a Nasdaq Global Select Market Index over the same period (assuming the investment of $100 in Cohu’s common stock, Peer Group Index and Nasdaq Global Select Market Index on December 24, 2020, and reinvestment of all dividends). The custom Peer Group Indexes are comprised of companies within our industry and are utilized in our executive compensation planning process. This peer group is revised annually to reflect acquisitions and to include comparable companies in the semiconductor equipment market to ensure a sufficient number of companies in the peer group composition to enable a meaningful comparison and benchmarking. The custom peer group in fiscal 2025 was comprised of ACM Research, Inc., Alpha &amp; Omega Semiconductor Limited, Arlo Technologies, Inc., Axcelis Technologies, Inc., Badger Meter, Inc., FormFactor, Inc., Harmonic Inc., Ichor Holdings Ltd., indie Semiconductor, Inc., Kulicke and Soffa Industries, Inc., MACOM Technology Solutions Holdings, Inc., MaxLinear, Inc., Novanta, Inc., OSI Systems, Inc., PAR Technology Corporation, Penguin Solutions, Inc., Photronics, Inc., Power Integrations, Inc., Semtech Corporation, Silicon Laboratories Inc., Ultra Clean Holdings, Inc., Veeco Instruments Inc., and Vishay Precision Group, Inc. (collectively, the “2025 Peer Group”). The custom peer group in fiscal 2024 was comprised of Advanced Energy Industries, Inc., Alpha &amp; Omega Semiconductor Limited, Axcelis Technologies, Inc., Badger Meter, Inc., Cirrus Logic, Inc., FormFactor, Inc., Harmonic Inc., Ichor Holdings Ltd., Kulicke and Soffa Industries, Inc., MACOM Technology Solutions Holdings, Inc., MaxLinear, Inc., Novanta, Inc., Onto Innovation, OSI Systems, Inc., Penguin Solutions, Inc., Photronics, Inc., Ultra Clean Holdings, Inc. and Veeco Instruments, Inc. (collectively, the “2024 Peer Group”). Changes were made from the custom peer group used in fiscal 2024 to allow for a more relevant comparison of our stock performance. In selecting our peer group, the Compensation Committee of the Board considered competitive market data and an analysis prepared by Compensia and identified companies headquartered in the U.S. in the semiconductor capital equipment and electronic capital equipment and instrumentation sectors that were comparable to us based on revenue and our market capitalization, and that had similar scope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1442720</wp:posOffset>
            </wp:positionH>
            <wp:positionV relativeFrom="paragraph">
              <wp:posOffset>122555</wp:posOffset>
            </wp:positionV>
            <wp:extent cx="4265930" cy="34918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265930" cy="3491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7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r>
      <w:tr>
        <w:trPr>
          <w:trHeight w:val="205"/>
        </w:trPr>
        <w:tc>
          <w:tcPr>
            <w:tcW w:w="174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Cohu, Inc.</w:t>
            </w:r>
          </w:p>
        </w:tc>
        <w:tc>
          <w:tcPr>
            <w:tcW w:w="260" w:type="dxa"/>
            <w:vAlign w:val="bottom"/>
            <w:shd w:val="clear" w:color="auto" w:fill="CCEEFF"/>
          </w:tcPr>
          <w:p>
            <w:pPr>
              <w:jc w:val="right"/>
              <w:ind w:right="72"/>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100</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98</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2"/>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83</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7"/>
                <w:szCs w:val="17"/>
                <w:color w:val="auto"/>
              </w:rPr>
            </w:pPr>
          </w:p>
        </w:tc>
      </w:tr>
      <w:tr>
        <w:trPr>
          <w:trHeight w:val="212"/>
        </w:trPr>
        <w:tc>
          <w:tcPr>
            <w:tcW w:w="1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NASDAQ Index</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122</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w:t>
            </w:r>
          </w:p>
        </w:tc>
        <w:tc>
          <w:tcPr>
            <w:tcW w:w="26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w:t>
            </w:r>
          </w:p>
        </w:tc>
        <w:tc>
          <w:tcPr>
            <w:tcW w:w="340" w:type="dxa"/>
            <w:vAlign w:val="bottom"/>
            <w:gridSpan w:val="2"/>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w:t>
            </w:r>
          </w:p>
        </w:tc>
        <w:tc>
          <w:tcPr>
            <w:tcW w:w="340" w:type="dxa"/>
            <w:vAlign w:val="bottom"/>
            <w:gridSpan w:val="2"/>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w:t>
            </w:r>
          </w:p>
        </w:tc>
      </w:tr>
      <w:tr>
        <w:trPr>
          <w:trHeight w:val="212"/>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Russell 2000</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115</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w:t>
            </w:r>
          </w:p>
        </w:tc>
        <w:tc>
          <w:tcPr>
            <w:tcW w:w="2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w:t>
            </w:r>
          </w:p>
        </w:tc>
        <w:tc>
          <w:tcPr>
            <w:tcW w:w="34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w:t>
            </w:r>
          </w:p>
        </w:tc>
        <w:tc>
          <w:tcPr>
            <w:tcW w:w="34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w:t>
            </w:r>
          </w:p>
        </w:tc>
      </w:tr>
      <w:tr>
        <w:trPr>
          <w:trHeight w:val="212"/>
        </w:trPr>
        <w:tc>
          <w:tcPr>
            <w:tcW w:w="1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2024 Peer Group</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143</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w:t>
            </w:r>
          </w:p>
        </w:tc>
        <w:tc>
          <w:tcPr>
            <w:tcW w:w="26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w:t>
            </w:r>
          </w:p>
        </w:tc>
        <w:tc>
          <w:tcPr>
            <w:tcW w:w="340" w:type="dxa"/>
            <w:vAlign w:val="bottom"/>
            <w:gridSpan w:val="2"/>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w:t>
            </w:r>
          </w:p>
        </w:tc>
        <w:tc>
          <w:tcPr>
            <w:tcW w:w="340" w:type="dxa"/>
            <w:vAlign w:val="bottom"/>
            <w:gridSpan w:val="2"/>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w:t>
            </w:r>
          </w:p>
        </w:tc>
      </w:tr>
      <w:tr>
        <w:trPr>
          <w:trHeight w:val="212"/>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2025 Peer Group</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141</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w:t>
            </w:r>
          </w:p>
        </w:tc>
        <w:tc>
          <w:tcPr>
            <w:tcW w:w="2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w:t>
            </w:r>
          </w:p>
        </w:tc>
        <w:tc>
          <w:tcPr>
            <w:tcW w:w="34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w:t>
            </w:r>
          </w:p>
        </w:tc>
        <w:tc>
          <w:tcPr>
            <w:tcW w:w="34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w:t>
            </w: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19"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We have adopted the amendments to Items 301 and 302 of Regulation S-K contained in SEC Release No. 33-10890. As a result, the disclosure previously provided in Part II, Item 6 is no longer required. There were no retrospective changes to the consolidated statements of operations for any quarters in the two most recent fiscal years that would require disclosure under Item 302, as amended.</w:t>
      </w:r>
    </w:p>
    <w:p>
      <w:pPr>
        <w:sectPr>
          <w:pgSz w:w="11900" w:h="16838" w:orient="portrait"/>
          <w:cols w:equalWidth="0" w:num="1">
            <w:col w:w="11140"/>
          </w:cols>
          <w:pgMar w:left="320" w:top="121" w:right="439" w:bottom="1440" w:gutter="0" w:footer="0" w:header="0"/>
        </w:sectPr>
      </w:pPr>
    </w:p>
    <w:p>
      <w:pPr>
        <w:spacing w:after="0" w:line="17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19" w:lineRule="exact"/>
        <w:rPr>
          <w:sz w:val="20"/>
          <w:szCs w:val="20"/>
          <w:color w:val="auto"/>
        </w:rPr>
      </w:pPr>
    </w:p>
    <w:p>
      <w:pPr>
        <w:ind w:right="700"/>
        <w:spacing w:after="0" w:line="274" w:lineRule="auto"/>
        <w:rPr>
          <w:sz w:val="20"/>
          <w:szCs w:val="20"/>
          <w:color w:val="auto"/>
        </w:rPr>
      </w:pPr>
      <w:r>
        <w:rPr>
          <w:rFonts w:ascii="Times New Roman" w:cs="Times New Roman" w:eastAsia="Times New Roman" w:hAnsi="Times New Roman"/>
          <w:sz w:val="18"/>
          <w:szCs w:val="18"/>
          <w:color w:val="auto"/>
        </w:rPr>
        <w:t>Cohu is a global supplier of equipment and services optimizing semiconductor manufacturing yield and productivity. We serve global semiconductor manufacturers and test subcontractors with a broad portfolio of products and services.</w:t>
      </w:r>
    </w:p>
    <w:p>
      <w:pPr>
        <w:spacing w:after="0" w:line="163"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For the fiscal year ending December 27, 2025, our net sales increased 12.7%, year-over-year, to $453.0 million. Revenue from our capital equipment products is primarily driven by customers’ capital expenditures and operating budgets, which can fluctuate significantly based on variations in their business conditions. These expenditures depend on current and anticipated market demand for semiconductor devices and the products that incorporate them. In contrast, revenue from our recurring products—such as test consumables and services—is influenced by the volume of semiconductor devices tested and the ongoing introduction of new technologies by our customers. As a result, recurring generally provides a more stable source of revenue and exhibits less cyclicality than capital equipment products.</w:t>
      </w:r>
    </w:p>
    <w:p>
      <w:pPr>
        <w:spacing w:after="0" w:line="185"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Global macroeconomic and geopolitical factors have recently impacted the semiconductor industry. Higher cost of capital, slowing demand, and elevated inventory levels have led many semiconductor companies to reduce costs, delay capacity expansions, and implement workforce reductions. Current year’s net sales were driven by stronger demand for mobile and AI-based computing applications. While the global macroeconomic environment continues to weigh on automotive, industrial, and consumer segments, demand for mobile and AI-based computing applications helped offset these pressures. In response to economic conditions, on February 19, 2025, we initiated a global restructuring program designed to improve profitability while maintaining investment in product development.</w:t>
      </w:r>
    </w:p>
    <w:p>
      <w:pPr>
        <w:spacing w:after="0" w:line="185"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8"/>
          <w:szCs w:val="18"/>
          <w:color w:val="auto"/>
        </w:rPr>
        <w:t>To offset dilution from share-based compensation plans, we repurchased 432,288 shares of our common stock for approximately $8.6 million during fiscal 2025. We remain focused on building a well-balanced and resilient business model, executing on customer design wins, and developing innovative products. We are expanding market opportunities with new solutions and are encouraged by growing demand for semiconductor testing and inspection used in AI data centers. Despite near-term industry weakness, we believe our long-term market drivers remain intact, supported by increasing semiconductor complexity, quality demands, test intensity, automation, smart manufacturing initiatives, and the proliferation of electronics across automotive, mobile, industrial, computing, and consumer markets.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Application of Critical Accounting Estimates and Policies</w:t>
      </w:r>
    </w:p>
    <w:p>
      <w:pPr>
        <w:spacing w:after="0" w:line="2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Our discussion and analysis of our financial condition and results of operations is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We base our estimates on historical experience, forecasts and on various other assumptions that are believed to be reasonable under the circumstances; however actual results may differ from those estimates under different assumptions or conditions. The methods, estimates and judgments we use in applying our accounting policies have a significant impact on the results we report in our financial statements. Some of our accounting policies require us to make difficult and subjective judgments, often as a result of the need to make estimates of matters that are inherently uncertain. Our critical accounting estimates that we believe are the most important to investors’ understanding of our financial results and condition require complex management judgment and include:</w:t>
      </w:r>
    </w:p>
    <w:p>
      <w:pPr>
        <w:spacing w:after="0" w:line="175" w:lineRule="exact"/>
        <w:rPr>
          <w:sz w:val="20"/>
          <w:szCs w:val="20"/>
          <w:color w:val="auto"/>
        </w:rPr>
      </w:pPr>
    </w:p>
    <w:p>
      <w:pPr>
        <w:ind w:left="640" w:hanging="31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 including the deferral of revenue on sales to customers, which impacts our results of operations;</w:t>
      </w:r>
    </w:p>
    <w:p>
      <w:pPr>
        <w:spacing w:after="0" w:line="3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estimation of valuation allowances and accrued liabilities, specifically inventory reserves, which impact gross margin or operating expenses;</w:t>
      </w:r>
    </w:p>
    <w:p>
      <w:pPr>
        <w:spacing w:after="0" w:line="31" w:lineRule="exact"/>
        <w:rPr>
          <w:rFonts w:ascii="Times New Roman" w:cs="Times New Roman" w:eastAsia="Times New Roman" w:hAnsi="Times New Roman"/>
          <w:sz w:val="18"/>
          <w:szCs w:val="18"/>
          <w:color w:val="auto"/>
        </w:rPr>
      </w:pPr>
    </w:p>
    <w:p>
      <w:pPr>
        <w:ind w:left="640" w:right="400" w:hanging="316"/>
        <w:spacing w:after="0" w:line="257"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recognition and measurement of current and deferred income tax assets and liabilities, unrecognized tax benefits, the valuation allowance on deferred tax assets and accounting for the impact of the change to U.S. tax law as described herein, which impact our tax provision; and</w:t>
      </w:r>
    </w:p>
    <w:p>
      <w:pPr>
        <w:ind w:left="640" w:hanging="316"/>
        <w:spacing w:after="0" w:line="251"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assessment of recoverability of goodwill, which primarily impacts gross margin or operating expenses if we are required to record impairments or accelerate depreciation.</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ind w:right="580"/>
        <w:spacing w:after="0" w:line="274" w:lineRule="auto"/>
        <w:rPr>
          <w:sz w:val="20"/>
          <w:szCs w:val="20"/>
          <w:color w:val="auto"/>
        </w:rPr>
      </w:pPr>
      <w:r>
        <w:rPr>
          <w:rFonts w:ascii="Times New Roman" w:cs="Times New Roman" w:eastAsia="Times New Roman" w:hAnsi="Times New Roman"/>
          <w:sz w:val="18"/>
          <w:szCs w:val="18"/>
          <w:color w:val="auto"/>
        </w:rPr>
        <w:t>Below, we discuss these policies further, as well as the estimates and judgments involved. We also have other policies that we consider key accounting policies; however, these policies typically do not require us to make estimates or judgments that are difficult or subjective.</w:t>
      </w:r>
    </w:p>
    <w:p>
      <w:pPr>
        <w:spacing w:after="0" w:line="15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Revenue Recognition: </w:t>
      </w:r>
      <w:r>
        <w:rPr>
          <w:rFonts w:ascii="Times New Roman" w:cs="Times New Roman" w:eastAsia="Times New Roman" w:hAnsi="Times New Roman"/>
          <w:sz w:val="17"/>
          <w:szCs w:val="17"/>
          <w:color w:val="auto"/>
        </w:rPr>
        <w:t>Our net sales are derived from the sale of products and services and are adjusted for estimated returns and allowances, which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historically have been insignificant. We recognize revenue when the obligations under the terms of a contract with our customers are satisfied; generally, this occurs with the transfer of control of our systems and non-system products or the completion of services. In circumstances where control is not transferred until destination or acceptance, we defer revenue recognition until such events occur. Revenue for established products that have previously satisfied a customer’s acceptance requirements is generally recognized upon shipment. In cases where a prior history of customer acceptance cannot be demonstrated and in the case of new products, revenue and cost of sales are deferred until customer acceptance has been received. Our post-shipment obligations typically include standard warranties. Service revenue is recognized over time as the transfer of control is completed for the related contract or upon completion of the services if they are short-term in nature. Spares and contactor and kit revenue are generally recognized upon shipment. Certain of our equipment sales have multiple performance obligations. These arrangements involve the delivery or performance of multiple performance obligations that may occur at different points in time or over different periods of time. For arrangements containing multiple performance obligations, the revenue relating to the undelivered performance obligation is deferred using the relative standalone selling price method utilizing estimated sales prices until satisfaction of the deferred performance obligation. Unsatisfied performance obligations primarily represent contracts for products with future delivery dates. At December 27, 2025, and December 28, 2024, we had $5.1 million and $5.6 million of revenue expected to be recognized in the future related to performance obligations that are unsatisfied (or partially unsatisfied) with expected durations of over one year, respectively. As allowed under ASC Topic 606, </w:t>
      </w:r>
      <w:r>
        <w:rPr>
          <w:rFonts w:ascii="Times New Roman" w:cs="Times New Roman" w:eastAsia="Times New Roman" w:hAnsi="Times New Roman"/>
          <w:sz w:val="17"/>
          <w:szCs w:val="17"/>
          <w:i w:val="1"/>
          <w:iCs w:val="1"/>
          <w:color w:val="auto"/>
        </w:rPr>
        <w:t>Revenue from Contracts with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Customers </w:t>
      </w:r>
      <w:r>
        <w:rPr>
          <w:rFonts w:ascii="Times New Roman" w:cs="Times New Roman" w:eastAsia="Times New Roman" w:hAnsi="Times New Roman"/>
          <w:sz w:val="17"/>
          <w:szCs w:val="17"/>
          <w:color w:val="auto"/>
        </w:rPr>
        <w:t>(“ASC 606”), we have opted not to disclose unsatisfied performance obligations for contracts with original expected durations of less than one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year. We generally sell our equipment with a product warranty. The product warranty provides assurance to customers that delivered products are as specified in the contract (an “assurance-type warranty”). Therefore, we account for such product warranties under ASC Topic 460, </w:t>
      </w:r>
      <w:r>
        <w:rPr>
          <w:rFonts w:ascii="Times New Roman" w:cs="Times New Roman" w:eastAsia="Times New Roman" w:hAnsi="Times New Roman"/>
          <w:sz w:val="17"/>
          <w:szCs w:val="17"/>
          <w:i w:val="1"/>
          <w:iCs w:val="1"/>
          <w:color w:val="auto"/>
        </w:rPr>
        <w:t>Guarantees</w:t>
      </w:r>
      <w:r>
        <w:rPr>
          <w:rFonts w:ascii="Times New Roman" w:cs="Times New Roman" w:eastAsia="Times New Roman" w:hAnsi="Times New Roman"/>
          <w:sz w:val="17"/>
          <w:szCs w:val="17"/>
          <w:color w:val="auto"/>
        </w:rPr>
        <w:t xml:space="preserve"> (“ASC 460”), and not as a separate performance obligation. The transaction price reflects our expectations about the consideration we will be entitled to receive from the customer and may include fixed or variable amounts. Fixed consideration primarily includes sales to customers in which the amount of consideration is known as of the end of the reporting period. Variable consideration includes sales in which the amount of consideration that we will receive is unknown as of the end of a reporting period. Such consideration primarily relates to sales made to certain customers with cumulative tier volume discounts offered. Variable consideration arrangements are rare; however, when they occur, we estimate variable consideration as the expected value to which we expect to be entitled. Included in the transaction price estimate are amounts for which it is probable that a significant reversal of cumulative revenue recognized will not occur when the uncertainty associated with the variable consideration is subsequently resolved. The estimate is based on information available for projected future sales. Variable consideration that does not meet revenue recognition criteria is deferred. Accounts receivable represents our unconditional right to receive consideration from our customer. Payments terms do not exceed one year from the invoice date and therefore do not include a significant financing component. To date, there have been no material impairment losses on accounts receivable. There were no material contract assets recorded on the consolidated balance sheet in any of the periods presented. On shipments where sales are not recognized, gross profit is generally recorded as deferred profit in our consolidated balance sheet representing the difference between the receivable recorded and the inventory shipped.</w:t>
      </w:r>
    </w:p>
    <w:p>
      <w:pPr>
        <w:spacing w:after="0" w:line="385"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Accounts Receivable: </w:t>
      </w:r>
      <w:r>
        <w:rPr>
          <w:rFonts w:ascii="Times New Roman" w:cs="Times New Roman" w:eastAsia="Times New Roman" w:hAnsi="Times New Roman"/>
          <w:sz w:val="18"/>
          <w:szCs w:val="18"/>
          <w:color w:val="auto"/>
        </w:rPr>
        <w:t>We maintain an allowance for estimated credit losses resulting from the inability of our customers to make required payments. If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condition of our customers deteriorates, resulting in an impairment of their ability to make payments, additional allowances may be required. Our customers include semiconductor manufacturers and semiconductor test subcontractors throughout many areas of the world. While we believe that our allowance for credit losses is adequate and represents our best estimate of future losses we will continue to monitor customer liquidity and other economic conditions, which may result in changes to our estimates.</w:t>
      </w:r>
    </w:p>
    <w:p>
      <w:pPr>
        <w:spacing w:after="0" w:line="177"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Inventory: </w:t>
      </w:r>
      <w:r>
        <w:rPr>
          <w:rFonts w:ascii="Times New Roman" w:cs="Times New Roman" w:eastAsia="Times New Roman" w:hAnsi="Times New Roman"/>
          <w:sz w:val="18"/>
          <w:szCs w:val="18"/>
          <w:color w:val="auto"/>
        </w:rPr>
        <w:t>The valuation of inventory requires us to estimate obsolete or excess inventory as well as inventory that is not of saleable quality.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determination of obsolete or excess inventory requires us to estimate the future demand for our products. The demand forecast is a direct input in the development of our short-term manufacturing plans. We record valuation reserves on our inventory for estimated excess and obsolete inventory and lower of cost or net realizable value concerns equal to the difference between the cost of inventory and the estimated realizable value based upon assumptions about future product demand, market conditions and product selling prices. If future product demand, market conditions or product selling prices are less than those projected by management or if continued modifications to products are required to meet specifications or other customer requirements, increases to inventory reserves may be required which would have a negative impact on our gross margin.</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3"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We estimate our liability for income taxes based on the various jurisdictions where we conduct business. This requires us to estimate our (i)</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current taxes; (ii) temporary differences that result from differing treatment of certain items for tax and accounting purposes; and (iii) unrecognized tax benefits. Temporary differences result in deferred tax assets and liabilities that are reflected in the consolidated balance sheet. The deferred tax assets are reduced by a valuation allowance if, based upon all available evidence, it is more likely than not that some or all of the deferred tax assets will not be realized. Establishing, reducing or increasing a valuation allowance in an accounting period generally results in an increase or decrease in tax expense in the statement of operations. We must make significant judgments to determine the provision for income taxes, deferred tax assets and liabilities, unrecognized tax benefits and any valuation allowance to be recorded against deferred tax assets. Our gross deferred tax asset balance as of December 27, 2025, was approximately $164.</w:t>
      </w:r>
      <w:r>
        <w:rPr>
          <w:rFonts w:ascii="Times New Roman" w:cs="Times New Roman" w:eastAsia="Times New Roman" w:hAnsi="Times New Roman"/>
          <w:sz w:val="18"/>
          <w:szCs w:val="18"/>
          <w:u w:val="single" w:color="auto"/>
          <w:color w:val="auto"/>
        </w:rPr>
        <w:t>4</w:t>
      </w:r>
      <w:r>
        <w:rPr>
          <w:rFonts w:ascii="Times New Roman" w:cs="Times New Roman" w:eastAsia="Times New Roman" w:hAnsi="Times New Roman"/>
          <w:sz w:val="18"/>
          <w:szCs w:val="18"/>
          <w:color w:val="auto"/>
        </w:rPr>
        <w:t xml:space="preserve"> million, with a valuation allowance of approximately $143.</w:t>
      </w:r>
      <w:r>
        <w:rPr>
          <w:rFonts w:ascii="Times New Roman" w:cs="Times New Roman" w:eastAsia="Times New Roman" w:hAnsi="Times New Roman"/>
          <w:sz w:val="18"/>
          <w:szCs w:val="18"/>
          <w:u w:val="single" w:color="auto"/>
          <w:color w:val="auto"/>
        </w:rPr>
        <w:t>5</w:t>
      </w:r>
      <w:r>
        <w:rPr>
          <w:rFonts w:ascii="Times New Roman" w:cs="Times New Roman" w:eastAsia="Times New Roman" w:hAnsi="Times New Roman"/>
          <w:sz w:val="18"/>
          <w:szCs w:val="18"/>
          <w:color w:val="auto"/>
        </w:rPr>
        <w:t xml:space="preserve"> million.</w:t>
      </w:r>
    </w:p>
    <w:p>
      <w:pPr>
        <w:spacing w:after="0" w:line="187" w:lineRule="exact"/>
        <w:rPr>
          <w:sz w:val="20"/>
          <w:szCs w:val="20"/>
          <w:color w:val="auto"/>
        </w:rPr>
      </w:pPr>
    </w:p>
    <w:p>
      <w:pPr>
        <w:ind w:right="220"/>
        <w:spacing w:after="0" w:line="251" w:lineRule="auto"/>
        <w:rPr>
          <w:sz w:val="20"/>
          <w:szCs w:val="20"/>
          <w:color w:val="auto"/>
        </w:rPr>
      </w:pPr>
      <w:r>
        <w:rPr>
          <w:rFonts w:ascii="Times New Roman" w:cs="Times New Roman" w:eastAsia="Times New Roman" w:hAnsi="Times New Roman"/>
          <w:sz w:val="18"/>
          <w:szCs w:val="18"/>
          <w:color w:val="auto"/>
        </w:rPr>
        <w:t>The OECD developed the Pillar Two global minimum tax framework under its BEPS initiative, which provides for a minimum effective tax rate of 15% for multinational enterprises that meet certain consolidated revenue thresholds. Legislation implementing Pillar Two has been enacted, or is in the process of being enacted, in a number of jurisdictions in which we operate. Based on our evaluation of the applicable revenue thresholds and our current operating and legal structure, we do not expect the Pillar Two rules to apply to us. Accordingly, we do not expect the adoption of Pillar Two legislation to have a material impact on our results of operations, financial position, or cash flows. We will continue to monitor developments in tax legislation, regulatory guidance, and changes in our business that could affect the applicability of Pillar Two in future periods.</w:t>
      </w:r>
    </w:p>
    <w:p>
      <w:pPr>
        <w:spacing w:after="0" w:line="181"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Segment Information: </w:t>
      </w:r>
      <w:r>
        <w:rPr>
          <w:rFonts w:ascii="Times New Roman" w:cs="Times New Roman" w:eastAsia="Times New Roman" w:hAnsi="Times New Roman"/>
          <w:sz w:val="18"/>
          <w:szCs w:val="18"/>
          <w:color w:val="auto"/>
        </w:rPr>
        <w:t>We apply the provisions of ASC Topic 280,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(“ASC 280”), which sets forth a management approach to segment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reporting and establishes requirements to report selected segment information quarterly and to report annually entity-wide disclosures about products, major customers and the geographies in which the entity holds material assets and reports revenue. An operating segment is defined as a component that engages in business activities whose operating results are reviewed by the Chief Operating Decision Maker (“CODM”) and for which discrete financial information is available. We have determined that our three identified operating segments are: Test Handler (“TH”), Semiconductor Tester (“ST”) and Interface Solutions (“IS”). Our three operating segments qualify for aggregation under ASC 280 due to similarities in their customers, their economic characteristics, and the nature of products and services provided. As a result, we report in one segment, Semiconductor Test &amp; Inspection.</w:t>
      </w:r>
    </w:p>
    <w:p>
      <w:pPr>
        <w:spacing w:after="0" w:line="18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Goodwill, Intangible Assets and Other Long-lived Assets: </w:t>
      </w:r>
      <w:r>
        <w:rPr>
          <w:rFonts w:ascii="Times New Roman" w:cs="Times New Roman" w:eastAsia="Times New Roman" w:hAnsi="Times New Roman"/>
          <w:sz w:val="18"/>
          <w:szCs w:val="18"/>
          <w:color w:val="auto"/>
        </w:rPr>
        <w:t>We evaluate goodwill for impairment annually and whenever events or changes in circumstances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indicate that the carrying value may not be recoverable. Goodwill impairment testing is performed at the reporting unit level by comparing the estimated fair value of the reporting unit to its carrying value, including goodwill. If the carrying value exceeds fair value, an impairment charge is recognized for the amount by which the carrying value exceeds the fair value, limited to the carrying amount of goodwill.</w:t>
      </w:r>
    </w:p>
    <w:p>
      <w:pPr>
        <w:spacing w:after="0" w:line="181" w:lineRule="exact"/>
        <w:rPr>
          <w:sz w:val="20"/>
          <w:szCs w:val="20"/>
          <w:color w:val="auto"/>
        </w:rPr>
      </w:pPr>
    </w:p>
    <w:p>
      <w:pPr>
        <w:spacing w:after="0" w:line="215" w:lineRule="exact"/>
        <w:rPr>
          <w:sz w:val="20"/>
          <w:szCs w:val="20"/>
          <w:color w:val="auto"/>
        </w:rPr>
      </w:pPr>
      <w:r>
        <w:rPr>
          <w:rFonts w:ascii="Times New Roman" w:cs="Times New Roman" w:eastAsia="Times New Roman" w:hAnsi="Times New Roman"/>
          <w:sz w:val="18"/>
          <w:szCs w:val="18"/>
          <w:color w:val="auto"/>
        </w:rPr>
        <w:t>We estimate the fair values of our reporting units using a weighting of the income and market approaches. Under the income approach, we use a discounted cash flow methodology, which requires significant judgment and estimates related to, among other things, forecasted revenues, gross profit margins, operating income margins, working capital cash flows, perpetual growth rates, and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discount rates. The market approach utilizes the guideline public company method, under which valuation multiples derived from comparable publicly traded companies with similar operating and investment characteristics are applied to the reporting unit’s operating performance metrics. The indicated values derived from the income and market approaches are equally weighted to determine the estimated fair value of each reporting unit.</w:t>
      </w:r>
    </w:p>
    <w:p>
      <w:pPr>
        <w:spacing w:after="0" w:line="196" w:lineRule="exact"/>
        <w:rPr>
          <w:sz w:val="20"/>
          <w:szCs w:val="20"/>
          <w:color w:val="auto"/>
        </w:rPr>
      </w:pPr>
    </w:p>
    <w:p>
      <w:pPr>
        <w:ind w:right="40"/>
        <w:spacing w:after="0" w:line="217" w:lineRule="exact"/>
        <w:rPr>
          <w:sz w:val="20"/>
          <w:szCs w:val="20"/>
          <w:color w:val="auto"/>
        </w:rPr>
      </w:pPr>
      <w:r>
        <w:rPr>
          <w:rFonts w:ascii="Times New Roman" w:cs="Times New Roman" w:eastAsia="Times New Roman" w:hAnsi="Times New Roman"/>
          <w:sz w:val="18"/>
          <w:szCs w:val="18"/>
          <w:color w:val="auto"/>
        </w:rPr>
        <w:t>Forecasts of future cash flows are based on management’s best estimates of future net sales and operating expenses, taking into account customer forecasts, industry trade organization data, and general economic and market conditions. Fair value measurements are inherently subjective and sensitive to changes in assumptions. Adverse changes in forecasted results, discount rates,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growth assumptions, macroeconomic conditions, customer demand, competitive dynamics, or other factors could result in a reduction in the estimated fair value of one or more reporting units.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We performed our annual goodwill impairment test as of October 1, 2025, and determined that the estimated fair values of our reporting units exceeded their respective carrying values. For fiscal 2025, our IS reporting unit had limited headroom, meaning fair value only narrowly exceeded carrying value; as a result, even modest adverse changes in valuation assumptions, operating results, or market conditions could result in a future goodwill impairment charge. By comparison, our TH and ST reporting units each had substantially greater headroom at the assessment date, indicating a significantly larger cushion between fair value and carrying value. Goodwill associated with the IS reporting unit represented 39% of the total goodwill allocated across our reporting units as of the assessment date. Based on our analysis, including all relevant qualitative and quantitative factors, we concluded that no impairment exists as of the assessment date.</w:t>
      </w:r>
    </w:p>
    <w:p>
      <w:pPr>
        <w:spacing w:after="0" w:line="187" w:lineRule="exact"/>
        <w:rPr>
          <w:sz w:val="20"/>
          <w:szCs w:val="20"/>
          <w:color w:val="auto"/>
        </w:rPr>
      </w:pPr>
    </w:p>
    <w:p>
      <w:pPr>
        <w:spacing w:after="0" w:line="227" w:lineRule="exact"/>
        <w:rPr>
          <w:sz w:val="20"/>
          <w:szCs w:val="20"/>
          <w:color w:val="auto"/>
        </w:rPr>
      </w:pPr>
      <w:r>
        <w:rPr>
          <w:rFonts w:ascii="Times New Roman" w:cs="Times New Roman" w:eastAsia="Times New Roman" w:hAnsi="Times New Roman"/>
          <w:sz w:val="18"/>
          <w:szCs w:val="18"/>
          <w:color w:val="auto"/>
        </w:rPr>
        <w:t>Additionally, goodwill is required to be evaluated for impairment between annual testing dates if indicators of impairment arise. As of December 27, 2025, we determined that no such triggering events had occurred. If circumstances change and an interim impairment assessment is required, it could result in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impairment charge, which could be material and would adversely affect our results of operations and financial condition.</w:t>
      </w:r>
    </w:p>
    <w:p>
      <w:pPr>
        <w:spacing w:after="0" w:line="168"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color w:val="auto"/>
        </w:rPr>
        <w:t>Long-lived assets are reviewed for impairment whenever events or changes in circumstances indicate that the carrying amount of the assets might not be recoverable. Conditions that would necessitate an impairment assessment include a significant decline in the observable market value of an asset, a significant change in the extent or manner in which an asset is used, or any other significant adverse change that would indicate that the carrying amount of an asset or group of assets may not be recoverable. For long-lived assets, impairment losses are only recorded if the asset’s carrying amount is not recoverable through its undiscounted future cash flows. We measure the impairment loss based on the difference between the carrying amount and estimated fair value.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27, 2025, no events or conditions occurred suggesting an impairment in our long-lived assets.</w:t>
      </w:r>
    </w:p>
    <w:p>
      <w:pPr>
        <w:spacing w:after="0" w:line="213"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Warranty: </w:t>
      </w:r>
      <w:r>
        <w:rPr>
          <w:rFonts w:ascii="Times New Roman" w:cs="Times New Roman" w:eastAsia="Times New Roman" w:hAnsi="Times New Roman"/>
          <w:sz w:val="18"/>
          <w:szCs w:val="18"/>
          <w:color w:val="auto"/>
        </w:rPr>
        <w:t>We provide for the estimated costs of product warranties in the period sales are recognized. Our warranty obligation estimates are affected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historical product shipment levels, product performance and material and labor costs incurred in correcting product performance problems. Should product performance, material usage or labor repair costs differ from our estimates, revisions to the estimated warranty liability would be required.</w:t>
      </w:r>
    </w:p>
    <w:p>
      <w:pPr>
        <w:spacing w:after="0" w:line="170"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Contingencies: </w:t>
      </w:r>
      <w:r>
        <w:rPr>
          <w:rFonts w:ascii="Times New Roman" w:cs="Times New Roman" w:eastAsia="Times New Roman" w:hAnsi="Times New Roman"/>
          <w:sz w:val="18"/>
          <w:szCs w:val="18"/>
          <w:color w:val="auto"/>
        </w:rPr>
        <w:t>We are subject to certain contingencies that arise in the ordinary course of our businesses which require us to assess the likelihood that future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events will confirm the existence of a loss or an impairment of an asset. If a loss or asset impairment is probable and the amount of the loss or impairment is reasonably estimable, we accrue a charge to operations in the period such conditions become known.</w:t>
      </w:r>
    </w:p>
    <w:p>
      <w:pPr>
        <w:spacing w:after="0" w:line="170" w:lineRule="exact"/>
        <w:rPr>
          <w:sz w:val="20"/>
          <w:szCs w:val="20"/>
          <w:color w:val="auto"/>
        </w:rPr>
      </w:pPr>
    </w:p>
    <w:p>
      <w:pPr>
        <w:ind w:right="200"/>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 xml:space="preserve">Share-based Compensation: </w:t>
      </w:r>
      <w:r>
        <w:rPr>
          <w:rFonts w:ascii="Times New Roman" w:cs="Times New Roman" w:eastAsia="Times New Roman" w:hAnsi="Times New Roman"/>
          <w:sz w:val="17"/>
          <w:szCs w:val="17"/>
          <w:color w:val="auto"/>
        </w:rPr>
        <w:t>Compensation expense for restricted stock unit (RSU) awards is calculated based on the market price of our common stock 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grant date. As Cohu doesn’t currently pay dividends, no reduction for expected dividends is applied. Compensation expense for performance stock units (PSUs) with market-based goals is determined using a Monte Carlo simulation model as of the grant date. When granted, compensation expense for stock options is measured based on the fair value of the award on its grant date, which we estimate using the Black-Scholes valuation model.</w:t>
      </w:r>
    </w:p>
    <w:p>
      <w:pPr>
        <w:spacing w:after="0" w:line="161"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Recent Accounting Pronouncements: </w:t>
      </w:r>
      <w:r>
        <w:rPr>
          <w:rFonts w:ascii="Times New Roman" w:cs="Times New Roman" w:eastAsia="Times New Roman" w:hAnsi="Times New Roman"/>
          <w:sz w:val="18"/>
          <w:szCs w:val="18"/>
          <w:color w:val="auto"/>
        </w:rPr>
        <w:t>For a description of accounting changes and recent accounting pronouncements, including the expected dates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adoption and estimated effects, if any, on our consolidated financial statements, see Note 1, “Recent Accounting Pronouncements” in Part IV, Item 15(a) of this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 Transactions Impacting Results of Operations</w:t>
      </w:r>
    </w:p>
    <w:p>
      <w:pPr>
        <w:spacing w:after="0" w:line="219" w:lineRule="exact"/>
        <w:rPr>
          <w:sz w:val="20"/>
          <w:szCs w:val="20"/>
          <w:color w:val="auto"/>
        </w:rPr>
      </w:pPr>
    </w:p>
    <w:p>
      <w:pPr>
        <w:ind w:right="200"/>
        <w:spacing w:after="0" w:line="274" w:lineRule="auto"/>
        <w:rPr>
          <w:sz w:val="20"/>
          <w:szCs w:val="20"/>
          <w:color w:val="auto"/>
        </w:rPr>
      </w:pPr>
      <w:r>
        <w:rPr>
          <w:rFonts w:ascii="Times New Roman" w:cs="Times New Roman" w:eastAsia="Times New Roman" w:hAnsi="Times New Roman"/>
          <w:sz w:val="18"/>
          <w:szCs w:val="18"/>
          <w:color w:val="auto"/>
        </w:rPr>
        <w:t>On January 7, 2025, we completed the acquisition of Tignis, a provider of AI process control and analytics-based monitoring software. Tignis is included in Cohu’s consolidated results from operations as of the date of acquisition.</w:t>
      </w: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1"/>
        </w:trPr>
        <w:tc>
          <w:tcPr>
            <w:tcW w:w="6640" w:type="dxa"/>
            <w:vAlign w:val="bottom"/>
            <w:gridSpan w:val="3"/>
          </w:tcPr>
          <w:p>
            <w:pPr>
              <w:jc w:val="right"/>
              <w:ind w:right="672"/>
              <w:spacing w:after="0"/>
              <w:rPr>
                <w:sz w:val="20"/>
                <w:szCs w:val="20"/>
                <w:color w:val="auto"/>
              </w:rPr>
            </w:pPr>
            <w:r>
              <w:rPr>
                <w:rFonts w:ascii="Times New Roman" w:cs="Times New Roman" w:eastAsia="Times New Roman" w:hAnsi="Times New Roman"/>
                <w:sz w:val="18"/>
                <w:szCs w:val="18"/>
                <w:color w:val="auto"/>
                <w:w w:val="98"/>
              </w:rPr>
              <w:t>The following table summarizes certain operating data as a percentage of net sales:</w:t>
            </w: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36"/>
        </w:trPr>
        <w:tc>
          <w:tcPr>
            <w:tcW w:w="160" w:type="dxa"/>
            <w:vAlign w:val="bottom"/>
          </w:tcPr>
          <w:p>
            <w:pPr>
              <w:spacing w:after="0"/>
              <w:rPr>
                <w:sz w:val="24"/>
                <w:szCs w:val="24"/>
                <w:color w:val="auto"/>
              </w:rPr>
            </w:pPr>
          </w:p>
        </w:tc>
        <w:tc>
          <w:tcPr>
            <w:tcW w:w="550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480" w:type="dxa"/>
            <w:vAlign w:val="bottom"/>
            <w:tcBorders>
              <w:bottom w:val="single" w:sz="8" w:color="auto"/>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4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bottom w:val="single" w:sz="8" w:color="CCEEFF"/>
            </w:tcBorders>
          </w:tcPr>
          <w:p>
            <w:pPr>
              <w:spacing w:after="0"/>
              <w:rPr>
                <w:sz w:val="24"/>
                <w:szCs w:val="24"/>
                <w:color w:val="auto"/>
              </w:rPr>
            </w:pPr>
          </w:p>
        </w:tc>
        <w:tc>
          <w:tcPr>
            <w:tcW w:w="14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r>
      <w:tr>
        <w:trPr>
          <w:trHeight w:val="205"/>
        </w:trPr>
        <w:tc>
          <w:tcPr>
            <w:tcW w:w="160" w:type="dxa"/>
            <w:vAlign w:val="bottom"/>
          </w:tcPr>
          <w:p>
            <w:pPr>
              <w:spacing w:after="0"/>
              <w:rPr>
                <w:sz w:val="17"/>
                <w:szCs w:val="17"/>
                <w:color w:val="auto"/>
              </w:rPr>
            </w:pPr>
          </w:p>
        </w:tc>
        <w:tc>
          <w:tcPr>
            <w:tcW w:w="550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Net sales</w:t>
            </w:r>
          </w:p>
        </w:tc>
        <w:tc>
          <w:tcPr>
            <w:tcW w:w="9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92"/>
              <w:spacing w:after="0" w:line="205" w:lineRule="exact"/>
              <w:rPr>
                <w:sz w:val="20"/>
                <w:szCs w:val="20"/>
                <w:color w:val="auto"/>
              </w:rPr>
            </w:pPr>
            <w:r>
              <w:rPr>
                <w:rFonts w:ascii="Times New Roman" w:cs="Times New Roman" w:eastAsia="Times New Roman" w:hAnsi="Times New Roman"/>
                <w:sz w:val="18"/>
                <w:szCs w:val="18"/>
                <w:color w:val="auto"/>
              </w:rPr>
              <w:t>100.0%</w:t>
            </w:r>
          </w:p>
        </w:tc>
        <w:tc>
          <w:tcPr>
            <w:tcW w:w="1780" w:type="dxa"/>
            <w:vAlign w:val="bottom"/>
            <w:gridSpan w:val="2"/>
            <w:shd w:val="clear" w:color="auto" w:fill="CCEEFF"/>
          </w:tcPr>
          <w:p>
            <w:pPr>
              <w:jc w:val="right"/>
              <w:ind w:right="92"/>
              <w:spacing w:after="0" w:line="205" w:lineRule="exact"/>
              <w:rPr>
                <w:sz w:val="20"/>
                <w:szCs w:val="20"/>
                <w:color w:val="auto"/>
              </w:rPr>
            </w:pPr>
            <w:r>
              <w:rPr>
                <w:rFonts w:ascii="Times New Roman" w:cs="Times New Roman" w:eastAsia="Times New Roman" w:hAnsi="Times New Roman"/>
                <w:sz w:val="18"/>
                <w:szCs w:val="18"/>
                <w:color w:val="auto"/>
              </w:rPr>
              <w:t>100.0%</w:t>
            </w:r>
          </w:p>
        </w:tc>
        <w:tc>
          <w:tcPr>
            <w:tcW w:w="1620" w:type="dxa"/>
            <w:vAlign w:val="bottom"/>
            <w:gridSpan w:val="3"/>
            <w:shd w:val="clear" w:color="auto" w:fill="CCEEFF"/>
          </w:tcPr>
          <w:p>
            <w:pPr>
              <w:jc w:val="right"/>
              <w:ind w:right="20"/>
              <w:spacing w:after="0" w:line="205" w:lineRule="exact"/>
              <w:rPr>
                <w:sz w:val="20"/>
                <w:szCs w:val="20"/>
                <w:color w:val="auto"/>
              </w:rPr>
            </w:pPr>
            <w:r>
              <w:rPr>
                <w:rFonts w:ascii="Times New Roman" w:cs="Times New Roman" w:eastAsia="Times New Roman" w:hAnsi="Times New Roman"/>
                <w:sz w:val="18"/>
                <w:szCs w:val="18"/>
                <w:color w:val="auto"/>
              </w:rPr>
              <w:t>100.0%</w:t>
            </w:r>
          </w:p>
        </w:tc>
      </w:tr>
      <w:tr>
        <w:trPr>
          <w:trHeight w:val="225"/>
        </w:trPr>
        <w:tc>
          <w:tcPr>
            <w:tcW w:w="16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800" w:type="dxa"/>
            <w:vAlign w:val="bottom"/>
            <w:gridSpan w:val="2"/>
          </w:tcPr>
          <w:p>
            <w:pPr>
              <w:jc w:val="right"/>
              <w:ind w:right="172"/>
              <w:spacing w:after="0"/>
              <w:rPr>
                <w:sz w:val="20"/>
                <w:szCs w:val="20"/>
                <w:color w:val="auto"/>
              </w:rPr>
            </w:pPr>
            <w:r>
              <w:rPr>
                <w:rFonts w:ascii="Times New Roman" w:cs="Times New Roman" w:eastAsia="Times New Roman" w:hAnsi="Times New Roman"/>
                <w:sz w:val="18"/>
                <w:szCs w:val="18"/>
                <w:color w:val="auto"/>
              </w:rPr>
              <w:t>(57.3)</w:t>
            </w:r>
          </w:p>
        </w:tc>
        <w:tc>
          <w:tcPr>
            <w:tcW w:w="1780" w:type="dxa"/>
            <w:vAlign w:val="bottom"/>
            <w:gridSpan w:val="2"/>
          </w:tcPr>
          <w:p>
            <w:pPr>
              <w:jc w:val="right"/>
              <w:ind w:right="172"/>
              <w:spacing w:after="0"/>
              <w:rPr>
                <w:sz w:val="20"/>
                <w:szCs w:val="20"/>
                <w:color w:val="auto"/>
              </w:rPr>
            </w:pPr>
            <w:r>
              <w:rPr>
                <w:rFonts w:ascii="Times New Roman" w:cs="Times New Roman" w:eastAsia="Times New Roman" w:hAnsi="Times New Roman"/>
                <w:sz w:val="18"/>
                <w:szCs w:val="18"/>
                <w:color w:val="auto"/>
              </w:rPr>
              <w:t>(55.1)</w:t>
            </w:r>
          </w:p>
        </w:tc>
        <w:tc>
          <w:tcPr>
            <w:tcW w:w="16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(52.4)</w:t>
            </w:r>
          </w:p>
        </w:tc>
      </w:tr>
      <w:tr>
        <w:trPr>
          <w:trHeight w:val="205"/>
        </w:trPr>
        <w:tc>
          <w:tcPr>
            <w:tcW w:w="160" w:type="dxa"/>
            <w:vAlign w:val="bottom"/>
          </w:tcPr>
          <w:p>
            <w:pPr>
              <w:spacing w:after="0"/>
              <w:rPr>
                <w:sz w:val="17"/>
                <w:szCs w:val="17"/>
                <w:color w:val="auto"/>
              </w:rPr>
            </w:pPr>
          </w:p>
        </w:tc>
        <w:tc>
          <w:tcPr>
            <w:tcW w:w="550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Gross margin</w:t>
            </w:r>
          </w:p>
        </w:tc>
        <w:tc>
          <w:tcPr>
            <w:tcW w:w="9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42.7</w:t>
            </w:r>
          </w:p>
        </w:tc>
        <w:tc>
          <w:tcPr>
            <w:tcW w:w="32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44.9</w:t>
            </w:r>
          </w:p>
        </w:tc>
        <w:tc>
          <w:tcPr>
            <w:tcW w:w="32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47.6</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r>
      <w:tr>
        <w:trPr>
          <w:trHeight w:val="212"/>
        </w:trPr>
        <w:tc>
          <w:tcPr>
            <w:tcW w:w="16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0" w:type="dxa"/>
            <w:vAlign w:val="bottom"/>
            <w:gridSpan w:val="2"/>
          </w:tcPr>
          <w:p>
            <w:pPr>
              <w:jc w:val="right"/>
              <w:ind w:right="172"/>
              <w:spacing w:after="0"/>
              <w:rPr>
                <w:sz w:val="20"/>
                <w:szCs w:val="20"/>
                <w:color w:val="auto"/>
              </w:rPr>
            </w:pPr>
            <w:r>
              <w:rPr>
                <w:rFonts w:ascii="Times New Roman" w:cs="Times New Roman" w:eastAsia="Times New Roman" w:hAnsi="Times New Roman"/>
                <w:sz w:val="18"/>
                <w:szCs w:val="18"/>
                <w:color w:val="auto"/>
              </w:rPr>
              <w:t>(20.4)</w:t>
            </w:r>
          </w:p>
        </w:tc>
        <w:tc>
          <w:tcPr>
            <w:tcW w:w="1780" w:type="dxa"/>
            <w:vAlign w:val="bottom"/>
            <w:gridSpan w:val="2"/>
          </w:tcPr>
          <w:p>
            <w:pPr>
              <w:jc w:val="right"/>
              <w:ind w:right="172"/>
              <w:spacing w:after="0"/>
              <w:rPr>
                <w:sz w:val="20"/>
                <w:szCs w:val="20"/>
                <w:color w:val="auto"/>
              </w:rPr>
            </w:pPr>
            <w:r>
              <w:rPr>
                <w:rFonts w:ascii="Times New Roman" w:cs="Times New Roman" w:eastAsia="Times New Roman" w:hAnsi="Times New Roman"/>
                <w:sz w:val="18"/>
                <w:szCs w:val="18"/>
                <w:color w:val="auto"/>
              </w:rPr>
              <w:t>(21.1)</w:t>
            </w:r>
          </w:p>
        </w:tc>
        <w:tc>
          <w:tcPr>
            <w:tcW w:w="16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(13.9)</w:t>
            </w:r>
          </w:p>
        </w:tc>
      </w:tr>
      <w:tr>
        <w:trPr>
          <w:trHeight w:val="212"/>
        </w:trPr>
        <w:tc>
          <w:tcPr>
            <w:tcW w:w="16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00" w:type="dxa"/>
            <w:vAlign w:val="bottom"/>
            <w:gridSpan w:val="2"/>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(27.3)</w:t>
            </w:r>
          </w:p>
        </w:tc>
        <w:tc>
          <w:tcPr>
            <w:tcW w:w="1780" w:type="dxa"/>
            <w:vAlign w:val="bottom"/>
            <w:gridSpan w:val="2"/>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(31.9)</w:t>
            </w:r>
          </w:p>
        </w:tc>
        <w:tc>
          <w:tcPr>
            <w:tcW w:w="16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w:t>
            </w:r>
          </w:p>
        </w:tc>
      </w:tr>
      <w:tr>
        <w:trPr>
          <w:trHeight w:val="212"/>
        </w:trPr>
        <w:tc>
          <w:tcPr>
            <w:tcW w:w="16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purchased intangible assets</w:t>
            </w:r>
          </w:p>
        </w:tc>
        <w:tc>
          <w:tcPr>
            <w:tcW w:w="800" w:type="dxa"/>
            <w:vAlign w:val="bottom"/>
            <w:gridSpan w:val="2"/>
          </w:tcPr>
          <w:p>
            <w:pPr>
              <w:jc w:val="right"/>
              <w:ind w:right="172"/>
              <w:spacing w:after="0"/>
              <w:rPr>
                <w:sz w:val="20"/>
                <w:szCs w:val="20"/>
                <w:color w:val="auto"/>
              </w:rPr>
            </w:pPr>
            <w:r>
              <w:rPr>
                <w:rFonts w:ascii="Times New Roman" w:cs="Times New Roman" w:eastAsia="Times New Roman" w:hAnsi="Times New Roman"/>
                <w:sz w:val="18"/>
                <w:szCs w:val="18"/>
                <w:color w:val="auto"/>
              </w:rPr>
              <w:t>(8.3)</w:t>
            </w:r>
          </w:p>
        </w:tc>
        <w:tc>
          <w:tcPr>
            <w:tcW w:w="1780" w:type="dxa"/>
            <w:vAlign w:val="bottom"/>
            <w:gridSpan w:val="2"/>
          </w:tcPr>
          <w:p>
            <w:pPr>
              <w:jc w:val="right"/>
              <w:ind w:right="172"/>
              <w:spacing w:after="0"/>
              <w:rPr>
                <w:sz w:val="20"/>
                <w:szCs w:val="20"/>
                <w:color w:val="auto"/>
              </w:rPr>
            </w:pPr>
            <w:r>
              <w:rPr>
                <w:rFonts w:ascii="Times New Roman" w:cs="Times New Roman" w:eastAsia="Times New Roman" w:hAnsi="Times New Roman"/>
                <w:sz w:val="18"/>
                <w:szCs w:val="18"/>
                <w:color w:val="auto"/>
              </w:rPr>
              <w:t>(9.7)</w:t>
            </w:r>
          </w:p>
        </w:tc>
        <w:tc>
          <w:tcPr>
            <w:tcW w:w="16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r>
      <w:tr>
        <w:trPr>
          <w:trHeight w:val="225"/>
        </w:trPr>
        <w:tc>
          <w:tcPr>
            <w:tcW w:w="160" w:type="dxa"/>
            <w:vAlign w:val="bottom"/>
          </w:tcPr>
          <w:p>
            <w:pPr>
              <w:spacing w:after="0"/>
              <w:rPr>
                <w:sz w:val="19"/>
                <w:szCs w:val="19"/>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9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(2.2)</w:t>
            </w:r>
          </w:p>
        </w:tc>
        <w:tc>
          <w:tcPr>
            <w:tcW w:w="1780" w:type="dxa"/>
            <w:vAlign w:val="bottom"/>
            <w:gridSpan w:val="2"/>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(0.0)</w:t>
            </w:r>
          </w:p>
        </w:tc>
        <w:tc>
          <w:tcPr>
            <w:tcW w:w="16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w:t>
            </w:r>
          </w:p>
        </w:tc>
      </w:tr>
      <w:tr>
        <w:trPr>
          <w:trHeight w:val="218"/>
        </w:trPr>
        <w:tc>
          <w:tcPr>
            <w:tcW w:w="16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9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5"/>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5"/>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1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4" w:lineRule="exact"/>
        <w:rPr>
          <w:sz w:val="20"/>
          <w:szCs w:val="20"/>
          <w:color w:val="auto"/>
        </w:rPr>
      </w:pPr>
    </w:p>
    <w:p>
      <w:pPr>
        <w:ind w:right="260"/>
        <w:spacing w:after="0" w:line="304" w:lineRule="auto"/>
        <w:rPr>
          <w:sz w:val="20"/>
          <w:szCs w:val="20"/>
          <w:color w:val="auto"/>
        </w:rPr>
      </w:pPr>
      <w:r>
        <w:rPr>
          <w:rFonts w:ascii="Times New Roman" w:cs="Times New Roman" w:eastAsia="Times New Roman" w:hAnsi="Times New Roman"/>
          <w:sz w:val="17"/>
          <w:szCs w:val="17"/>
          <w:color w:val="auto"/>
        </w:rPr>
        <w:t>Please refer to “Management’s Discussion and Analysis of Financial Condition and Results of Operations” in Part II, Item 7 in our 2024 Annual Report on Form 10-K, filed with the SEC on February 20, 2025, for comparative discussion of our fiscal years ended December 28, 2024, and December 30, 2023.</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Compared to 2024</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Cohu’s consolidated net sales increased 12.7% from $401.8 million in fiscal 2024 to $453.0 million in fiscal 2025, driven by stronger demand for AI-based computing applications. While the global macroeconomic environment continues to negatively affect automotive, industrial, and consumer segments, demand AI-based computing applications helped offset these effects. Cohu acquired Tignis on January 7, 2025, and the results of its operations are included since that date. Tignis’ net sales recognized in fiscal 2025 were not material to Cohu.</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 (exclusive of amortization of acquisition-related intangible assets described below)</w:t>
      </w:r>
    </w:p>
    <w:p>
      <w:pPr>
        <w:spacing w:after="0" w:line="221" w:lineRule="exact"/>
        <w:rPr>
          <w:sz w:val="20"/>
          <w:szCs w:val="20"/>
          <w:color w:val="auto"/>
        </w:rPr>
      </w:pPr>
    </w:p>
    <w:p>
      <w:pPr>
        <w:spacing w:after="0" w:line="215" w:lineRule="exact"/>
        <w:rPr>
          <w:sz w:val="20"/>
          <w:szCs w:val="20"/>
          <w:color w:val="auto"/>
        </w:rPr>
      </w:pPr>
      <w:r>
        <w:rPr>
          <w:rFonts w:ascii="Times New Roman" w:cs="Times New Roman" w:eastAsia="Times New Roman" w:hAnsi="Times New Roman"/>
          <w:sz w:val="18"/>
          <w:szCs w:val="18"/>
          <w:color w:val="auto"/>
        </w:rPr>
        <w:t>Gross margin consists of net sales, less cost of sales. Cost of sales consists primarily of the materials, assembly and test labor and overhead from operations. Our gross margin can fluctuate due to a number of factors, including, but not limited to, the mix of products sold, product support costs, increases in inventory reserves, the sale of previously reserved inventory and business volume which impacts the utilization of our manufacturing capacity. Our gross margin, as a percentage of net sales, decreased to 42.7% in fiscal 2025 from 44.9% in fiscal 2024. During fiscal 2025, our gross margin experienced a decline primarily driven by the product mix of systems delivered to customers, along with a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charge related to our decision to end manufacturing of certain products, discussed below.</w:t>
      </w:r>
    </w:p>
    <w:p>
      <w:pPr>
        <w:spacing w:after="0" w:line="196"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We compute the majority of our excess and obsolete inventory reserve requirements using inventory usage forecasts. During fiscal 2025, we recorded net charges to cost of sales of approximately $7.5 million for excess and obsolete inventory, which includes a one-time charge of $3.3 million related to our decision to end manufacturing of certain products. In fiscal 2024, net charges to cost of sales for excess and obsolete inventory were $5.4 million. We believe our reserves for excess and obsolete inventory and lower of cost or net realizable value are adequate to cover known exposures at December 27, 2025. However, reductions in customer forecasts, continued modifications to products, or our failure to meet specifications or other customer requirements may result in additional charges to operations that could negatively impact our gross margin in future periods.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R&amp;D Expense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t>
      </w:r>
    </w:p>
    <w:p>
      <w:pPr>
        <w:spacing w:after="0" w:line="221"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R&amp;D expense consists primarily of salaries and related costs of employees engaged in ongoing research, product design and development activities, costs of engineering materials and supplies and professional consulting expenses. Our future operating results depend, to a considerable extent, on our ability to maintain a competitive advantage in the products we provide, and historically we have maintained our commitment to investing in R&amp;D in order to be able to continue to offer new products to our customers. R&amp;D expense in fiscal 2025 was $92.2 million, or 20.4% of net sales, compared to $84.8 million, or 21.1% of net sales in fiscal 2024. R&amp;D expense increased during fiscal 2025, primarily due to higher material costs associated with new product development initiatives. In addition, R&amp;D expense during fiscal 2025 included incremental costs of approximately $3.9 million related to our integration of Tignis, reflecting our continued investment in advanced analytics and AI-driven solutions to enhance product capabilities.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00"/>
          </w:cols>
          <w:pgMar w:left="320" w:top="572"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SG&amp;A Expense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t>
      </w:r>
    </w:p>
    <w:p>
      <w:pPr>
        <w:spacing w:after="0" w:line="221"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SG&amp;A expense consists primarily of salaries and benefit costs of employees, commission expense for independent sales representatives, product promotion and costs of professional services. SG&amp;A expense as a percentage of net sales decreased to 27.3% in fiscal 2025, from 31.9% in fiscal 2024, decreasing from $128.0 million in fiscal 2024 to $123.6 million in fiscal 2025. SG&amp;A expense for fiscal 2025 decreased compared to the prior year, primarily due to cost control initiatives and savings realized from previously announced restructuring activities. During fiscal 2025, SG&amp;A expense included $1.8 million of incremental costs related to the operations of Tignis and $0.4 million of transaction costs. These amounts were partially offset by a $1.7 million adjustment to the fair value of contingent consideration that was not earned. Additionally, results for fiscal 2025 benefited from a $0.4 million gain from the sale of our investment in Fraes-und Technologiezentrum GmbH Frasdorf (“FTZ”). In comparison, fiscal 2024 SG&amp;A expense included $3.5 million of one-time severance and other costs associated with transitioning certain manufacturing to Asia as part of the expansion of our factories in the Philippines and Malaysia, a $0.9 million impairment of our investment in FTZ, and $0.6 million of professional fees and other costs related to the acquisitions of EQT and Tignis.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Purchased Intangible Assets</w:t>
      </w:r>
    </w:p>
    <w:p>
      <w:pPr>
        <w:spacing w:after="0" w:line="2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Amortization of purchased intangibles is the process of expensing the cost of an intangible asset acquired through a business combination over the projected life of the asset. Amortization of acquisition-related intangible assets was $37.5 million and $39.1 million for fiscal 2025 and 2024, respectively. The decrease in expense in fiscal 2025 was primarily attributable to certain purchased intangible assets becoming fully amortized in the fourth quarter, partially offset by the amortization of acquired intangible assets from Tignis.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Charges</w:t>
      </w:r>
    </w:p>
    <w:p>
      <w:pPr>
        <w:spacing w:after="0" w:line="22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In the fourth quarter of fiscal 2024, we initiated a strategic decision to transition all remaining volume manufacturing operations out of Poway, California, consolidating production into our facilities in Asia to enhance efficiency and scalability. Building on this initiative, we launched a broader restructuring program in the first quarter of fiscal 2025 aimed at repositioning our global organization and optimizing our cost structure. We incurred restructuring charges totaling $10.1 million in fiscal 2025. Amounts for restructuring recorded in fiscal 2024 were not material.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4, “Restructuring Charges” in Part IV, Item 15(a) of this Form 10-K for additional information with respect to restructuring charges.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and Income</w:t>
      </w:r>
    </w:p>
    <w:p>
      <w:pPr>
        <w:spacing w:after="0" w:line="221" w:lineRule="exact"/>
        <w:rPr>
          <w:sz w:val="20"/>
          <w:szCs w:val="20"/>
          <w:color w:val="auto"/>
        </w:rPr>
      </w:pPr>
    </w:p>
    <w:p>
      <w:pPr>
        <w:ind w:right="360"/>
        <w:spacing w:after="0" w:line="274" w:lineRule="auto"/>
        <w:rPr>
          <w:sz w:val="20"/>
          <w:szCs w:val="20"/>
          <w:color w:val="auto"/>
        </w:rPr>
      </w:pPr>
      <w:r>
        <w:rPr>
          <w:rFonts w:ascii="Times New Roman" w:cs="Times New Roman" w:eastAsia="Times New Roman" w:hAnsi="Times New Roman"/>
          <w:sz w:val="18"/>
          <w:szCs w:val="18"/>
          <w:color w:val="auto"/>
        </w:rPr>
        <w:t>Interest expense was $2.1 million in fiscal 2025 compared to $0.6 million in fiscal 2024. The year-over-year increase in interest expense resulted from the issuance of convertible notes in the fourth quarter of fiscal 2025.</w:t>
      </w:r>
    </w:p>
    <w:p>
      <w:pPr>
        <w:spacing w:after="0" w:line="163" w:lineRule="exact"/>
        <w:rPr>
          <w:sz w:val="20"/>
          <w:szCs w:val="20"/>
          <w:color w:val="auto"/>
        </w:rPr>
      </w:pPr>
    </w:p>
    <w:p>
      <w:pPr>
        <w:jc w:val="both"/>
        <w:ind w:right="60"/>
        <w:spacing w:after="0" w:line="259" w:lineRule="auto"/>
        <w:rPr>
          <w:sz w:val="20"/>
          <w:szCs w:val="20"/>
          <w:color w:val="auto"/>
        </w:rPr>
      </w:pPr>
      <w:r>
        <w:rPr>
          <w:rFonts w:ascii="Times New Roman" w:cs="Times New Roman" w:eastAsia="Times New Roman" w:hAnsi="Times New Roman"/>
          <w:sz w:val="18"/>
          <w:szCs w:val="18"/>
          <w:color w:val="auto"/>
        </w:rPr>
        <w:t>Interest income was $8.0 million and $10.0 million in fiscal 2025 and 2024, respectively. The decrease in interest income year-over-year was primarily driven by lower average cash and investment balances and a decline in interest rates during fiscal 2025. While we received proceeds from the issuance of convertible notes in the fourth quarter of fiscal 2025, the timing of the transaction limited its impact on average balances for the year.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Transaction Gain (Loss) and Other</w:t>
      </w:r>
    </w:p>
    <w:p>
      <w:pPr>
        <w:spacing w:after="0" w:line="22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have operations in foreign countries and conduct business in the local currency in these countries. We enter into foreign currency forward contracts to hedge against future movements in foreign exchange rates that affect certain U.S. Dollar denominated assets and liabilities that are held at our subsidiaries whose functional currency is the local currency. During fiscal 2025, we recognized losses of $0.8 million, net of $6.0 million of gains generated by our foreign currency forward contracts. In fiscal 2024, the U.S. Dollar strengthened against foreign currencies we operate in resulting in recognized losses of $2.4 million, net of $7.5 million of losses generated by our foreign currency forward contracts.</w:t>
      </w:r>
    </w:p>
    <w:p>
      <w:pPr>
        <w:spacing w:after="0" w:line="185"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See Note 8 “Derivative Financial Instruments” in Part IV, Item 15(a) of this Form 10-K for additional information with respect to our foreign currency forward contracts.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income tax provision expressed as a percentage of pre-tax income or loss in fiscal 2025 and 2024 was (19.0)% and (7.5)%, respectively. The provision for income taxes increased from $4.9 million in fiscal 2024 to $11.9 million in fiscal 2025 primarily due to the increase in pre-tax income from foreign operations and valuation allowances established to offset net deferred tax assets of our subsidiaries in Switzerland and Malaysia.</w:t>
      </w:r>
    </w:p>
    <w:p>
      <w:pPr>
        <w:spacing w:after="0" w:line="178"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Companies are required to assess whether a valuation allowance should be recorded against their deferred tax assets (“DTAs”) based on the consideration of all available evidence, using a “more likely than not” realization standard. The four sources of taxable income that must be considered in determining whether DTAs will be realized are, (1) future reversals of existing taxable temporary differences (i.e. offset of gross deferred tax assets against gross deferred tax liabilities); (2) taxable income in prior carryback years, if carryback is permitted under the tax law; (3) tax planning strategies and (4) future taxable income exclusive of reversing temporary differences and carryforwards.</w:t>
      </w:r>
    </w:p>
    <w:p>
      <w:pPr>
        <w:spacing w:after="0" w:line="18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In assessing whether a valuation allowance is required, significant weight is to be given to evidence that can be objectively verified. We have evaluated our DTAs at each reporting period, including an assessment of our cumulative income or loss over the prior three-year period and future periods, to determine if a valuation allowance was required.</w:t>
      </w:r>
    </w:p>
    <w:p>
      <w:pPr>
        <w:spacing w:after="0" w:line="178"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Based on the evidence available including a lack of sustainable earnings and history of expiring unused NOLs, and tax credits, we continue to maintain our judgement that a previously recorded valuation allowance against substantially all of our net deferred tax assets in the U.S. is still required. In addition, due to the cumulative loss position in Switzerland and the worldwide consolidated cumulative loss, we recorded valuation allowances against the net deferred tax assets in Switzerland and Malaysia during fiscal 2025. If a change in judgement regarding these valuation allowances were to occur in the future, we would record a potentially material deferred tax benefit, which could result in a favorable impact on the effective tax rate in that period.</w:t>
      </w:r>
    </w:p>
    <w:p>
      <w:pPr>
        <w:spacing w:after="0" w:line="185" w:lineRule="exact"/>
        <w:rPr>
          <w:sz w:val="20"/>
          <w:szCs w:val="20"/>
          <w:color w:val="auto"/>
        </w:rPr>
      </w:pPr>
    </w:p>
    <w:p>
      <w:pPr>
        <w:jc w:val="both"/>
        <w:ind w:right="200"/>
        <w:spacing w:after="0" w:line="282" w:lineRule="auto"/>
        <w:rPr>
          <w:sz w:val="20"/>
          <w:szCs w:val="20"/>
          <w:color w:val="auto"/>
        </w:rPr>
      </w:pPr>
      <w:r>
        <w:rPr>
          <w:rFonts w:ascii="Times New Roman" w:cs="Times New Roman" w:eastAsia="Times New Roman" w:hAnsi="Times New Roman"/>
          <w:sz w:val="17"/>
          <w:szCs w:val="17"/>
          <w:color w:val="auto"/>
        </w:rPr>
        <w:t>Our valuation allowance on our DTAs at December 27, 2025, and December 28, 2024, was approximately $143.</w:t>
      </w:r>
      <w:r>
        <w:rPr>
          <w:rFonts w:ascii="Times New Roman" w:cs="Times New Roman" w:eastAsia="Times New Roman" w:hAnsi="Times New Roman"/>
          <w:sz w:val="17"/>
          <w:szCs w:val="17"/>
          <w:u w:val="single" w:color="auto"/>
          <w:color w:val="auto"/>
        </w:rPr>
        <w:t>5</w:t>
      </w:r>
      <w:r>
        <w:rPr>
          <w:rFonts w:ascii="Times New Roman" w:cs="Times New Roman" w:eastAsia="Times New Roman" w:hAnsi="Times New Roman"/>
          <w:sz w:val="17"/>
          <w:szCs w:val="17"/>
          <w:color w:val="auto"/>
        </w:rPr>
        <w:t xml:space="preserve"> million and $114.5 million, respectively. The remaining gross DTAs for which a valuation allowance was not recorded are realizable primarily through future reversals of existing taxable temporary differences and to a lesser extent future taxable income in certain jurisdictions exclusive of reversing temporary differences and carryforwards.</w:t>
      </w:r>
    </w:p>
    <w:p>
      <w:pPr>
        <w:spacing w:after="0" w:line="159" w:lineRule="exact"/>
        <w:rPr>
          <w:sz w:val="20"/>
          <w:szCs w:val="20"/>
          <w:color w:val="auto"/>
        </w:rPr>
      </w:pPr>
    </w:p>
    <w:p>
      <w:pPr>
        <w:ind w:right="480"/>
        <w:spacing w:after="0" w:line="274" w:lineRule="auto"/>
        <w:rPr>
          <w:sz w:val="20"/>
          <w:szCs w:val="20"/>
          <w:color w:val="auto"/>
        </w:rPr>
      </w:pPr>
      <w:r>
        <w:rPr>
          <w:rFonts w:ascii="Times New Roman" w:cs="Times New Roman" w:eastAsia="Times New Roman" w:hAnsi="Times New Roman"/>
          <w:sz w:val="18"/>
          <w:szCs w:val="18"/>
          <w:color w:val="auto"/>
        </w:rPr>
        <w:t>For a full reconciliation of our effective tax rate to the U.S. federal statutory rate and further explanation of our provision for income taxes, see Note 10, “Income Taxes”, included in Part IV, Item 15(a) of this Form 10-K, which is incorporated herein by reference.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the factors set forth above, our net loss was $74.3 million in fiscal 2025 and $69.8 million in fiscal 2024.</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9" w:lineRule="exact"/>
        <w:rPr>
          <w:sz w:val="20"/>
          <w:szCs w:val="20"/>
          <w:color w:val="auto"/>
        </w:rPr>
      </w:pPr>
    </w:p>
    <w:p>
      <w:pPr>
        <w:jc w:val="both"/>
        <w:ind w:right="400"/>
        <w:spacing w:after="0" w:line="259" w:lineRule="auto"/>
        <w:rPr>
          <w:sz w:val="20"/>
          <w:szCs w:val="20"/>
          <w:color w:val="auto"/>
        </w:rPr>
      </w:pPr>
      <w:r>
        <w:rPr>
          <w:rFonts w:ascii="Times New Roman" w:cs="Times New Roman" w:eastAsia="Times New Roman" w:hAnsi="Times New Roman"/>
          <w:sz w:val="18"/>
          <w:szCs w:val="18"/>
          <w:color w:val="auto"/>
        </w:rPr>
        <w:t>Our business is dependent on capital expenditures by semiconductor manufacturers and test subcontractors that are, in turn, dependent on the current and anticipated market demand for semiconductors. The cyclical, seasonal and volatile nature of demand for semiconductor equipment, our primary industry, makes estimates of future revenues, results of operations and net cash flows difficult.</w:t>
      </w:r>
    </w:p>
    <w:p>
      <w:pPr>
        <w:spacing w:after="0" w:line="178"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Our primary historical source of liquidity and capital resources has been cash flow generated by operations and we manage our business to maximize operating cash flows as our primary source of liquidity. We use cash to fund growth in our operating assets and to fund new products and product enhancements primarily through research and development. As of December 27, 2025, $151.2 million or 66.6% of our cash and cash equivalents was held by our foreign subsidiaries. If these funds are needed for our operations in the U.S., we may be required to accrue and pay foreign withholding taxes if we repatriate these funds. Except for working capital requirements in certain jurisdictions, we provide for all withholding and other residual taxes related to unremitted earnings of our foreign subsidiaries.</w:t>
      </w:r>
    </w:p>
    <w:p>
      <w:pPr>
        <w:spacing w:after="0" w:line="185" w:lineRule="exact"/>
        <w:rPr>
          <w:sz w:val="20"/>
          <w:szCs w:val="20"/>
          <w:color w:val="auto"/>
        </w:rPr>
      </w:pPr>
    </w:p>
    <w:p>
      <w:pPr>
        <w:ind w:right="620"/>
        <w:spacing w:after="0" w:line="274" w:lineRule="auto"/>
        <w:rPr>
          <w:sz w:val="20"/>
          <w:szCs w:val="20"/>
          <w:color w:val="auto"/>
        </w:rPr>
      </w:pPr>
      <w:r>
        <w:rPr>
          <w:rFonts w:ascii="Times New Roman" w:cs="Times New Roman" w:eastAsia="Times New Roman" w:hAnsi="Times New Roman"/>
          <w:sz w:val="18"/>
          <w:szCs w:val="18"/>
          <w:color w:val="auto"/>
        </w:rPr>
        <w:t>On September 29, 2025, we issued $287.5 million aggregate principal amount of 1.50% convertible senior notes due 2031. The terms of the Notes are described in Note 3, “Borrowings and Credit Agreements” in Part IV, Item 15(a) of this Form 10-K.</w:t>
      </w: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ind w:right="200"/>
        <w:spacing w:after="0" w:line="274" w:lineRule="auto"/>
        <w:rPr>
          <w:sz w:val="20"/>
          <w:szCs w:val="20"/>
          <w:color w:val="auto"/>
        </w:rPr>
      </w:pPr>
      <w:r>
        <w:rPr>
          <w:rFonts w:ascii="Times New Roman" w:cs="Times New Roman" w:eastAsia="Times New Roman" w:hAnsi="Times New Roman"/>
          <w:sz w:val="18"/>
          <w:szCs w:val="18"/>
          <w:color w:val="auto"/>
        </w:rPr>
        <w:t>On February 9, 2024, we made a cash payment of $29.3 million to repay the remaining outstanding principal of our Term Loan Credit Facility. The terms of the Term Loan Credit Facility are described in Note 3, “Borrowings and Credit Agreements” in Part IV, Item 15(a) of this Form 10-K.</w:t>
      </w:r>
    </w:p>
    <w:p>
      <w:pPr>
        <w:spacing w:after="0" w:line="163" w:lineRule="exact"/>
        <w:rPr>
          <w:sz w:val="20"/>
          <w:szCs w:val="20"/>
          <w:color w:val="auto"/>
        </w:rPr>
      </w:pPr>
    </w:p>
    <w:p>
      <w:pPr>
        <w:jc w:val="both"/>
        <w:ind w:right="360"/>
        <w:spacing w:after="0" w:line="259" w:lineRule="auto"/>
        <w:rPr>
          <w:sz w:val="20"/>
          <w:szCs w:val="20"/>
          <w:color w:val="auto"/>
        </w:rPr>
      </w:pPr>
      <w:r>
        <w:rPr>
          <w:rFonts w:ascii="Times New Roman" w:cs="Times New Roman" w:eastAsia="Times New Roman" w:hAnsi="Times New Roman"/>
          <w:sz w:val="18"/>
          <w:szCs w:val="18"/>
          <w:color w:val="auto"/>
        </w:rPr>
        <w:t>On December 27, 2025, our total indebtedness, net of deferred financing costs, was $296.1 million, which included $278.5 million outstanding under the Notes, $1.5 million outstanding under Kita’s term loans, $6.3 million outstanding under Cohu GmbH’s construction loans, $9.4 million outstanding under Cohu Malaysia’s revolving credit facility and $0.4 million outstanding under Kita’s lines of credit.</w:t>
      </w:r>
    </w:p>
    <w:p>
      <w:pPr>
        <w:spacing w:after="0" w:line="178"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8"/>
          <w:szCs w:val="18"/>
          <w:color w:val="auto"/>
        </w:rPr>
        <w:t>In fiscal 2025 and 2024, we repurchased 432,288 shares and 915,504 shares of our outstanding common stock for $8.6 million and $27.0 million, respectively, to be held as treasury stock.</w:t>
      </w:r>
    </w:p>
    <w:p>
      <w:pPr>
        <w:spacing w:after="0" w:line="163"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We believe that our sources of liquidity will be sufficient to satisfy our anticipated cash requirements through at least the next 12 months. Our liquidity could be negatively affected by a decrease in demand for our products. In addition, we may make acquisitions or increase our capital expenditures and may need to raise additional capital through debt or equity financing to provide for greater flexibility to fund these activities. Additional financing may not be available or not available on terms favorable to us. A discussion of cash flows for the year ended December 30, 2023, has been omitted from this Annual Report on Form 10-K, but may be found in “Item 7. Management’s Discussion and Analysis of Financial Condition and Results of Operations,” under the heading “Liquidity and Capital Resources” in our Annual Report on Form 10-K for the year ended December 28, 2024, filed with the SEC on February 20, 2025, which discussion is incorporated herein by reference and which is available free of charge on the SEC’s website at www.sec.gov.</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15"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 xml:space="preserve">Working Capital: </w:t>
      </w:r>
      <w:r>
        <w:rPr>
          <w:rFonts w:ascii="Times New Roman" w:cs="Times New Roman" w:eastAsia="Times New Roman" w:hAnsi="Times New Roman"/>
          <w:sz w:val="18"/>
          <w:szCs w:val="18"/>
          <w:color w:val="auto"/>
        </w:rPr>
        <w:t>The following summarizes our cash, cash equivalents, short-term investments and working capital at December 27, 2025 and December 28,</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2024:</w:t>
      </w:r>
    </w:p>
    <w:p>
      <w:pPr>
        <w:spacing w:after="0" w:line="160" w:lineRule="exact"/>
        <w:rPr>
          <w:sz w:val="20"/>
          <w:szCs w:val="20"/>
          <w:color w:val="auto"/>
        </w:rPr>
      </w:pPr>
    </w:p>
    <w:tbl>
      <w:tblPr>
        <w:tblLayout w:type="fixed"/>
        <w:tblInd w:w="160" w:type="dxa"/>
        <w:tblCellMar>
          <w:top w:w="0" w:type="dxa"/>
          <w:left w:w="0" w:type="dxa"/>
          <w:bottom w:w="0" w:type="dxa"/>
          <w:right w:w="0" w:type="dxa"/>
        </w:tblCellMar>
      </w:tblPr>
      <w:tr>
        <w:trPr>
          <w:trHeight w:val="212"/>
        </w:trPr>
        <w:tc>
          <w:tcPr>
            <w:tcW w:w="44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Percentage</w:t>
            </w:r>
          </w:p>
        </w:tc>
        <w:tc>
          <w:tcPr>
            <w:tcW w:w="0" w:type="dxa"/>
            <w:vAlign w:val="bottom"/>
          </w:tcPr>
          <w:p>
            <w:pPr>
              <w:spacing w:after="0"/>
              <w:rPr>
                <w:sz w:val="1"/>
                <w:szCs w:val="1"/>
                <w:color w:val="auto"/>
              </w:rPr>
            </w:pPr>
          </w:p>
        </w:tc>
      </w:tr>
      <w:tr>
        <w:trPr>
          <w:trHeight w:val="230"/>
        </w:trPr>
        <w:tc>
          <w:tcPr>
            <w:tcW w:w="440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Increase</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Change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40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Cash, cash equivalents and short-term investments</w:t>
            </w:r>
          </w:p>
        </w:tc>
        <w:tc>
          <w:tcPr>
            <w:tcW w:w="1060" w:type="dxa"/>
            <w:vAlign w:val="bottom"/>
            <w:shd w:val="clear" w:color="auto" w:fill="CCEEFF"/>
          </w:tcPr>
          <w:p>
            <w:pPr>
              <w:jc w:val="right"/>
              <w:ind w:right="72"/>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483,981</w:t>
            </w:r>
          </w:p>
        </w:tc>
        <w:tc>
          <w:tcPr>
            <w:tcW w:w="360" w:type="dxa"/>
            <w:vAlign w:val="bottom"/>
            <w:shd w:val="clear" w:color="auto" w:fill="CCEEFF"/>
          </w:tcPr>
          <w:p>
            <w:pPr>
              <w:jc w:val="right"/>
              <w:ind w:right="72"/>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262,092</w:t>
            </w:r>
          </w:p>
        </w:tc>
        <w:tc>
          <w:tcPr>
            <w:tcW w:w="300" w:type="dxa"/>
            <w:vAlign w:val="bottom"/>
            <w:shd w:val="clear" w:color="auto" w:fill="CCEEFF"/>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12"/>
              <w:spacing w:after="0" w:line="205" w:lineRule="exact"/>
              <w:rPr>
                <w:sz w:val="20"/>
                <w:szCs w:val="20"/>
                <w:color w:val="auto"/>
              </w:rPr>
            </w:pPr>
            <w:r>
              <w:rPr>
                <w:rFonts w:ascii="Times New Roman" w:cs="Times New Roman" w:eastAsia="Times New Roman" w:hAnsi="Times New Roman"/>
                <w:sz w:val="18"/>
                <w:szCs w:val="18"/>
                <w:color w:val="auto"/>
              </w:rPr>
              <w:t>221,889</w:t>
            </w:r>
          </w:p>
        </w:tc>
        <w:tc>
          <w:tcPr>
            <w:tcW w:w="1340" w:type="dxa"/>
            <w:vAlign w:val="bottom"/>
            <w:gridSpan w:val="2"/>
            <w:shd w:val="clear" w:color="auto" w:fill="CCEEFF"/>
          </w:tcPr>
          <w:p>
            <w:pPr>
              <w:jc w:val="right"/>
              <w:ind w:right="20"/>
              <w:spacing w:after="0" w:line="205" w:lineRule="exact"/>
              <w:rPr>
                <w:sz w:val="20"/>
                <w:szCs w:val="20"/>
                <w:color w:val="auto"/>
              </w:rPr>
            </w:pPr>
            <w:r>
              <w:rPr>
                <w:rFonts w:ascii="Times New Roman" w:cs="Times New Roman" w:eastAsia="Times New Roman" w:hAnsi="Times New Roman"/>
                <w:sz w:val="18"/>
                <w:szCs w:val="18"/>
                <w:color w:val="auto"/>
              </w:rPr>
              <w:t>84.7%</w:t>
            </w:r>
          </w:p>
        </w:tc>
        <w:tc>
          <w:tcPr>
            <w:tcW w:w="0" w:type="dxa"/>
            <w:vAlign w:val="bottom"/>
          </w:tcPr>
          <w:p>
            <w:pPr>
              <w:spacing w:after="0"/>
              <w:rPr>
                <w:sz w:val="1"/>
                <w:szCs w:val="1"/>
                <w:color w:val="auto"/>
              </w:rPr>
            </w:pPr>
          </w:p>
        </w:tc>
      </w:tr>
      <w:tr>
        <w:trPr>
          <w:trHeight w:val="231"/>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10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640,912</w:t>
            </w:r>
          </w:p>
        </w:tc>
        <w:tc>
          <w:tcPr>
            <w:tcW w:w="3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449,123</w:t>
            </w:r>
          </w:p>
        </w:tc>
        <w:tc>
          <w:tcPr>
            <w:tcW w:w="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191,789</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bl>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Cash provided by operating activities consists of our net loss adjusted for non-cash expenses and changes in operating assets and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liabilities. These adjustments include impairment charges, depreciation expense on property, plant and equipment, share-based compensation expense,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intangible assets, deferred income taxes, amortization of cloud-based software implementation costs, amortization of debt discounts and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costs and gains from the sale of property, plant and equipment. Our net cash flows provided by operating activities in fiscal 2025 totaled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$31.7 million compared to $2.8 million in fiscal 2024. The increase in cash provided by operating activities in the current year was a result of improved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conditions. Cash provided by operating activities was also impacted by changes in current assets and liabilities which included a decrease in other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assets of $15.4 million, primarily reflecting the collection of income taxes receivable, an increase in accounts receivable of $14.5 million due to the timing of</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fourth quarter shipments, a decrease in inventories of $4.3 million attributable strict management and targeted inventory reduction actions, an increase in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of $10.3 million driven by the timing of supplier receipts and payments in the fourth quarter, an increase in deferred profit of $3.7 million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related to revenue deferrals made in accordance with our revenue recognition policy, and an increase in accrued compensation, warranty and other liabilities of</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 million reflecting the timing of incentive compensation accruals and warranty provisions consistent with current sales levels and product mix.</w:t>
      </w:r>
    </w:p>
    <w:p>
      <w:pPr>
        <w:spacing w:after="0" w:line="19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Investing Activities: </w:t>
      </w:r>
      <w:r>
        <w:rPr>
          <w:rFonts w:ascii="Times New Roman" w:cs="Times New Roman" w:eastAsia="Times New Roman" w:hAnsi="Times New Roman"/>
          <w:sz w:val="18"/>
          <w:szCs w:val="18"/>
          <w:color w:val="auto"/>
        </w:rPr>
        <w:t>Investing cash flows consist primarily of cash used for capital expenditures in support of our business, purchases of investments,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acquisitions and proceeds from investment maturities and asset disposals. Our net cash used in investing activities in fiscal 2025 totaled $257.0 million. In fiscal 2025 we used $263.4 million in cash for purchases of short-term investments and generated $63.8 million from sales and maturities. We invest our excess cash, in an attempt to seek the highest available return while preserving capital, in short-term investments since excess cash may be required for a business-related purpose. Additions to property, plant and equipment in fiscal 2025 were $21.0 million and were made to support our operating and development activities. Cash paid for the settlement of net investment hedges totaled $2.1 million in fiscal 2025. Our net cash provided by investing activities in fiscal 2024 totaled $21.9 million. In fiscal 2024 we used $78.6 million in cash for purchases of short-term investments and generated $114.2 million from sales and maturities. Additions to property, plant and equipment in fiscal 2024 of $10.6 million were made to support our operating and development activities.</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3"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Financing cash flows consist primarily of net proceeds under our employee stock purchase plans, repurchases of shares made under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 repurchase program and repayments of debt, net of new borrowings. In fiscal 2025, our cash provided by financing activities totaled $246.3 million, primarily due to $287.5 million of proceeds from our issuance of convertible senior notes reduced by $31.4 million cash paid for purchase of capped calls related to our convertible senior notes and $9.4 of debt issuance costs. During fiscal 2025, we also had proceeds of $8.5 million from borrowings on a revolving line of credit used to finance the purchase of our factory in Malaysia. In fiscal 2024, our cash used in financing activities totaled $59.0 million primarily due to debt repayments totaling $31.3 million, which includes $29.3 million of cash prepayments of our Term Loan Credit Facility. In fiscal 2025, repayments of debt were $1.7 million. During fiscal 2025 and 2024, we made payments totaling $8.6 million and $27.0 million, respectively for shares of our common stock repurchased under our share repurchase program to be held as treasury stock. We issue restricted stock units, including performance stock units, and maintain an employee stock purchase plan as components of our overall employee compensation. In fiscal 2025, net proceeds from shares issued under our employee stock purchase plan (“ESPP”) net of cash used to settle the minimum statutory tax withholding requirements on behalf of our employees upon vesting of restricted and performance stock awards, was $1.2 million. In fiscal 2024, net cash used to settle the minimum statutory tax withholding requirements on behalf of our employees totaled $0.1 million. The change in cash used to settle tax withholding requirements between fiscal 2025 and 2024 is directly correlated to the decrease in Cohu’s stock price at the end of March year over year when the majority of awards vest, while maintaining similar levels of participation and proceeds from our ESPP.</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219"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8"/>
          <w:szCs w:val="18"/>
          <w:color w:val="auto"/>
        </w:rPr>
        <w:t>On October 28, 2021, we announced that our Board of Directors authorized a $70 million share repurchase program. This share repurchase program was effective as of November 2, 2021, and has no expiration date. On October 25, 2022, our Board of Directors authorized an additional $70 million under the share repurchase program. The timing of share repurchases and the number of shares of common stock to be repurchased will depend upon prevailing market conditions and other factors. Repurchases under this program will be made using our existing cash resources and may be commenced or suspended from time to time at our discretion without prior notice. Repurchases may be made in the open market, through 10b5-1 programs, or in privately negotiated transactions at prevailing market rates in accordance with federal securities laws. For the year ended December 27, 2025, we repurchased 432,288 shares of our common stock for $8.6 million to be held as treasury stock. As of December 27, 2025, $22.8 million remained available for us to repurchase shares of our common stock under our share repurchase program.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w:t>
      </w:r>
    </w:p>
    <w:p>
      <w:pPr>
        <w:spacing w:after="0" w:line="219" w:lineRule="exact"/>
        <w:rPr>
          <w:sz w:val="20"/>
          <w:szCs w:val="20"/>
          <w:color w:val="auto"/>
        </w:rPr>
      </w:pPr>
    </w:p>
    <w:p>
      <w:pPr>
        <w:ind w:right="240"/>
        <w:spacing w:after="0" w:line="274" w:lineRule="auto"/>
        <w:rPr>
          <w:sz w:val="20"/>
          <w:szCs w:val="20"/>
          <w:color w:val="auto"/>
        </w:rPr>
      </w:pPr>
      <w:r>
        <w:rPr>
          <w:rFonts w:ascii="Times New Roman" w:cs="Times New Roman" w:eastAsia="Times New Roman" w:hAnsi="Times New Roman"/>
          <w:sz w:val="18"/>
          <w:szCs w:val="18"/>
          <w:color w:val="auto"/>
        </w:rPr>
        <w:t>We have access to credit facilities and other borrowings provided by financial institutions to finance acquisitions, capital expenditures and our operations if needed. A summary of our borrowings and available credit is as follows.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Convertible Senior Notes Due 2031</w:t>
      </w:r>
    </w:p>
    <w:p>
      <w:pPr>
        <w:spacing w:after="0" w:line="2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September 29, 2025, we issued $287.5 million aggregate principal amount of 1.50% convertible senior notes due 2031. The Notes include the full exercise by the initial purchasers on September 25, 2025 of their option to purchase up to an additional $27.5 million principal amount of the Notes. The Notes are senior unsecured obligations and bear interest at a coupon rate of 1.50% per annum, with interest payable semiannually in arrears on January 15 and July 15 of each year, beginning on January 15, 2026. The Notes will mature on January 15, 2031, unless earlier converted, redeemed or repurchased in accordance with their terms.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Prior to the close of business on the business day immediately preceding October 15, 2030, noteholders will have the right to convert their Notes only upon the occurrence of certain events. On or after October 15, 2030, noteholders may convert all or any portion of their Notes at any time at their election until the close of business on the second scheduled trading day immediately preceding the maturity date. Upon conversion, we will satisfy the conversion obligations by paying cash up to the aggregate principal amount of the Notes to be converted and paying and/or delivering cash, shares of common stock or a combination of cash and shares of common stock, at our election, in respect of the remainder, if any, of the conversion obligation in excess of the aggregate principal amount of the Notes being converted. The initial conversion rate for the Notes is 36.7975 shares of common stock per $1,000 principal amount of Notes (equivalent to an initial conversion price of approximately $27.18 per share of common stock), which represents an approximately 32.5% conversion premium over the last reported sale price of $20.51 per share of our common stock on The Nasdaq Stock Market on September 24, 2025. The conversion rate (and accordingly the conversion price) is subject to adjustment upon the occurrence of certain events. In addition, upon certain corporate events or upon a notice of redemption (as described below), we will, under certain circumstances, increase the conversion rate for noteholders who convert Notes in connection with such a corporate event or convert their Notes called (or deemed called) for redemption during the related redemption period, as the case may be.</w:t>
      </w:r>
    </w:p>
    <w:p>
      <w:pPr>
        <w:spacing w:after="0" w:line="179"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8"/>
          <w:szCs w:val="18"/>
          <w:color w:val="auto"/>
        </w:rPr>
        <w:t>The Notes will not be redeemable before January 22, 2029. The Notes will be redeemable, in whole or in part, for cash at our option at any time, and from time to time, on or after January 22, 2029 and prior to the 51st scheduled trading day immediately preceding the maturity date, if (i) the Notes are “freely tradable” (as defined in the indenture governing the Notes), and certain accrued and unpaid additional interest, if any, has been paid in full, as of the first interest payment date occurring on or before the date we send such notice and (ii) the last reported sale price per share of our common stock has been at least 130% of the conversion price for a specified period of time. The redemption price will be equal to the principal amount of the Notes to be redeemed, plus accrued and unpaid interest, if any, to, but excluding, the redemption date.</w:t>
      </w:r>
    </w:p>
    <w:p>
      <w:pPr>
        <w:spacing w:after="0" w:line="18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If a “fundamental change” (as defined in the indenture governing the Notes) occurs, then, subject to certain conditions, noteholders may require us to repurchase their Notes for cash. The repurchase price will be equal to the principal amount of the Notes to be repurchased, plus accrued and unpaid interest, if any, to, but excluding, the applicable repurchase date.</w:t>
      </w:r>
    </w:p>
    <w:p>
      <w:pPr>
        <w:spacing w:after="0" w:line="178" w:lineRule="exact"/>
        <w:rPr>
          <w:sz w:val="20"/>
          <w:szCs w:val="20"/>
          <w:color w:val="auto"/>
        </w:rPr>
      </w:pPr>
    </w:p>
    <w:p>
      <w:pPr>
        <w:jc w:val="both"/>
        <w:ind w:right="40"/>
        <w:spacing w:after="0" w:line="259" w:lineRule="auto"/>
        <w:rPr>
          <w:sz w:val="20"/>
          <w:szCs w:val="20"/>
          <w:color w:val="auto"/>
        </w:rPr>
      </w:pPr>
      <w:r>
        <w:rPr>
          <w:rFonts w:ascii="Times New Roman" w:cs="Times New Roman" w:eastAsia="Times New Roman" w:hAnsi="Times New Roman"/>
          <w:sz w:val="18"/>
          <w:szCs w:val="18"/>
          <w:color w:val="auto"/>
        </w:rPr>
        <w:t>Our net proceeds from the offering were approximately $278.9 million, after deducting the initial purchasers’ discounts and commissions but before estimated offering expenses. We used approximately $31.4 million of the net proceeds to enter into the capped call transactions that are described in Note 9, “Equity” in Part IV, Item 15(a) of this Form 10-K. We intend to use the remaining net proceeds for general corporate purposes.</w:t>
      </w:r>
    </w:p>
    <w:p>
      <w:pPr>
        <w:spacing w:after="0" w:line="176" w:lineRule="exact"/>
        <w:rPr>
          <w:sz w:val="20"/>
          <w:szCs w:val="20"/>
          <w:color w:val="auto"/>
        </w:rPr>
      </w:pPr>
    </w:p>
    <w:p>
      <w:pPr>
        <w:jc w:val="both"/>
        <w:ind w:right="60"/>
        <w:spacing w:after="0" w:line="283" w:lineRule="auto"/>
        <w:rPr>
          <w:sz w:val="20"/>
          <w:szCs w:val="20"/>
          <w:color w:val="auto"/>
        </w:rPr>
      </w:pPr>
      <w:r>
        <w:rPr>
          <w:rFonts w:ascii="Times New Roman" w:cs="Times New Roman" w:eastAsia="Times New Roman" w:hAnsi="Times New Roman"/>
          <w:sz w:val="17"/>
          <w:szCs w:val="17"/>
          <w:color w:val="auto"/>
        </w:rPr>
        <w:t xml:space="preserve">The Notes are recorded as liabilities in accordance with ASC Topic 470, </w:t>
      </w:r>
      <w:r>
        <w:rPr>
          <w:rFonts w:ascii="Times New Roman" w:cs="Times New Roman" w:eastAsia="Times New Roman" w:hAnsi="Times New Roman"/>
          <w:sz w:val="17"/>
          <w:szCs w:val="17"/>
          <w:i w:val="1"/>
          <w:iCs w:val="1"/>
          <w:color w:val="auto"/>
        </w:rPr>
        <w:t>Debt</w:t>
      </w:r>
      <w:r>
        <w:rPr>
          <w:rFonts w:ascii="Times New Roman" w:cs="Times New Roman" w:eastAsia="Times New Roman" w:hAnsi="Times New Roman"/>
          <w:sz w:val="17"/>
          <w:szCs w:val="17"/>
          <w:color w:val="auto"/>
        </w:rPr>
        <w:t xml:space="preserve"> (“ASC 470”). Issuance costs will be amortized to interest expense over the term of the Notes using the effective interest method. Upon issuance, we evaluated the conversion feature for potential separation as an embedded derivative under ASC 815, </w:t>
      </w:r>
      <w:r>
        <w:rPr>
          <w:rFonts w:ascii="Times New Roman" w:cs="Times New Roman" w:eastAsia="Times New Roman" w:hAnsi="Times New Roman"/>
          <w:sz w:val="17"/>
          <w:szCs w:val="17"/>
          <w:i w:val="1"/>
          <w:iCs w:val="1"/>
          <w:color w:val="auto"/>
        </w:rPr>
        <w:t>Derivatives and Hedging</w:t>
      </w:r>
      <w:r>
        <w:rPr>
          <w:rFonts w:ascii="Times New Roman" w:cs="Times New Roman" w:eastAsia="Times New Roman" w:hAnsi="Times New Roman"/>
          <w:sz w:val="17"/>
          <w:szCs w:val="17"/>
          <w:color w:val="auto"/>
        </w:rPr>
        <w:t xml:space="preserve"> (“ASC 815”) and determined that the conversion feature did not meet the criteria for derivative accounting.</w:t>
      </w:r>
    </w:p>
    <w:p>
      <w:pPr>
        <w:spacing w:after="0" w:line="15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effective interest rate for the Notes is 2.2% after considering the effect of the accretion of the related debt discount over the term of the Notes. For the year ended December 27, 2025, total interest expense related to the Notes was $1.5 million, with coupon interest expense of $1.1 million and amortization of debt discount of $0.4 million. As of December 27, 2025, the remaining unamortized debt discount of the Notes was $9.0 million. At December 27, 2025, the outstanding Notes balance, net of discount, was $278.5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Credit Agreement</w:t>
      </w:r>
    </w:p>
    <w:p>
      <w:pPr>
        <w:spacing w:after="0" w:line="219"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8"/>
          <w:szCs w:val="18"/>
          <w:color w:val="auto"/>
        </w:rPr>
        <w:t>On October 1, 2018, we entered into a Credit Agreement providing for a $350.0 million Term Loan Credit Facility and borrowed the full amount to finance a portion of the Xcerra acquisition. Loans under the Term Loan Credit Facility were amortized in equal quarterly installments of 0.25% of the original principal amount, with the balance payable at maturity. All outstanding principal and interest in respect of the Term Loan Credit Facility would have been due on or before October 1, 2025. The loans under the Term Loan Credit Facility bore interest, at Cohu’s option, at a floating annual rate equal to the London Interbank Offered Rate (“LIBOR”) plus a margin of 3.00%. On June 16, 2023, in connection with the discontinuation of LIBOR, we entered into an amendment to our Term Loan Credit Facility, which provided for the transition of the benchmark interest rate from LIBOR to the Secured Overnight Financing Rate (“SOFR” or “Term SOFR”). Effective with the interest period beginning July 1, 2023, LIBOR was replaced with Adjusted Term SOFR, a floating annual rate equal to SOFR plus a margin of 3.0%.</w:t>
      </w:r>
    </w:p>
    <w:p>
      <w:pPr>
        <w:spacing w:after="0" w:line="190"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8"/>
          <w:szCs w:val="18"/>
          <w:color w:val="auto"/>
        </w:rPr>
        <w:t>On February 9, 2024, we made a cash payment of $29.3 million to repay the remaining outstanding amounts owed under our Term Loan Credit Facility. We accounted for the transaction as a debt extinguishment, and in the first quarter of fiscal 2024 we recognized a loss of $0.2 million in our consolidated statement of operations due to the recognition of the remaining debt discount and deferred financing costs.</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i w:val="1"/>
          <w:iCs w:val="1"/>
          <w:u w:val="single" w:color="auto"/>
          <w:color w:val="auto"/>
        </w:rPr>
        <w:t>Kita Term Loans</w:t>
      </w:r>
    </w:p>
    <w:p>
      <w:pPr>
        <w:spacing w:after="0" w:line="219"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We have a series of term loans with Japanese financial institutions primarily related to the expansion of our facility in Osaka, Japan. The loans are collateralized by the facility and land, carry interest rates ranging from 0.05% to 0.96%, and expire at various dates through 2034. At December 27, 2025, the outstanding loan balance was $1.5 million, and $0.2 million of the outstanding balance is presented as current installments of long-term debt in our consolidated balance sheets. At December 28, 2024, the outstanding loan balance was $1.7 million, and $0.2 million of the outstanding balance is presented as current installments of long-term debt in our consolidated balance sheets. The term loans are denominated in Japanese Yen and, as a result, amounts disclosed herein will fluctuate because of changes in currency exchange rates.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Construction Loans</w:t>
      </w:r>
    </w:p>
    <w:p>
      <w:pPr>
        <w:spacing w:after="0" w:line="2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July 2019 and June 2020, one of our wholly owned subsidiaries located in Germany entered into a series of construction loans (“Loan Facilities”) with a German financial institution providing it with total borrowings of up to €10.1 million. The Loan Facilities were utilized to finance the expansion of our facility in Kolbermoor, Germany and are secured by the land and the existing building on the site. The Loan Facilities bear interest at agreed upon rates based on the facility amounts as discussed below.</w:t>
      </w:r>
    </w:p>
    <w:p>
      <w:pPr>
        <w:spacing w:after="0" w:line="18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first facility totaling €3.4 million has been fully drawn and is payable over 10 years at a fixed annual interest rate of 0.8%. Principal and interest payments are due each quarter over the duration of the facility ending in September 2029. The second facility totaling €5.2 million has been fully drawn and is payable over 15 years at an annual interest rate of 1.05%, which is fixed until April 2027. Principal and interest payments are due each month over the duration of the facility ending in January 2034. The third facility totaling €0.9 million has been fully drawn and is payable over 10 years at an annual interest rate of 1.2%. Principal and interest payments are due each month over the duration of the facility ending in May 2030.</w:t>
      </w:r>
    </w:p>
    <w:p>
      <w:pPr>
        <w:spacing w:after="0" w:line="185" w:lineRule="exact"/>
        <w:rPr>
          <w:sz w:val="20"/>
          <w:szCs w:val="20"/>
          <w:color w:val="auto"/>
        </w:rPr>
      </w:pPr>
    </w:p>
    <w:p>
      <w:pPr>
        <w:ind w:right="260"/>
        <w:spacing w:after="0" w:line="252" w:lineRule="auto"/>
        <w:rPr>
          <w:sz w:val="20"/>
          <w:szCs w:val="20"/>
          <w:color w:val="auto"/>
        </w:rPr>
      </w:pPr>
      <w:r>
        <w:rPr>
          <w:rFonts w:ascii="Times New Roman" w:cs="Times New Roman" w:eastAsia="Times New Roman" w:hAnsi="Times New Roman"/>
          <w:sz w:val="18"/>
          <w:szCs w:val="18"/>
          <w:color w:val="auto"/>
        </w:rPr>
        <w:t>At December 27, 2025, total outstanding borrowings under the Loan Facilities was $6.3 million with $1.1 million of the total outstanding balance being presented as current installments of long-term debt in our consolidated balance sheets. At December 28, 2024, total outstanding borrowings under the Loan Facilities was $6.5 million with $0.9 million of the total outstanding balance being presented as current installments of long-term debt in our consolidated balance sheets. The loans are denominated in Euros and, as a result, amounts disclosed herein will fluctuate because of changes in currency exchange rates. The fair value of the debt approximates the carrying value at December 27,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Revolving Credit Facility</w:t>
      </w:r>
    </w:p>
    <w:p>
      <w:pPr>
        <w:spacing w:after="0" w:line="219"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On December 30, 2024, our wholly owned subsidiary in Malaysia entered into a revolving credit facility with a Malaysian financial institution that provides up to MYR 40 million, of which MYR 37.9 million was subsequently drawn. The revolving credit facility was utilized to finance the purchase of our leased facility in Melaka, Malaysia. Interest is due monthly and is calculated based on the lender’s Effective Cost of Funds plus a spread of 0.5%. The revolving credit facility is secured by the land and building. At December 27, 2025, $9.4 million was outstanding under the revolving credit facility and the rate of interest was 4.04%. As this revolving credit facility agreement renews monthly, it has been included in short-term borrowings in our consolidated balance sheets. The revolving credit is denominated in Malaysian Ringgits and, as a result, amounts disclosed herein will fluctuate because of changes in currency exchange rates.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Lines of Credit</w:t>
      </w:r>
    </w:p>
    <w:p>
      <w:pPr>
        <w:spacing w:after="0" w:line="2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a result of our acquisition of Kita, we assumed a series of revolving credit facilities with various financial institutions in Japan. The credit facilities renew monthly and provide Kita with access to working capital totaling up to 660 million Japanese Yen of which 70 million Japanese Yen is drawn. At December 27, 2025, total borrowings outstanding under the revolving lines of credit were $0.4 million. As these credit facility agreements renew monthly, they have been included in short-term borrowings in our consolidated balance sheets.</w:t>
      </w:r>
    </w:p>
    <w:p>
      <w:pPr>
        <w:spacing w:after="0" w:line="180" w:lineRule="exact"/>
        <w:rPr>
          <w:sz w:val="20"/>
          <w:szCs w:val="20"/>
          <w:color w:val="auto"/>
        </w:rPr>
      </w:pPr>
    </w:p>
    <w:p>
      <w:pPr>
        <w:ind w:right="640"/>
        <w:spacing w:after="0" w:line="274" w:lineRule="auto"/>
        <w:rPr>
          <w:sz w:val="20"/>
          <w:szCs w:val="20"/>
          <w:color w:val="auto"/>
        </w:rPr>
      </w:pPr>
      <w:r>
        <w:rPr>
          <w:rFonts w:ascii="Times New Roman" w:cs="Times New Roman" w:eastAsia="Times New Roman" w:hAnsi="Times New Roman"/>
          <w:sz w:val="18"/>
          <w:szCs w:val="18"/>
          <w:color w:val="auto"/>
        </w:rPr>
        <w:t>The revolving lines of credit are denominated in Japanese Yen and, as a result, amounts disclosed herein will fluctuate because of changes in currency exchange rates.</w:t>
      </w:r>
    </w:p>
    <w:p>
      <w:pPr>
        <w:spacing w:after="0" w:line="163" w:lineRule="exact"/>
        <w:rPr>
          <w:sz w:val="20"/>
          <w:szCs w:val="20"/>
          <w:color w:val="auto"/>
        </w:rPr>
      </w:pPr>
    </w:p>
    <w:p>
      <w:pPr>
        <w:ind w:right="160"/>
        <w:spacing w:after="0" w:line="304" w:lineRule="auto"/>
        <w:rPr>
          <w:sz w:val="20"/>
          <w:szCs w:val="20"/>
          <w:color w:val="auto"/>
        </w:rPr>
      </w:pPr>
      <w:r>
        <w:rPr>
          <w:rFonts w:ascii="Times New Roman" w:cs="Times New Roman" w:eastAsia="Times New Roman" w:hAnsi="Times New Roman"/>
          <w:sz w:val="17"/>
          <w:szCs w:val="17"/>
          <w:color w:val="auto"/>
        </w:rPr>
        <w:t>Our wholly owned subsidiary in Switzerland has one available line of credit which provides it with borrowings of up to a total of 2.0 million Swiss Francs, a portion of which is reserved for tax guarantees. At December 27, 2025 and December 28, 2024, no amounts were outstanding under this line of credit.</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7"/>
          <w:szCs w:val="17"/>
          <w:color w:val="auto"/>
        </w:rPr>
        <w:t>We also have a letter of credit facility (“LC Facility”) under which Bank of America, N.A., has agreed to administer the issuance of letters of credit on our behalf. The LC Facility requires us to maintain deposits of cash or other approved investments in amounts that approximate our outstanding letters of credit and contains customary restrictive covenants. In addition, our wholly owned subsidiary, Xcerra, has arrangements with various financial institutions for the issuance of letters of credit and bank guarantees. As of December 27, 2025, $0.4 million was outstanding under standby letters of credit and bank guarantees.</w:t>
      </w:r>
    </w:p>
    <w:p>
      <w:pPr>
        <w:spacing w:after="0" w:line="167"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8"/>
          <w:szCs w:val="18"/>
          <w:color w:val="auto"/>
        </w:rPr>
        <w:t>We expect that we will continue to make capital expenditures to support our business and we anticipate that present working capital will be sufficient to meet our operating requirements for at least the next twelve months.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19" w:lineRule="exact"/>
        <w:rPr>
          <w:sz w:val="20"/>
          <w:szCs w:val="20"/>
          <w:color w:val="auto"/>
        </w:rPr>
      </w:pPr>
    </w:p>
    <w:p>
      <w:pPr>
        <w:ind w:right="380"/>
        <w:spacing w:after="0" w:line="255" w:lineRule="auto"/>
        <w:rPr>
          <w:sz w:val="20"/>
          <w:szCs w:val="20"/>
          <w:color w:val="auto"/>
        </w:rPr>
      </w:pPr>
      <w:r>
        <w:rPr>
          <w:rFonts w:ascii="Times New Roman" w:cs="Times New Roman" w:eastAsia="Times New Roman" w:hAnsi="Times New Roman"/>
          <w:sz w:val="18"/>
          <w:szCs w:val="18"/>
          <w:color w:val="auto"/>
        </w:rPr>
        <w:t>The following table summarizes our significant contractual obligations at December 27, 2025, and the effect such obligations are expected to have on our liquidity and cash flows in future periods. Amounts excluded are our liability for unrecognized tax benefits that totaled approximately $30.4 million at December 27, 2025. We are currently unable to provide a reasonably reliable estimate of the amount or period(s) the cash settlement of this liability may occur.</w:t>
      </w:r>
    </w:p>
    <w:p>
      <w:pPr>
        <w:spacing w:after="0" w:line="180"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38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5"/>
              </w:rPr>
              <w:t>Fiscal year-end</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386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32"/>
              <w:spacing w:after="0" w:line="205" w:lineRule="exact"/>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2"/>
              <w:spacing w:after="0" w:line="205" w:lineRule="exact"/>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12"/>
              <w:spacing w:after="0" w:line="205" w:lineRule="exact"/>
              <w:rPr>
                <w:sz w:val="20"/>
                <w:szCs w:val="20"/>
                <w:color w:val="auto"/>
              </w:rPr>
            </w:pPr>
            <w:r>
              <w:rPr>
                <w:rFonts w:ascii="Times New Roman" w:cs="Times New Roman" w:eastAsia="Times New Roman" w:hAnsi="Times New Roman"/>
                <w:sz w:val="18"/>
                <w:szCs w:val="18"/>
                <w:color w:val="auto"/>
              </w:rPr>
              <w:t>2027-2028</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12"/>
              <w:spacing w:after="0" w:line="205" w:lineRule="exact"/>
              <w:rPr>
                <w:sz w:val="20"/>
                <w:szCs w:val="20"/>
                <w:color w:val="auto"/>
              </w:rPr>
            </w:pPr>
            <w:r>
              <w:rPr>
                <w:rFonts w:ascii="Times New Roman" w:cs="Times New Roman" w:eastAsia="Times New Roman" w:hAnsi="Times New Roman"/>
                <w:sz w:val="18"/>
                <w:szCs w:val="18"/>
                <w:color w:val="auto"/>
              </w:rPr>
              <w:t>2029-2030</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32"/>
              <w:spacing w:after="0" w:line="205" w:lineRule="exact"/>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86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5"/>
                <w:szCs w:val="15"/>
                <w:color w:val="auto"/>
              </w:rPr>
              <w:t xml:space="preserve">Operating leases </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47,566</w:t>
            </w:r>
          </w:p>
        </w:tc>
        <w:tc>
          <w:tcPr>
            <w:tcW w:w="460" w:type="dxa"/>
            <w:vAlign w:val="bottom"/>
            <w:gridSpan w:val="2"/>
            <w:shd w:val="clear" w:color="auto" w:fill="CCEEFF"/>
          </w:tcPr>
          <w:p>
            <w:pPr>
              <w:jc w:val="right"/>
              <w:ind w:right="72"/>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line="205" w:lineRule="exact"/>
              <w:rPr>
                <w:sz w:val="20"/>
                <w:szCs w:val="20"/>
                <w:color w:val="auto"/>
              </w:rPr>
            </w:pPr>
            <w:r>
              <w:rPr>
                <w:rFonts w:ascii="Times New Roman" w:cs="Times New Roman" w:eastAsia="Times New Roman" w:hAnsi="Times New Roman"/>
                <w:sz w:val="18"/>
                <w:szCs w:val="18"/>
                <w:color w:val="auto"/>
              </w:rPr>
              <w:t>6,126</w:t>
            </w:r>
          </w:p>
        </w:tc>
        <w:tc>
          <w:tcPr>
            <w:tcW w:w="200" w:type="dxa"/>
            <w:vAlign w:val="bottom"/>
            <w:gridSpan w:val="2"/>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20"/>
              <w:spacing w:after="0" w:line="205" w:lineRule="exact"/>
              <w:rPr>
                <w:sz w:val="20"/>
                <w:szCs w:val="20"/>
                <w:color w:val="auto"/>
              </w:rPr>
            </w:pPr>
            <w:r>
              <w:rPr>
                <w:rFonts w:ascii="Times New Roman" w:cs="Times New Roman" w:eastAsia="Times New Roman" w:hAnsi="Times New Roman"/>
                <w:sz w:val="18"/>
                <w:szCs w:val="18"/>
                <w:color w:val="auto"/>
              </w:rPr>
              <w:t>9,511</w:t>
            </w:r>
          </w:p>
        </w:tc>
        <w:tc>
          <w:tcPr>
            <w:tcW w:w="240" w:type="dxa"/>
            <w:vAlign w:val="bottom"/>
            <w:gridSpan w:val="2"/>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line="205" w:lineRule="exact"/>
              <w:rPr>
                <w:sz w:val="20"/>
                <w:szCs w:val="20"/>
                <w:color w:val="auto"/>
              </w:rPr>
            </w:pPr>
            <w:r>
              <w:rPr>
                <w:rFonts w:ascii="Times New Roman" w:cs="Times New Roman" w:eastAsia="Times New Roman" w:hAnsi="Times New Roman"/>
                <w:sz w:val="18"/>
                <w:szCs w:val="18"/>
                <w:color w:val="auto"/>
              </w:rPr>
              <w:t>9,530</w:t>
            </w:r>
          </w:p>
        </w:tc>
        <w:tc>
          <w:tcPr>
            <w:tcW w:w="260" w:type="dxa"/>
            <w:vAlign w:val="bottom"/>
            <w:gridSpan w:val="2"/>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line="205" w:lineRule="exact"/>
              <w:rPr>
                <w:sz w:val="20"/>
                <w:szCs w:val="20"/>
                <w:color w:val="auto"/>
              </w:rPr>
            </w:pPr>
            <w:r>
              <w:rPr>
                <w:rFonts w:ascii="Times New Roman" w:cs="Times New Roman" w:eastAsia="Times New Roman" w:hAnsi="Times New Roman"/>
                <w:sz w:val="18"/>
                <w:szCs w:val="18"/>
                <w:color w:val="auto"/>
              </w:rPr>
              <w:t>22,399</w:t>
            </w:r>
          </w:p>
        </w:tc>
        <w:tc>
          <w:tcPr>
            <w:tcW w:w="0" w:type="dxa"/>
            <w:vAlign w:val="bottom"/>
          </w:tcPr>
          <w:p>
            <w:pPr>
              <w:spacing w:after="0"/>
              <w:rPr>
                <w:sz w:val="1"/>
                <w:szCs w:val="1"/>
                <w:color w:val="auto"/>
              </w:rPr>
            </w:pPr>
          </w:p>
        </w:tc>
      </w:tr>
      <w:tr>
        <w:trPr>
          <w:trHeight w:val="212"/>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Bank term loans and convertible notes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and interest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318,390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10,442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291,932</w:t>
            </w:r>
          </w:p>
        </w:tc>
        <w:tc>
          <w:tcPr>
            <w:tcW w:w="0" w:type="dxa"/>
            <w:vAlign w:val="bottom"/>
          </w:tcPr>
          <w:p>
            <w:pPr>
              <w:spacing w:after="0"/>
              <w:rPr>
                <w:sz w:val="1"/>
                <w:szCs w:val="1"/>
                <w:color w:val="auto"/>
              </w:rPr>
            </w:pPr>
          </w:p>
        </w:tc>
      </w:tr>
      <w:tr>
        <w:trPr>
          <w:trHeight w:val="212"/>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facilities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Total contractual obligations</w:t>
            </w:r>
          </w:p>
        </w:tc>
        <w:tc>
          <w:tcPr>
            <w:tcW w:w="26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375,763</w:t>
            </w:r>
          </w:p>
        </w:tc>
        <w:tc>
          <w:tcPr>
            <w:tcW w:w="2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2"/>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20,656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20,804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19,972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314,331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-142240</wp:posOffset>
            </wp:positionV>
            <wp:extent cx="6772910" cy="1600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72910" cy="160020"/>
                    </a:xfrm>
                    <a:prstGeom prst="rect">
                      <a:avLst/>
                    </a:prstGeom>
                    <a:noFill/>
                  </pic:spPr>
                </pic:pic>
              </a:graphicData>
            </a:graphic>
          </wp:anchor>
        </w:drawing>
      </w:r>
    </w:p>
    <w:p>
      <w:pPr>
        <w:ind w:left="480" w:hanging="315"/>
        <w:spacing w:after="0"/>
        <w:tabs>
          <w:tab w:leader="none" w:pos="4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an insignificant amount of short-term lease obligations.</w:t>
      </w:r>
    </w:p>
    <w:p>
      <w:pPr>
        <w:spacing w:after="0" w:line="294" w:lineRule="exact"/>
        <w:rPr>
          <w:sz w:val="20"/>
          <w:szCs w:val="20"/>
          <w:color w:val="auto"/>
        </w:rPr>
      </w:pPr>
    </w:p>
    <w:p>
      <w:pPr>
        <w:jc w:val="both"/>
        <w:ind w:right="120"/>
        <w:spacing w:after="0" w:line="259" w:lineRule="auto"/>
        <w:rPr>
          <w:sz w:val="20"/>
          <w:szCs w:val="20"/>
          <w:color w:val="auto"/>
        </w:rPr>
      </w:pPr>
      <w:r>
        <w:rPr>
          <w:rFonts w:ascii="Times New Roman" w:cs="Times New Roman" w:eastAsia="Times New Roman" w:hAnsi="Times New Roman"/>
          <w:sz w:val="18"/>
          <w:szCs w:val="18"/>
          <w:color w:val="auto"/>
        </w:rPr>
        <w:t>The table above does not include pension, post-retirement benefit and warranty obligations because it is not certain when these liabilities will be funded. For additional information regarding our pension and post-retirement benefits obligations see Note 6, “Employee Benefit Plans” and for more information on our contractual obligations, see Note 14, “Guarantees” in Part IV, Item 15(a) of this Form 10-K.</w:t>
      </w:r>
    </w:p>
    <w:p>
      <w:pPr>
        <w:spacing w:after="0" w:line="174" w:lineRule="exact"/>
        <w:rPr>
          <w:sz w:val="20"/>
          <w:szCs w:val="20"/>
          <w:color w:val="auto"/>
        </w:rPr>
      </w:pPr>
    </w:p>
    <w:p>
      <w:pPr>
        <w:ind w:right="320"/>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Commitments to contract manufacturers and suppliers. </w:t>
      </w:r>
      <w:r>
        <w:rPr>
          <w:rFonts w:ascii="Times New Roman" w:cs="Times New Roman" w:eastAsia="Times New Roman" w:hAnsi="Times New Roman"/>
          <w:sz w:val="17"/>
          <w:szCs w:val="17"/>
          <w:color w:val="auto"/>
        </w:rPr>
        <w:t>From time to time, we enter into commitments with our vendors and outsourcing partners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purchase inventory at fixed prices or in guaranteed quantities. We are not able to determine the aggregate amount of such purchase orders that represent contractual obligations, as purchase orders may represent authorizations to purchase rather than binding agreements. Our purchase orders are based on our current manufacturing needs and are fulfilled by our vendors within relatively short time horizons. We typically do not have significant agreements for the purchase of raw materials or other goods specifying minimum quantities or set prices that exceed our expected requirements for the next three months.</w:t>
      </w:r>
    </w:p>
    <w:p>
      <w:pPr>
        <w:spacing w:after="0" w:line="164"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Off-Balance Sheet Arrangements. </w:t>
      </w:r>
      <w:r>
        <w:rPr>
          <w:rFonts w:ascii="Times New Roman" w:cs="Times New Roman" w:eastAsia="Times New Roman" w:hAnsi="Times New Roman"/>
          <w:sz w:val="18"/>
          <w:szCs w:val="18"/>
          <w:color w:val="auto"/>
        </w:rPr>
        <w:t>During the ordinary course of business, we provide standby letters of credit instruments to certain parties as required. As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27, 2025, $0.3 million was outstanding under standby letters of credit.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and Interest Rate Risk.</w:t>
      </w:r>
    </w:p>
    <w:p>
      <w:pPr>
        <w:spacing w:after="0" w:line="28"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At December 27, 2025, our investment portfolio included short-term, fixed-income investment securities with a fair value of approximately $256.9 million, and we did not hold or issue financial instruments for trading purposes. These securities are subject to interest rate risk and will likely decline in value if interest rates increase. Our future investment income may fall short of expectations due to changes in interest rates or we may suffer losses in principal if we are forced to sell securities that decline in market value due to changes in interest rates. As we classify our short-term securities as available-for-sale, no gains or losses are recognized due to changes in interest rates unless such securities are sold prior to maturity or declines in fair value are determined to be credit-related. An immediate ten percent change in interest rates would have no material impact on our financial condition or results of operations.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18"/>
          <w:szCs w:val="18"/>
          <w:color w:val="auto"/>
        </w:rPr>
        <w:t>We evaluate our investments periodically for possible a credit-related impairment by reviewing factors such as the length of time and extent to which fair value has been below cost basis, the financial condition of the issuer and our ability and intent to hold the investment for a period of time sufficient for anticipated recovery of market value. As of December 27, 2025, both the cost and fair value of investments we held with loss positions were approximately $58.3 million. We evaluated the nature of these investments, credit worthiness of the issuer and the duration of these impairments and concluded that these losses were temporary and we have the ability and intent to hold these investments to maturity.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8"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We have operations in several foreign countries and conduct business in the local currency in these countries. As a result, we have risk associated with currency fluctuations as the value of foreign currencies fluctuate against the U.S. dollar, in particular the Swiss Franc, Euro, Malaysian Ringgit, Chinese Yuan, Philippine Peso and Japanese Yen. These fluctuations can impact our reported earnings.</w:t>
      </w:r>
    </w:p>
    <w:p>
      <w:pPr>
        <w:spacing w:after="0" w:line="18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enter into foreign currency forward contracts with a financial institution to hedge against future movements in foreign exchange rates that affect certain existing U.S. Dollar denominated assets and liabilities at our subsidiaries whose functional currency is the local currency. Under this program, our strategy is to have increases or decreases in our foreign currency exposures mitigated by gains or losses on the foreign currency forward contracts in order to reduce the risks and volatility associated with foreign currency transaction gains or losses.</w:t>
      </w:r>
    </w:p>
    <w:p>
      <w:pPr>
        <w:spacing w:after="0" w:line="180"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8"/>
          <w:szCs w:val="18"/>
          <w:color w:val="auto"/>
        </w:rPr>
        <w:t>Fluctuations in currency exchange rates also impact the U.S. Dollar amount of our net investment in foreign operations and in the third quarter of fiscal 2024 we began hedging foreign currency risk associated with net investment positions in certain of our foreign subsidiaries by entering foreign currency forward contracts that are designated as hedges of net investment. Fluctuations in currency exchange rates also impact the U.S. Dollar amount of our net investment in foreign operations. The assets and liabilities of our foreign subsidiaries are translated into U.S. Dollars at the exchange rates in effect at the fiscal year-end balance sheet date. Income and expense accounts are translated at an average exchange rate during the year which approximates the rates in effect at the transaction dates. The resulting translation adjustments are recorded in stockholders’ equity as a component of accumulated other comprehensive loss. As a result of fluctuations in certain foreign currency exchange rates in relation to the U.S. Dollar as of December 27, 2025, compared to December 28, 2024, our stockholders’ equity increased by $19.4 million as a result of the foreign currency translation.</w:t>
      </w:r>
    </w:p>
    <w:p>
      <w:pPr>
        <w:spacing w:after="0" w:line="190" w:lineRule="exact"/>
        <w:rPr>
          <w:sz w:val="20"/>
          <w:szCs w:val="20"/>
          <w:color w:val="auto"/>
        </w:rPr>
      </w:pPr>
    </w:p>
    <w:p>
      <w:pPr>
        <w:jc w:val="both"/>
        <w:ind w:right="380"/>
        <w:spacing w:after="0" w:line="255" w:lineRule="auto"/>
        <w:rPr>
          <w:sz w:val="20"/>
          <w:szCs w:val="20"/>
          <w:color w:val="auto"/>
        </w:rPr>
      </w:pPr>
      <w:r>
        <w:rPr>
          <w:rFonts w:ascii="Times New Roman" w:cs="Times New Roman" w:eastAsia="Times New Roman" w:hAnsi="Times New Roman"/>
          <w:sz w:val="18"/>
          <w:szCs w:val="18"/>
          <w:color w:val="auto"/>
        </w:rPr>
        <w:t>Based upon the current levels of net foreign assets, a hypothetical 10% devaluation of the U.S. dollar as compared to these currencies as of December 27, 2025, would result in an approximate $32.4 million positive translation adjustment recorded in other comprehensive income within stockholders’ equity. Conversely, a hypothetical 10% appreciation of the U.S. dollar as compared to these currencies as of December 27, 2025, would result in an approximate $32.4 million negative translation adjustment recorded in other comprehensive income within stockholders’ equity.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included in Part IV, Item 15(a).</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1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Conclusion Regarding the Effectiveness of Disclosure Controls and Procedures - </w:t>
      </w:r>
      <w:r>
        <w:rPr>
          <w:rFonts w:ascii="Times New Roman" w:cs="Times New Roman" w:eastAsia="Times New Roman" w:hAnsi="Times New Roman"/>
          <w:sz w:val="18"/>
          <w:szCs w:val="18"/>
          <w:color w:val="auto"/>
        </w:rPr>
        <w:t>Under the supervision and with the participation of our management,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our principal executive officer and principal financial officer, we conducted an evaluation of our disclosure controls and procedures, as such term is defined under Rules 13a-15(e) and 15d-15(e) promulgated under the Securities Exchange Act of 1934, as amended (the “Exchange Act”). Based on this evaluation, our principal executive officer and our principal financial officer concluded that our disclosure controls and procedures were effective as of December 27, 2025, the end of the period covered by this annual report.</w:t>
      </w:r>
    </w:p>
    <w:p>
      <w:pPr>
        <w:spacing w:after="0" w:line="18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Changes in Internal Control over Financial Reporting </w:t>
      </w:r>
      <w:r>
        <w:rPr>
          <w:rFonts w:ascii="Times New Roman" w:cs="Times New Roman" w:eastAsia="Times New Roman" w:hAnsi="Times New Roman"/>
          <w:sz w:val="18"/>
          <w:szCs w:val="18"/>
          <w:color w:val="auto"/>
        </w:rPr>
        <w:t>- There was no change in our internal control over financial reporting (as defined in Rules 13a-15(f)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15d-15(f) under the Exchange Act) during the three months ended December 27, 2025, that has materially affected, or is reasonably likely to materially affect, our internal control over financial reporting.</w:t>
      </w:r>
    </w:p>
    <w:p>
      <w:pPr>
        <w:spacing w:after="0" w:line="17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b w:val="1"/>
          <w:b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s Annual Report on Internal Control Over Financial Reporting - </w:t>
      </w:r>
      <w:r>
        <w:rPr>
          <w:rFonts w:ascii="Times New Roman" w:cs="Times New Roman" w:eastAsia="Times New Roman" w:hAnsi="Times New Roman"/>
          <w:sz w:val="18"/>
          <w:szCs w:val="18"/>
          <w:color w:val="auto"/>
        </w:rPr>
        <w:t>Our management is responsible for establishing and maintaining adequate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internal control over financial reporting, as such term is defined in Exchange Act Rules 13a-15(f) and 15d-15(f). Under the supervision and with the participation of our management, including our principal executive officer and principal financial officer, we conducted an evaluation of the effectiveness of our internal control over financial reporting based on the framework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issued by the Committee of Sponsoring Organizations of the Treadway Commission (2013 framework). Based on our evaluation under the framework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our management concluded that our internal control over financial reporting was effective as of December 27, 2025.</w:t>
      </w:r>
    </w:p>
    <w:p>
      <w:pPr>
        <w:spacing w:after="0" w:line="187"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8"/>
          <w:szCs w:val="18"/>
          <w:color w:val="auto"/>
        </w:rPr>
        <w:t>Ernst &amp; Young LLP, the independent registered public accounting firm that audited the consolidated financial statements included in this Annual Report on Form 10-K, has also audited the effectiveness of our internal control over financial reporting as of December 27, 2025, as stated in their report which is included herein.</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Cohu, Inc.</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audited Cohu, Inc.’s internal control over financial reporting as of December 27, 2025, based on criteria established in Internal Control-Integrated Framework issued by the Committee of Sponsoring Organizations of the Treadway Commission (2013 framework) (the COSO criteria). In our opinion, Cohu, Inc. (the Company) maintained, in all material respects, effective internal control over financial reporting as of December 27, 2025, based on the COSO criteria.</w:t>
      </w:r>
    </w:p>
    <w:p>
      <w:pPr>
        <w:spacing w:after="0" w:line="18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and in accordance with auditing standards generally accepted in the United States of America, the consolidated balance sheets of the Company as of December 27, 2025 and December 28, 2024, the related consolidated statements of operations, comprehensive income (loss), stockholders’ equity and cash flows for each of the three years in the period ended December 27, 2025, and the related notes and the financial statement schedule listed in the Index at Item 15(a) and our report dated February 17, 2026 expressed an unqualified opinion thereon.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19" w:lineRule="exact"/>
        <w:rPr>
          <w:sz w:val="20"/>
          <w:szCs w:val="20"/>
          <w:color w:val="auto"/>
        </w:rPr>
      </w:pPr>
    </w:p>
    <w:p>
      <w:pPr>
        <w:ind w:right="280"/>
        <w:spacing w:after="0" w:line="252"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5"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and in accordance with auditing standards generally accepted in the United States of America. Those standards require that we plan and perform the audit to obtain reasonable assurance about whether effective internal control over financial reporting was maintained in all material respects.</w:t>
      </w:r>
    </w:p>
    <w:p>
      <w:pPr>
        <w:spacing w:after="0" w:line="178" w:lineRule="exact"/>
        <w:rPr>
          <w:sz w:val="20"/>
          <w:szCs w:val="20"/>
          <w:color w:val="auto"/>
        </w:rPr>
      </w:pPr>
    </w:p>
    <w:p>
      <w:pPr>
        <w:jc w:val="both"/>
        <w:ind w:right="480"/>
        <w:spacing w:after="0" w:line="259"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19"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4"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17, 2026</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219"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Our directors and executive officers may purchase or sell shares of our common stock in the market from time to time, including pursuant to equity trading plans adopted in accordance with Rule 10b5-1 under the Exchange Act and in compliance with guidelines specified by our insider trading policy. In accordance with Rule 10b5-1 and our insider trading policy, directors, officers and certain employees who, at such time, are not in possession of material non-public information are permitted to enter into written plans that pre-establish amounts, prices and dates (or formula for determining the amounts, prices and dates) of future purchases or sales of our stock, including shares acquired pursuant to our equity incentive plans. Under a Rule 10b5-1 trading plan, a broker executes trades pursuant to parameters established by the director or executive officer when entering into the plan, without further direction from them. The use of these trading plans permits asset diversification as well as personal financial and tax planning. Our directors and executive officers may also buy or sell additional shares outside of a Rule 10b5-1 plan when they are not in possession of material nonpublic information, subject to compliance with SEC rules, the terms of our insider trading policy and certain minimum holding requirements. During the fourth quarter of fiscal 2025, the following Section 16 directors and officers adopted or terminated a “Rule 10b5-1 trading arrangement” (as defined in Item 408 of Regulation S-K of the Exchange Act):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Plan</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Number of</w:t>
            </w:r>
          </w:p>
        </w:tc>
      </w:tr>
      <w:tr>
        <w:trPr>
          <w:trHeight w:val="212"/>
        </w:trPr>
        <w:tc>
          <w:tcPr>
            <w:tcW w:w="8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Plan</w:t>
            </w:r>
          </w:p>
        </w:tc>
        <w:tc>
          <w:tcPr>
            <w:tcW w:w="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Adoption</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Expiration</w:t>
            </w: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 to be</w:t>
            </w:r>
          </w:p>
        </w:tc>
      </w:tr>
      <w:tr>
        <w:trPr>
          <w:trHeight w:val="230"/>
        </w:trPr>
        <w:tc>
          <w:tcPr>
            <w:tcW w:w="80" w:type="dxa"/>
            <w:vAlign w:val="bottom"/>
          </w:tcPr>
          <w:p>
            <w:pPr>
              <w:spacing w:after="0"/>
              <w:rPr>
                <w:sz w:val="20"/>
                <w:szCs w:val="20"/>
                <w:color w:val="auto"/>
              </w:rPr>
            </w:pPr>
          </w:p>
        </w:tc>
        <w:tc>
          <w:tcPr>
            <w:tcW w:w="5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 and Title</w:t>
            </w:r>
          </w:p>
        </w:tc>
        <w:tc>
          <w:tcPr>
            <w:tcW w:w="8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Action</w:t>
            </w:r>
          </w:p>
        </w:tc>
        <w:tc>
          <w:tcPr>
            <w:tcW w:w="80" w:type="dxa"/>
            <w:vAlign w:val="bottom"/>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100" w:type="dxa"/>
            <w:vAlign w:val="bottom"/>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10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Sold under Plan</w:t>
            </w:r>
          </w:p>
        </w:tc>
      </w:tr>
      <w:tr>
        <w:trPr>
          <w:trHeight w:val="205"/>
        </w:trPr>
        <w:tc>
          <w:tcPr>
            <w:tcW w:w="5500" w:type="dxa"/>
            <w:vAlign w:val="bottom"/>
            <w:gridSpan w:val="2"/>
            <w:shd w:val="clear" w:color="auto" w:fill="CCEEFF"/>
          </w:tcPr>
          <w:p>
            <w:pPr>
              <w:ind w:left="80"/>
              <w:spacing w:after="0" w:line="205" w:lineRule="exact"/>
              <w:rPr>
                <w:sz w:val="20"/>
                <w:szCs w:val="20"/>
                <w:color w:val="auto"/>
              </w:rPr>
            </w:pPr>
            <w:r>
              <w:rPr>
                <w:rFonts w:ascii="Times New Roman" w:cs="Times New Roman" w:eastAsia="Times New Roman" w:hAnsi="Times New Roman"/>
                <w:sz w:val="18"/>
                <w:szCs w:val="18"/>
                <w:color w:val="auto"/>
              </w:rPr>
              <w:t>Chris G. Bohrson, Sr. VP &amp; Chief Customer Officer</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Adoption</w:t>
            </w:r>
          </w:p>
        </w:tc>
        <w:tc>
          <w:tcPr>
            <w:tcW w:w="1380" w:type="dxa"/>
            <w:vAlign w:val="bottom"/>
            <w:gridSpan w:val="2"/>
            <w:shd w:val="clear" w:color="auto" w:fill="CCEEFF"/>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11/21/2025</w:t>
            </w:r>
          </w:p>
        </w:tc>
        <w:tc>
          <w:tcPr>
            <w:tcW w:w="1400" w:type="dxa"/>
            <w:vAlign w:val="bottom"/>
            <w:gridSpan w:val="2"/>
            <w:shd w:val="clear" w:color="auto" w:fill="CCEEFF"/>
          </w:tcPr>
          <w:p>
            <w:pPr>
              <w:jc w:val="center"/>
              <w:ind w:left="12"/>
              <w:spacing w:after="0" w:line="205" w:lineRule="exact"/>
              <w:rPr>
                <w:sz w:val="20"/>
                <w:szCs w:val="20"/>
                <w:color w:val="auto"/>
              </w:rPr>
            </w:pPr>
            <w:r>
              <w:rPr>
                <w:rFonts w:ascii="Times New Roman" w:cs="Times New Roman" w:eastAsia="Times New Roman" w:hAnsi="Times New Roman"/>
                <w:sz w:val="18"/>
                <w:szCs w:val="18"/>
                <w:color w:val="auto"/>
                <w:w w:val="95"/>
              </w:rPr>
              <w:t>2/19/2027</w:t>
            </w:r>
          </w:p>
        </w:tc>
        <w:tc>
          <w:tcPr>
            <w:tcW w:w="1780" w:type="dxa"/>
            <w:vAlign w:val="bottom"/>
            <w:gridSpan w:val="2"/>
            <w:shd w:val="clear" w:color="auto" w:fill="CCEEFF"/>
          </w:tcPr>
          <w:p>
            <w:pPr>
              <w:jc w:val="center"/>
              <w:ind w:left="12"/>
              <w:spacing w:after="0" w:line="205" w:lineRule="exact"/>
              <w:rPr>
                <w:sz w:val="20"/>
                <w:szCs w:val="20"/>
                <w:color w:val="auto"/>
              </w:rPr>
            </w:pPr>
            <w:r>
              <w:rPr>
                <w:rFonts w:ascii="Times New Roman" w:cs="Times New Roman" w:eastAsia="Times New Roman" w:hAnsi="Times New Roman"/>
                <w:sz w:val="18"/>
                <w:szCs w:val="18"/>
                <w:color w:val="auto"/>
                <w:w w:val="96"/>
              </w:rPr>
              <w:t>13,000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-133985</wp:posOffset>
            </wp:positionV>
            <wp:extent cx="50165" cy="134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0165" cy="134620"/>
                    </a:xfrm>
                    <a:prstGeom prst="rect">
                      <a:avLst/>
                    </a:prstGeom>
                    <a:noFill/>
                  </pic:spPr>
                </pic:pic>
              </a:graphicData>
            </a:graphic>
          </wp:anchor>
        </w:drawing>
      </w:r>
    </w:p>
    <w:p>
      <w:pPr>
        <w:spacing w:after="0" w:line="174"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color w:val="auto"/>
        </w:rPr>
        <w:t>Transactions by Section 16 directors and officers will be disclosed publicly through Form 144 and Form 4 filings with the SEC to the extent required by law. No non-Rule 10b5-1 trading arrangements (as defined in Item 408of Regulation S-K of the Exchange Act) were adopted or terminated by any Section 16 director or officer during the fourth quarter of fiscal 2025</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1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The information under the heading “Information About Our Executive Officers” in Part I, Item 1 of this Form 10-K is incorporated by reference in this section. The other information required by this item is hereby incorporated by reference to Cohu’s definitive proxy statement, which will be filed with the SEC within 120 days after the close of fiscal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Code of Business Conduct and Code of Ethics</w:t>
      </w:r>
    </w:p>
    <w:p>
      <w:pPr>
        <w:spacing w:after="0" w:line="28" w:lineRule="exact"/>
        <w:rPr>
          <w:sz w:val="20"/>
          <w:szCs w:val="20"/>
          <w:color w:val="auto"/>
        </w:rPr>
      </w:pPr>
    </w:p>
    <w:p>
      <w:pPr>
        <w:ind w:right="220"/>
        <w:spacing w:after="0" w:line="248" w:lineRule="auto"/>
        <w:rPr>
          <w:sz w:val="20"/>
          <w:szCs w:val="20"/>
          <w:color w:val="auto"/>
        </w:rPr>
      </w:pPr>
      <w:r>
        <w:rPr>
          <w:rFonts w:ascii="Times New Roman" w:cs="Times New Roman" w:eastAsia="Times New Roman" w:hAnsi="Times New Roman"/>
          <w:sz w:val="18"/>
          <w:szCs w:val="18"/>
          <w:color w:val="auto"/>
        </w:rPr>
        <w:t>Cohu has adopted a code of business conduct and ethics for directors, officers and employees. The code is available on the Investor Relations section of our website at www.cohu.com. We intend to make all required disclosures concerning any amendments to, or waivers from, our code of ethics on our website, within four business days of such amendment or waiver.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Governance Guidelines and Certain Committee Charters</w:t>
      </w:r>
    </w:p>
    <w:p>
      <w:pPr>
        <w:spacing w:after="0" w:line="28" w:lineRule="exact"/>
        <w:rPr>
          <w:sz w:val="20"/>
          <w:szCs w:val="20"/>
          <w:color w:val="auto"/>
        </w:rPr>
      </w:pPr>
    </w:p>
    <w:p>
      <w:pPr>
        <w:ind w:right="380"/>
        <w:spacing w:after="0" w:line="251" w:lineRule="auto"/>
        <w:rPr>
          <w:sz w:val="20"/>
          <w:szCs w:val="20"/>
          <w:color w:val="auto"/>
        </w:rPr>
      </w:pPr>
      <w:r>
        <w:rPr>
          <w:rFonts w:ascii="Times New Roman" w:cs="Times New Roman" w:eastAsia="Times New Roman" w:hAnsi="Times New Roman"/>
          <w:sz w:val="18"/>
          <w:szCs w:val="18"/>
          <w:color w:val="auto"/>
        </w:rPr>
        <w:t>Cohu has adopted Corporate Governance Guidelines as well as charters for its Audit, Compensation and Nominating and Governance Committees. These documents are available on the Investor Relations section of our website at www.cohu.com.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Policy</w:t>
      </w:r>
    </w:p>
    <w:p>
      <w:pPr>
        <w:spacing w:after="0" w:line="28"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18"/>
          <w:szCs w:val="18"/>
          <w:color w:val="auto"/>
        </w:rPr>
        <w:t>We have adopted an Insider Trading Policy governing transactions in our securities by our directors, officers and employees that we believe is reasonably designed to promote compliance with insider trading laws, rules and regulations and Nasdaq listing standards. A copy of the Insider Trading Policy is filed as Exhibit 19 to this Annual Report on Form 10-K.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on our website is not incorporated by reference in or considered to be a part of this Annual Report on Form 10-K.</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19" w:lineRule="exact"/>
        <w:rPr>
          <w:sz w:val="20"/>
          <w:szCs w:val="20"/>
          <w:color w:val="auto"/>
        </w:rPr>
      </w:pPr>
    </w:p>
    <w:p>
      <w:pPr>
        <w:ind w:right="280"/>
        <w:spacing w:after="0" w:line="274" w:lineRule="auto"/>
        <w:rPr>
          <w:sz w:val="20"/>
          <w:szCs w:val="20"/>
          <w:color w:val="auto"/>
        </w:rPr>
      </w:pPr>
      <w:r>
        <w:rPr>
          <w:rFonts w:ascii="Times New Roman" w:cs="Times New Roman" w:eastAsia="Times New Roman" w:hAnsi="Times New Roman"/>
          <w:sz w:val="18"/>
          <w:szCs w:val="18"/>
          <w:color w:val="auto"/>
        </w:rPr>
        <w:t>Information regarding Executive Compensation is hereby incorporated by reference to Cohu’s definitive proxy statement, which will be filed with the SEC within 120 days after the close of fiscal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19" w:lineRule="exact"/>
        <w:rPr>
          <w:sz w:val="20"/>
          <w:szCs w:val="20"/>
          <w:color w:val="auto"/>
        </w:rPr>
      </w:pPr>
    </w:p>
    <w:p>
      <w:pPr>
        <w:ind w:right="620"/>
        <w:spacing w:after="0" w:line="274" w:lineRule="auto"/>
        <w:rPr>
          <w:sz w:val="20"/>
          <w:szCs w:val="20"/>
          <w:color w:val="auto"/>
        </w:rPr>
      </w:pPr>
      <w:r>
        <w:rPr>
          <w:rFonts w:ascii="Times New Roman" w:cs="Times New Roman" w:eastAsia="Times New Roman" w:hAnsi="Times New Roman"/>
          <w:sz w:val="18"/>
          <w:szCs w:val="18"/>
          <w:color w:val="auto"/>
        </w:rPr>
        <w:t>Information regarding Security Ownership of Certain Beneficial Owners and Management and Related Stockholder Matters is hereby incorporated by reference to Cohu’s definitive proxy statement, which will be filed with the SEC within 120 days after the close of fiscal 2025.</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19" w:lineRule="exact"/>
        <w:rPr>
          <w:sz w:val="20"/>
          <w:szCs w:val="20"/>
          <w:color w:val="auto"/>
        </w:rPr>
      </w:pPr>
    </w:p>
    <w:p>
      <w:pPr>
        <w:ind w:right="280"/>
        <w:spacing w:after="0" w:line="274" w:lineRule="auto"/>
        <w:rPr>
          <w:sz w:val="20"/>
          <w:szCs w:val="20"/>
          <w:color w:val="auto"/>
        </w:rPr>
      </w:pPr>
      <w:r>
        <w:rPr>
          <w:rFonts w:ascii="Times New Roman" w:cs="Times New Roman" w:eastAsia="Times New Roman" w:hAnsi="Times New Roman"/>
          <w:sz w:val="18"/>
          <w:szCs w:val="18"/>
          <w:color w:val="auto"/>
        </w:rPr>
        <w:t>Information regarding Certain Relationships and Related Transactions, and Director Independence is hereby incorporated by reference to Cohu’s definitive proxy statement, which will be filed with the SEC within 120 days after the close of fiscal 2025.</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19" w:lineRule="exact"/>
        <w:rPr>
          <w:sz w:val="20"/>
          <w:szCs w:val="20"/>
          <w:color w:val="auto"/>
        </w:rPr>
      </w:pPr>
    </w:p>
    <w:p>
      <w:pPr>
        <w:ind w:right="340"/>
        <w:spacing w:after="0" w:line="274" w:lineRule="auto"/>
        <w:rPr>
          <w:sz w:val="20"/>
          <w:szCs w:val="20"/>
          <w:color w:val="auto"/>
        </w:rPr>
      </w:pPr>
      <w:r>
        <w:rPr>
          <w:rFonts w:ascii="Times New Roman" w:cs="Times New Roman" w:eastAsia="Times New Roman" w:hAnsi="Times New Roman"/>
          <w:sz w:val="18"/>
          <w:szCs w:val="18"/>
          <w:color w:val="auto"/>
        </w:rPr>
        <w:t>Information regarding the Principal Accounting Fees and Services is hereby incorporated by reference to Cohu’s definitive proxy statement, which will be filed with the SEC within 120 days after the close of fiscal 2025.</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19" w:lineRule="exact"/>
        <w:rPr>
          <w:sz w:val="20"/>
          <w:szCs w:val="20"/>
          <w:color w:val="auto"/>
        </w:rPr>
      </w:pPr>
    </w:p>
    <w:p>
      <w:pPr>
        <w:ind w:left="320" w:hanging="314"/>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or incorporated by reference into, this Annual Report on Form 10-K.</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244" w:lineRule="exact"/>
        <w:rPr>
          <w:sz w:val="20"/>
          <w:szCs w:val="20"/>
          <w:color w:val="auto"/>
        </w:rPr>
      </w:pPr>
    </w:p>
    <w:p>
      <w:pPr>
        <w:ind w:left="640" w:right="20" w:firstLine="477"/>
        <w:spacing w:after="0" w:line="274" w:lineRule="auto"/>
        <w:rPr>
          <w:sz w:val="20"/>
          <w:szCs w:val="20"/>
          <w:color w:val="auto"/>
        </w:rPr>
      </w:pPr>
      <w:r>
        <w:rPr>
          <w:rFonts w:ascii="Times New Roman" w:cs="Times New Roman" w:eastAsia="Times New Roman" w:hAnsi="Times New Roman"/>
          <w:sz w:val="18"/>
          <w:szCs w:val="18"/>
          <w:color w:val="auto"/>
        </w:rPr>
        <w:t xml:space="preserve">The following consolidated financial statements of Cohu, Inc., including the report thereon of Ernst &amp; Young LLP, are included in this Annual Report on Form 10-K beginning on page </w:t>
      </w:r>
      <w:r>
        <w:rPr>
          <w:rFonts w:ascii="Times New Roman" w:cs="Times New Roman" w:eastAsia="Times New Roman" w:hAnsi="Times New Roman"/>
          <w:sz w:val="18"/>
          <w:szCs w:val="18"/>
          <w:u w:val="single" w:color="auto"/>
          <w:color w:val="0000EE"/>
        </w:rPr>
        <w:t>48</w:t>
      </w:r>
      <w:r>
        <w:rPr>
          <w:rFonts w:ascii="Times New Roman" w:cs="Times New Roman" w:eastAsia="Times New Roman" w:hAnsi="Times New Roman"/>
          <w:sz w:val="18"/>
          <w:szCs w:val="18"/>
          <w:color w:val="auto"/>
        </w:rPr>
        <w:t>:</w:t>
      </w:r>
    </w:p>
    <w:p>
      <w:pPr>
        <w:spacing w:after="0" w:line="163"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6"/>
              </w:rPr>
              <w:t>Form 10-K</w:t>
            </w:r>
          </w:p>
        </w:tc>
      </w:tr>
      <w:tr>
        <w:trPr>
          <w:trHeight w:val="191"/>
        </w:trPr>
        <w:tc>
          <w:tcPr>
            <w:tcW w:w="800" w:type="dxa"/>
            <w:vAlign w:val="bottom"/>
          </w:tcPr>
          <w:p>
            <w:pPr>
              <w:spacing w:after="0"/>
              <w:rPr>
                <w:sz w:val="16"/>
                <w:szCs w:val="16"/>
                <w:color w:val="auto"/>
              </w:rPr>
            </w:pPr>
          </w:p>
        </w:tc>
        <w:tc>
          <w:tcPr>
            <w:tcW w:w="9020" w:type="dxa"/>
            <w:vAlign w:val="bottom"/>
            <w:gridSpan w:val="9"/>
          </w:tcPr>
          <w:p>
            <w:pPr>
              <w:spacing w:after="0" w:line="191" w:lineRule="exact"/>
              <w:rPr>
                <w:sz w:val="20"/>
                <w:szCs w:val="20"/>
                <w:color w:val="auto"/>
              </w:rPr>
            </w:pPr>
            <w:r>
              <w:rPr>
                <w:rFonts w:ascii="Times New Roman" w:cs="Times New Roman" w:eastAsia="Times New Roman" w:hAnsi="Times New Roman"/>
                <w:sz w:val="18"/>
                <w:szCs w:val="18"/>
                <w:color w:val="auto"/>
              </w:rPr>
              <w:t>Description</w:t>
            </w:r>
          </w:p>
        </w:tc>
        <w:tc>
          <w:tcPr>
            <w:tcW w:w="1060" w:type="dxa"/>
            <w:vAlign w:val="bottom"/>
            <w:gridSpan w:val="4"/>
          </w:tcPr>
          <w:p>
            <w:pPr>
              <w:jc w:val="center"/>
              <w:ind w:left="12"/>
              <w:spacing w:after="0" w:line="191" w:lineRule="exact"/>
              <w:rPr>
                <w:sz w:val="20"/>
                <w:szCs w:val="20"/>
                <w:color w:val="auto"/>
              </w:rPr>
            </w:pPr>
            <w:r>
              <w:rPr>
                <w:rFonts w:ascii="Times New Roman" w:cs="Times New Roman" w:eastAsia="Times New Roman" w:hAnsi="Times New Roman"/>
                <w:sz w:val="18"/>
                <w:szCs w:val="18"/>
                <w:color w:val="auto"/>
                <w:w w:val="97"/>
              </w:rPr>
              <w:t>Page Number</w:t>
            </w:r>
          </w:p>
        </w:tc>
      </w:tr>
      <w:tr>
        <w:trPr>
          <w:trHeight w:val="20"/>
        </w:trPr>
        <w:tc>
          <w:tcPr>
            <w:tcW w:w="8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r>
      <w:tr>
        <w:trPr>
          <w:trHeight w:val="404"/>
        </w:trPr>
        <w:tc>
          <w:tcPr>
            <w:tcW w:w="800" w:type="dxa"/>
            <w:vAlign w:val="bottom"/>
          </w:tcPr>
          <w:p>
            <w:pPr>
              <w:spacing w:after="0"/>
              <w:rPr>
                <w:sz w:val="24"/>
                <w:szCs w:val="24"/>
                <w:color w:val="auto"/>
              </w:rPr>
            </w:pPr>
          </w:p>
        </w:tc>
        <w:tc>
          <w:tcPr>
            <w:tcW w:w="902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Consolidated Balance Sheets at December 27, 2025, and December 28, 2024</w:t>
            </w:r>
          </w:p>
        </w:tc>
        <w:tc>
          <w:tcPr>
            <w:tcW w:w="680" w:type="dxa"/>
            <w:vAlign w:val="bottom"/>
            <w:gridSpan w:val="3"/>
          </w:tcPr>
          <w:p>
            <w:pPr>
              <w:jc w:val="center"/>
              <w:ind w:left="412"/>
              <w:spacing w:after="0"/>
              <w:rPr>
                <w:sz w:val="20"/>
                <w:szCs w:val="20"/>
                <w:color w:val="auto"/>
              </w:rPr>
            </w:pPr>
            <w:r>
              <w:rPr>
                <w:rFonts w:ascii="Times New Roman" w:cs="Times New Roman" w:eastAsia="Times New Roman" w:hAnsi="Times New Roman"/>
                <w:sz w:val="18"/>
                <w:szCs w:val="18"/>
                <w:color w:val="0000EE"/>
                <w:w w:val="99"/>
              </w:rPr>
              <w:t>48</w:t>
            </w:r>
          </w:p>
        </w:tc>
        <w:tc>
          <w:tcPr>
            <w:tcW w:w="38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30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21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04"/>
        </w:trPr>
        <w:tc>
          <w:tcPr>
            <w:tcW w:w="800" w:type="dxa"/>
            <w:vAlign w:val="bottom"/>
          </w:tcPr>
          <w:p>
            <w:pPr>
              <w:spacing w:after="0"/>
              <w:rPr>
                <w:sz w:val="24"/>
                <w:szCs w:val="24"/>
                <w:color w:val="auto"/>
              </w:rPr>
            </w:pPr>
          </w:p>
        </w:tc>
        <w:tc>
          <w:tcPr>
            <w:tcW w:w="902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Consolidated Statements of Operations for each of the three years in the period ended December 27, 2025</w:t>
            </w:r>
          </w:p>
        </w:tc>
        <w:tc>
          <w:tcPr>
            <w:tcW w:w="680" w:type="dxa"/>
            <w:vAlign w:val="bottom"/>
            <w:gridSpan w:val="3"/>
          </w:tcPr>
          <w:p>
            <w:pPr>
              <w:jc w:val="center"/>
              <w:ind w:left="412"/>
              <w:spacing w:after="0"/>
              <w:rPr>
                <w:sz w:val="20"/>
                <w:szCs w:val="20"/>
                <w:color w:val="auto"/>
              </w:rPr>
            </w:pPr>
            <w:r>
              <w:rPr>
                <w:rFonts w:ascii="Times New Roman" w:cs="Times New Roman" w:eastAsia="Times New Roman" w:hAnsi="Times New Roman"/>
                <w:sz w:val="18"/>
                <w:szCs w:val="18"/>
                <w:color w:val="0000EE"/>
                <w:w w:val="99"/>
              </w:rPr>
              <w:t>49</w:t>
            </w:r>
          </w:p>
        </w:tc>
        <w:tc>
          <w:tcPr>
            <w:tcW w:w="38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30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2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04"/>
        </w:trPr>
        <w:tc>
          <w:tcPr>
            <w:tcW w:w="800" w:type="dxa"/>
            <w:vAlign w:val="bottom"/>
          </w:tcPr>
          <w:p>
            <w:pPr>
              <w:spacing w:after="0"/>
              <w:rPr>
                <w:sz w:val="24"/>
                <w:szCs w:val="24"/>
                <w:color w:val="auto"/>
              </w:rPr>
            </w:pPr>
          </w:p>
        </w:tc>
        <w:tc>
          <w:tcPr>
            <w:tcW w:w="9020" w:type="dxa"/>
            <w:vAlign w:val="bottom"/>
            <w:gridSpan w:val="9"/>
          </w:tcPr>
          <w:p>
            <w:pPr>
              <w:spacing w:after="0"/>
              <w:rPr>
                <w:sz w:val="20"/>
                <w:szCs w:val="20"/>
                <w:color w:val="auto"/>
              </w:rPr>
            </w:pPr>
            <w:r>
              <w:rPr>
                <w:rFonts w:ascii="Times New Roman" w:cs="Times New Roman" w:eastAsia="Times New Roman" w:hAnsi="Times New Roman"/>
                <w:sz w:val="18"/>
                <w:szCs w:val="18"/>
                <w:color w:val="0000EE"/>
                <w:w w:val="99"/>
              </w:rPr>
              <w:t>Consolidated Statements of Comprehensive Income (Loss) for each of the three years in the period ended December 27, 2025</w:t>
            </w:r>
          </w:p>
        </w:tc>
        <w:tc>
          <w:tcPr>
            <w:tcW w:w="680" w:type="dxa"/>
            <w:vAlign w:val="bottom"/>
            <w:gridSpan w:val="3"/>
          </w:tcPr>
          <w:p>
            <w:pPr>
              <w:jc w:val="center"/>
              <w:ind w:left="412"/>
              <w:spacing w:after="0"/>
              <w:rPr>
                <w:sz w:val="20"/>
                <w:szCs w:val="20"/>
                <w:color w:val="auto"/>
              </w:rPr>
            </w:pPr>
            <w:r>
              <w:rPr>
                <w:rFonts w:ascii="Times New Roman" w:cs="Times New Roman" w:eastAsia="Times New Roman" w:hAnsi="Times New Roman"/>
                <w:sz w:val="18"/>
                <w:szCs w:val="18"/>
                <w:color w:val="0000EE"/>
                <w:w w:val="99"/>
              </w:rPr>
              <w:t>50</w:t>
            </w:r>
          </w:p>
        </w:tc>
        <w:tc>
          <w:tcPr>
            <w:tcW w:w="38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30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2200" w:type="dxa"/>
            <w:vAlign w:val="bottom"/>
            <w:tcBorders>
              <w:left w:val="single" w:sz="8" w:color="0000EE"/>
            </w:tcBorders>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04"/>
        </w:trPr>
        <w:tc>
          <w:tcPr>
            <w:tcW w:w="800" w:type="dxa"/>
            <w:vAlign w:val="bottom"/>
          </w:tcPr>
          <w:p>
            <w:pPr>
              <w:spacing w:after="0"/>
              <w:rPr>
                <w:sz w:val="24"/>
                <w:szCs w:val="24"/>
                <w:color w:val="auto"/>
              </w:rPr>
            </w:pPr>
          </w:p>
        </w:tc>
        <w:tc>
          <w:tcPr>
            <w:tcW w:w="892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Consolidated Statements of Stockholders’ Equity for each of the three years in the period ended December 27, 2025</w:t>
            </w:r>
          </w:p>
        </w:tc>
        <w:tc>
          <w:tcPr>
            <w:tcW w:w="100" w:type="dxa"/>
            <w:vAlign w:val="bottom"/>
          </w:tcPr>
          <w:p>
            <w:pPr>
              <w:spacing w:after="0"/>
              <w:rPr>
                <w:sz w:val="24"/>
                <w:szCs w:val="24"/>
                <w:color w:val="auto"/>
              </w:rPr>
            </w:pPr>
          </w:p>
        </w:tc>
        <w:tc>
          <w:tcPr>
            <w:tcW w:w="680" w:type="dxa"/>
            <w:vAlign w:val="bottom"/>
            <w:gridSpan w:val="3"/>
          </w:tcPr>
          <w:p>
            <w:pPr>
              <w:jc w:val="center"/>
              <w:ind w:left="412"/>
              <w:spacing w:after="0"/>
              <w:rPr>
                <w:sz w:val="20"/>
                <w:szCs w:val="20"/>
                <w:color w:val="auto"/>
              </w:rPr>
            </w:pPr>
            <w:r>
              <w:rPr>
                <w:rFonts w:ascii="Times New Roman" w:cs="Times New Roman" w:eastAsia="Times New Roman" w:hAnsi="Times New Roman"/>
                <w:sz w:val="18"/>
                <w:szCs w:val="18"/>
                <w:color w:val="0000EE"/>
                <w:w w:val="99"/>
              </w:rPr>
              <w:t>51</w:t>
            </w:r>
          </w:p>
        </w:tc>
        <w:tc>
          <w:tcPr>
            <w:tcW w:w="38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30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2200" w:type="dxa"/>
            <w:vAlign w:val="bottom"/>
            <w:tcBorders>
              <w:left w:val="single" w:sz="8" w:color="0000EE"/>
            </w:tcBorders>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04"/>
        </w:trPr>
        <w:tc>
          <w:tcPr>
            <w:tcW w:w="800" w:type="dxa"/>
            <w:vAlign w:val="bottom"/>
          </w:tcPr>
          <w:p>
            <w:pPr>
              <w:spacing w:after="0"/>
              <w:rPr>
                <w:sz w:val="24"/>
                <w:szCs w:val="24"/>
                <w:color w:val="auto"/>
              </w:rPr>
            </w:pPr>
          </w:p>
        </w:tc>
        <w:tc>
          <w:tcPr>
            <w:tcW w:w="75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w w:val="98"/>
              </w:rPr>
              <w:t>Consolidated Statements of Cash Flows for each of the three years in the period ended December 27, 2025</w:t>
            </w:r>
          </w:p>
        </w:tc>
        <w:tc>
          <w:tcPr>
            <w:tcW w:w="600" w:type="dxa"/>
            <w:vAlign w:val="bottom"/>
          </w:tcPr>
          <w:p>
            <w:pPr>
              <w:spacing w:after="0"/>
              <w:rPr>
                <w:sz w:val="24"/>
                <w:szCs w:val="24"/>
                <w:color w:val="auto"/>
              </w:rPr>
            </w:pPr>
          </w:p>
        </w:tc>
        <w:tc>
          <w:tcPr>
            <w:tcW w:w="840" w:type="dxa"/>
            <w:vAlign w:val="bottom"/>
            <w:gridSpan w:val="2"/>
          </w:tcPr>
          <w:p>
            <w:pPr>
              <w:spacing w:after="0"/>
              <w:rPr>
                <w:sz w:val="24"/>
                <w:szCs w:val="24"/>
                <w:color w:val="auto"/>
              </w:rPr>
            </w:pPr>
          </w:p>
        </w:tc>
        <w:tc>
          <w:tcPr>
            <w:tcW w:w="680" w:type="dxa"/>
            <w:vAlign w:val="bottom"/>
            <w:gridSpan w:val="3"/>
          </w:tcPr>
          <w:p>
            <w:pPr>
              <w:jc w:val="center"/>
              <w:ind w:left="412"/>
              <w:spacing w:after="0"/>
              <w:rPr>
                <w:sz w:val="20"/>
                <w:szCs w:val="20"/>
                <w:color w:val="auto"/>
              </w:rPr>
            </w:pPr>
            <w:r>
              <w:rPr>
                <w:rFonts w:ascii="Times New Roman" w:cs="Times New Roman" w:eastAsia="Times New Roman" w:hAnsi="Times New Roman"/>
                <w:sz w:val="18"/>
                <w:szCs w:val="18"/>
                <w:color w:val="0000EE"/>
                <w:w w:val="99"/>
              </w:rPr>
              <w:t>52</w:t>
            </w:r>
          </w:p>
        </w:tc>
        <w:tc>
          <w:tcPr>
            <w:tcW w:w="38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30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2200" w:type="dxa"/>
            <w:vAlign w:val="bottom"/>
            <w:tcBorders>
              <w:left w:val="single" w:sz="8" w:color="0000EE"/>
            </w:tcBorders>
            <w:gridSpan w:val="2"/>
            <w:shd w:val="clear" w:color="auto" w:fill="0000EE"/>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04"/>
        </w:trPr>
        <w:tc>
          <w:tcPr>
            <w:tcW w:w="800" w:type="dxa"/>
            <w:vAlign w:val="bottom"/>
          </w:tcPr>
          <w:p>
            <w:pPr>
              <w:spacing w:after="0"/>
              <w:rPr>
                <w:sz w:val="24"/>
                <w:szCs w:val="24"/>
                <w:color w:val="auto"/>
              </w:rPr>
            </w:pPr>
          </w:p>
        </w:tc>
        <w:tc>
          <w:tcPr>
            <w:tcW w:w="75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440" w:type="dxa"/>
            <w:vAlign w:val="bottom"/>
            <w:gridSpan w:val="3"/>
          </w:tcPr>
          <w:p>
            <w:pPr>
              <w:spacing w:after="0"/>
              <w:rPr>
                <w:sz w:val="24"/>
                <w:szCs w:val="24"/>
                <w:color w:val="auto"/>
              </w:rPr>
            </w:pPr>
          </w:p>
        </w:tc>
        <w:tc>
          <w:tcPr>
            <w:tcW w:w="680" w:type="dxa"/>
            <w:vAlign w:val="bottom"/>
            <w:gridSpan w:val="3"/>
          </w:tcPr>
          <w:p>
            <w:pPr>
              <w:jc w:val="center"/>
              <w:ind w:left="412"/>
              <w:spacing w:after="0"/>
              <w:rPr>
                <w:sz w:val="20"/>
                <w:szCs w:val="20"/>
                <w:color w:val="auto"/>
              </w:rPr>
            </w:pPr>
            <w:r>
              <w:rPr>
                <w:rFonts w:ascii="Times New Roman" w:cs="Times New Roman" w:eastAsia="Times New Roman" w:hAnsi="Times New Roman"/>
                <w:sz w:val="18"/>
                <w:szCs w:val="18"/>
                <w:color w:val="0000EE"/>
                <w:w w:val="99"/>
              </w:rPr>
              <w:t>53</w:t>
            </w:r>
          </w:p>
        </w:tc>
        <w:tc>
          <w:tcPr>
            <w:tcW w:w="38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308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40" w:type="dxa"/>
            <w:vAlign w:val="bottom"/>
            <w:gridSpan w:val="5"/>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04"/>
        </w:trPr>
        <w:tc>
          <w:tcPr>
            <w:tcW w:w="800" w:type="dxa"/>
            <w:vAlign w:val="bottom"/>
          </w:tcPr>
          <w:p>
            <w:pPr>
              <w:spacing w:after="0"/>
              <w:rPr>
                <w:sz w:val="24"/>
                <w:szCs w:val="24"/>
                <w:color w:val="auto"/>
              </w:rPr>
            </w:pPr>
          </w:p>
        </w:tc>
        <w:tc>
          <w:tcPr>
            <w:tcW w:w="902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Report of Independent Registered Public Accounting Firm (PCAOB ID: 42)</w:t>
            </w:r>
          </w:p>
        </w:tc>
        <w:tc>
          <w:tcPr>
            <w:tcW w:w="680" w:type="dxa"/>
            <w:vAlign w:val="bottom"/>
            <w:gridSpan w:val="3"/>
          </w:tcPr>
          <w:p>
            <w:pPr>
              <w:jc w:val="center"/>
              <w:ind w:left="412"/>
              <w:spacing w:after="0"/>
              <w:rPr>
                <w:sz w:val="20"/>
                <w:szCs w:val="20"/>
                <w:color w:val="auto"/>
              </w:rPr>
            </w:pPr>
            <w:r>
              <w:rPr>
                <w:rFonts w:ascii="Times New Roman" w:cs="Times New Roman" w:eastAsia="Times New Roman" w:hAnsi="Times New Roman"/>
                <w:sz w:val="18"/>
                <w:szCs w:val="18"/>
                <w:color w:val="0000EE"/>
                <w:w w:val="99"/>
              </w:rPr>
              <w:t>90</w:t>
            </w:r>
          </w:p>
        </w:tc>
        <w:tc>
          <w:tcPr>
            <w:tcW w:w="38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3480" w:type="dxa"/>
            <w:vAlign w:val="bottom"/>
            <w:gridSpan w:val="3"/>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36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71"/>
        </w:trPr>
        <w:tc>
          <w:tcPr>
            <w:tcW w:w="98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(2) Financial Statement Schedule</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10"/>
        </w:trPr>
        <w:tc>
          <w:tcPr>
            <w:tcW w:w="800" w:type="dxa"/>
            <w:vAlign w:val="bottom"/>
          </w:tcPr>
          <w:p>
            <w:pPr>
              <w:spacing w:after="0"/>
              <w:rPr>
                <w:sz w:val="24"/>
                <w:szCs w:val="24"/>
                <w:color w:val="auto"/>
              </w:rPr>
            </w:pPr>
          </w:p>
        </w:tc>
        <w:tc>
          <w:tcPr>
            <w:tcW w:w="34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6"/>
              </w:rPr>
              <w:t>Schedule II – Valuation and Qualifying Accounts</w:t>
            </w:r>
          </w:p>
        </w:tc>
        <w:tc>
          <w:tcPr>
            <w:tcW w:w="5540" w:type="dxa"/>
            <w:vAlign w:val="bottom"/>
            <w:gridSpan w:val="6"/>
          </w:tcPr>
          <w:p>
            <w:pPr>
              <w:spacing w:after="0"/>
              <w:rPr>
                <w:sz w:val="24"/>
                <w:szCs w:val="24"/>
                <w:color w:val="auto"/>
              </w:rPr>
            </w:pPr>
          </w:p>
        </w:tc>
        <w:tc>
          <w:tcPr>
            <w:tcW w:w="680" w:type="dxa"/>
            <w:vAlign w:val="bottom"/>
            <w:gridSpan w:val="3"/>
          </w:tcPr>
          <w:p>
            <w:pPr>
              <w:jc w:val="center"/>
              <w:ind w:left="412"/>
              <w:spacing w:after="0"/>
              <w:rPr>
                <w:sz w:val="20"/>
                <w:szCs w:val="20"/>
                <w:color w:val="auto"/>
              </w:rPr>
            </w:pPr>
            <w:r>
              <w:rPr>
                <w:rFonts w:ascii="Times New Roman" w:cs="Times New Roman" w:eastAsia="Times New Roman" w:hAnsi="Times New Roman"/>
                <w:sz w:val="18"/>
                <w:szCs w:val="18"/>
                <w:color w:val="0000EE"/>
                <w:w w:val="99"/>
              </w:rPr>
              <w:t>97</w:t>
            </w:r>
          </w:p>
        </w:tc>
        <w:tc>
          <w:tcPr>
            <w:tcW w:w="38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20" w:lineRule="exact"/>
        <w:rPr>
          <w:sz w:val="20"/>
          <w:szCs w:val="20"/>
          <w:color w:val="auto"/>
        </w:rPr>
      </w:pPr>
    </w:p>
    <w:p>
      <w:pPr>
        <w:ind w:left="640" w:right="100" w:firstLine="477"/>
        <w:spacing w:after="0" w:line="259" w:lineRule="auto"/>
        <w:rPr>
          <w:sz w:val="20"/>
          <w:szCs w:val="20"/>
          <w:color w:val="auto"/>
        </w:rPr>
      </w:pPr>
      <w:r>
        <w:rPr>
          <w:rFonts w:ascii="Times New Roman" w:cs="Times New Roman" w:eastAsia="Times New Roman" w:hAnsi="Times New Roman"/>
          <w:sz w:val="18"/>
          <w:szCs w:val="18"/>
          <w:color w:val="auto"/>
        </w:rPr>
        <w:t>All other financial statement schedules have been omitted because the required information is not applicable or not present in amounts sufficient to require submission of the schedule, or because the information required is included in the consolidated financial statements or the notes thereto.</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(3) Exhibits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exhibits listed under Item 15(b) hereof are filed with, or incorporated by reference into, this Annual Report on Form 10-K.</w:t>
      </w: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wp:posOffset>
            </wp:positionV>
            <wp:extent cx="71348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i w:val="1"/>
          <w:iCs w:val="1"/>
          <w:color w:val="auto"/>
        </w:rPr>
        <w:t>(in thousands, except par value)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December 27,</w:t>
            </w:r>
          </w:p>
        </w:tc>
        <w:tc>
          <w:tcPr>
            <w:tcW w:w="140" w:type="dxa"/>
            <w:vAlign w:val="bottom"/>
          </w:tcPr>
          <w:p>
            <w:pPr>
              <w:spacing w:after="0"/>
              <w:rPr>
                <w:sz w:val="19"/>
                <w:szCs w:val="19"/>
                <w:color w:val="auto"/>
              </w:rPr>
            </w:pPr>
          </w:p>
        </w:tc>
        <w:tc>
          <w:tcPr>
            <w:tcW w:w="14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December 28,</w:t>
            </w:r>
          </w:p>
        </w:tc>
      </w:tr>
      <w:tr>
        <w:trPr>
          <w:trHeight w:val="230"/>
        </w:trPr>
        <w:tc>
          <w:tcPr>
            <w:tcW w:w="80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5"/>
        </w:trPr>
        <w:tc>
          <w:tcPr>
            <w:tcW w:w="800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227,053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206,407</w:t>
            </w:r>
          </w:p>
        </w:tc>
        <w:tc>
          <w:tcPr>
            <w:tcW w:w="80" w:type="dxa"/>
            <w:vAlign w:val="bottom"/>
            <w:shd w:val="clear" w:color="auto" w:fill="CCEEFF"/>
          </w:tcPr>
          <w:p>
            <w:pPr>
              <w:spacing w:after="0"/>
              <w:rPr>
                <w:sz w:val="18"/>
                <w:szCs w:val="18"/>
                <w:color w:val="auto"/>
              </w:rPr>
            </w:pPr>
          </w:p>
        </w:tc>
      </w:tr>
      <w:tr>
        <w:trPr>
          <w:trHeight w:val="212"/>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256,928</w:t>
            </w:r>
          </w:p>
        </w:tc>
        <w:tc>
          <w:tcPr>
            <w:tcW w:w="14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55,685</w:t>
            </w:r>
          </w:p>
        </w:tc>
      </w:tr>
      <w:tr>
        <w:trPr>
          <w:trHeight w:val="212"/>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108,754</w:t>
            </w: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91,619</w:t>
            </w:r>
          </w:p>
        </w:tc>
      </w:tr>
      <w:tr>
        <w:trPr>
          <w:trHeight w:val="212"/>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129,006</w:t>
            </w: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141,861</w:t>
            </w:r>
          </w:p>
        </w:tc>
        <w:tc>
          <w:tcPr>
            <w:tcW w:w="80" w:type="dxa"/>
            <w:vAlign w:val="bottom"/>
          </w:tcPr>
          <w:p>
            <w:pPr>
              <w:spacing w:after="0"/>
              <w:rPr>
                <w:sz w:val="18"/>
                <w:szCs w:val="18"/>
                <w:color w:val="auto"/>
              </w:rPr>
            </w:pPr>
          </w:p>
        </w:tc>
      </w:tr>
      <w:tr>
        <w:trPr>
          <w:trHeight w:val="212"/>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24,356</w:t>
            </w: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19,293</w:t>
            </w:r>
          </w:p>
        </w:tc>
      </w:tr>
      <w:tr>
        <w:trPr>
          <w:trHeight w:val="225"/>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Taxes receivable</w:t>
            </w:r>
          </w:p>
        </w:tc>
        <w:tc>
          <w:tcPr>
            <w:tcW w:w="160" w:type="dxa"/>
            <w:vAlign w:val="bottom"/>
          </w:tcPr>
          <w:p>
            <w:pPr>
              <w:spacing w:after="0"/>
              <w:rPr>
                <w:sz w:val="19"/>
                <w:szCs w:val="19"/>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3,893</w:t>
            </w:r>
          </w:p>
        </w:tc>
        <w:tc>
          <w:tcPr>
            <w:tcW w:w="140" w:type="dxa"/>
            <w:vAlign w:val="bottom"/>
          </w:tcPr>
          <w:p>
            <w:pPr>
              <w:spacing w:after="0"/>
              <w:rPr>
                <w:sz w:val="19"/>
                <w:szCs w:val="19"/>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19,442</w:t>
            </w:r>
          </w:p>
        </w:tc>
      </w:tr>
      <w:tr>
        <w:trPr>
          <w:trHeight w:val="205"/>
        </w:trPr>
        <w:tc>
          <w:tcPr>
            <w:tcW w:w="8000" w:type="dxa"/>
            <w:vAlign w:val="bottom"/>
            <w:tcBorders>
              <w:top w:val="single" w:sz="8" w:color="CCEEFF"/>
            </w:tcBorders>
            <w:shd w:val="clear" w:color="auto" w:fill="CCEEFF"/>
          </w:tcPr>
          <w:p>
            <w:pPr>
              <w:ind w:left="320"/>
              <w:spacing w:after="0" w:line="205" w:lineRule="exact"/>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749,990</w:t>
            </w: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534,307</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2"/>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76,987</w:t>
            </w: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74,786</w:t>
            </w: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283,027</w:t>
            </w: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234,639</w:t>
            </w:r>
          </w:p>
        </w:tc>
        <w:tc>
          <w:tcPr>
            <w:tcW w:w="80" w:type="dxa"/>
            <w:vAlign w:val="bottom"/>
          </w:tcPr>
          <w:p>
            <w:pPr>
              <w:spacing w:after="0"/>
              <w:rPr>
                <w:sz w:val="18"/>
                <w:szCs w:val="18"/>
                <w:color w:val="auto"/>
              </w:rPr>
            </w:pPr>
          </w:p>
        </w:tc>
      </w:tr>
      <w:tr>
        <w:trPr>
          <w:trHeight w:val="21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79,272</w:t>
            </w: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110,717</w:t>
            </w: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24,435</w:t>
            </w:r>
          </w:p>
        </w:tc>
        <w:tc>
          <w:tcPr>
            <w:tcW w:w="14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31,058</w:t>
            </w:r>
          </w:p>
        </w:tc>
      </w:tr>
      <w:tr>
        <w:trPr>
          <w:trHeight w:val="225"/>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29,271</w:t>
            </w:r>
          </w:p>
        </w:tc>
        <w:tc>
          <w:tcPr>
            <w:tcW w:w="14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13,908</w:t>
            </w:r>
          </w:p>
        </w:tc>
      </w:tr>
      <w:tr>
        <w:trPr>
          <w:trHeight w:val="258"/>
        </w:trPr>
        <w:tc>
          <w:tcPr>
            <w:tcW w:w="80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1,242,982</w:t>
            </w:r>
          </w:p>
        </w:tc>
        <w:tc>
          <w:tcPr>
            <w:tcW w:w="2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999,415</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2"/>
        </w:trPr>
        <w:tc>
          <w:tcPr>
            <w:tcW w:w="8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2"/>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Short-term borrowings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9,807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633</w:t>
            </w:r>
          </w:p>
        </w:tc>
      </w:tr>
      <w:tr>
        <w:trPr>
          <w:trHeight w:val="212"/>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 installments of long-term debt</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1,244</w:t>
            </w: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1,115</w:t>
            </w:r>
          </w:p>
        </w:tc>
      </w:tr>
      <w:tr>
        <w:trPr>
          <w:trHeight w:val="212"/>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40,708</w:t>
            </w:r>
          </w:p>
        </w:tc>
        <w:tc>
          <w:tcPr>
            <w:tcW w:w="14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30,554</w:t>
            </w:r>
          </w:p>
        </w:tc>
      </w:tr>
      <w:tr>
        <w:trPr>
          <w:trHeight w:val="212"/>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Customer advances</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2,802</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2,764</w:t>
            </w:r>
          </w:p>
        </w:tc>
        <w:tc>
          <w:tcPr>
            <w:tcW w:w="80" w:type="dxa"/>
            <w:vAlign w:val="bottom"/>
            <w:shd w:val="clear" w:color="auto" w:fill="CCEEFF"/>
          </w:tcPr>
          <w:p>
            <w:pPr>
              <w:spacing w:after="0"/>
              <w:rPr>
                <w:sz w:val="18"/>
                <w:szCs w:val="18"/>
                <w:color w:val="auto"/>
              </w:rPr>
            </w:pPr>
          </w:p>
        </w:tc>
      </w:tr>
      <w:tr>
        <w:trPr>
          <w:trHeight w:val="212"/>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6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22,463</w:t>
            </w:r>
          </w:p>
        </w:tc>
        <w:tc>
          <w:tcPr>
            <w:tcW w:w="14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20,023</w:t>
            </w:r>
          </w:p>
        </w:tc>
      </w:tr>
      <w:tr>
        <w:trPr>
          <w:trHeight w:val="212"/>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warranty</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4,179</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2,971</w:t>
            </w:r>
          </w:p>
        </w:tc>
        <w:tc>
          <w:tcPr>
            <w:tcW w:w="80" w:type="dxa"/>
            <w:vAlign w:val="bottom"/>
            <w:shd w:val="clear" w:color="auto" w:fill="CCEEFF"/>
          </w:tcPr>
          <w:p>
            <w:pPr>
              <w:spacing w:after="0"/>
              <w:rPr>
                <w:sz w:val="18"/>
                <w:szCs w:val="18"/>
                <w:color w:val="auto"/>
              </w:rPr>
            </w:pPr>
          </w:p>
        </w:tc>
      </w:tr>
      <w:tr>
        <w:trPr>
          <w:trHeight w:val="212"/>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profit</w:t>
            </w:r>
          </w:p>
        </w:tc>
        <w:tc>
          <w:tcPr>
            <w:tcW w:w="16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8,626</w:t>
            </w: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3,589</w:t>
            </w:r>
          </w:p>
        </w:tc>
        <w:tc>
          <w:tcPr>
            <w:tcW w:w="80" w:type="dxa"/>
            <w:vAlign w:val="bottom"/>
          </w:tcPr>
          <w:p>
            <w:pPr>
              <w:spacing w:after="0"/>
              <w:rPr>
                <w:sz w:val="18"/>
                <w:szCs w:val="18"/>
                <w:color w:val="auto"/>
              </w:rPr>
            </w:pPr>
          </w:p>
        </w:tc>
      </w:tr>
      <w:tr>
        <w:trPr>
          <w:trHeight w:val="212"/>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taxes payable</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2,789</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2,394</w:t>
            </w:r>
          </w:p>
        </w:tc>
        <w:tc>
          <w:tcPr>
            <w:tcW w:w="80" w:type="dxa"/>
            <w:vAlign w:val="bottom"/>
            <w:shd w:val="clear" w:color="auto" w:fill="CCEEFF"/>
          </w:tcPr>
          <w:p>
            <w:pPr>
              <w:spacing w:after="0"/>
              <w:rPr>
                <w:sz w:val="18"/>
                <w:szCs w:val="18"/>
                <w:color w:val="auto"/>
              </w:rPr>
            </w:pPr>
          </w:p>
        </w:tc>
      </w:tr>
      <w:tr>
        <w:trPr>
          <w:trHeight w:val="225"/>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60" w:type="dxa"/>
            <w:vAlign w:val="bottom"/>
          </w:tcPr>
          <w:p>
            <w:pPr>
              <w:spacing w:after="0"/>
              <w:rPr>
                <w:sz w:val="19"/>
                <w:szCs w:val="19"/>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16,460</w:t>
            </w:r>
          </w:p>
        </w:tc>
        <w:tc>
          <w:tcPr>
            <w:tcW w:w="140" w:type="dxa"/>
            <w:vAlign w:val="bottom"/>
          </w:tcPr>
          <w:p>
            <w:pPr>
              <w:spacing w:after="0"/>
              <w:rPr>
                <w:sz w:val="19"/>
                <w:szCs w:val="19"/>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21,141</w:t>
            </w:r>
          </w:p>
        </w:tc>
      </w:tr>
      <w:tr>
        <w:trPr>
          <w:trHeight w:val="205"/>
        </w:trPr>
        <w:tc>
          <w:tcPr>
            <w:tcW w:w="8000" w:type="dxa"/>
            <w:vAlign w:val="bottom"/>
            <w:tcBorders>
              <w:top w:val="single" w:sz="8" w:color="CCEEFF"/>
            </w:tcBorders>
            <w:shd w:val="clear" w:color="auto" w:fill="CCEEFF"/>
          </w:tcPr>
          <w:p>
            <w:pPr>
              <w:ind w:left="320"/>
              <w:spacing w:after="0" w:line="205" w:lineRule="exact"/>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109,078</w:t>
            </w: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85,184</w:t>
            </w:r>
          </w:p>
        </w:tc>
        <w:tc>
          <w:tcPr>
            <w:tcW w:w="100" w:type="dxa"/>
            <w:vAlign w:val="bottom"/>
            <w:tcBorders>
              <w:top w:val="single" w:sz="8" w:color="CCEEFF"/>
            </w:tcBorders>
            <w:gridSpan w:val="2"/>
            <w:shd w:val="clear" w:color="auto" w:fill="CCEEFF"/>
          </w:tcPr>
          <w:p>
            <w:pPr>
              <w:spacing w:after="0"/>
              <w:rPr>
                <w:sz w:val="17"/>
                <w:szCs w:val="17"/>
                <w:color w:val="auto"/>
              </w:rPr>
            </w:pPr>
          </w:p>
        </w:tc>
      </w:tr>
      <w:tr>
        <w:trPr>
          <w:trHeight w:val="212"/>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6,730</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6,821</w:t>
            </w:r>
          </w:p>
        </w:tc>
        <w:tc>
          <w:tcPr>
            <w:tcW w:w="80" w:type="dxa"/>
            <w:vAlign w:val="bottom"/>
            <w:shd w:val="clear" w:color="auto" w:fill="CCEEFF"/>
          </w:tcPr>
          <w:p>
            <w:pPr>
              <w:spacing w:after="0"/>
              <w:rPr>
                <w:sz w:val="18"/>
                <w:szCs w:val="18"/>
                <w:color w:val="auto"/>
              </w:rPr>
            </w:pP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Noncurrent income tax liabilities</w:t>
            </w:r>
          </w:p>
        </w:tc>
        <w:tc>
          <w:tcPr>
            <w:tcW w:w="16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3,975</w:t>
            </w: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5,691</w:t>
            </w:r>
          </w:p>
        </w:tc>
        <w:tc>
          <w:tcPr>
            <w:tcW w:w="80" w:type="dxa"/>
            <w:vAlign w:val="bottom"/>
          </w:tcPr>
          <w:p>
            <w:pPr>
              <w:spacing w:after="0"/>
              <w:rPr>
                <w:sz w:val="18"/>
                <w:szCs w:val="18"/>
                <w:color w:val="auto"/>
              </w:rPr>
            </w:pPr>
          </w:p>
        </w:tc>
      </w:tr>
      <w:tr>
        <w:trPr>
          <w:trHeight w:val="21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retirement benefits</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5,472</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8,481</w:t>
            </w:r>
          </w:p>
        </w:tc>
        <w:tc>
          <w:tcPr>
            <w:tcW w:w="80" w:type="dxa"/>
            <w:vAlign w:val="bottom"/>
            <w:shd w:val="clear" w:color="auto" w:fill="CCEEFF"/>
          </w:tcPr>
          <w:p>
            <w:pPr>
              <w:spacing w:after="0"/>
              <w:rPr>
                <w:sz w:val="18"/>
                <w:szCs w:val="18"/>
                <w:color w:val="auto"/>
              </w:rPr>
            </w:pP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15,469</w:t>
            </w:r>
          </w:p>
        </w:tc>
        <w:tc>
          <w:tcPr>
            <w:tcW w:w="14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19,402</w:t>
            </w:r>
          </w:p>
        </w:tc>
      </w:tr>
      <w:tr>
        <w:trPr>
          <w:trHeight w:val="21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285,026</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7,052</w:t>
            </w:r>
          </w:p>
        </w:tc>
        <w:tc>
          <w:tcPr>
            <w:tcW w:w="80" w:type="dxa"/>
            <w:vAlign w:val="bottom"/>
            <w:shd w:val="clear" w:color="auto" w:fill="CCEEFF"/>
          </w:tcPr>
          <w:p>
            <w:pPr>
              <w:spacing w:after="0"/>
              <w:rPr>
                <w:sz w:val="18"/>
                <w:szCs w:val="18"/>
                <w:color w:val="auto"/>
              </w:rPr>
            </w:pP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16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31,693</w:t>
            </w: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9,893</w:t>
            </w:r>
          </w:p>
        </w:tc>
        <w:tc>
          <w:tcPr>
            <w:tcW w:w="80" w:type="dxa"/>
            <w:vAlign w:val="bottom"/>
          </w:tcPr>
          <w:p>
            <w:pPr>
              <w:spacing w:after="0"/>
              <w:rPr>
                <w:sz w:val="18"/>
                <w:szCs w:val="18"/>
                <w:color w:val="auto"/>
              </w:rPr>
            </w:pPr>
          </w:p>
        </w:tc>
      </w:tr>
      <w:tr>
        <w:trPr>
          <w:trHeight w:val="21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2"/>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Preferred stock, $1 par value; 1,000 shares authorized, none issued</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194"/>
        </w:trPr>
        <w:tc>
          <w:tcPr>
            <w:tcW w:w="800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Common stock, $1 par value; 90,000 shares authorized, 49,875 shares issued and outstanding in 2025 and</w:t>
            </w: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0"/>
        </w:trPr>
        <w:tc>
          <w:tcPr>
            <w:tcW w:w="8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49,601 shares in 2024</w:t>
            </w:r>
          </w:p>
        </w:tc>
        <w:tc>
          <w:tcPr>
            <w:tcW w:w="160" w:type="dxa"/>
            <w:vAlign w:val="bottom"/>
          </w:tcPr>
          <w:p>
            <w:pPr>
              <w:spacing w:after="0"/>
              <w:rPr>
                <w:sz w:val="20"/>
                <w:szCs w:val="20"/>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49,875</w:t>
            </w:r>
          </w:p>
        </w:tc>
        <w:tc>
          <w:tcPr>
            <w:tcW w:w="140" w:type="dxa"/>
            <w:vAlign w:val="bottom"/>
          </w:tcPr>
          <w:p>
            <w:pPr>
              <w:spacing w:after="0"/>
              <w:rPr>
                <w:sz w:val="20"/>
                <w:szCs w:val="20"/>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49,601</w:t>
            </w:r>
          </w:p>
        </w:tc>
      </w:tr>
      <w:tr>
        <w:trPr>
          <w:trHeight w:val="21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Paid-in capital</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681,509</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697,489</w:t>
            </w:r>
          </w:p>
        </w:tc>
        <w:tc>
          <w:tcPr>
            <w:tcW w:w="80" w:type="dxa"/>
            <w:vAlign w:val="bottom"/>
            <w:shd w:val="clear" w:color="auto" w:fill="CCEEFF"/>
          </w:tcPr>
          <w:p>
            <w:pPr>
              <w:spacing w:after="0"/>
              <w:rPr>
                <w:sz w:val="18"/>
                <w:szCs w:val="18"/>
                <w:color w:val="auto"/>
              </w:rPr>
            </w:pP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at cost; 3,030 shares in 2025 and 2,891 shares in 2024</w:t>
            </w: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(87,842)</w:t>
            </w:r>
          </w:p>
        </w:tc>
        <w:tc>
          <w:tcPr>
            <w:tcW w:w="14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(87,784)</w:t>
            </w:r>
          </w:p>
        </w:tc>
      </w:tr>
      <w:tr>
        <w:trPr>
          <w:trHeight w:val="21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174,467</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248,740</w:t>
            </w:r>
          </w:p>
        </w:tc>
        <w:tc>
          <w:tcPr>
            <w:tcW w:w="80" w:type="dxa"/>
            <w:vAlign w:val="bottom"/>
            <w:shd w:val="clear" w:color="auto" w:fill="CCEEFF"/>
          </w:tcPr>
          <w:p>
            <w:pPr>
              <w:spacing w:after="0"/>
              <w:rPr>
                <w:sz w:val="18"/>
                <w:szCs w:val="18"/>
                <w:color w:val="auto"/>
              </w:rPr>
            </w:pPr>
          </w:p>
        </w:tc>
      </w:tr>
      <w:tr>
        <w:trPr>
          <w:trHeight w:val="225"/>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(32,470)</w:t>
            </w:r>
          </w:p>
        </w:tc>
        <w:tc>
          <w:tcPr>
            <w:tcW w:w="140" w:type="dxa"/>
            <w:vAlign w:val="bottom"/>
          </w:tcPr>
          <w:p>
            <w:pPr>
              <w:spacing w:after="0"/>
              <w:rPr>
                <w:sz w:val="19"/>
                <w:szCs w:val="19"/>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(51,155)</w:t>
            </w:r>
          </w:p>
        </w:tc>
      </w:tr>
      <w:tr>
        <w:trPr>
          <w:trHeight w:val="205"/>
        </w:trPr>
        <w:tc>
          <w:tcPr>
            <w:tcW w:w="8000" w:type="dxa"/>
            <w:vAlign w:val="bottom"/>
            <w:tcBorders>
              <w:top w:val="single" w:sz="8" w:color="CCEEFF"/>
            </w:tcBorders>
            <w:shd w:val="clear" w:color="auto" w:fill="CCEEFF"/>
          </w:tcPr>
          <w:p>
            <w:pPr>
              <w:ind w:left="480"/>
              <w:spacing w:after="0" w:line="205" w:lineRule="exact"/>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30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785,539</w:t>
            </w: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30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856,891</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9"/>
        </w:trPr>
        <w:tc>
          <w:tcPr>
            <w:tcW w:w="80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1,242,982</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999,415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statements.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wp:posOffset>
            </wp:positionV>
            <wp:extent cx="71348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center"/>
              <w:ind w:right="283"/>
              <w:spacing w:after="0"/>
              <w:rPr>
                <w:sz w:val="20"/>
                <w:szCs w:val="20"/>
                <w:color w:val="auto"/>
              </w:rPr>
            </w:pPr>
            <w:r>
              <w:rPr>
                <w:rFonts w:ascii="Times New Roman" w:cs="Times New Roman" w:eastAsia="Times New Roman" w:hAnsi="Times New Roman"/>
                <w:sz w:val="18"/>
                <w:szCs w:val="18"/>
                <w:color w:val="auto"/>
                <w:w w:val="96"/>
              </w:rPr>
              <w:t>Years ended</w:t>
            </w: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0"/>
        </w:trPr>
        <w:tc>
          <w:tcPr>
            <w:tcW w:w="6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jc w:val="right"/>
              <w:ind w:right="323"/>
              <w:spacing w:after="0" w:line="201" w:lineRule="exact"/>
              <w:rPr>
                <w:sz w:val="20"/>
                <w:szCs w:val="20"/>
                <w:color w:val="auto"/>
              </w:rPr>
            </w:pPr>
            <w:r>
              <w:rPr>
                <w:rFonts w:ascii="Times New Roman" w:cs="Times New Roman" w:eastAsia="Times New Roman" w:hAnsi="Times New Roman"/>
                <w:sz w:val="18"/>
                <w:szCs w:val="18"/>
                <w:color w:val="auto"/>
              </w:rPr>
              <w:t>December 27,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center"/>
              <w:ind w:right="323"/>
              <w:spacing w:after="0" w:line="201" w:lineRule="exact"/>
              <w:rPr>
                <w:sz w:val="20"/>
                <w:szCs w:val="20"/>
                <w:color w:val="auto"/>
              </w:rPr>
            </w:pPr>
            <w:r>
              <w:rPr>
                <w:rFonts w:ascii="Times New Roman" w:cs="Times New Roman" w:eastAsia="Times New Roman" w:hAnsi="Times New Roman"/>
                <w:sz w:val="18"/>
                <w:szCs w:val="18"/>
                <w:color w:val="auto"/>
                <w:w w:val="97"/>
              </w:rPr>
              <w:t>December 28,</w:t>
            </w:r>
          </w:p>
        </w:tc>
        <w:tc>
          <w:tcPr>
            <w:tcW w:w="180" w:type="dxa"/>
            <w:vAlign w:val="bottom"/>
          </w:tcPr>
          <w:p>
            <w:pPr>
              <w:spacing w:after="0"/>
              <w:rPr>
                <w:sz w:val="17"/>
                <w:szCs w:val="17"/>
                <w:color w:val="auto"/>
              </w:rPr>
            </w:pPr>
          </w:p>
        </w:tc>
        <w:tc>
          <w:tcPr>
            <w:tcW w:w="1360" w:type="dxa"/>
            <w:vAlign w:val="bottom"/>
          </w:tcPr>
          <w:p>
            <w:pPr>
              <w:jc w:val="right"/>
              <w:ind w:right="192"/>
              <w:spacing w:after="0" w:line="201" w:lineRule="exact"/>
              <w:rPr>
                <w:sz w:val="20"/>
                <w:szCs w:val="20"/>
                <w:color w:val="auto"/>
              </w:rPr>
            </w:pPr>
            <w:r>
              <w:rPr>
                <w:rFonts w:ascii="Times New Roman" w:cs="Times New Roman" w:eastAsia="Times New Roman" w:hAnsi="Times New Roman"/>
                <w:sz w:val="18"/>
                <w:szCs w:val="18"/>
                <w:color w:val="auto"/>
              </w:rPr>
              <w:t>December 30,</w:t>
            </w:r>
          </w:p>
        </w:tc>
        <w:tc>
          <w:tcPr>
            <w:tcW w:w="100" w:type="dxa"/>
            <w:vAlign w:val="bottom"/>
          </w:tcPr>
          <w:p>
            <w:pPr>
              <w:spacing w:after="0"/>
              <w:rPr>
                <w:sz w:val="17"/>
                <w:szCs w:val="17"/>
                <w:color w:val="auto"/>
              </w:rPr>
            </w:pPr>
          </w:p>
        </w:tc>
      </w:tr>
      <w:tr>
        <w:trPr>
          <w:trHeight w:val="230"/>
        </w:trPr>
        <w:tc>
          <w:tcPr>
            <w:tcW w:w="6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8"/>
                <w:szCs w:val="18"/>
                <w:color w:val="auto"/>
                <w:w w:val="94"/>
              </w:rPr>
              <w:t>2024</w:t>
            </w: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r>
      <w:tr>
        <w:trPr>
          <w:trHeight w:val="205"/>
        </w:trPr>
        <w:tc>
          <w:tcPr>
            <w:tcW w:w="616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Net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452,956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401,779</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636,322</w:t>
            </w:r>
          </w:p>
        </w:tc>
        <w:tc>
          <w:tcPr>
            <w:tcW w:w="100" w:type="dxa"/>
            <w:vAlign w:val="bottom"/>
            <w:shd w:val="clear" w:color="auto" w:fill="CCEEFF"/>
          </w:tcPr>
          <w:p>
            <w:pPr>
              <w:spacing w:after="0"/>
              <w:rPr>
                <w:sz w:val="17"/>
                <w:szCs w:val="17"/>
                <w:color w:val="auto"/>
              </w:rPr>
            </w:pPr>
          </w:p>
        </w:tc>
      </w:tr>
      <w:tr>
        <w:trPr>
          <w:trHeight w:val="212"/>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Cost and expenses: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6160" w:type="dxa"/>
            <w:vAlign w:val="bottom"/>
            <w:shd w:val="clear" w:color="auto" w:fill="CCEEFF"/>
          </w:tcPr>
          <w:p>
            <w:pPr>
              <w:ind w:left="160"/>
              <w:spacing w:after="0" w:line="212" w:lineRule="exact"/>
              <w:rPr>
                <w:sz w:val="20"/>
                <w:szCs w:val="20"/>
                <w:color w:val="auto"/>
              </w:rPr>
            </w:pPr>
            <w:r>
              <w:rPr>
                <w:rFonts w:ascii="Times New Roman" w:cs="Times New Roman" w:eastAsia="Times New Roman" w:hAnsi="Times New Roman"/>
                <w:sz w:val="15"/>
                <w:szCs w:val="15"/>
                <w:color w:val="auto"/>
              </w:rPr>
              <w:t xml:space="preserve">Cost of sales </w:t>
            </w:r>
            <w:r>
              <w:rPr>
                <w:rFonts w:ascii="Times New Roman" w:cs="Times New Roman" w:eastAsia="Times New Roman" w:hAnsi="Times New Roman"/>
                <w:sz w:val="24"/>
                <w:szCs w:val="24"/>
                <w:color w:val="auto"/>
                <w:vertAlign w:val="superscript"/>
              </w:rPr>
              <w:t>(1)</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8"/>
                <w:szCs w:val="18"/>
                <w:color w:val="auto"/>
              </w:rPr>
              <w:t>259,337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8"/>
                <w:szCs w:val="18"/>
                <w:color w:val="auto"/>
              </w:rPr>
              <w:t>221,485</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333,454</w:t>
            </w:r>
          </w:p>
        </w:tc>
      </w:tr>
      <w:tr>
        <w:trPr>
          <w:trHeight w:val="212"/>
        </w:trPr>
        <w:tc>
          <w:tcPr>
            <w:tcW w:w="6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8"/>
                <w:szCs w:val="18"/>
                <w:color w:val="auto"/>
              </w:rPr>
            </w:pPr>
          </w:p>
        </w:tc>
        <w:tc>
          <w:tcPr>
            <w:tcW w:w="1480" w:type="dxa"/>
            <w:vAlign w:val="bottom"/>
            <w:gridSpan w:val="2"/>
          </w:tcPr>
          <w:p>
            <w:pPr>
              <w:jc w:val="right"/>
              <w:ind w:right="63"/>
              <w:spacing w:after="0"/>
              <w:rPr>
                <w:sz w:val="20"/>
                <w:szCs w:val="20"/>
                <w:color w:val="auto"/>
              </w:rPr>
            </w:pPr>
            <w:r>
              <w:rPr>
                <w:rFonts w:ascii="Times New Roman" w:cs="Times New Roman" w:eastAsia="Times New Roman" w:hAnsi="Times New Roman"/>
                <w:sz w:val="18"/>
                <w:szCs w:val="18"/>
                <w:color w:val="auto"/>
              </w:rPr>
              <w:t>92,213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43"/>
              <w:spacing w:after="0"/>
              <w:rPr>
                <w:sz w:val="20"/>
                <w:szCs w:val="20"/>
                <w:color w:val="auto"/>
              </w:rPr>
            </w:pPr>
            <w:r>
              <w:rPr>
                <w:rFonts w:ascii="Times New Roman" w:cs="Times New Roman" w:eastAsia="Times New Roman" w:hAnsi="Times New Roman"/>
                <w:sz w:val="18"/>
                <w:szCs w:val="18"/>
                <w:color w:val="auto"/>
              </w:rPr>
              <w:t>84,797</w:t>
            </w:r>
          </w:p>
        </w:tc>
        <w:tc>
          <w:tcPr>
            <w:tcW w:w="1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88,571</w:t>
            </w:r>
          </w:p>
        </w:tc>
      </w:tr>
      <w:tr>
        <w:trPr>
          <w:trHeight w:val="212"/>
        </w:trPr>
        <w:tc>
          <w:tcPr>
            <w:tcW w:w="6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8"/>
                <w:szCs w:val="18"/>
                <w:color w:val="auto"/>
              </w:rPr>
              <w:t>123,566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8"/>
                <w:szCs w:val="18"/>
                <w:color w:val="auto"/>
              </w:rPr>
              <w:t>128,037</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132,249</w:t>
            </w:r>
          </w:p>
        </w:tc>
      </w:tr>
      <w:tr>
        <w:trPr>
          <w:trHeight w:val="212"/>
        </w:trPr>
        <w:tc>
          <w:tcPr>
            <w:tcW w:w="6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 of purchased intangible assets</w:t>
            </w:r>
          </w:p>
        </w:tc>
        <w:tc>
          <w:tcPr>
            <w:tcW w:w="160" w:type="dxa"/>
            <w:vAlign w:val="bottom"/>
          </w:tcPr>
          <w:p>
            <w:pPr>
              <w:spacing w:after="0"/>
              <w:rPr>
                <w:sz w:val="18"/>
                <w:szCs w:val="18"/>
                <w:color w:val="auto"/>
              </w:rPr>
            </w:pPr>
          </w:p>
        </w:tc>
        <w:tc>
          <w:tcPr>
            <w:tcW w:w="1480" w:type="dxa"/>
            <w:vAlign w:val="bottom"/>
            <w:gridSpan w:val="2"/>
          </w:tcPr>
          <w:p>
            <w:pPr>
              <w:jc w:val="right"/>
              <w:ind w:right="63"/>
              <w:spacing w:after="0"/>
              <w:rPr>
                <w:sz w:val="20"/>
                <w:szCs w:val="20"/>
                <w:color w:val="auto"/>
              </w:rPr>
            </w:pPr>
            <w:r>
              <w:rPr>
                <w:rFonts w:ascii="Times New Roman" w:cs="Times New Roman" w:eastAsia="Times New Roman" w:hAnsi="Times New Roman"/>
                <w:sz w:val="18"/>
                <w:szCs w:val="18"/>
                <w:color w:val="auto"/>
              </w:rPr>
              <w:t>37,466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43"/>
              <w:spacing w:after="0"/>
              <w:rPr>
                <w:sz w:val="20"/>
                <w:szCs w:val="20"/>
                <w:color w:val="auto"/>
              </w:rPr>
            </w:pPr>
            <w:r>
              <w:rPr>
                <w:rFonts w:ascii="Times New Roman" w:cs="Times New Roman" w:eastAsia="Times New Roman" w:hAnsi="Times New Roman"/>
                <w:sz w:val="18"/>
                <w:szCs w:val="18"/>
                <w:color w:val="auto"/>
              </w:rPr>
              <w:t>39,087</w:t>
            </w:r>
          </w:p>
        </w:tc>
        <w:tc>
          <w:tcPr>
            <w:tcW w:w="1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36,355</w:t>
            </w:r>
          </w:p>
        </w:tc>
      </w:tr>
      <w:tr>
        <w:trPr>
          <w:trHeight w:val="225"/>
        </w:trPr>
        <w:tc>
          <w:tcPr>
            <w:tcW w:w="6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Restructuring charges (Note 4)</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8"/>
                <w:szCs w:val="18"/>
                <w:color w:val="auto"/>
              </w:rPr>
              <w:t>10,143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2,421</w:t>
            </w:r>
          </w:p>
        </w:tc>
      </w:tr>
      <w:tr>
        <w:trPr>
          <w:trHeight w:val="205"/>
        </w:trPr>
        <w:tc>
          <w:tcPr>
            <w:tcW w:w="61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522,725</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473,447</w:t>
            </w:r>
          </w:p>
        </w:tc>
        <w:tc>
          <w:tcPr>
            <w:tcW w:w="2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593,050</w:t>
            </w:r>
          </w:p>
        </w:tc>
        <w:tc>
          <w:tcPr>
            <w:tcW w:w="100" w:type="dxa"/>
            <w:vAlign w:val="bottom"/>
            <w:tcBorders>
              <w:bottom w:val="single" w:sz="8" w:color="CCEEFF"/>
            </w:tcBorders>
          </w:tcPr>
          <w:p>
            <w:pPr>
              <w:spacing w:after="0"/>
              <w:rPr>
                <w:sz w:val="17"/>
                <w:szCs w:val="17"/>
                <w:color w:val="auto"/>
              </w:rPr>
            </w:pPr>
          </w:p>
        </w:tc>
      </w:tr>
      <w:tr>
        <w:trPr>
          <w:trHeight w:val="205"/>
        </w:trPr>
        <w:tc>
          <w:tcPr>
            <w:tcW w:w="616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Income (loss) from operations</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(69,769)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(71,668)</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43,272</w:t>
            </w:r>
          </w:p>
        </w:tc>
        <w:tc>
          <w:tcPr>
            <w:tcW w:w="100" w:type="dxa"/>
            <w:vAlign w:val="bottom"/>
            <w:shd w:val="clear" w:color="auto" w:fill="CCEEFF"/>
          </w:tcPr>
          <w:p>
            <w:pPr>
              <w:spacing w:after="0"/>
              <w:rPr>
                <w:sz w:val="17"/>
                <w:szCs w:val="17"/>
                <w:color w:val="auto"/>
              </w:rPr>
            </w:pPr>
          </w:p>
        </w:tc>
      </w:tr>
      <w:tr>
        <w:trPr>
          <w:trHeight w:val="212"/>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6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(2,054)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8"/>
                <w:szCs w:val="18"/>
                <w:color w:val="auto"/>
              </w:rPr>
              <w:t>(618)</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(3,382)</w:t>
            </w:r>
          </w:p>
        </w:tc>
      </w:tr>
      <w:tr>
        <w:trPr>
          <w:trHeight w:val="212"/>
        </w:trPr>
        <w:tc>
          <w:tcPr>
            <w:tcW w:w="6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8"/>
                <w:szCs w:val="18"/>
                <w:color w:val="auto"/>
              </w:rPr>
            </w:pPr>
          </w:p>
        </w:tc>
        <w:tc>
          <w:tcPr>
            <w:tcW w:w="1480" w:type="dxa"/>
            <w:vAlign w:val="bottom"/>
            <w:gridSpan w:val="2"/>
          </w:tcPr>
          <w:p>
            <w:pPr>
              <w:jc w:val="right"/>
              <w:ind w:right="63"/>
              <w:spacing w:after="0"/>
              <w:rPr>
                <w:sz w:val="20"/>
                <w:szCs w:val="20"/>
                <w:color w:val="auto"/>
              </w:rPr>
            </w:pPr>
            <w:r>
              <w:rPr>
                <w:rFonts w:ascii="Times New Roman" w:cs="Times New Roman" w:eastAsia="Times New Roman" w:hAnsi="Times New Roman"/>
                <w:sz w:val="18"/>
                <w:szCs w:val="18"/>
                <w:color w:val="auto"/>
              </w:rPr>
              <w:t>8,040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43"/>
              <w:spacing w:after="0"/>
              <w:rPr>
                <w:sz w:val="20"/>
                <w:szCs w:val="20"/>
                <w:color w:val="auto"/>
              </w:rPr>
            </w:pPr>
            <w:r>
              <w:rPr>
                <w:rFonts w:ascii="Times New Roman" w:cs="Times New Roman" w:eastAsia="Times New Roman" w:hAnsi="Times New Roman"/>
                <w:sz w:val="18"/>
                <w:szCs w:val="18"/>
                <w:color w:val="auto"/>
              </w:rPr>
              <w:t>9,976</w:t>
            </w:r>
          </w:p>
        </w:tc>
        <w:tc>
          <w:tcPr>
            <w:tcW w:w="1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11,504</w:t>
            </w:r>
          </w:p>
        </w:tc>
      </w:tr>
      <w:tr>
        <w:trPr>
          <w:trHeight w:val="212"/>
        </w:trPr>
        <w:tc>
          <w:tcPr>
            <w:tcW w:w="6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transaction loss</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(783)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8"/>
                <w:szCs w:val="18"/>
                <w:color w:val="auto"/>
              </w:rPr>
              <w:t>(2,395)</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(5,209)</w:t>
            </w:r>
          </w:p>
        </w:tc>
      </w:tr>
      <w:tr>
        <w:trPr>
          <w:trHeight w:val="212"/>
        </w:trPr>
        <w:tc>
          <w:tcPr>
            <w:tcW w:w="6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Pension curtailment gain</w:t>
            </w:r>
          </w:p>
        </w:tc>
        <w:tc>
          <w:tcPr>
            <w:tcW w:w="160" w:type="dxa"/>
            <w:vAlign w:val="bottom"/>
          </w:tcPr>
          <w:p>
            <w:pPr>
              <w:spacing w:after="0"/>
              <w:rPr>
                <w:sz w:val="18"/>
                <w:szCs w:val="18"/>
                <w:color w:val="auto"/>
              </w:rPr>
            </w:pPr>
          </w:p>
        </w:tc>
        <w:tc>
          <w:tcPr>
            <w:tcW w:w="1480" w:type="dxa"/>
            <w:vAlign w:val="bottom"/>
            <w:gridSpan w:val="2"/>
          </w:tcPr>
          <w:p>
            <w:pPr>
              <w:jc w:val="right"/>
              <w:ind w:right="63"/>
              <w:spacing w:after="0"/>
              <w:rPr>
                <w:sz w:val="20"/>
                <w:szCs w:val="20"/>
                <w:color w:val="auto"/>
              </w:rPr>
            </w:pPr>
            <w:r>
              <w:rPr>
                <w:rFonts w:ascii="Times New Roman" w:cs="Times New Roman" w:eastAsia="Times New Roman" w:hAnsi="Times New Roman"/>
                <w:sz w:val="18"/>
                <w:szCs w:val="18"/>
                <w:color w:val="auto"/>
              </w:rPr>
              <w:t>2,159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4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8"/>
                <w:szCs w:val="18"/>
                <w:color w:val="auto"/>
              </w:rPr>
              <w:t>(241)</w:t>
            </w: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(369)</w:t>
            </w:r>
          </w:p>
        </w:tc>
      </w:tr>
      <w:tr>
        <w:trPr>
          <w:trHeight w:val="205"/>
        </w:trPr>
        <w:tc>
          <w:tcPr>
            <w:tcW w:w="61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Income (loss) before taxes</w:t>
            </w: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(62,407)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(64,946)</w:t>
            </w: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45,816</w:t>
            </w:r>
          </w:p>
        </w:tc>
        <w:tc>
          <w:tcPr>
            <w:tcW w:w="100" w:type="dxa"/>
            <w:vAlign w:val="bottom"/>
          </w:tcPr>
          <w:p>
            <w:pPr>
              <w:spacing w:after="0"/>
              <w:rPr>
                <w:sz w:val="17"/>
                <w:szCs w:val="17"/>
                <w:color w:val="auto"/>
              </w:rPr>
            </w:pPr>
          </w:p>
        </w:tc>
      </w:tr>
      <w:tr>
        <w:trPr>
          <w:trHeight w:val="225"/>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8"/>
                <w:szCs w:val="18"/>
                <w:color w:val="auto"/>
              </w:rPr>
              <w:t>11,866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8"/>
                <w:szCs w:val="18"/>
                <w:color w:val="auto"/>
              </w:rPr>
              <w:t>4,872</w:t>
            </w: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17,660</w:t>
            </w:r>
          </w:p>
        </w:tc>
      </w:tr>
      <w:tr>
        <w:trPr>
          <w:trHeight w:val="259"/>
        </w:trPr>
        <w:tc>
          <w:tcPr>
            <w:tcW w:w="6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(74,273</w:t>
            </w:r>
          </w:p>
        </w:tc>
        <w:tc>
          <w:tcPr>
            <w:tcW w:w="140" w:type="dxa"/>
            <w:vAlign w:val="bottom"/>
            <w:tcBorders>
              <w:bottom w:val="single" w:sz="8" w:color="CCEEFF"/>
            </w:tcBorders>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8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(69,818</w:t>
            </w:r>
          </w:p>
        </w:tc>
        <w:tc>
          <w:tcPr>
            <w:tcW w:w="220" w:type="dxa"/>
            <w:vAlign w:val="bottom"/>
            <w:tcBorders>
              <w:bottom w:val="single" w:sz="8" w:color="CCEEFF"/>
            </w:tcBorders>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28,156</w:t>
            </w:r>
          </w:p>
        </w:tc>
        <w:tc>
          <w:tcPr>
            <w:tcW w:w="100" w:type="dxa"/>
            <w:vAlign w:val="bottom"/>
            <w:tcBorders>
              <w:bottom w:val="single" w:sz="8" w:color="CCEEFF"/>
            </w:tcBorders>
          </w:tcPr>
          <w:p>
            <w:pPr>
              <w:spacing w:after="0"/>
              <w:rPr>
                <w:sz w:val="22"/>
                <w:szCs w:val="22"/>
                <w:color w:val="auto"/>
              </w:rPr>
            </w:pPr>
          </w:p>
        </w:tc>
      </w:tr>
      <w:tr>
        <w:trPr>
          <w:trHeight w:val="192"/>
        </w:trPr>
        <w:tc>
          <w:tcPr>
            <w:tcW w:w="6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2"/>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Income (loss) per share:</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(1.59)</w:t>
            </w:r>
          </w:p>
        </w:tc>
        <w:tc>
          <w:tcPr>
            <w:tcW w:w="26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8"/>
                <w:szCs w:val="18"/>
                <w:color w:val="auto"/>
              </w:rPr>
              <w:t>(1.49)</w:t>
            </w: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0.59</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2"/>
        </w:trPr>
        <w:tc>
          <w:tcPr>
            <w:tcW w:w="6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6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(1.59)</w:t>
            </w:r>
          </w:p>
        </w:tc>
        <w:tc>
          <w:tcPr>
            <w:tcW w:w="26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8"/>
                <w:szCs w:val="18"/>
                <w:color w:val="auto"/>
              </w:rPr>
              <w:t>(1.49)</w:t>
            </w: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0.59</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2"/>
        </w:trPr>
        <w:tc>
          <w:tcPr>
            <w:tcW w:w="6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2"/>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used in computing income (loss) per share:</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78"/>
        </w:trPr>
        <w:tc>
          <w:tcPr>
            <w:tcW w:w="6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spacing w:after="0"/>
              <w:rPr>
                <w:sz w:val="24"/>
                <w:szCs w:val="24"/>
                <w:color w:val="auto"/>
              </w:rPr>
            </w:pPr>
          </w:p>
        </w:tc>
        <w:tc>
          <w:tcPr>
            <w:tcW w:w="1480" w:type="dxa"/>
            <w:vAlign w:val="bottom"/>
            <w:gridSpan w:val="2"/>
          </w:tcPr>
          <w:p>
            <w:pPr>
              <w:jc w:val="right"/>
              <w:ind w:right="63"/>
              <w:spacing w:after="0"/>
              <w:rPr>
                <w:sz w:val="20"/>
                <w:szCs w:val="20"/>
                <w:color w:val="auto"/>
              </w:rPr>
            </w:pPr>
            <w:r>
              <w:rPr>
                <w:rFonts w:ascii="Times New Roman" w:cs="Times New Roman" w:eastAsia="Times New Roman" w:hAnsi="Times New Roman"/>
                <w:sz w:val="18"/>
                <w:szCs w:val="18"/>
                <w:color w:val="auto"/>
              </w:rPr>
              <w:t>46,723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2"/>
          </w:tcPr>
          <w:p>
            <w:pPr>
              <w:jc w:val="right"/>
              <w:ind w:right="143"/>
              <w:spacing w:after="0"/>
              <w:rPr>
                <w:sz w:val="20"/>
                <w:szCs w:val="20"/>
                <w:color w:val="auto"/>
              </w:rPr>
            </w:pPr>
            <w:r>
              <w:rPr>
                <w:rFonts w:ascii="Times New Roman" w:cs="Times New Roman" w:eastAsia="Times New Roman" w:hAnsi="Times New Roman"/>
                <w:sz w:val="18"/>
                <w:szCs w:val="18"/>
                <w:color w:val="auto"/>
              </w:rPr>
              <w:t>46,908</w:t>
            </w:r>
          </w:p>
        </w:tc>
        <w:tc>
          <w:tcPr>
            <w:tcW w:w="180" w:type="dxa"/>
            <w:vAlign w:val="bottom"/>
          </w:tcPr>
          <w:p>
            <w:pPr>
              <w:spacing w:after="0"/>
              <w:rPr>
                <w:sz w:val="24"/>
                <w:szCs w:val="24"/>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47,486</w:t>
            </w:r>
          </w:p>
        </w:tc>
      </w:tr>
      <w:tr>
        <w:trPr>
          <w:trHeight w:val="192"/>
        </w:trPr>
        <w:tc>
          <w:tcPr>
            <w:tcW w:w="6160" w:type="dxa"/>
            <w:vAlign w:val="bottom"/>
            <w:tcBorders>
              <w:top w:val="single" w:sz="8" w:color="CCEEFF"/>
              <w:bottom w:val="single" w:sz="8" w:color="CCEEFF"/>
            </w:tcBorders>
            <w:shd w:val="clear" w:color="auto" w:fill="CCEEFF"/>
          </w:tcPr>
          <w:p>
            <w:pPr>
              <w:ind w:left="320"/>
              <w:spacing w:after="0" w:line="192" w:lineRule="exact"/>
              <w:rPr>
                <w:sz w:val="20"/>
                <w:szCs w:val="20"/>
                <w:color w:val="auto"/>
              </w:rPr>
            </w:pPr>
            <w:r>
              <w:rPr>
                <w:rFonts w:ascii="Times New Roman" w:cs="Times New Roman" w:eastAsia="Times New Roman" w:hAnsi="Times New Roman"/>
                <w:sz w:val="18"/>
                <w:szCs w:val="18"/>
                <w:color w:val="auto"/>
              </w:rPr>
              <w:t>Diluted</w:t>
            </w: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134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46,723</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132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46,908</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136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48,025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6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9" w:lineRule="exact"/>
        <w:rPr>
          <w:sz w:val="20"/>
          <w:szCs w:val="20"/>
          <w:color w:val="auto"/>
        </w:rPr>
      </w:pPr>
    </w:p>
    <w:p>
      <w:pPr>
        <w:ind w:left="320" w:hanging="314"/>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amortization of purchased intangibles of $28,086, $30,008, and $28,418 for the years ended December 27, 2025, December 28, 2024, and December 30, 2023,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statements.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wp:posOffset>
            </wp:positionV>
            <wp:extent cx="71348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ind w:right="463"/>
              <w:spacing w:after="0"/>
              <w:rPr>
                <w:sz w:val="20"/>
                <w:szCs w:val="20"/>
                <w:color w:val="auto"/>
              </w:rPr>
            </w:pPr>
            <w:r>
              <w:rPr>
                <w:rFonts w:ascii="Times New Roman" w:cs="Times New Roman" w:eastAsia="Times New Roman" w:hAnsi="Times New Roman"/>
                <w:sz w:val="18"/>
                <w:szCs w:val="18"/>
                <w:color w:val="auto"/>
              </w:rPr>
              <w:t>Years ended</w:t>
            </w: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0"/>
        </w:trPr>
        <w:tc>
          <w:tcPr>
            <w:tcW w:w="6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jc w:val="right"/>
              <w:ind w:right="323"/>
              <w:spacing w:after="0" w:line="201" w:lineRule="exact"/>
              <w:rPr>
                <w:sz w:val="20"/>
                <w:szCs w:val="20"/>
                <w:color w:val="auto"/>
              </w:rPr>
            </w:pPr>
            <w:r>
              <w:rPr>
                <w:rFonts w:ascii="Times New Roman" w:cs="Times New Roman" w:eastAsia="Times New Roman" w:hAnsi="Times New Roman"/>
                <w:sz w:val="18"/>
                <w:szCs w:val="18"/>
                <w:color w:val="auto"/>
              </w:rPr>
              <w:t>December 27,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right"/>
              <w:ind w:right="383"/>
              <w:spacing w:after="0" w:line="201" w:lineRule="exact"/>
              <w:rPr>
                <w:sz w:val="20"/>
                <w:szCs w:val="20"/>
                <w:color w:val="auto"/>
              </w:rPr>
            </w:pPr>
            <w:r>
              <w:rPr>
                <w:rFonts w:ascii="Times New Roman" w:cs="Times New Roman" w:eastAsia="Times New Roman" w:hAnsi="Times New Roman"/>
                <w:sz w:val="18"/>
                <w:szCs w:val="18"/>
                <w:color w:val="auto"/>
              </w:rPr>
              <w:t>December 28,</w:t>
            </w:r>
          </w:p>
        </w:tc>
        <w:tc>
          <w:tcPr>
            <w:tcW w:w="140" w:type="dxa"/>
            <w:vAlign w:val="bottom"/>
          </w:tcPr>
          <w:p>
            <w:pPr>
              <w:spacing w:after="0"/>
              <w:rPr>
                <w:sz w:val="17"/>
                <w:szCs w:val="17"/>
                <w:color w:val="auto"/>
              </w:rPr>
            </w:pPr>
          </w:p>
        </w:tc>
        <w:tc>
          <w:tcPr>
            <w:tcW w:w="1300" w:type="dxa"/>
            <w:vAlign w:val="bottom"/>
          </w:tcPr>
          <w:p>
            <w:pPr>
              <w:jc w:val="right"/>
              <w:ind w:right="152"/>
              <w:spacing w:after="0" w:line="201" w:lineRule="exact"/>
              <w:rPr>
                <w:sz w:val="20"/>
                <w:szCs w:val="20"/>
                <w:color w:val="auto"/>
              </w:rPr>
            </w:pPr>
            <w:r>
              <w:rPr>
                <w:rFonts w:ascii="Times New Roman" w:cs="Times New Roman" w:eastAsia="Times New Roman" w:hAnsi="Times New Roman"/>
                <w:sz w:val="18"/>
                <w:szCs w:val="18"/>
                <w:color w:val="auto"/>
              </w:rPr>
              <w:t>December 30,</w:t>
            </w:r>
          </w:p>
        </w:tc>
        <w:tc>
          <w:tcPr>
            <w:tcW w:w="100" w:type="dxa"/>
            <w:vAlign w:val="bottom"/>
          </w:tcPr>
          <w:p>
            <w:pPr>
              <w:spacing w:after="0"/>
              <w:rPr>
                <w:sz w:val="17"/>
                <w:szCs w:val="17"/>
                <w:color w:val="auto"/>
              </w:rPr>
            </w:pPr>
          </w:p>
        </w:tc>
      </w:tr>
      <w:tr>
        <w:trPr>
          <w:trHeight w:val="230"/>
        </w:trPr>
        <w:tc>
          <w:tcPr>
            <w:tcW w:w="63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r>
      <w:tr>
        <w:trPr>
          <w:trHeight w:val="205"/>
        </w:trPr>
        <w:tc>
          <w:tcPr>
            <w:tcW w:w="632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(74,273)</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(69,818)</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28,156</w:t>
            </w:r>
          </w:p>
        </w:tc>
        <w:tc>
          <w:tcPr>
            <w:tcW w:w="100" w:type="dxa"/>
            <w:vAlign w:val="bottom"/>
            <w:shd w:val="clear" w:color="auto" w:fill="CCEEFF"/>
          </w:tcPr>
          <w:p>
            <w:pPr>
              <w:spacing w:after="0"/>
              <w:rPr>
                <w:sz w:val="17"/>
                <w:szCs w:val="17"/>
                <w:color w:val="auto"/>
              </w:rPr>
            </w:pPr>
          </w:p>
        </w:tc>
      </w:tr>
      <w:tr>
        <w:trPr>
          <w:trHeight w:val="212"/>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6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8"/>
                <w:szCs w:val="18"/>
                <w:color w:val="auto"/>
              </w:rPr>
              <w:t>19,436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8"/>
                <w:szCs w:val="18"/>
                <w:color w:val="auto"/>
              </w:rPr>
              <w:t>(16,839)</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6,815</w:t>
            </w:r>
          </w:p>
        </w:tc>
      </w:tr>
      <w:tr>
        <w:trPr>
          <w:trHeight w:val="212"/>
        </w:trPr>
        <w:tc>
          <w:tcPr>
            <w:tcW w:w="6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Adjustments related to postretirement benefits</w:t>
            </w:r>
          </w:p>
        </w:tc>
        <w:tc>
          <w:tcPr>
            <w:tcW w:w="160" w:type="dxa"/>
            <w:vAlign w:val="bottom"/>
          </w:tcPr>
          <w:p>
            <w:pPr>
              <w:spacing w:after="0"/>
              <w:rPr>
                <w:sz w:val="18"/>
                <w:szCs w:val="18"/>
                <w:color w:val="auto"/>
              </w:rPr>
            </w:pPr>
          </w:p>
        </w:tc>
        <w:tc>
          <w:tcPr>
            <w:tcW w:w="1460" w:type="dxa"/>
            <w:vAlign w:val="bottom"/>
            <w:gridSpan w:val="2"/>
          </w:tcPr>
          <w:p>
            <w:pPr>
              <w:jc w:val="right"/>
              <w:ind w:right="23"/>
              <w:spacing w:after="0"/>
              <w:rPr>
                <w:sz w:val="20"/>
                <w:szCs w:val="20"/>
                <w:color w:val="auto"/>
              </w:rPr>
            </w:pPr>
            <w:r>
              <w:rPr>
                <w:rFonts w:ascii="Times New Roman" w:cs="Times New Roman" w:eastAsia="Times New Roman" w:hAnsi="Times New Roman"/>
                <w:sz w:val="18"/>
                <w:szCs w:val="18"/>
                <w:color w:val="auto"/>
              </w:rPr>
              <w:t>(887)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43"/>
              <w:spacing w:after="0"/>
              <w:rPr>
                <w:sz w:val="20"/>
                <w:szCs w:val="20"/>
                <w:color w:val="auto"/>
              </w:rPr>
            </w:pPr>
            <w:r>
              <w:rPr>
                <w:rFonts w:ascii="Times New Roman" w:cs="Times New Roman" w:eastAsia="Times New Roman" w:hAnsi="Times New Roman"/>
                <w:sz w:val="18"/>
                <w:szCs w:val="18"/>
                <w:color w:val="auto"/>
              </w:rPr>
              <w:t>518</w:t>
            </w:r>
          </w:p>
        </w:tc>
        <w:tc>
          <w:tcPr>
            <w:tcW w:w="14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(2,375)</w:t>
            </w:r>
          </w:p>
        </w:tc>
      </w:tr>
      <w:tr>
        <w:trPr>
          <w:trHeight w:val="225"/>
        </w:trPr>
        <w:tc>
          <w:tcPr>
            <w:tcW w:w="6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 in unrealized gain/loss on investments</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793</w:t>
            </w:r>
          </w:p>
        </w:tc>
      </w:tr>
      <w:tr>
        <w:trPr>
          <w:trHeight w:val="205"/>
        </w:trPr>
        <w:tc>
          <w:tcPr>
            <w:tcW w:w="6320" w:type="dxa"/>
            <w:vAlign w:val="bottom"/>
            <w:tcBorders>
              <w:bottom w:val="single" w:sz="8" w:color="CCEEFF"/>
            </w:tcBorders>
          </w:tcPr>
          <w:p>
            <w:pPr>
              <w:spacing w:after="0" w:line="205" w:lineRule="exact"/>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18,685</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(16,376</w:t>
            </w:r>
          </w:p>
        </w:tc>
        <w:tc>
          <w:tcPr>
            <w:tcW w:w="220" w:type="dxa"/>
            <w:vAlign w:val="bottom"/>
            <w:tcBorders>
              <w:bottom w:val="single" w:sz="8" w:color="CCEEFF"/>
            </w:tcBorders>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1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5,233</w:t>
            </w:r>
          </w:p>
        </w:tc>
        <w:tc>
          <w:tcPr>
            <w:tcW w:w="100" w:type="dxa"/>
            <w:vAlign w:val="bottom"/>
            <w:tcBorders>
              <w:bottom w:val="single" w:sz="8" w:color="CCEEFF"/>
            </w:tcBorders>
          </w:tcPr>
          <w:p>
            <w:pPr>
              <w:spacing w:after="0"/>
              <w:rPr>
                <w:sz w:val="17"/>
                <w:szCs w:val="17"/>
                <w:color w:val="auto"/>
              </w:rPr>
            </w:pPr>
          </w:p>
        </w:tc>
      </w:tr>
      <w:tr>
        <w:trPr>
          <w:trHeight w:val="218"/>
        </w:trPr>
        <w:tc>
          <w:tcPr>
            <w:tcW w:w="6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(55,588</w:t>
            </w:r>
          </w:p>
        </w:tc>
        <w:tc>
          <w:tcPr>
            <w:tcW w:w="1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(86,194</w:t>
            </w:r>
          </w:p>
        </w:tc>
        <w:tc>
          <w:tcPr>
            <w:tcW w:w="22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statements.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wp:posOffset>
            </wp:positionV>
            <wp:extent cx="71348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i w:val="1"/>
          <w:iCs w:val="1"/>
          <w:color w:val="auto"/>
        </w:rPr>
        <w:t>(in thousands, except par value and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center"/>
              <w:ind w:right="141"/>
              <w:spacing w:after="0"/>
              <w:rPr>
                <w:sz w:val="20"/>
                <w:szCs w:val="20"/>
                <w:color w:val="auto"/>
              </w:rPr>
            </w:pPr>
            <w:r>
              <w:rPr>
                <w:rFonts w:ascii="Times New Roman" w:cs="Times New Roman" w:eastAsia="Times New Roman" w:hAnsi="Times New Roman"/>
                <w:sz w:val="16"/>
                <w:szCs w:val="16"/>
                <w:color w:val="auto"/>
              </w:rPr>
              <w:t>Accumulated</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3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97"/>
              </w:rPr>
              <w:t>Common</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center"/>
              <w:ind w:right="141"/>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8"/>
        </w:trPr>
        <w:tc>
          <w:tcPr>
            <w:tcW w:w="3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stock</w:t>
            </w:r>
          </w:p>
        </w:tc>
        <w:tc>
          <w:tcPr>
            <w:tcW w:w="320" w:type="dxa"/>
            <w:vAlign w:val="bottom"/>
          </w:tcPr>
          <w:p>
            <w:pPr>
              <w:spacing w:after="0"/>
              <w:rPr>
                <w:sz w:val="18"/>
                <w:szCs w:val="18"/>
                <w:color w:val="auto"/>
              </w:rPr>
            </w:pPr>
          </w:p>
        </w:tc>
        <w:tc>
          <w:tcPr>
            <w:tcW w:w="1060" w:type="dxa"/>
            <w:vAlign w:val="bottom"/>
          </w:tcPr>
          <w:p>
            <w:pPr>
              <w:jc w:val="right"/>
              <w:ind w:right="401"/>
              <w:spacing w:after="0"/>
              <w:rPr>
                <w:sz w:val="20"/>
                <w:szCs w:val="20"/>
                <w:color w:val="auto"/>
              </w:rPr>
            </w:pPr>
            <w:r>
              <w:rPr>
                <w:rFonts w:ascii="Times New Roman" w:cs="Times New Roman" w:eastAsia="Times New Roman" w:hAnsi="Times New Roman"/>
                <w:sz w:val="16"/>
                <w:szCs w:val="16"/>
                <w:color w:val="auto"/>
              </w:rPr>
              <w:t>Paid-in</w:t>
            </w:r>
          </w:p>
        </w:tc>
        <w:tc>
          <w:tcPr>
            <w:tcW w:w="260" w:type="dxa"/>
            <w:vAlign w:val="bottom"/>
          </w:tcPr>
          <w:p>
            <w:pPr>
              <w:spacing w:after="0"/>
              <w:rPr>
                <w:sz w:val="18"/>
                <w:szCs w:val="18"/>
                <w:color w:val="auto"/>
              </w:rPr>
            </w:pPr>
          </w:p>
        </w:tc>
        <w:tc>
          <w:tcPr>
            <w:tcW w:w="110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Retained</w:t>
            </w:r>
          </w:p>
        </w:tc>
        <w:tc>
          <w:tcPr>
            <w:tcW w:w="180" w:type="dxa"/>
            <w:vAlign w:val="bottom"/>
          </w:tcPr>
          <w:p>
            <w:pPr>
              <w:spacing w:after="0"/>
              <w:rPr>
                <w:sz w:val="18"/>
                <w:szCs w:val="18"/>
                <w:color w:val="auto"/>
              </w:rPr>
            </w:pPr>
          </w:p>
        </w:tc>
        <w:tc>
          <w:tcPr>
            <w:tcW w:w="1200" w:type="dxa"/>
            <w:vAlign w:val="bottom"/>
          </w:tcPr>
          <w:p>
            <w:pPr>
              <w:jc w:val="center"/>
              <w:ind w:right="141"/>
              <w:spacing w:after="0"/>
              <w:rPr>
                <w:sz w:val="20"/>
                <w:szCs w:val="20"/>
                <w:color w:val="auto"/>
              </w:rPr>
            </w:pPr>
            <w:r>
              <w:rPr>
                <w:rFonts w:ascii="Times New Roman" w:cs="Times New Roman" w:eastAsia="Times New Roman" w:hAnsi="Times New Roman"/>
                <w:sz w:val="16"/>
                <w:szCs w:val="16"/>
                <w:color w:val="auto"/>
              </w:rPr>
              <w:t>comprehensive</w:t>
            </w:r>
          </w:p>
        </w:tc>
        <w:tc>
          <w:tcPr>
            <w:tcW w:w="280" w:type="dxa"/>
            <w:vAlign w:val="bottom"/>
          </w:tcPr>
          <w:p>
            <w:pPr>
              <w:spacing w:after="0"/>
              <w:rPr>
                <w:sz w:val="18"/>
                <w:szCs w:val="18"/>
                <w:color w:val="auto"/>
              </w:rPr>
            </w:pPr>
          </w:p>
        </w:tc>
        <w:tc>
          <w:tcPr>
            <w:tcW w:w="1120" w:type="dxa"/>
            <w:vAlign w:val="bottom"/>
          </w:tcPr>
          <w:p>
            <w:pPr>
              <w:jc w:val="right"/>
              <w:ind w:right="361"/>
              <w:spacing w:after="0"/>
              <w:rPr>
                <w:sz w:val="20"/>
                <w:szCs w:val="20"/>
                <w:color w:val="auto"/>
              </w:rPr>
            </w:pPr>
            <w:r>
              <w:rPr>
                <w:rFonts w:ascii="Times New Roman" w:cs="Times New Roman" w:eastAsia="Times New Roman" w:hAnsi="Times New Roman"/>
                <w:sz w:val="16"/>
                <w:szCs w:val="16"/>
                <w:color w:val="auto"/>
              </w:rPr>
              <w:t>Treasury</w:t>
            </w: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30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5"/>
              </w:rPr>
              <w:t>1 par value</w:t>
            </w:r>
          </w:p>
        </w:tc>
        <w:tc>
          <w:tcPr>
            <w:tcW w:w="320" w:type="dxa"/>
            <w:vAlign w:val="bottom"/>
          </w:tcPr>
          <w:p>
            <w:pPr>
              <w:spacing w:after="0"/>
              <w:rPr>
                <w:sz w:val="18"/>
                <w:szCs w:val="18"/>
                <w:color w:val="auto"/>
              </w:rPr>
            </w:pPr>
          </w:p>
        </w:tc>
        <w:tc>
          <w:tcPr>
            <w:tcW w:w="1060" w:type="dxa"/>
            <w:vAlign w:val="bottom"/>
          </w:tcPr>
          <w:p>
            <w:pPr>
              <w:jc w:val="right"/>
              <w:ind w:right="421"/>
              <w:spacing w:after="0"/>
              <w:rPr>
                <w:sz w:val="20"/>
                <w:szCs w:val="20"/>
                <w:color w:val="auto"/>
              </w:rPr>
            </w:pPr>
            <w:r>
              <w:rPr>
                <w:rFonts w:ascii="Times New Roman" w:cs="Times New Roman" w:eastAsia="Times New Roman" w:hAnsi="Times New Roman"/>
                <w:sz w:val="16"/>
                <w:szCs w:val="16"/>
                <w:color w:val="auto"/>
              </w:rPr>
              <w:t>capital</w:t>
            </w:r>
          </w:p>
        </w:tc>
        <w:tc>
          <w:tcPr>
            <w:tcW w:w="260" w:type="dxa"/>
            <w:vAlign w:val="bottom"/>
          </w:tcPr>
          <w:p>
            <w:pPr>
              <w:spacing w:after="0"/>
              <w:rPr>
                <w:sz w:val="18"/>
                <w:szCs w:val="18"/>
                <w:color w:val="auto"/>
              </w:rPr>
            </w:pPr>
          </w:p>
        </w:tc>
        <w:tc>
          <w:tcPr>
            <w:tcW w:w="1100" w:type="dxa"/>
            <w:vAlign w:val="bottom"/>
          </w:tcPr>
          <w:p>
            <w:pPr>
              <w:jc w:val="right"/>
              <w:ind w:right="361"/>
              <w:spacing w:after="0"/>
              <w:rPr>
                <w:sz w:val="20"/>
                <w:szCs w:val="20"/>
                <w:color w:val="auto"/>
              </w:rPr>
            </w:pPr>
            <w:r>
              <w:rPr>
                <w:rFonts w:ascii="Times New Roman" w:cs="Times New Roman" w:eastAsia="Times New Roman" w:hAnsi="Times New Roman"/>
                <w:sz w:val="16"/>
                <w:szCs w:val="16"/>
                <w:color w:val="auto"/>
              </w:rPr>
              <w:t>earnings</w:t>
            </w:r>
          </w:p>
        </w:tc>
        <w:tc>
          <w:tcPr>
            <w:tcW w:w="180" w:type="dxa"/>
            <w:vAlign w:val="bottom"/>
          </w:tcPr>
          <w:p>
            <w:pPr>
              <w:spacing w:after="0"/>
              <w:rPr>
                <w:sz w:val="18"/>
                <w:szCs w:val="18"/>
                <w:color w:val="auto"/>
              </w:rPr>
            </w:pPr>
          </w:p>
        </w:tc>
        <w:tc>
          <w:tcPr>
            <w:tcW w:w="1200" w:type="dxa"/>
            <w:vAlign w:val="bottom"/>
          </w:tcPr>
          <w:p>
            <w:pPr>
              <w:jc w:val="center"/>
              <w:ind w:right="141"/>
              <w:spacing w:after="0"/>
              <w:rPr>
                <w:sz w:val="20"/>
                <w:szCs w:val="20"/>
                <w:color w:val="auto"/>
              </w:rPr>
            </w:pPr>
            <w:r>
              <w:rPr>
                <w:rFonts w:ascii="Times New Roman" w:cs="Times New Roman" w:eastAsia="Times New Roman" w:hAnsi="Times New Roman"/>
                <w:sz w:val="16"/>
                <w:szCs w:val="16"/>
                <w:color w:val="auto"/>
              </w:rPr>
              <w:t>loss</w:t>
            </w:r>
          </w:p>
        </w:tc>
        <w:tc>
          <w:tcPr>
            <w:tcW w:w="280" w:type="dxa"/>
            <w:vAlign w:val="bottom"/>
          </w:tcPr>
          <w:p>
            <w:pPr>
              <w:spacing w:after="0"/>
              <w:rPr>
                <w:sz w:val="18"/>
                <w:szCs w:val="18"/>
                <w:color w:val="auto"/>
              </w:rPr>
            </w:pPr>
          </w:p>
        </w:tc>
        <w:tc>
          <w:tcPr>
            <w:tcW w:w="1120" w:type="dxa"/>
            <w:vAlign w:val="bottom"/>
          </w:tcPr>
          <w:p>
            <w:pPr>
              <w:jc w:val="right"/>
              <w:ind w:right="461"/>
              <w:spacing w:after="0"/>
              <w:rPr>
                <w:sz w:val="20"/>
                <w:szCs w:val="20"/>
                <w:color w:val="auto"/>
              </w:rPr>
            </w:pPr>
            <w:r>
              <w:rPr>
                <w:rFonts w:ascii="Times New Roman" w:cs="Times New Roman" w:eastAsia="Times New Roman" w:hAnsi="Times New Roman"/>
                <w:sz w:val="16"/>
                <w:szCs w:val="16"/>
                <w:color w:val="auto"/>
              </w:rPr>
              <w:t>Stock</w:t>
            </w:r>
          </w:p>
        </w:tc>
        <w:tc>
          <w:tcPr>
            <w:tcW w:w="340" w:type="dxa"/>
            <w:vAlign w:val="bottom"/>
          </w:tcPr>
          <w:p>
            <w:pPr>
              <w:spacing w:after="0"/>
              <w:rPr>
                <w:sz w:val="18"/>
                <w:szCs w:val="18"/>
                <w:color w:val="auto"/>
              </w:rPr>
            </w:pPr>
          </w:p>
        </w:tc>
        <w:tc>
          <w:tcPr>
            <w:tcW w:w="1060" w:type="dxa"/>
            <w:vAlign w:val="bottom"/>
            <w:gridSpan w:val="3"/>
          </w:tcPr>
          <w:p>
            <w:pPr>
              <w:jc w:val="right"/>
              <w:ind w:right="560"/>
              <w:spacing w:after="0"/>
              <w:rPr>
                <w:sz w:val="20"/>
                <w:szCs w:val="20"/>
                <w:color w:val="auto"/>
              </w:rPr>
            </w:pPr>
            <w:r>
              <w:rPr>
                <w:rFonts w:ascii="Times New Roman" w:cs="Times New Roman" w:eastAsia="Times New Roman" w:hAnsi="Times New Roman"/>
                <w:sz w:val="16"/>
                <w:szCs w:val="16"/>
                <w:color w:val="auto"/>
              </w:rPr>
              <w:t>Total</w:t>
            </w:r>
          </w:p>
        </w:tc>
      </w:tr>
      <w:tr>
        <w:trPr>
          <w:trHeight w:val="195"/>
        </w:trPr>
        <w:tc>
          <w:tcPr>
            <w:tcW w:w="3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49,276</w:t>
            </w:r>
          </w:p>
        </w:tc>
        <w:tc>
          <w:tcPr>
            <w:tcW w:w="32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687,218</w:t>
            </w:r>
          </w:p>
        </w:tc>
        <w:tc>
          <w:tcPr>
            <w:tcW w:w="26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290,402</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(40,012)</w:t>
            </w:r>
          </w:p>
        </w:tc>
        <w:tc>
          <w:tcPr>
            <w:tcW w:w="28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(58,043)</w:t>
            </w:r>
          </w:p>
        </w:tc>
        <w:tc>
          <w:tcPr>
            <w:tcW w:w="34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928,841</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199"/>
        </w:trPr>
        <w:tc>
          <w:tcPr>
            <w:tcW w:w="3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Common stock repurchases</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0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(23,641)</w:t>
            </w:r>
          </w:p>
        </w:tc>
        <w:tc>
          <w:tcPr>
            <w:tcW w:w="340" w:type="dxa"/>
            <w:vAlign w:val="bottom"/>
          </w:tcPr>
          <w:p>
            <w:pPr>
              <w:spacing w:after="0"/>
              <w:rPr>
                <w:sz w:val="17"/>
                <w:szCs w:val="17"/>
                <w:color w:val="auto"/>
              </w:rPr>
            </w:pP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(23,641)</w:t>
            </w:r>
          </w:p>
        </w:tc>
      </w:tr>
      <w:tr>
        <w:trPr>
          <w:trHeight w:val="199"/>
        </w:trPr>
        <w:tc>
          <w:tcPr>
            <w:tcW w:w="3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Net income</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28,156</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28,156</w:t>
            </w:r>
          </w:p>
        </w:tc>
        <w:tc>
          <w:tcPr>
            <w:tcW w:w="100" w:type="dxa"/>
            <w:vAlign w:val="bottom"/>
            <w:shd w:val="clear" w:color="auto" w:fill="CCEEFF"/>
          </w:tcPr>
          <w:p>
            <w:pPr>
              <w:spacing w:after="0"/>
              <w:rPr>
                <w:sz w:val="17"/>
                <w:szCs w:val="17"/>
                <w:color w:val="auto"/>
              </w:rPr>
            </w:pPr>
          </w:p>
        </w:tc>
      </w:tr>
      <w:tr>
        <w:trPr>
          <w:trHeight w:val="185"/>
        </w:trPr>
        <w:tc>
          <w:tcPr>
            <w:tcW w:w="3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Changes in cumulative translation</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0"/>
        </w:trPr>
        <w:tc>
          <w:tcPr>
            <w:tcW w:w="30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adjustment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6,815</w:t>
            </w:r>
          </w:p>
        </w:tc>
        <w:tc>
          <w:tcPr>
            <w:tcW w:w="280" w:type="dxa"/>
            <w:vAlign w:val="bottom"/>
          </w:tcPr>
          <w:p>
            <w:pPr>
              <w:spacing w:after="0"/>
              <w:rPr>
                <w:sz w:val="18"/>
                <w:szCs w:val="18"/>
                <w:color w:val="auto"/>
              </w:rPr>
            </w:pPr>
          </w:p>
        </w:tc>
        <w:tc>
          <w:tcPr>
            <w:tcW w:w="11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6,815</w:t>
            </w:r>
          </w:p>
        </w:tc>
        <w:tc>
          <w:tcPr>
            <w:tcW w:w="100" w:type="dxa"/>
            <w:vAlign w:val="bottom"/>
          </w:tcPr>
          <w:p>
            <w:pPr>
              <w:spacing w:after="0"/>
              <w:rPr>
                <w:sz w:val="18"/>
                <w:szCs w:val="18"/>
                <w:color w:val="auto"/>
              </w:rPr>
            </w:pPr>
          </w:p>
        </w:tc>
      </w:tr>
      <w:tr>
        <w:trPr>
          <w:trHeight w:val="187"/>
        </w:trPr>
        <w:tc>
          <w:tcPr>
            <w:tcW w:w="3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Adjustments related to postretirement</w:t>
            </w: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3"/>
        </w:trPr>
        <w:tc>
          <w:tcPr>
            <w:tcW w:w="3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benefits, net of tax</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(2,375)</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(2,375)</w:t>
            </w:r>
          </w:p>
        </w:tc>
      </w:tr>
      <w:tr>
        <w:trPr>
          <w:trHeight w:val="185"/>
        </w:trPr>
        <w:tc>
          <w:tcPr>
            <w:tcW w:w="3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Changes in unrealized gains and losses on</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0"/>
        </w:trPr>
        <w:tc>
          <w:tcPr>
            <w:tcW w:w="30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investments, net of tax</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793</w:t>
            </w:r>
          </w:p>
        </w:tc>
        <w:tc>
          <w:tcPr>
            <w:tcW w:w="280" w:type="dxa"/>
            <w:vAlign w:val="bottom"/>
          </w:tcPr>
          <w:p>
            <w:pPr>
              <w:spacing w:after="0"/>
              <w:rPr>
                <w:sz w:val="18"/>
                <w:szCs w:val="18"/>
                <w:color w:val="auto"/>
              </w:rPr>
            </w:pPr>
          </w:p>
        </w:tc>
        <w:tc>
          <w:tcPr>
            <w:tcW w:w="11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793</w:t>
            </w:r>
          </w:p>
        </w:tc>
        <w:tc>
          <w:tcPr>
            <w:tcW w:w="100" w:type="dxa"/>
            <w:vAlign w:val="bottom"/>
          </w:tcPr>
          <w:p>
            <w:pPr>
              <w:spacing w:after="0"/>
              <w:rPr>
                <w:sz w:val="18"/>
                <w:szCs w:val="18"/>
                <w:color w:val="auto"/>
              </w:rPr>
            </w:pPr>
          </w:p>
        </w:tc>
      </w:tr>
      <w:tr>
        <w:trPr>
          <w:trHeight w:val="201"/>
        </w:trPr>
        <w:tc>
          <w:tcPr>
            <w:tcW w:w="3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Shares issued under ESPP</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147</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3,785</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3,932</w:t>
            </w:r>
          </w:p>
        </w:tc>
        <w:tc>
          <w:tcPr>
            <w:tcW w:w="100" w:type="dxa"/>
            <w:vAlign w:val="bottom"/>
            <w:shd w:val="clear" w:color="auto" w:fill="CCEEFF"/>
          </w:tcPr>
          <w:p>
            <w:pPr>
              <w:spacing w:after="0"/>
              <w:rPr>
                <w:sz w:val="17"/>
                <w:szCs w:val="17"/>
                <w:color w:val="auto"/>
              </w:rPr>
            </w:pPr>
          </w:p>
        </w:tc>
      </w:tr>
      <w:tr>
        <w:trPr>
          <w:trHeight w:val="185"/>
        </w:trPr>
        <w:tc>
          <w:tcPr>
            <w:tcW w:w="3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Shares issued for restricted stock units</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0"/>
        </w:trPr>
        <w:tc>
          <w:tcPr>
            <w:tcW w:w="30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vested</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w:t>
            </w:r>
          </w:p>
        </w:tc>
        <w:tc>
          <w:tcPr>
            <w:tcW w:w="3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(20,174)</w:t>
            </w:r>
          </w:p>
        </w:tc>
        <w:tc>
          <w:tcPr>
            <w:tcW w:w="260" w:type="dxa"/>
            <w:vAlign w:val="bottom"/>
          </w:tcPr>
          <w:p>
            <w:pPr>
              <w:spacing w:after="0"/>
              <w:rPr>
                <w:sz w:val="18"/>
                <w:szCs w:val="18"/>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20,168</w:t>
            </w:r>
          </w:p>
        </w:tc>
        <w:tc>
          <w:tcPr>
            <w:tcW w:w="340" w:type="dxa"/>
            <w:vAlign w:val="bottom"/>
          </w:tcPr>
          <w:p>
            <w:pPr>
              <w:spacing w:after="0"/>
              <w:rPr>
                <w:sz w:val="18"/>
                <w:szCs w:val="18"/>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1"/>
        </w:trPr>
        <w:tc>
          <w:tcPr>
            <w:tcW w:w="3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Repurchase and retirement of stock</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(1,920)</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(7,668)</w:t>
            </w:r>
          </w:p>
        </w:tc>
        <w:tc>
          <w:tcPr>
            <w:tcW w:w="34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(9,588)</w:t>
            </w:r>
          </w:p>
        </w:tc>
      </w:tr>
      <w:tr>
        <w:trPr>
          <w:trHeight w:val="210"/>
        </w:trPr>
        <w:tc>
          <w:tcPr>
            <w:tcW w:w="3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17,237</w:t>
            </w:r>
          </w:p>
        </w:tc>
        <w:tc>
          <w:tcPr>
            <w:tcW w:w="260" w:type="dxa"/>
            <w:vAlign w:val="bottom"/>
          </w:tcPr>
          <w:p>
            <w:pPr>
              <w:spacing w:after="0"/>
              <w:rPr>
                <w:sz w:val="18"/>
                <w:szCs w:val="18"/>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17,237</w:t>
            </w:r>
          </w:p>
        </w:tc>
        <w:tc>
          <w:tcPr>
            <w:tcW w:w="100" w:type="dxa"/>
            <w:vAlign w:val="bottom"/>
          </w:tcPr>
          <w:p>
            <w:pPr>
              <w:spacing w:after="0"/>
              <w:rPr>
                <w:sz w:val="18"/>
                <w:szCs w:val="18"/>
                <w:color w:val="auto"/>
              </w:rPr>
            </w:pPr>
          </w:p>
        </w:tc>
      </w:tr>
      <w:tr>
        <w:trPr>
          <w:trHeight w:val="194"/>
        </w:trPr>
        <w:tc>
          <w:tcPr>
            <w:tcW w:w="3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30, 2023</w:t>
            </w:r>
          </w:p>
        </w:tc>
        <w:tc>
          <w:tcPr>
            <w:tcW w:w="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49,429</w:t>
            </w:r>
          </w:p>
        </w:tc>
        <w:tc>
          <w:tcPr>
            <w:tcW w:w="32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686,146</w:t>
            </w:r>
          </w:p>
        </w:tc>
        <w:tc>
          <w:tcPr>
            <w:tcW w:w="2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318,558</w:t>
            </w:r>
          </w:p>
        </w:tc>
        <w:tc>
          <w:tcPr>
            <w:tcW w:w="18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(34,779)</w:t>
            </w:r>
          </w:p>
        </w:tc>
        <w:tc>
          <w:tcPr>
            <w:tcW w:w="28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(69,184)</w:t>
            </w:r>
          </w:p>
        </w:tc>
        <w:tc>
          <w:tcPr>
            <w:tcW w:w="3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950,170</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199"/>
        </w:trPr>
        <w:tc>
          <w:tcPr>
            <w:tcW w:w="3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Common stock repurchases</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0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(27,123)</w:t>
            </w:r>
          </w:p>
        </w:tc>
        <w:tc>
          <w:tcPr>
            <w:tcW w:w="340" w:type="dxa"/>
            <w:vAlign w:val="bottom"/>
          </w:tcPr>
          <w:p>
            <w:pPr>
              <w:spacing w:after="0"/>
              <w:rPr>
                <w:sz w:val="17"/>
                <w:szCs w:val="17"/>
                <w:color w:val="auto"/>
              </w:rPr>
            </w:pP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(27,123)</w:t>
            </w:r>
          </w:p>
        </w:tc>
      </w:tr>
      <w:tr>
        <w:trPr>
          <w:trHeight w:val="199"/>
        </w:trPr>
        <w:tc>
          <w:tcPr>
            <w:tcW w:w="3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Net loss</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(69,818)</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(69,818)</w:t>
            </w:r>
          </w:p>
        </w:tc>
      </w:tr>
      <w:tr>
        <w:trPr>
          <w:trHeight w:val="185"/>
        </w:trPr>
        <w:tc>
          <w:tcPr>
            <w:tcW w:w="3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Changes in cumulative translation</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0"/>
        </w:trPr>
        <w:tc>
          <w:tcPr>
            <w:tcW w:w="30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adjustment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(16,839)</w:t>
            </w:r>
          </w:p>
        </w:tc>
        <w:tc>
          <w:tcPr>
            <w:tcW w:w="280" w:type="dxa"/>
            <w:vAlign w:val="bottom"/>
          </w:tcPr>
          <w:p>
            <w:pPr>
              <w:spacing w:after="0"/>
              <w:rPr>
                <w:sz w:val="18"/>
                <w:szCs w:val="18"/>
                <w:color w:val="auto"/>
              </w:rPr>
            </w:pPr>
          </w:p>
        </w:tc>
        <w:tc>
          <w:tcPr>
            <w:tcW w:w="11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(16,839)</w:t>
            </w:r>
          </w:p>
        </w:tc>
      </w:tr>
      <w:tr>
        <w:trPr>
          <w:trHeight w:val="187"/>
        </w:trPr>
        <w:tc>
          <w:tcPr>
            <w:tcW w:w="3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Adjustments related to postretirement</w:t>
            </w: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3"/>
        </w:trPr>
        <w:tc>
          <w:tcPr>
            <w:tcW w:w="3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benefits, net of tax</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518</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518</w:t>
            </w:r>
          </w:p>
        </w:tc>
        <w:tc>
          <w:tcPr>
            <w:tcW w:w="100" w:type="dxa"/>
            <w:vAlign w:val="bottom"/>
            <w:shd w:val="clear" w:color="auto" w:fill="CCEEFF"/>
          </w:tcPr>
          <w:p>
            <w:pPr>
              <w:spacing w:after="0"/>
              <w:rPr>
                <w:sz w:val="18"/>
                <w:szCs w:val="18"/>
                <w:color w:val="auto"/>
              </w:rPr>
            </w:pPr>
          </w:p>
        </w:tc>
      </w:tr>
      <w:tr>
        <w:trPr>
          <w:trHeight w:val="185"/>
        </w:trPr>
        <w:tc>
          <w:tcPr>
            <w:tcW w:w="3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Changes in unrealized gains and losses on</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0"/>
        </w:trPr>
        <w:tc>
          <w:tcPr>
            <w:tcW w:w="30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investments, net of tax</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(55)</w:t>
            </w:r>
          </w:p>
        </w:tc>
        <w:tc>
          <w:tcPr>
            <w:tcW w:w="280" w:type="dxa"/>
            <w:vAlign w:val="bottom"/>
          </w:tcPr>
          <w:p>
            <w:pPr>
              <w:spacing w:after="0"/>
              <w:rPr>
                <w:sz w:val="18"/>
                <w:szCs w:val="18"/>
                <w:color w:val="auto"/>
              </w:rPr>
            </w:pPr>
          </w:p>
        </w:tc>
        <w:tc>
          <w:tcPr>
            <w:tcW w:w="11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(55)</w:t>
            </w:r>
          </w:p>
        </w:tc>
      </w:tr>
      <w:tr>
        <w:trPr>
          <w:trHeight w:val="201"/>
        </w:trPr>
        <w:tc>
          <w:tcPr>
            <w:tcW w:w="3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Shares issued under ESPP</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172</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3,814</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3,986</w:t>
            </w:r>
          </w:p>
        </w:tc>
        <w:tc>
          <w:tcPr>
            <w:tcW w:w="100" w:type="dxa"/>
            <w:vAlign w:val="bottom"/>
            <w:shd w:val="clear" w:color="auto" w:fill="CCEEFF"/>
          </w:tcPr>
          <w:p>
            <w:pPr>
              <w:spacing w:after="0"/>
              <w:rPr>
                <w:sz w:val="17"/>
                <w:szCs w:val="17"/>
                <w:color w:val="auto"/>
              </w:rPr>
            </w:pPr>
          </w:p>
        </w:tc>
      </w:tr>
      <w:tr>
        <w:trPr>
          <w:trHeight w:val="185"/>
        </w:trPr>
        <w:tc>
          <w:tcPr>
            <w:tcW w:w="3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Shares issued for restricted stock units</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0"/>
        </w:trPr>
        <w:tc>
          <w:tcPr>
            <w:tcW w:w="30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vested</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(13,154)</w:t>
            </w:r>
          </w:p>
        </w:tc>
        <w:tc>
          <w:tcPr>
            <w:tcW w:w="260" w:type="dxa"/>
            <w:vAlign w:val="bottom"/>
          </w:tcPr>
          <w:p>
            <w:pPr>
              <w:spacing w:after="0"/>
              <w:rPr>
                <w:sz w:val="18"/>
                <w:szCs w:val="18"/>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13,154</w:t>
            </w:r>
          </w:p>
        </w:tc>
        <w:tc>
          <w:tcPr>
            <w:tcW w:w="340" w:type="dxa"/>
            <w:vAlign w:val="bottom"/>
          </w:tcPr>
          <w:p>
            <w:pPr>
              <w:spacing w:after="0"/>
              <w:rPr>
                <w:sz w:val="18"/>
                <w:szCs w:val="18"/>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1"/>
        </w:trPr>
        <w:tc>
          <w:tcPr>
            <w:tcW w:w="3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Repurchase and retirement of stock</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(57)</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(4,631)</w:t>
            </w:r>
          </w:p>
        </w:tc>
        <w:tc>
          <w:tcPr>
            <w:tcW w:w="34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(4,688)</w:t>
            </w:r>
          </w:p>
        </w:tc>
      </w:tr>
      <w:tr>
        <w:trPr>
          <w:trHeight w:val="210"/>
        </w:trPr>
        <w:tc>
          <w:tcPr>
            <w:tcW w:w="3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20,740</w:t>
            </w:r>
          </w:p>
        </w:tc>
        <w:tc>
          <w:tcPr>
            <w:tcW w:w="260" w:type="dxa"/>
            <w:vAlign w:val="bottom"/>
          </w:tcPr>
          <w:p>
            <w:pPr>
              <w:spacing w:after="0"/>
              <w:rPr>
                <w:sz w:val="18"/>
                <w:szCs w:val="18"/>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20,740</w:t>
            </w:r>
          </w:p>
        </w:tc>
        <w:tc>
          <w:tcPr>
            <w:tcW w:w="100" w:type="dxa"/>
            <w:vAlign w:val="bottom"/>
          </w:tcPr>
          <w:p>
            <w:pPr>
              <w:spacing w:after="0"/>
              <w:rPr>
                <w:sz w:val="18"/>
                <w:szCs w:val="18"/>
                <w:color w:val="auto"/>
              </w:rPr>
            </w:pPr>
          </w:p>
        </w:tc>
      </w:tr>
      <w:tr>
        <w:trPr>
          <w:trHeight w:val="194"/>
        </w:trPr>
        <w:tc>
          <w:tcPr>
            <w:tcW w:w="3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28, 2024</w:t>
            </w:r>
          </w:p>
        </w:tc>
        <w:tc>
          <w:tcPr>
            <w:tcW w:w="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49,601</w:t>
            </w:r>
          </w:p>
        </w:tc>
        <w:tc>
          <w:tcPr>
            <w:tcW w:w="32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697,489</w:t>
            </w:r>
          </w:p>
        </w:tc>
        <w:tc>
          <w:tcPr>
            <w:tcW w:w="2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248,740</w:t>
            </w:r>
          </w:p>
        </w:tc>
        <w:tc>
          <w:tcPr>
            <w:tcW w:w="18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(51,155)</w:t>
            </w:r>
          </w:p>
        </w:tc>
        <w:tc>
          <w:tcPr>
            <w:tcW w:w="28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(87,784)</w:t>
            </w:r>
          </w:p>
        </w:tc>
        <w:tc>
          <w:tcPr>
            <w:tcW w:w="3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856,891</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199"/>
        </w:trPr>
        <w:tc>
          <w:tcPr>
            <w:tcW w:w="3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Common stock repurchases</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0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(8,586)</w:t>
            </w:r>
          </w:p>
        </w:tc>
        <w:tc>
          <w:tcPr>
            <w:tcW w:w="340" w:type="dxa"/>
            <w:vAlign w:val="bottom"/>
          </w:tcPr>
          <w:p>
            <w:pPr>
              <w:spacing w:after="0"/>
              <w:rPr>
                <w:sz w:val="17"/>
                <w:szCs w:val="17"/>
                <w:color w:val="auto"/>
              </w:rPr>
            </w:pP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(8,586)</w:t>
            </w:r>
          </w:p>
        </w:tc>
      </w:tr>
      <w:tr>
        <w:trPr>
          <w:trHeight w:val="199"/>
        </w:trPr>
        <w:tc>
          <w:tcPr>
            <w:tcW w:w="3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Net loss</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(74,273)</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(74,273)</w:t>
            </w:r>
          </w:p>
        </w:tc>
      </w:tr>
      <w:tr>
        <w:trPr>
          <w:trHeight w:val="185"/>
        </w:trPr>
        <w:tc>
          <w:tcPr>
            <w:tcW w:w="3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Changes in cumulative translation</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0"/>
        </w:trPr>
        <w:tc>
          <w:tcPr>
            <w:tcW w:w="30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adjustment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19,436</w:t>
            </w:r>
          </w:p>
        </w:tc>
        <w:tc>
          <w:tcPr>
            <w:tcW w:w="280" w:type="dxa"/>
            <w:vAlign w:val="bottom"/>
          </w:tcPr>
          <w:p>
            <w:pPr>
              <w:spacing w:after="0"/>
              <w:rPr>
                <w:sz w:val="18"/>
                <w:szCs w:val="18"/>
                <w:color w:val="auto"/>
              </w:rPr>
            </w:pPr>
          </w:p>
        </w:tc>
        <w:tc>
          <w:tcPr>
            <w:tcW w:w="11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19,436</w:t>
            </w:r>
          </w:p>
        </w:tc>
        <w:tc>
          <w:tcPr>
            <w:tcW w:w="100" w:type="dxa"/>
            <w:vAlign w:val="bottom"/>
          </w:tcPr>
          <w:p>
            <w:pPr>
              <w:spacing w:after="0"/>
              <w:rPr>
                <w:sz w:val="18"/>
                <w:szCs w:val="18"/>
                <w:color w:val="auto"/>
              </w:rPr>
            </w:pPr>
          </w:p>
        </w:tc>
      </w:tr>
      <w:tr>
        <w:trPr>
          <w:trHeight w:val="187"/>
        </w:trPr>
        <w:tc>
          <w:tcPr>
            <w:tcW w:w="3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Adjustments related to postretirement</w:t>
            </w: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3"/>
        </w:trPr>
        <w:tc>
          <w:tcPr>
            <w:tcW w:w="3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benefits, net of tax</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(887)</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(887)</w:t>
            </w:r>
          </w:p>
        </w:tc>
      </w:tr>
      <w:tr>
        <w:trPr>
          <w:trHeight w:val="185"/>
        </w:trPr>
        <w:tc>
          <w:tcPr>
            <w:tcW w:w="3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Changes in unrealized gains and losses on</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0"/>
        </w:trPr>
        <w:tc>
          <w:tcPr>
            <w:tcW w:w="30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investments, net of tax</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136</w:t>
            </w:r>
          </w:p>
        </w:tc>
        <w:tc>
          <w:tcPr>
            <w:tcW w:w="280" w:type="dxa"/>
            <w:vAlign w:val="bottom"/>
          </w:tcPr>
          <w:p>
            <w:pPr>
              <w:spacing w:after="0"/>
              <w:rPr>
                <w:sz w:val="18"/>
                <w:szCs w:val="18"/>
                <w:color w:val="auto"/>
              </w:rPr>
            </w:pPr>
          </w:p>
        </w:tc>
        <w:tc>
          <w:tcPr>
            <w:tcW w:w="11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Pr>
          <w:p>
            <w:pPr>
              <w:spacing w:after="0"/>
              <w:rPr>
                <w:sz w:val="18"/>
                <w:szCs w:val="18"/>
                <w:color w:val="auto"/>
              </w:rPr>
            </w:pPr>
          </w:p>
        </w:tc>
      </w:tr>
      <w:tr>
        <w:trPr>
          <w:trHeight w:val="201"/>
        </w:trPr>
        <w:tc>
          <w:tcPr>
            <w:tcW w:w="3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Shares issued under ESPP</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274</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3,469</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3,743</w:t>
            </w:r>
          </w:p>
        </w:tc>
        <w:tc>
          <w:tcPr>
            <w:tcW w:w="100" w:type="dxa"/>
            <w:vAlign w:val="bottom"/>
            <w:shd w:val="clear" w:color="auto" w:fill="CCEEFF"/>
          </w:tcPr>
          <w:p>
            <w:pPr>
              <w:spacing w:after="0"/>
              <w:rPr>
                <w:sz w:val="17"/>
                <w:szCs w:val="17"/>
                <w:color w:val="auto"/>
              </w:rPr>
            </w:pPr>
          </w:p>
        </w:tc>
      </w:tr>
      <w:tr>
        <w:trPr>
          <w:trHeight w:val="185"/>
        </w:trPr>
        <w:tc>
          <w:tcPr>
            <w:tcW w:w="3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Shares issued for restricted stock units</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0"/>
        </w:trPr>
        <w:tc>
          <w:tcPr>
            <w:tcW w:w="3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vested</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(12,948)</w:t>
            </w:r>
          </w:p>
        </w:tc>
        <w:tc>
          <w:tcPr>
            <w:tcW w:w="260" w:type="dxa"/>
            <w:vAlign w:val="bottom"/>
          </w:tcPr>
          <w:p>
            <w:pPr>
              <w:spacing w:after="0"/>
              <w:rPr>
                <w:sz w:val="18"/>
                <w:szCs w:val="18"/>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12,948</w:t>
            </w:r>
          </w:p>
        </w:tc>
        <w:tc>
          <w:tcPr>
            <w:tcW w:w="340" w:type="dxa"/>
            <w:vAlign w:val="bottom"/>
          </w:tcPr>
          <w:p>
            <w:pPr>
              <w:spacing w:after="0"/>
              <w:rPr>
                <w:sz w:val="18"/>
                <w:szCs w:val="18"/>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1"/>
        </w:trPr>
        <w:tc>
          <w:tcPr>
            <w:tcW w:w="3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Repurchase and retirement of stock</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1,852</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(4,420)</w:t>
            </w:r>
          </w:p>
        </w:tc>
        <w:tc>
          <w:tcPr>
            <w:tcW w:w="34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(2,568)</w:t>
            </w:r>
          </w:p>
        </w:tc>
      </w:tr>
      <w:tr>
        <w:trPr>
          <w:trHeight w:val="199"/>
        </w:trPr>
        <w:tc>
          <w:tcPr>
            <w:tcW w:w="3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0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23,042</w:t>
            </w:r>
          </w:p>
        </w:tc>
        <w:tc>
          <w:tcPr>
            <w:tcW w:w="260" w:type="dxa"/>
            <w:vAlign w:val="bottom"/>
          </w:tcPr>
          <w:p>
            <w:pPr>
              <w:spacing w:after="0"/>
              <w:rPr>
                <w:sz w:val="17"/>
                <w:szCs w:val="17"/>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1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23,042</w:t>
            </w:r>
          </w:p>
        </w:tc>
        <w:tc>
          <w:tcPr>
            <w:tcW w:w="100" w:type="dxa"/>
            <w:vAlign w:val="bottom"/>
          </w:tcPr>
          <w:p>
            <w:pPr>
              <w:spacing w:after="0"/>
              <w:rPr>
                <w:sz w:val="17"/>
                <w:szCs w:val="17"/>
                <w:color w:val="auto"/>
              </w:rPr>
            </w:pPr>
          </w:p>
        </w:tc>
      </w:tr>
      <w:tr>
        <w:trPr>
          <w:trHeight w:val="212"/>
        </w:trPr>
        <w:tc>
          <w:tcPr>
            <w:tcW w:w="3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Purchase of capped calls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(31,395)</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(31,395)</w:t>
            </w:r>
          </w:p>
        </w:tc>
      </w:tr>
      <w:tr>
        <w:trPr>
          <w:trHeight w:val="205"/>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Balance at December 27, 2025</w:t>
            </w:r>
          </w:p>
        </w:tc>
        <w:tc>
          <w:tcPr>
            <w:tcW w:w="20" w:type="dxa"/>
            <w:vAlign w:val="bottom"/>
            <w:tcBorders>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49,875</w:t>
            </w:r>
          </w:p>
        </w:tc>
        <w:tc>
          <w:tcPr>
            <w:tcW w:w="32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681,509</w:t>
            </w:r>
          </w:p>
        </w:tc>
        <w:tc>
          <w:tcPr>
            <w:tcW w:w="26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174,467</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(32,470)</w:t>
            </w:r>
          </w:p>
        </w:tc>
        <w:tc>
          <w:tcPr>
            <w:tcW w:w="28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(87,842)</w:t>
            </w:r>
          </w:p>
        </w:tc>
        <w:tc>
          <w:tcPr>
            <w:tcW w:w="34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785,539</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3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statements.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wp:posOffset>
            </wp:positionV>
            <wp:extent cx="71348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Years ended</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December 27,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December 28,</w:t>
            </w:r>
          </w:p>
        </w:tc>
        <w:tc>
          <w:tcPr>
            <w:tcW w:w="140" w:type="dxa"/>
            <w:vAlign w:val="bottom"/>
          </w:tcPr>
          <w:p>
            <w:pPr>
              <w:spacing w:after="0"/>
              <w:rPr>
                <w:sz w:val="19"/>
                <w:szCs w:val="19"/>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December 30,</w:t>
            </w:r>
          </w:p>
        </w:tc>
        <w:tc>
          <w:tcPr>
            <w:tcW w:w="0" w:type="dxa"/>
            <w:vAlign w:val="bottom"/>
          </w:tcPr>
          <w:p>
            <w:pPr>
              <w:spacing w:after="0"/>
              <w:rPr>
                <w:sz w:val="1"/>
                <w:szCs w:val="1"/>
                <w:color w:val="auto"/>
              </w:rPr>
            </w:pPr>
          </w:p>
        </w:tc>
      </w:tr>
      <w:tr>
        <w:trPr>
          <w:trHeight w:val="230"/>
        </w:trPr>
        <w:tc>
          <w:tcPr>
            <w:tcW w:w="63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632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(74,273)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(69,818)</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28,156</w:t>
            </w:r>
          </w:p>
        </w:tc>
        <w:tc>
          <w:tcPr>
            <w:tcW w:w="0" w:type="dxa"/>
            <w:vAlign w:val="bottom"/>
          </w:tcPr>
          <w:p>
            <w:pPr>
              <w:spacing w:after="0"/>
              <w:rPr>
                <w:sz w:val="1"/>
                <w:szCs w:val="1"/>
                <w:color w:val="auto"/>
              </w:rPr>
            </w:pPr>
          </w:p>
        </w:tc>
      </w:tr>
      <w:tr>
        <w:trPr>
          <w:trHeight w:val="194"/>
        </w:trPr>
        <w:tc>
          <w:tcPr>
            <w:tcW w:w="6320" w:type="dxa"/>
            <w:vAlign w:val="bottom"/>
            <w:shd w:val="clear" w:color="auto" w:fill="CCEEFF"/>
          </w:tcPr>
          <w:p>
            <w:pPr>
              <w:ind w:left="160"/>
              <w:spacing w:after="0" w:line="194" w:lineRule="exact"/>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w:t>
            </w: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activities:</w:t>
            </w: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6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accretion on investments</w:t>
            </w: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(1,254)</w:t>
            </w:r>
          </w:p>
        </w:tc>
        <w:tc>
          <w:tcPr>
            <w:tcW w:w="14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(1,364)</w:t>
            </w: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241</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12"/>
        </w:trPr>
        <w:tc>
          <w:tcPr>
            <w:tcW w:w="6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Pension curtailment gain</w:t>
            </w: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50,685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52,487</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49,744</w:t>
            </w:r>
          </w:p>
        </w:tc>
        <w:tc>
          <w:tcPr>
            <w:tcW w:w="0" w:type="dxa"/>
            <w:vAlign w:val="bottom"/>
          </w:tcPr>
          <w:p>
            <w:pPr>
              <w:spacing w:after="0"/>
              <w:rPr>
                <w:sz w:val="1"/>
                <w:szCs w:val="1"/>
                <w:color w:val="auto"/>
              </w:rPr>
            </w:pPr>
          </w:p>
        </w:tc>
      </w:tr>
      <w:tr>
        <w:trPr>
          <w:trHeight w:val="212"/>
        </w:trPr>
        <w:tc>
          <w:tcPr>
            <w:tcW w:w="6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23,042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20,740</w:t>
            </w:r>
          </w:p>
        </w:tc>
        <w:tc>
          <w:tcPr>
            <w:tcW w:w="14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17,237</w:t>
            </w: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Inventory related charges</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8,211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4,977</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5,619</w:t>
            </w:r>
          </w:p>
        </w:tc>
        <w:tc>
          <w:tcPr>
            <w:tcW w:w="0" w:type="dxa"/>
            <w:vAlign w:val="bottom"/>
          </w:tcPr>
          <w:p>
            <w:pPr>
              <w:spacing w:after="0"/>
              <w:rPr>
                <w:sz w:val="1"/>
                <w:szCs w:val="1"/>
                <w:color w:val="auto"/>
              </w:rPr>
            </w:pPr>
          </w:p>
        </w:tc>
      </w:tr>
      <w:tr>
        <w:trPr>
          <w:trHeight w:val="212"/>
        </w:trPr>
        <w:tc>
          <w:tcPr>
            <w:tcW w:w="6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Amortization of debt discounts and issuance costs</w:t>
            </w:r>
          </w:p>
        </w:tc>
        <w:tc>
          <w:tcPr>
            <w:tcW w:w="1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Accrued retiree benefits</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(1,589)</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212"/>
        </w:trPr>
        <w:tc>
          <w:tcPr>
            <w:tcW w:w="6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(3,722)</w:t>
            </w:r>
          </w:p>
        </w:tc>
        <w:tc>
          <w:tcPr>
            <w:tcW w:w="14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(4,774)</w:t>
            </w: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Impairment charge related to equity investment</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903</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6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Change in fair value of contingent consideration liability</w:t>
            </w: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Changes in other assets</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(3,831)</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(13,286)</w:t>
            </w:r>
          </w:p>
        </w:tc>
        <w:tc>
          <w:tcPr>
            <w:tcW w:w="0" w:type="dxa"/>
            <w:vAlign w:val="bottom"/>
          </w:tcPr>
          <w:p>
            <w:pPr>
              <w:spacing w:after="0"/>
              <w:rPr>
                <w:sz w:val="1"/>
                <w:szCs w:val="1"/>
                <w:color w:val="auto"/>
              </w:rPr>
            </w:pPr>
          </w:p>
        </w:tc>
      </w:tr>
      <w:tr>
        <w:trPr>
          <w:trHeight w:val="212"/>
        </w:trPr>
        <w:tc>
          <w:tcPr>
            <w:tcW w:w="6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Amortization of cloud-based software implementation costs</w:t>
            </w:r>
          </w:p>
        </w:tc>
        <w:tc>
          <w:tcPr>
            <w:tcW w:w="1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2,836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2,836</w:t>
            </w:r>
          </w:p>
        </w:tc>
        <w:tc>
          <w:tcPr>
            <w:tcW w:w="14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2,800</w:t>
            </w: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(Gain) loss from sale of property, plant and equipment</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2"/>
        </w:trPr>
        <w:tc>
          <w:tcPr>
            <w:tcW w:w="6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Changes in other accrued liabilities</w:t>
            </w: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(1,309)</w:t>
            </w:r>
          </w:p>
        </w:tc>
        <w:tc>
          <w:tcPr>
            <w:tcW w:w="14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(702)</w:t>
            </w: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7,148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5,812</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7,656</w:t>
            </w:r>
          </w:p>
        </w:tc>
        <w:tc>
          <w:tcPr>
            <w:tcW w:w="0" w:type="dxa"/>
            <w:vAlign w:val="bottom"/>
          </w:tcPr>
          <w:p>
            <w:pPr>
              <w:spacing w:after="0"/>
              <w:rPr>
                <w:sz w:val="1"/>
                <w:szCs w:val="1"/>
                <w:color w:val="auto"/>
              </w:rPr>
            </w:pPr>
          </w:p>
        </w:tc>
      </w:tr>
      <w:tr>
        <w:trPr>
          <w:trHeight w:val="212"/>
        </w:trPr>
        <w:tc>
          <w:tcPr>
            <w:tcW w:w="6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Changes in current assets and liabilities: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Customer advances</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(1,835)</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(2,309)</w:t>
            </w:r>
          </w:p>
        </w:tc>
        <w:tc>
          <w:tcPr>
            <w:tcW w:w="0" w:type="dxa"/>
            <w:vAlign w:val="bottom"/>
          </w:tcPr>
          <w:p>
            <w:pPr>
              <w:spacing w:after="0"/>
              <w:rPr>
                <w:sz w:val="1"/>
                <w:szCs w:val="1"/>
                <w:color w:val="auto"/>
              </w:rPr>
            </w:pPr>
          </w:p>
        </w:tc>
      </w:tr>
      <w:tr>
        <w:trPr>
          <w:trHeight w:val="212"/>
        </w:trPr>
        <w:tc>
          <w:tcPr>
            <w:tcW w:w="6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(14,466)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34,850</w:t>
            </w:r>
          </w:p>
        </w:tc>
        <w:tc>
          <w:tcPr>
            <w:tcW w:w="14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61,899</w:t>
            </w: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4,280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6,374</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12,839</w:t>
            </w:r>
          </w:p>
        </w:tc>
        <w:tc>
          <w:tcPr>
            <w:tcW w:w="0" w:type="dxa"/>
            <w:vAlign w:val="bottom"/>
          </w:tcPr>
          <w:p>
            <w:pPr>
              <w:spacing w:after="0"/>
              <w:rPr>
                <w:sz w:val="1"/>
                <w:szCs w:val="1"/>
                <w:color w:val="auto"/>
              </w:rPr>
            </w:pPr>
          </w:p>
        </w:tc>
      </w:tr>
      <w:tr>
        <w:trPr>
          <w:trHeight w:val="212"/>
        </w:trPr>
        <w:tc>
          <w:tcPr>
            <w:tcW w:w="6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Accrued compensation, warranty and other liabilities</w:t>
            </w:r>
          </w:p>
        </w:tc>
        <w:tc>
          <w:tcPr>
            <w:tcW w:w="1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(15,449)</w:t>
            </w:r>
          </w:p>
        </w:tc>
        <w:tc>
          <w:tcPr>
            <w:tcW w:w="14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(14,897)</w:t>
            </w: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10,296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(3,560)</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(21,356)</w:t>
            </w:r>
          </w:p>
        </w:tc>
        <w:tc>
          <w:tcPr>
            <w:tcW w:w="0" w:type="dxa"/>
            <w:vAlign w:val="bottom"/>
          </w:tcPr>
          <w:p>
            <w:pPr>
              <w:spacing w:after="0"/>
              <w:rPr>
                <w:sz w:val="1"/>
                <w:szCs w:val="1"/>
                <w:color w:val="auto"/>
              </w:rPr>
            </w:pPr>
          </w:p>
        </w:tc>
      </w:tr>
      <w:tr>
        <w:trPr>
          <w:trHeight w:val="212"/>
        </w:trPr>
        <w:tc>
          <w:tcPr>
            <w:tcW w:w="6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Deferred profit</w:t>
            </w:r>
          </w:p>
        </w:tc>
        <w:tc>
          <w:tcPr>
            <w:tcW w:w="1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3,707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(4,447)</w:t>
            </w: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15,353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(16,148)</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10,920</w:t>
            </w:r>
          </w:p>
        </w:tc>
        <w:tc>
          <w:tcPr>
            <w:tcW w:w="0" w:type="dxa"/>
            <w:vAlign w:val="bottom"/>
          </w:tcPr>
          <w:p>
            <w:pPr>
              <w:spacing w:after="0"/>
              <w:rPr>
                <w:sz w:val="1"/>
                <w:szCs w:val="1"/>
                <w:color w:val="auto"/>
              </w:rPr>
            </w:pPr>
          </w:p>
        </w:tc>
      </w:tr>
      <w:tr>
        <w:trPr>
          <w:trHeight w:val="212"/>
        </w:trPr>
        <w:tc>
          <w:tcPr>
            <w:tcW w:w="6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Income taxes payable</w:t>
            </w:r>
          </w:p>
        </w:tc>
        <w:tc>
          <w:tcPr>
            <w:tcW w:w="1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1,450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(2,234)</w:t>
            </w:r>
          </w:p>
        </w:tc>
        <w:tc>
          <w:tcPr>
            <w:tcW w:w="14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(24,782)</w:t>
            </w:r>
          </w:p>
        </w:tc>
        <w:tc>
          <w:tcPr>
            <w:tcW w:w="0" w:type="dxa"/>
            <w:vAlign w:val="bottom"/>
          </w:tcPr>
          <w:p>
            <w:pPr>
              <w:spacing w:after="0"/>
              <w:rPr>
                <w:sz w:val="1"/>
                <w:szCs w:val="1"/>
                <w:color w:val="auto"/>
              </w:rPr>
            </w:pPr>
          </w:p>
        </w:tc>
      </w:tr>
      <w:tr>
        <w:trPr>
          <w:trHeight w:val="225"/>
        </w:trPr>
        <w:tc>
          <w:tcPr>
            <w:tcW w:w="6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Current and long-term operating lease liabilities</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(6,862)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(5,903)</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(7,454)</w:t>
            </w:r>
          </w:p>
        </w:tc>
        <w:tc>
          <w:tcPr>
            <w:tcW w:w="0" w:type="dxa"/>
            <w:vAlign w:val="bottom"/>
          </w:tcPr>
          <w:p>
            <w:pPr>
              <w:spacing w:after="0"/>
              <w:rPr>
                <w:sz w:val="1"/>
                <w:szCs w:val="1"/>
                <w:color w:val="auto"/>
              </w:rPr>
            </w:pPr>
          </w:p>
        </w:tc>
      </w:tr>
      <w:tr>
        <w:trPr>
          <w:trHeight w:val="205"/>
        </w:trPr>
        <w:tc>
          <w:tcPr>
            <w:tcW w:w="6320" w:type="dxa"/>
            <w:vAlign w:val="bottom"/>
          </w:tcPr>
          <w:p>
            <w:pPr>
              <w:ind w:left="480"/>
              <w:spacing w:after="0" w:line="205" w:lineRule="exact"/>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31,692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2,778</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101,470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(20,958)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(10,634)</w:t>
            </w:r>
          </w:p>
        </w:tc>
        <w:tc>
          <w:tcPr>
            <w:tcW w:w="14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(16,053)</w:t>
            </w: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cash received from sale of assets</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12"/>
        </w:trPr>
        <w:tc>
          <w:tcPr>
            <w:tcW w:w="6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(263,417)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(78,573)</w:t>
            </w:r>
          </w:p>
        </w:tc>
        <w:tc>
          <w:tcPr>
            <w:tcW w:w="14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(97,290)</w:t>
            </w: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Payment for purchase of Tignis, net of cash received</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(34,763)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6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Sales and maturities of short-term investments</w:t>
            </w:r>
          </w:p>
        </w:tc>
        <w:tc>
          <w:tcPr>
            <w:tcW w:w="1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63,762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114,228</w:t>
            </w:r>
          </w:p>
        </w:tc>
        <w:tc>
          <w:tcPr>
            <w:tcW w:w="14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152,649</w:t>
            </w: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Settlement of net investment hedge</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(3,212)</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6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 for purchase of MCT, net of cash received</w:t>
            </w:r>
          </w:p>
        </w:tc>
        <w:tc>
          <w:tcPr>
            <w:tcW w:w="1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(26,331)</w:t>
            </w:r>
          </w:p>
        </w:tc>
        <w:tc>
          <w:tcPr>
            <w:tcW w:w="0" w:type="dxa"/>
            <w:vAlign w:val="bottom"/>
          </w:tcPr>
          <w:p>
            <w:pPr>
              <w:spacing w:after="0"/>
              <w:rPr>
                <w:sz w:val="1"/>
                <w:szCs w:val="1"/>
                <w:color w:val="auto"/>
              </w:rPr>
            </w:pPr>
          </w:p>
        </w:tc>
      </w:tr>
      <w:tr>
        <w:trPr>
          <w:trHeight w:val="225"/>
        </w:trPr>
        <w:tc>
          <w:tcPr>
            <w:tcW w:w="6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Payment for purchase of EQT, net of cash received</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(43,401)</w:t>
            </w:r>
          </w:p>
        </w:tc>
        <w:tc>
          <w:tcPr>
            <w:tcW w:w="0" w:type="dxa"/>
            <w:vAlign w:val="bottom"/>
          </w:tcPr>
          <w:p>
            <w:pPr>
              <w:spacing w:after="0"/>
              <w:rPr>
                <w:sz w:val="1"/>
                <w:szCs w:val="1"/>
                <w:color w:val="auto"/>
              </w:rPr>
            </w:pPr>
          </w:p>
        </w:tc>
      </w:tr>
      <w:tr>
        <w:trPr>
          <w:trHeight w:val="205"/>
        </w:trPr>
        <w:tc>
          <w:tcPr>
            <w:tcW w:w="6320" w:type="dxa"/>
            <w:vAlign w:val="bottom"/>
          </w:tcPr>
          <w:p>
            <w:pPr>
              <w:ind w:left="480"/>
              <w:spacing w:after="0" w:line="205" w:lineRule="exact"/>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(257,017)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21,916</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(30,210)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revolving line of credit, revolving credit facility and convertible notes</w:t>
            </w:r>
          </w:p>
        </w:tc>
        <w:tc>
          <w:tcPr>
            <w:tcW w:w="1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296,295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(9,435)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6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 of capped calls related to convertible notes</w:t>
            </w: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(31,395)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(31,324)</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(38,788)</w:t>
            </w:r>
          </w:p>
        </w:tc>
        <w:tc>
          <w:tcPr>
            <w:tcW w:w="0" w:type="dxa"/>
            <w:vAlign w:val="bottom"/>
          </w:tcPr>
          <w:p>
            <w:pPr>
              <w:spacing w:after="0"/>
              <w:rPr>
                <w:sz w:val="1"/>
                <w:szCs w:val="1"/>
                <w:color w:val="auto"/>
              </w:rPr>
            </w:pPr>
          </w:p>
        </w:tc>
      </w:tr>
      <w:tr>
        <w:trPr>
          <w:trHeight w:val="212"/>
        </w:trPr>
        <w:tc>
          <w:tcPr>
            <w:tcW w:w="6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Payments on finance lease liabilities</w:t>
            </w: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Acquisition of treasury stock</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(8,586)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(26,986)</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(23,641)</w:t>
            </w:r>
          </w:p>
        </w:tc>
        <w:tc>
          <w:tcPr>
            <w:tcW w:w="0" w:type="dxa"/>
            <w:vAlign w:val="bottom"/>
          </w:tcPr>
          <w:p>
            <w:pPr>
              <w:spacing w:after="0"/>
              <w:rPr>
                <w:sz w:val="1"/>
                <w:szCs w:val="1"/>
                <w:color w:val="auto"/>
              </w:rPr>
            </w:pPr>
          </w:p>
        </w:tc>
      </w:tr>
      <w:tr>
        <w:trPr>
          <w:trHeight w:val="225"/>
        </w:trPr>
        <w:tc>
          <w:tcPr>
            <w:tcW w:w="6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issuance (repurchases) of stock, including awards settled in cash</w:t>
            </w:r>
          </w:p>
        </w:tc>
        <w:tc>
          <w:tcPr>
            <w:tcW w:w="16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(701)</w:t>
            </w:r>
          </w:p>
        </w:tc>
        <w:tc>
          <w:tcPr>
            <w:tcW w:w="14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(5,656)</w:t>
            </w:r>
          </w:p>
        </w:tc>
        <w:tc>
          <w:tcPr>
            <w:tcW w:w="0" w:type="dxa"/>
            <w:vAlign w:val="bottom"/>
          </w:tcPr>
          <w:p>
            <w:pPr>
              <w:spacing w:after="0"/>
              <w:rPr>
                <w:sz w:val="1"/>
                <w:szCs w:val="1"/>
                <w:color w:val="auto"/>
              </w:rPr>
            </w:pPr>
          </w:p>
        </w:tc>
      </w:tr>
      <w:tr>
        <w:trPr>
          <w:trHeight w:val="205"/>
        </w:trPr>
        <w:tc>
          <w:tcPr>
            <w:tcW w:w="6320" w:type="dxa"/>
            <w:vAlign w:val="bottom"/>
            <w:tcBorders>
              <w:top w:val="single" w:sz="8" w:color="CCEEFF"/>
            </w:tcBorders>
            <w:shd w:val="clear" w:color="auto" w:fill="CCEEFF"/>
          </w:tcPr>
          <w:p>
            <w:pPr>
              <w:ind w:left="480"/>
              <w:spacing w:after="0" w:line="205" w:lineRule="exact"/>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246,326</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(59,035)</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(68,137)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6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(4,776)</w:t>
            </w:r>
          </w:p>
        </w:tc>
        <w:tc>
          <w:tcPr>
            <w:tcW w:w="14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5"/>
        </w:trPr>
        <w:tc>
          <w:tcPr>
            <w:tcW w:w="632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20,646</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(39,117)</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3,183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16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206,407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245,524</w:t>
            </w:r>
          </w:p>
        </w:tc>
        <w:tc>
          <w:tcPr>
            <w:tcW w:w="14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242,341</w:t>
            </w:r>
          </w:p>
        </w:tc>
        <w:tc>
          <w:tcPr>
            <w:tcW w:w="0" w:type="dxa"/>
            <w:vAlign w:val="bottom"/>
          </w:tcPr>
          <w:p>
            <w:pPr>
              <w:spacing w:after="0"/>
              <w:rPr>
                <w:sz w:val="1"/>
                <w:szCs w:val="1"/>
                <w:color w:val="auto"/>
              </w:rPr>
            </w:pPr>
          </w:p>
        </w:tc>
      </w:tr>
      <w:tr>
        <w:trPr>
          <w:trHeight w:val="218"/>
        </w:trPr>
        <w:tc>
          <w:tcPr>
            <w:tcW w:w="6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227,053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206,407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3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paid for income taxes, net of refunds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(2,829)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24,926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44,276</w:t>
            </w:r>
          </w:p>
        </w:tc>
        <w:tc>
          <w:tcPr>
            <w:tcW w:w="0" w:type="dxa"/>
            <w:vAlign w:val="bottom"/>
          </w:tcPr>
          <w:p>
            <w:pPr>
              <w:spacing w:after="0"/>
              <w:rPr>
                <w:sz w:val="1"/>
                <w:szCs w:val="1"/>
                <w:color w:val="auto"/>
              </w:rPr>
            </w:pPr>
          </w:p>
        </w:tc>
      </w:tr>
      <w:tr>
        <w:trPr>
          <w:trHeight w:val="212"/>
        </w:trPr>
        <w:tc>
          <w:tcPr>
            <w:tcW w:w="6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paid for interest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3,424</w:t>
            </w: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Property, plant and equipment purchases included in 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31"/>
        </w:trPr>
        <w:tc>
          <w:tcPr>
            <w:tcW w:w="6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Inventory capitalized as capital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1,765</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1,215</w:t>
            </w:r>
          </w:p>
        </w:tc>
        <w:tc>
          <w:tcPr>
            <w:tcW w:w="0" w:type="dxa"/>
            <w:vAlign w:val="bottom"/>
          </w:tcPr>
          <w:p>
            <w:pPr>
              <w:spacing w:after="0"/>
              <w:rPr>
                <w:sz w:val="1"/>
                <w:szCs w:val="1"/>
                <w:color w:val="auto"/>
              </w:rPr>
            </w:pPr>
          </w:p>
        </w:tc>
      </w:tr>
    </w:tbl>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statements.</w:t>
      </w:r>
    </w:p>
    <w:p>
      <w:pPr>
        <w:sectPr>
          <w:pgSz w:w="11900" w:h="16838" w:orient="portrait"/>
          <w:cols w:equalWidth="0" w:num="1">
            <w:col w:w="11240"/>
          </w:cols>
          <w:pgMar w:left="320" w:top="121" w:right="339" w:bottom="641" w:gutter="0" w:footer="0" w:header="0"/>
        </w:sect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641"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36195</wp:posOffset>
            </wp:positionV>
            <wp:extent cx="71348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21" w:lineRule="exact"/>
        <w:rPr>
          <w:sz w:val="20"/>
          <w:szCs w:val="20"/>
          <w:color w:val="auto"/>
        </w:rPr>
      </w:pPr>
    </w:p>
    <w:p>
      <w:pPr>
        <w:ind w:left="320" w:hanging="314"/>
        <w:spacing w:after="0"/>
        <w:tabs>
          <w:tab w:leader="none" w:pos="3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17" w:lineRule="exact"/>
        <w:rPr>
          <w:rFonts w:ascii="Times New Roman" w:cs="Times New Roman" w:eastAsia="Times New Roman" w:hAnsi="Times New Roman"/>
          <w:sz w:val="18"/>
          <w:szCs w:val="18"/>
          <w:b w:val="1"/>
          <w:bCs w:val="1"/>
          <w:color w:val="auto"/>
        </w:rPr>
      </w:pPr>
    </w:p>
    <w:p>
      <w:pPr>
        <w:ind w:left="320" w:right="1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Basis of Presentation </w:t>
      </w:r>
      <w:r>
        <w:rPr>
          <w:rFonts w:ascii="Times New Roman" w:cs="Times New Roman" w:eastAsia="Times New Roman" w:hAnsi="Times New Roman"/>
          <w:sz w:val="18"/>
          <w:szCs w:val="18"/>
          <w:color w:val="auto"/>
        </w:rPr>
        <w:t>– Cohu, Inc. (“Cohu”, “we”, “our”, “us” and the “Company”), through our wholly owned subsidiaries, is a provider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semiconductor test equipment and services. Our consolidated financial statements include the accounts of Cohu and our wholly owned subsidiaries. All significant intercompany transactions and balances have been eliminated in consolidation. We evaluate the need to consolidate affiliates based on standards set forth in ASC Topic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(“ASC 810”).</w:t>
      </w:r>
    </w:p>
    <w:p>
      <w:pPr>
        <w:spacing w:after="0" w:line="178" w:lineRule="exact"/>
        <w:rPr>
          <w:rFonts w:ascii="Times New Roman" w:cs="Times New Roman" w:eastAsia="Times New Roman" w:hAnsi="Times New Roman"/>
          <w:sz w:val="18"/>
          <w:szCs w:val="18"/>
          <w:b w:val="1"/>
          <w:bCs w:val="1"/>
          <w:color w:val="auto"/>
        </w:rPr>
      </w:pPr>
    </w:p>
    <w:p>
      <w:pPr>
        <w:ind w:left="320" w:right="30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(“U.S. GAAP”) requires management to make estimates and assumptions that affect the amounts reported in the financial statements and accompanying notes. Actual results could differ from these estimates.</w:t>
      </w:r>
    </w:p>
    <w:p>
      <w:pPr>
        <w:spacing w:after="0" w:line="177" w:lineRule="exact"/>
        <w:rPr>
          <w:rFonts w:ascii="Times New Roman" w:cs="Times New Roman" w:eastAsia="Times New Roman" w:hAnsi="Times New Roman"/>
          <w:sz w:val="18"/>
          <w:szCs w:val="18"/>
          <w:b w:val="1"/>
          <w:bCs w:val="1"/>
          <w:color w:val="auto"/>
        </w:rPr>
      </w:pPr>
    </w:p>
    <w:p>
      <w:pPr>
        <w:ind w:left="320" w:right="560"/>
        <w:spacing w:after="0" w:line="27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fiscal years are based on a 52- or 53-week period ending on the last Saturday in December. Our fiscal years ended on December 27, 2025 and December 28, 2024, each consisted of 52 weeks. Our fiscal year ended on December 30, 2023 consisted of 53 weeks.</w:t>
      </w:r>
    </w:p>
    <w:p>
      <w:pPr>
        <w:spacing w:after="0" w:line="161" w:lineRule="exact"/>
        <w:rPr>
          <w:rFonts w:ascii="Times New Roman" w:cs="Times New Roman" w:eastAsia="Times New Roman" w:hAnsi="Times New Roman"/>
          <w:sz w:val="18"/>
          <w:szCs w:val="18"/>
          <w:b w:val="1"/>
          <w:bCs w:val="1"/>
          <w:color w:val="auto"/>
        </w:rPr>
      </w:pPr>
    </w:p>
    <w:p>
      <w:pPr>
        <w:ind w:left="320"/>
        <w:spacing w:after="0" w:line="26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b w:val="1"/>
          <w:bCs w:val="1"/>
          <w:color w:val="auto"/>
        </w:rPr>
        <w:t xml:space="preserve">Income (Loss) Per Share </w:t>
      </w:r>
      <w:r>
        <w:rPr>
          <w:rFonts w:ascii="Times New Roman" w:cs="Times New Roman" w:eastAsia="Times New Roman" w:hAnsi="Times New Roman"/>
          <w:sz w:val="17"/>
          <w:szCs w:val="17"/>
          <w:color w:val="auto"/>
        </w:rPr>
        <w:t>– Basic income (loss) per common share is computed by dividing net income by the weighted-average number of common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shares outstanding during the reporting period. Diluted income per share includes the dilutive effect of common shares potentially issuable upon the exercise of stock options, vesting of outstanding restricted stock and performance stock units and issuance of stock under our employee stock purchase plan using the treasury stock method. In loss periods, potentially dilutive securities are excluded from the per share computations due to their anti-dilutive effect. For purposes of computing diluted income per share, certain restricted and performance stock units and stock options with exercise prices that exceed the average fair market value of our common stock for the period are excluded. The dilutive effect of the Notes is calculated under the if-converted method. Shares issuable upon conversion of the Notes are excluded from diluted net loss per common share in any quarter when the weighted average fair market value of our common stock is below the conversion price. For the year to date diluted net loss per common share calculation, the number of incremental common shares is determined by averaging the number of incremental common shares included in each calculation of quarterly diluted net loss per common share. For the years ended December 27, 2025, December 28, 2024 and December 30, 2023, approximately 474,000, 248,000, and 193,000 shares, respectively, of potentially issuable shares of our common stock were excluded from the computation.</w:t>
      </w:r>
    </w:p>
    <w:p>
      <w:pPr>
        <w:spacing w:after="0" w:line="180"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reconciles the denominators used in computing basic and diluted income per share:</w:t>
      </w:r>
    </w:p>
    <w:p>
      <w:pPr>
        <w:spacing w:after="0" w:line="228" w:lineRule="exact"/>
        <w:rPr>
          <w:sz w:val="20"/>
          <w:szCs w:val="20"/>
          <w:color w:val="auto"/>
        </w:rPr>
      </w:pPr>
    </w:p>
    <w:tbl>
      <w:tblPr>
        <w:tblLayout w:type="fixed"/>
        <w:tblInd w:w="320" w:type="dxa"/>
        <w:tblCellMar>
          <w:top w:w="0" w:type="dxa"/>
          <w:left w:w="0" w:type="dxa"/>
          <w:bottom w:w="0" w:type="dxa"/>
          <w:right w:w="0" w:type="dxa"/>
        </w:tblCellMar>
      </w:tblPr>
      <w:tr>
        <w:trPr>
          <w:trHeight w:val="232"/>
        </w:trPr>
        <w:tc>
          <w:tcPr>
            <w:tcW w:w="5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5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20"/>
                <w:szCs w:val="20"/>
                <w:color w:val="auto"/>
              </w:rPr>
            </w:pPr>
          </w:p>
        </w:tc>
      </w:tr>
      <w:tr>
        <w:trPr>
          <w:trHeight w:val="205"/>
        </w:trPr>
        <w:tc>
          <w:tcPr>
            <w:tcW w:w="568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700" w:type="dxa"/>
            <w:vAlign w:val="bottom"/>
            <w:gridSpan w:val="2"/>
            <w:shd w:val="clear" w:color="auto" w:fill="CCEEFF"/>
          </w:tcPr>
          <w:p>
            <w:pPr>
              <w:jc w:val="right"/>
              <w:ind w:right="200"/>
              <w:spacing w:after="0" w:line="205" w:lineRule="exact"/>
              <w:rPr>
                <w:sz w:val="20"/>
                <w:szCs w:val="20"/>
                <w:color w:val="auto"/>
              </w:rPr>
            </w:pPr>
            <w:r>
              <w:rPr>
                <w:rFonts w:ascii="Times New Roman" w:cs="Times New Roman" w:eastAsia="Times New Roman" w:hAnsi="Times New Roman"/>
                <w:sz w:val="18"/>
                <w:szCs w:val="18"/>
                <w:color w:val="auto"/>
              </w:rPr>
              <w:t>46,723</w:t>
            </w:r>
          </w:p>
        </w:tc>
        <w:tc>
          <w:tcPr>
            <w:tcW w:w="1700" w:type="dxa"/>
            <w:vAlign w:val="bottom"/>
            <w:gridSpan w:val="2"/>
            <w:shd w:val="clear" w:color="auto" w:fill="CCEEFF"/>
          </w:tcPr>
          <w:p>
            <w:pPr>
              <w:jc w:val="right"/>
              <w:ind w:right="220"/>
              <w:spacing w:after="0" w:line="205" w:lineRule="exact"/>
              <w:rPr>
                <w:sz w:val="20"/>
                <w:szCs w:val="20"/>
                <w:color w:val="auto"/>
              </w:rPr>
            </w:pPr>
            <w:r>
              <w:rPr>
                <w:rFonts w:ascii="Times New Roman" w:cs="Times New Roman" w:eastAsia="Times New Roman" w:hAnsi="Times New Roman"/>
                <w:sz w:val="18"/>
                <w:szCs w:val="18"/>
                <w:color w:val="auto"/>
              </w:rPr>
              <w:t>46,908</w:t>
            </w:r>
          </w:p>
        </w:tc>
        <w:tc>
          <w:tcPr>
            <w:tcW w:w="148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47,486</w:t>
            </w:r>
          </w:p>
        </w:tc>
        <w:tc>
          <w:tcPr>
            <w:tcW w:w="120" w:type="dxa"/>
            <w:vAlign w:val="bottom"/>
            <w:shd w:val="clear" w:color="auto" w:fill="CCEEFF"/>
          </w:tcPr>
          <w:p>
            <w:pPr>
              <w:spacing w:after="0"/>
              <w:rPr>
                <w:sz w:val="17"/>
                <w:szCs w:val="17"/>
                <w:color w:val="auto"/>
              </w:rPr>
            </w:pPr>
          </w:p>
        </w:tc>
      </w:tr>
      <w:tr>
        <w:trPr>
          <w:trHeight w:val="225"/>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Effect of dilutive stock options and restricted stock units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539</w:t>
            </w:r>
          </w:p>
        </w:tc>
      </w:tr>
      <w:tr>
        <w:trPr>
          <w:trHeight w:val="218"/>
        </w:trPr>
        <w:tc>
          <w:tcPr>
            <w:tcW w:w="5680" w:type="dxa"/>
            <w:vAlign w:val="bottom"/>
            <w:tcBorders>
              <w:top w:val="single" w:sz="8" w:color="CCEEFF"/>
              <w:bottom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46,723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46,908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48,025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2" w:lineRule="exact"/>
        <w:rPr>
          <w:sz w:val="20"/>
          <w:szCs w:val="20"/>
          <w:color w:val="auto"/>
        </w:rPr>
      </w:pPr>
    </w:p>
    <w:p>
      <w:pPr>
        <w:ind w:left="320" w:right="40"/>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Cash, Cash Equivalents and Short-term Investments </w:t>
      </w:r>
      <w:r>
        <w:rPr>
          <w:rFonts w:ascii="Times New Roman" w:cs="Times New Roman" w:eastAsia="Times New Roman" w:hAnsi="Times New Roman"/>
          <w:sz w:val="18"/>
          <w:szCs w:val="18"/>
          <w:color w:val="auto"/>
        </w:rPr>
        <w:t>– Highly liquid investments with insignificant interest rate risk and original maturities of three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months or less are classified as cash and cash equivalents. Investments with maturities greater than three months are classified as short-term investments. All of our short-term investments in debt securities are classified as available-for-sale and are reported at fair value, with any unrealized gains and losses, net of tax, recorded in the statement of comprehensive income (loss). We manage our cash equivalents and short-term investments as a single portfolio of highly marketable securities. We have the ability and intent, if necessary, to liquidate any of our investments in order to meet the liquidity needs of our current operations during the next 12 months. Accordingly, investments with contractual maturities greater than one year have been classified as current assets in the accompanying consolidated balance sheets.</w:t>
      </w:r>
    </w:p>
    <w:p>
      <w:pPr>
        <w:spacing w:after="0" w:line="187" w:lineRule="exact"/>
        <w:rPr>
          <w:sz w:val="20"/>
          <w:szCs w:val="20"/>
          <w:color w:val="auto"/>
        </w:rPr>
      </w:pPr>
    </w:p>
    <w:p>
      <w:pPr>
        <w:ind w:left="320" w:right="300"/>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Fair Value of Financial Instruments </w:t>
      </w:r>
      <w:r>
        <w:rPr>
          <w:rFonts w:ascii="Times New Roman" w:cs="Times New Roman" w:eastAsia="Times New Roman" w:hAnsi="Times New Roman"/>
          <w:sz w:val="18"/>
          <w:szCs w:val="18"/>
          <w:color w:val="auto"/>
        </w:rPr>
        <w:t>– The carrying amounts of our financial instruments, including cash and cash equivalents, accounts receivable,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accounts payable and accrued expenses, approximate fair value due to the short maturities of these financial instruments.</w:t>
      </w:r>
    </w:p>
    <w:p>
      <w:pPr>
        <w:spacing w:after="0" w:line="160" w:lineRule="exact"/>
        <w:rPr>
          <w:sz w:val="20"/>
          <w:szCs w:val="20"/>
          <w:color w:val="auto"/>
        </w:rPr>
      </w:pPr>
    </w:p>
    <w:p>
      <w:pPr>
        <w:jc w:val="both"/>
        <w:ind w:left="320" w:right="160"/>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Concentration of Credit Risk </w:t>
      </w:r>
      <w:r>
        <w:rPr>
          <w:rFonts w:ascii="Times New Roman" w:cs="Times New Roman" w:eastAsia="Times New Roman" w:hAnsi="Times New Roman"/>
          <w:sz w:val="18"/>
          <w:szCs w:val="18"/>
          <w:color w:val="auto"/>
        </w:rPr>
        <w:t>– Financial instruments that potentially subject us to significant credit risk consist principally of cash equivalents, short-term investments and trade accounts receivable. We invest in a variety of financial instruments and, by policy, limit the amount of credit exposure with any one issuer.</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36195</wp:posOffset>
            </wp:positionV>
            <wp:extent cx="71348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97" w:lineRule="exact"/>
        <w:rPr>
          <w:sz w:val="20"/>
          <w:szCs w:val="20"/>
          <w:color w:val="auto"/>
        </w:rPr>
      </w:pPr>
    </w:p>
    <w:p>
      <w:pPr>
        <w:ind w:left="320" w:right="120"/>
        <w:spacing w:after="0" w:line="252" w:lineRule="auto"/>
        <w:rPr>
          <w:sz w:val="20"/>
          <w:szCs w:val="20"/>
          <w:color w:val="auto"/>
        </w:rPr>
      </w:pPr>
      <w:r>
        <w:rPr>
          <w:rFonts w:ascii="Times New Roman" w:cs="Times New Roman" w:eastAsia="Times New Roman" w:hAnsi="Times New Roman"/>
          <w:sz w:val="18"/>
          <w:szCs w:val="18"/>
          <w:color w:val="auto"/>
        </w:rPr>
        <w:t xml:space="preserve">Our trade accounts receivable are presented net of an allowance for credit losses, which is determined in accordance with the guidance provided by ASC Topic 326, </w:t>
      </w:r>
      <w:r>
        <w:rPr>
          <w:rFonts w:ascii="Times New Roman" w:cs="Times New Roman" w:eastAsia="Times New Roman" w:hAnsi="Times New Roman"/>
          <w:sz w:val="18"/>
          <w:szCs w:val="18"/>
          <w:i w:val="1"/>
          <w:iCs w:val="1"/>
          <w:color w:val="auto"/>
        </w:rPr>
        <w:t>Financial Instruments-Credit Losses</w:t>
      </w:r>
      <w:r>
        <w:rPr>
          <w:rFonts w:ascii="Times New Roman" w:cs="Times New Roman" w:eastAsia="Times New Roman" w:hAnsi="Times New Roman"/>
          <w:sz w:val="18"/>
          <w:szCs w:val="18"/>
          <w:color w:val="auto"/>
        </w:rPr>
        <w:t xml:space="preserve"> (“ASC 326”). Our customers include semiconductor manufacturers and semiconductor test subcontractors throughout many areas of the world. While we believe that our allowance for credit losses is adequate and represents our best estimate at December 27, 2025, we will continue to monitor customer liquidity and other economic conditions, which may result in changes to our estimates regarding expected credit losses.</w:t>
      </w:r>
    </w:p>
    <w:p>
      <w:pPr>
        <w:spacing w:after="0" w:line="183" w:lineRule="exact"/>
        <w:rPr>
          <w:sz w:val="20"/>
          <w:szCs w:val="20"/>
          <w:color w:val="auto"/>
        </w:rPr>
      </w:pPr>
    </w:p>
    <w:p>
      <w:pPr>
        <w:ind w:left="320" w:right="10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Inventories </w:t>
      </w:r>
      <w:r>
        <w:rPr>
          <w:rFonts w:ascii="Times New Roman" w:cs="Times New Roman" w:eastAsia="Times New Roman" w:hAnsi="Times New Roman"/>
          <w:sz w:val="18"/>
          <w:szCs w:val="18"/>
          <w:color w:val="auto"/>
        </w:rPr>
        <w:t>– Inventories are stated at the lower of cost, determined on a first-in, first-out basis, or net realizable value. Cost includes labor, material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overhead costs. Determining the net realizable value of inventories involves numerous estimates and judgments including projecting average selling prices and sales volumes for future periods. As a result of these analyses, we record a charge to cost of sales in advance of the period when the inventory is sold, which occurs when estimated market values are below our costs. Charges to cost of sales for excess and obsolete inventories totaled $7.5 million, $5.4 million and $4.5 million in fiscal 2025, 2024 and 2023, respectively.</w:t>
      </w:r>
    </w:p>
    <w:p>
      <w:pPr>
        <w:spacing w:after="0" w:line="181" w:lineRule="exact"/>
        <w:rPr>
          <w:sz w:val="20"/>
          <w:szCs w:val="20"/>
          <w:color w:val="auto"/>
        </w:rPr>
      </w:pPr>
    </w:p>
    <w:tbl>
      <w:tblPr>
        <w:tblLayout w:type="fixed"/>
        <w:tblInd w:w="320" w:type="dxa"/>
        <w:tblCellMar>
          <w:top w:w="0" w:type="dxa"/>
          <w:left w:w="0" w:type="dxa"/>
          <w:bottom w:w="0" w:type="dxa"/>
          <w:right w:w="0" w:type="dxa"/>
        </w:tblCellMar>
      </w:tblPr>
      <w:tr>
        <w:trPr>
          <w:trHeight w:val="233"/>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Inventories by category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16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December 27,</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7"/>
              </w:rPr>
              <w:t>December 28,</w:t>
            </w:r>
          </w:p>
        </w:tc>
      </w:tr>
      <w:tr>
        <w:trPr>
          <w:trHeight w:val="230"/>
        </w:trPr>
        <w:tc>
          <w:tcPr>
            <w:tcW w:w="160" w:type="dxa"/>
            <w:vAlign w:val="bottom"/>
          </w:tcPr>
          <w:p>
            <w:pPr>
              <w:spacing w:after="0"/>
              <w:rPr>
                <w:sz w:val="20"/>
                <w:szCs w:val="20"/>
                <w:color w:val="auto"/>
              </w:rPr>
            </w:pPr>
          </w:p>
        </w:tc>
        <w:tc>
          <w:tcPr>
            <w:tcW w:w="73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r>
        <w:trPr>
          <w:trHeight w:val="205"/>
        </w:trPr>
        <w:tc>
          <w:tcPr>
            <w:tcW w:w="160" w:type="dxa"/>
            <w:vAlign w:val="bottom"/>
          </w:tcPr>
          <w:p>
            <w:pPr>
              <w:spacing w:after="0"/>
              <w:rPr>
                <w:sz w:val="17"/>
                <w:szCs w:val="17"/>
                <w:color w:val="auto"/>
              </w:rPr>
            </w:pPr>
          </w:p>
        </w:tc>
        <w:tc>
          <w:tcPr>
            <w:tcW w:w="730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Raw materials and purchased parts</w:t>
            </w:r>
          </w:p>
        </w:tc>
        <w:tc>
          <w:tcPr>
            <w:tcW w:w="18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84,797</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ind w:left="860"/>
              <w:spacing w:after="0" w:line="205" w:lineRule="exact"/>
              <w:rPr>
                <w:sz w:val="20"/>
                <w:szCs w:val="20"/>
                <w:color w:val="auto"/>
              </w:rPr>
            </w:pPr>
            <w:r>
              <w:rPr>
                <w:rFonts w:ascii="Times New Roman" w:cs="Times New Roman" w:eastAsia="Times New Roman" w:hAnsi="Times New Roman"/>
                <w:sz w:val="18"/>
                <w:szCs w:val="18"/>
                <w:color w:val="auto"/>
                <w:w w:val="92"/>
              </w:rPr>
              <w:t>94,970</w:t>
            </w:r>
          </w:p>
        </w:tc>
        <w:tc>
          <w:tcPr>
            <w:tcW w:w="120" w:type="dxa"/>
            <w:vAlign w:val="bottom"/>
            <w:gridSpan w:val="2"/>
            <w:shd w:val="clear" w:color="auto" w:fill="CCEEFF"/>
          </w:tcPr>
          <w:p>
            <w:pPr>
              <w:spacing w:after="0"/>
              <w:rPr>
                <w:sz w:val="17"/>
                <w:szCs w:val="17"/>
                <w:color w:val="auto"/>
              </w:rPr>
            </w:pPr>
          </w:p>
        </w:tc>
      </w:tr>
      <w:tr>
        <w:trPr>
          <w:trHeight w:val="212"/>
        </w:trPr>
        <w:tc>
          <w:tcPr>
            <w:tcW w:w="16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8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23,388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25,833</w:t>
            </w:r>
          </w:p>
        </w:tc>
      </w:tr>
      <w:tr>
        <w:trPr>
          <w:trHeight w:val="225"/>
        </w:trPr>
        <w:tc>
          <w:tcPr>
            <w:tcW w:w="160" w:type="dxa"/>
            <w:vAlign w:val="bottom"/>
          </w:tcPr>
          <w:p>
            <w:pPr>
              <w:spacing w:after="0"/>
              <w:rPr>
                <w:sz w:val="19"/>
                <w:szCs w:val="19"/>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20,821</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21,058</w:t>
            </w:r>
          </w:p>
        </w:tc>
      </w:tr>
      <w:tr>
        <w:trPr>
          <w:trHeight w:val="218"/>
        </w:trPr>
        <w:tc>
          <w:tcPr>
            <w:tcW w:w="160" w:type="dxa"/>
            <w:vAlign w:val="bottom"/>
          </w:tcPr>
          <w:p>
            <w:pPr>
              <w:spacing w:after="0"/>
              <w:rPr>
                <w:sz w:val="19"/>
                <w:szCs w:val="19"/>
                <w:color w:val="auto"/>
              </w:rPr>
            </w:pPr>
          </w:p>
        </w:tc>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inventories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129,006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141,861</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16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2" w:lineRule="exact"/>
        <w:rPr>
          <w:sz w:val="20"/>
          <w:szCs w:val="20"/>
          <w:color w:val="auto"/>
        </w:rPr>
      </w:pPr>
    </w:p>
    <w:p>
      <w:pPr>
        <w:ind w:left="320" w:right="140"/>
        <w:spacing w:after="0" w:line="220" w:lineRule="exact"/>
        <w:rPr>
          <w:sz w:val="20"/>
          <w:szCs w:val="20"/>
          <w:color w:val="auto"/>
        </w:rPr>
      </w:pPr>
      <w:r>
        <w:rPr>
          <w:rFonts w:ascii="Times New Roman" w:cs="Times New Roman" w:eastAsia="Times New Roman" w:hAnsi="Times New Roman"/>
          <w:sz w:val="18"/>
          <w:szCs w:val="18"/>
          <w:b w:val="1"/>
          <w:bCs w:val="1"/>
          <w:color w:val="auto"/>
        </w:rPr>
        <w:t xml:space="preserve">Property, Plant and Equipment </w:t>
      </w:r>
      <w:r>
        <w:rPr>
          <w:rFonts w:ascii="Times New Roman" w:cs="Times New Roman" w:eastAsia="Times New Roman" w:hAnsi="Times New Roman"/>
          <w:sz w:val="18"/>
          <w:szCs w:val="18"/>
          <w:color w:val="auto"/>
        </w:rPr>
        <w:t>– Depreciation and amortization of property, plant and equipment, both owned and under financing lease, is calculated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principally on the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method based on estimated useful lives of thirty to forty years for buildings, five to fifteen years for building improvements, three to ten years for machinery, equipment and software and the lease life for financing leases. Land is not depreciated.</w:t>
      </w:r>
    </w:p>
    <w:p>
      <w:pPr>
        <w:spacing w:after="0" w:line="191" w:lineRule="exact"/>
        <w:rPr>
          <w:sz w:val="20"/>
          <w:szCs w:val="20"/>
          <w:color w:val="auto"/>
        </w:rPr>
      </w:pPr>
    </w:p>
    <w:tbl>
      <w:tblPr>
        <w:tblLayout w:type="fixed"/>
        <w:tblInd w:w="320" w:type="dxa"/>
        <w:tblCellMar>
          <w:top w:w="0" w:type="dxa"/>
          <w:left w:w="0" w:type="dxa"/>
          <w:bottom w:w="0" w:type="dxa"/>
          <w:right w:w="0" w:type="dxa"/>
        </w:tblCellMar>
      </w:tblPr>
      <w:tr>
        <w:trPr>
          <w:trHeight w:val="233"/>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Property, plant and equipment, at cost, consisted of the following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8"/>
        </w:trPr>
        <w:tc>
          <w:tcPr>
            <w:tcW w:w="16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December 27,</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December 28,</w:t>
            </w:r>
          </w:p>
        </w:tc>
      </w:tr>
      <w:tr>
        <w:trPr>
          <w:trHeight w:val="230"/>
        </w:trPr>
        <w:tc>
          <w:tcPr>
            <w:tcW w:w="160" w:type="dxa"/>
            <w:vAlign w:val="bottom"/>
          </w:tcPr>
          <w:p>
            <w:pPr>
              <w:spacing w:after="0"/>
              <w:rPr>
                <w:sz w:val="20"/>
                <w:szCs w:val="20"/>
                <w:color w:val="auto"/>
              </w:rPr>
            </w:pPr>
          </w:p>
        </w:tc>
        <w:tc>
          <w:tcPr>
            <w:tcW w:w="646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5"/>
        </w:trPr>
        <w:tc>
          <w:tcPr>
            <w:tcW w:w="160" w:type="dxa"/>
            <w:vAlign w:val="bottom"/>
          </w:tcPr>
          <w:p>
            <w:pPr>
              <w:spacing w:after="0"/>
              <w:rPr>
                <w:sz w:val="17"/>
                <w:szCs w:val="17"/>
                <w:color w:val="auto"/>
              </w:rPr>
            </w:pPr>
          </w:p>
        </w:tc>
        <w:tc>
          <w:tcPr>
            <w:tcW w:w="646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Land and land improvements</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12,364</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6,941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2"/>
        </w:trPr>
        <w:tc>
          <w:tcPr>
            <w:tcW w:w="16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49,469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47,733</w:t>
            </w:r>
          </w:p>
        </w:tc>
        <w:tc>
          <w:tcPr>
            <w:tcW w:w="80" w:type="dxa"/>
            <w:vAlign w:val="bottom"/>
          </w:tcPr>
          <w:p>
            <w:pPr>
              <w:spacing w:after="0"/>
              <w:rPr>
                <w:sz w:val="18"/>
                <w:szCs w:val="18"/>
                <w:color w:val="auto"/>
              </w:rPr>
            </w:pPr>
          </w:p>
        </w:tc>
      </w:tr>
      <w:tr>
        <w:trPr>
          <w:trHeight w:val="225"/>
        </w:trPr>
        <w:tc>
          <w:tcPr>
            <w:tcW w:w="160" w:type="dxa"/>
            <w:vAlign w:val="bottom"/>
          </w:tcPr>
          <w:p>
            <w:pPr>
              <w:spacing w:after="0"/>
              <w:rPr>
                <w:sz w:val="19"/>
                <w:szCs w:val="19"/>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103,273</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104,767</w:t>
            </w:r>
          </w:p>
        </w:tc>
        <w:tc>
          <w:tcPr>
            <w:tcW w:w="80" w:type="dxa"/>
            <w:vAlign w:val="bottom"/>
            <w:shd w:val="clear" w:color="auto" w:fill="CCEEFF"/>
          </w:tcPr>
          <w:p>
            <w:pPr>
              <w:spacing w:after="0"/>
              <w:rPr>
                <w:sz w:val="19"/>
                <w:szCs w:val="19"/>
                <w:color w:val="auto"/>
              </w:rPr>
            </w:pPr>
          </w:p>
        </w:tc>
      </w:tr>
      <w:tr>
        <w:trPr>
          <w:trHeight w:val="205"/>
        </w:trPr>
        <w:tc>
          <w:tcPr>
            <w:tcW w:w="160" w:type="dxa"/>
            <w:vAlign w:val="bottom"/>
          </w:tcPr>
          <w:p>
            <w:pPr>
              <w:spacing w:after="0"/>
              <w:rPr>
                <w:sz w:val="17"/>
                <w:szCs w:val="17"/>
                <w:color w:val="auto"/>
              </w:rPr>
            </w:pPr>
          </w:p>
        </w:tc>
        <w:tc>
          <w:tcPr>
            <w:tcW w:w="6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165,106</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159,441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5"/>
        </w:trPr>
        <w:tc>
          <w:tcPr>
            <w:tcW w:w="160" w:type="dxa"/>
            <w:vAlign w:val="bottom"/>
          </w:tcPr>
          <w:p>
            <w:pPr>
              <w:spacing w:after="0"/>
              <w:rPr>
                <w:sz w:val="19"/>
                <w:szCs w:val="19"/>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(88,119)</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(84,655)</w:t>
            </w:r>
          </w:p>
        </w:tc>
      </w:tr>
      <w:tr>
        <w:trPr>
          <w:trHeight w:val="218"/>
        </w:trPr>
        <w:tc>
          <w:tcPr>
            <w:tcW w:w="16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9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76,987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74,786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6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Depreciation expense was $13.2 million in fiscal 2025, $13.4 million in fiscal 2024 and $13.4 million in fiscal 2023.</w:t>
      </w:r>
    </w:p>
    <w:p>
      <w:pPr>
        <w:spacing w:after="0" w:line="215" w:lineRule="exact"/>
        <w:rPr>
          <w:sz w:val="20"/>
          <w:szCs w:val="20"/>
          <w:color w:val="auto"/>
        </w:rPr>
      </w:pPr>
    </w:p>
    <w:p>
      <w:pPr>
        <w:ind w:left="320"/>
        <w:spacing w:after="0" w:line="283" w:lineRule="auto"/>
        <w:rPr>
          <w:sz w:val="20"/>
          <w:szCs w:val="20"/>
          <w:color w:val="auto"/>
        </w:rPr>
      </w:pPr>
      <w:r>
        <w:rPr>
          <w:rFonts w:ascii="Times New Roman" w:cs="Times New Roman" w:eastAsia="Times New Roman" w:hAnsi="Times New Roman"/>
          <w:sz w:val="17"/>
          <w:szCs w:val="17"/>
          <w:b w:val="1"/>
          <w:bCs w:val="1"/>
          <w:color w:val="auto"/>
        </w:rPr>
        <w:t xml:space="preserve">Cloud Computing Implementation Costs </w:t>
      </w:r>
      <w:r>
        <w:rPr>
          <w:rFonts w:ascii="Times New Roman" w:cs="Times New Roman" w:eastAsia="Times New Roman" w:hAnsi="Times New Roman"/>
          <w:sz w:val="17"/>
          <w:szCs w:val="17"/>
          <w:color w:val="auto"/>
        </w:rPr>
        <w:t>– We have capitalized certain costs associated with the implementation of our cloud-based Enterprise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Resource Planning (“ERP”) system in accordance with ASC Topic 350, </w:t>
      </w:r>
      <w:r>
        <w:rPr>
          <w:rFonts w:ascii="Times New Roman" w:cs="Times New Roman" w:eastAsia="Times New Roman" w:hAnsi="Times New Roman"/>
          <w:sz w:val="17"/>
          <w:szCs w:val="17"/>
          <w:i w:val="1"/>
          <w:iCs w:val="1"/>
          <w:color w:val="auto"/>
        </w:rPr>
        <w:t>Intangibles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Goodwill and Other</w:t>
      </w:r>
      <w:r>
        <w:rPr>
          <w:rFonts w:ascii="Times New Roman" w:cs="Times New Roman" w:eastAsia="Times New Roman" w:hAnsi="Times New Roman"/>
          <w:sz w:val="17"/>
          <w:szCs w:val="17"/>
          <w:color w:val="auto"/>
        </w:rPr>
        <w:t xml:space="preserve"> (“ASC 350”). Capitalized costs include only external direct costs of materials and services consumed in developing the system and interest costs incurred, when material, while developing the system.</w:t>
      </w:r>
    </w:p>
    <w:p>
      <w:pPr>
        <w:spacing w:after="0" w:line="158" w:lineRule="exact"/>
        <w:rPr>
          <w:sz w:val="20"/>
          <w:szCs w:val="20"/>
          <w:color w:val="auto"/>
        </w:rPr>
      </w:pPr>
    </w:p>
    <w:p>
      <w:pPr>
        <w:ind w:left="320" w:right="20"/>
        <w:spacing w:after="0" w:line="255" w:lineRule="auto"/>
        <w:rPr>
          <w:sz w:val="20"/>
          <w:szCs w:val="20"/>
          <w:color w:val="auto"/>
        </w:rPr>
      </w:pPr>
      <w:r>
        <w:rPr>
          <w:rFonts w:ascii="Times New Roman" w:cs="Times New Roman" w:eastAsia="Times New Roman" w:hAnsi="Times New Roman"/>
          <w:sz w:val="18"/>
          <w:szCs w:val="18"/>
          <w:color w:val="auto"/>
        </w:rPr>
        <w:t>Total unamortized capitalized cloud computing implementation costs totaled $7.0 million and $9.3 million at December 27, 2025 and December 28, 2024, respectively. These amounts are recorded within other current assets and other assets in our consolidated balance sheets. Implementation costs are amortized using the straight-line method over seven years and we recorded amortization expense totaling $2.8 million in each of the years ended December 27, 2025, December 28, 2024 and December 30, 2023.</w:t>
      </w:r>
    </w:p>
    <w:p>
      <w:pPr>
        <w:spacing w:after="0" w:line="178" w:lineRule="exact"/>
        <w:rPr>
          <w:sz w:val="20"/>
          <w:szCs w:val="20"/>
          <w:color w:val="auto"/>
        </w:rPr>
      </w:pPr>
    </w:p>
    <w:p>
      <w:pPr>
        <w:ind w:left="320" w:right="200"/>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Segment Information </w:t>
      </w:r>
      <w:r>
        <w:rPr>
          <w:rFonts w:ascii="Times New Roman" w:cs="Times New Roman" w:eastAsia="Times New Roman" w:hAnsi="Times New Roman"/>
          <w:sz w:val="18"/>
          <w:szCs w:val="18"/>
          <w:color w:val="auto"/>
        </w:rPr>
        <w:t>– We apply the provisions of ASC Topic 280,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(“ASC 280”), which sets forth a management approach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segment reporting and establishes requirements to report selected segment information quarterly and to report annually entity-wide disclosures about products, major customers and the geographies in which the entity holds material assets and reports revenue. An operating segment is defined as a component that engages in business activities whose operating results are reviewed by the CODM and for which discrete financial information is available. We have determined that our three identified operating segments are: TH, ST and IS. Our TH, ST and IS operating segments qualify for aggregation under ASC 280 due to similarities in their customers, their economic characteristics, and the nature of products and services provided. As a result, we report in one segment, Semiconductor Test &amp; Inspection.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36195</wp:posOffset>
            </wp:positionV>
            <wp:extent cx="71348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95" w:lineRule="exact"/>
        <w:rPr>
          <w:sz w:val="20"/>
          <w:szCs w:val="20"/>
          <w:color w:val="auto"/>
        </w:rPr>
      </w:pPr>
    </w:p>
    <w:p>
      <w:pPr>
        <w:ind w:left="3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Goodwill, Intangible Assets and Other Long-Lived Assets </w:t>
      </w:r>
      <w:r>
        <w:rPr>
          <w:rFonts w:ascii="Times New Roman" w:cs="Times New Roman" w:eastAsia="Times New Roman" w:hAnsi="Times New Roman"/>
          <w:sz w:val="18"/>
          <w:szCs w:val="18"/>
          <w:color w:val="auto"/>
        </w:rPr>
        <w:t>– We evaluate goodwill for impairment annually and whenever events or changes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circumstances indicate that the carrying value may not be recoverable. Goodwill impairment testing is performed at the reporting unit level by comparing the estimated fair value of the reporting unit to its carrying value, including goodwill. If the carrying value exceeds fair value, an impairment charge is recognized for the amount by which the carrying value exceeds the fair value, limited to the carrying amount of goodwill.</w:t>
      </w:r>
    </w:p>
    <w:p>
      <w:pPr>
        <w:spacing w:after="0" w:line="179" w:lineRule="exact"/>
        <w:rPr>
          <w:sz w:val="20"/>
          <w:szCs w:val="20"/>
          <w:color w:val="auto"/>
        </w:rPr>
      </w:pPr>
    </w:p>
    <w:p>
      <w:pPr>
        <w:ind w:left="320" w:right="200"/>
        <w:spacing w:after="0" w:line="215" w:lineRule="exact"/>
        <w:rPr>
          <w:sz w:val="20"/>
          <w:szCs w:val="20"/>
          <w:color w:val="auto"/>
        </w:rPr>
      </w:pPr>
      <w:r>
        <w:rPr>
          <w:rFonts w:ascii="Times New Roman" w:cs="Times New Roman" w:eastAsia="Times New Roman" w:hAnsi="Times New Roman"/>
          <w:sz w:val="18"/>
          <w:szCs w:val="18"/>
          <w:color w:val="auto"/>
        </w:rPr>
        <w:t>We estimate the fair values of our reporting units using a weighting of the income and market approaches. Under the income approach, we use a discounted cash flow methodology, which requires significant judgment and estimates related to, among other things, forecasted revenues, gross profit margins, operating income margins, working capital cash flows, perpetual growth rates, and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discount rates. The market approach utilizes the guideline public company method, under which valuation multiples derived from comparable publicly traded companies with similar operating and investment characteristics are applied to the reporting unit’s operating performance metrics. The indicated values derived from the income and market approaches are equally weighted to determine the estimated fair value of each reporting unit.</w:t>
      </w:r>
    </w:p>
    <w:p>
      <w:pPr>
        <w:spacing w:after="0" w:line="196" w:lineRule="exact"/>
        <w:rPr>
          <w:sz w:val="20"/>
          <w:szCs w:val="20"/>
          <w:color w:val="auto"/>
        </w:rPr>
      </w:pPr>
    </w:p>
    <w:p>
      <w:pPr>
        <w:ind w:left="320" w:right="60"/>
        <w:spacing w:after="0" w:line="217" w:lineRule="exact"/>
        <w:rPr>
          <w:sz w:val="20"/>
          <w:szCs w:val="20"/>
          <w:color w:val="auto"/>
        </w:rPr>
      </w:pPr>
      <w:r>
        <w:rPr>
          <w:rFonts w:ascii="Times New Roman" w:cs="Times New Roman" w:eastAsia="Times New Roman" w:hAnsi="Times New Roman"/>
          <w:sz w:val="17"/>
          <w:szCs w:val="17"/>
          <w:color w:val="auto"/>
        </w:rPr>
        <w:t>Forecasts of future cash flows are based on management’s best estimates of future net sales and operating expenses, taking into account customer forecasts, industry trade organization data, and general economic and market conditions. Fair value measurements are inherently subjective and sensitive to changes in assumptions. Adverse changes in forecasted results, discount rates, long</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term growth assumptions, macroeconomic conditions, customer demand, competitive dynamics, or other factors could result in a reduction in the estimated fair value of one or more reporting units.</w:t>
      </w:r>
    </w:p>
    <w:p>
      <w:pPr>
        <w:spacing w:after="0" w:line="193" w:lineRule="exact"/>
        <w:rPr>
          <w:sz w:val="20"/>
          <w:szCs w:val="20"/>
          <w:color w:val="auto"/>
        </w:rPr>
      </w:pPr>
    </w:p>
    <w:p>
      <w:pPr>
        <w:ind w:left="320" w:right="100"/>
        <w:spacing w:after="0" w:line="250" w:lineRule="auto"/>
        <w:rPr>
          <w:sz w:val="20"/>
          <w:szCs w:val="20"/>
          <w:color w:val="auto"/>
        </w:rPr>
      </w:pPr>
      <w:r>
        <w:rPr>
          <w:rFonts w:ascii="Times New Roman" w:cs="Times New Roman" w:eastAsia="Times New Roman" w:hAnsi="Times New Roman"/>
          <w:sz w:val="18"/>
          <w:szCs w:val="18"/>
          <w:color w:val="auto"/>
        </w:rPr>
        <w:t>We performed our annual goodwill impairment test as of October 1, 2025, and determined that the estimated fair values of our reporting units exceeded their respective carrying values. For fiscal 2025, our IS reporting unit had limited headroom, meaning fair value only narrowly exceeded carrying value; as a result, even modest adverse changes in valuation assumptions, operating results, or market conditions could result in a future goodwill impairment charge. By comparison, our TH and ST reporting units each had substantially greater headroom at the assessment date, indicating a significantly larger cushion between fair value and carrying value. Goodwill associated with the IS reporting unit represented 39% of the total goodwill allocated across our reporting units as of the assessment date. Based on our analysis, including all relevant qualitative and quantitative factors, we concluded that no impairment exists as of the assessment date.</w:t>
      </w:r>
    </w:p>
    <w:p>
      <w:pPr>
        <w:spacing w:after="0" w:line="187" w:lineRule="exact"/>
        <w:rPr>
          <w:sz w:val="20"/>
          <w:szCs w:val="20"/>
          <w:color w:val="auto"/>
        </w:rPr>
      </w:pPr>
    </w:p>
    <w:p>
      <w:pPr>
        <w:jc w:val="both"/>
        <w:ind w:left="320" w:right="320"/>
        <w:spacing w:after="0" w:line="227" w:lineRule="exact"/>
        <w:rPr>
          <w:sz w:val="20"/>
          <w:szCs w:val="20"/>
          <w:color w:val="auto"/>
        </w:rPr>
      </w:pPr>
      <w:r>
        <w:rPr>
          <w:rFonts w:ascii="Times New Roman" w:cs="Times New Roman" w:eastAsia="Times New Roman" w:hAnsi="Times New Roman"/>
          <w:sz w:val="17"/>
          <w:szCs w:val="17"/>
          <w:color w:val="auto"/>
        </w:rPr>
        <w:t>Additionally, goodwill is required to be evaluated for impairment between annual testing dates if indicators of impairment arise. As of December 27, 2025, we determined that no such triggering events had occurred. If circumstances change and an interim impairment assessment is required, it could result in a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cash impairment charge, which could be material and would adversely affect our results of operations and financial condition.</w:t>
      </w:r>
    </w:p>
    <w:p>
      <w:pPr>
        <w:spacing w:after="0" w:line="169" w:lineRule="exact"/>
        <w:rPr>
          <w:sz w:val="20"/>
          <w:szCs w:val="20"/>
          <w:color w:val="auto"/>
        </w:rPr>
      </w:pPr>
    </w:p>
    <w:p>
      <w:pPr>
        <w:ind w:left="320" w:right="60"/>
        <w:spacing w:after="0" w:line="251" w:lineRule="auto"/>
        <w:rPr>
          <w:sz w:val="20"/>
          <w:szCs w:val="20"/>
          <w:color w:val="auto"/>
        </w:rPr>
      </w:pPr>
      <w:r>
        <w:rPr>
          <w:rFonts w:ascii="Times New Roman" w:cs="Times New Roman" w:eastAsia="Times New Roman" w:hAnsi="Times New Roman"/>
          <w:sz w:val="18"/>
          <w:szCs w:val="18"/>
          <w:color w:val="auto"/>
        </w:rPr>
        <w:t>Long-lived assets are reviewed for impairment whenever events or changes in circumstances indicate that the carrying amount of the assets might not be recoverable. Conditions that would necessitate an impairment assessment include a significant decline in the observable market value of an asset, a significant change in the extent or manner in which an asset is used, or any other significant adverse change that would indicate that the carrying amount of an asset or group of assets may not be recoverable. For long-lived assets, impairment losses are only recorded if the asset’s carrying amount is not recoverable through its undiscounted future cash flows. We measure the impairment loss based on the difference between the carrying amount and estimated fair value.</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December 27, 2025, no events or conditions occurred suggesting an impairment in our long-lived assets.</w:t>
      </w:r>
    </w:p>
    <w:p>
      <w:pPr>
        <w:spacing w:after="0" w:line="2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36195</wp:posOffset>
            </wp:positionV>
            <wp:extent cx="71348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95" w:lineRule="exact"/>
        <w:rPr>
          <w:sz w:val="20"/>
          <w:szCs w:val="20"/>
          <w:color w:val="auto"/>
        </w:rPr>
      </w:pPr>
    </w:p>
    <w:p>
      <w:pPr>
        <w:ind w:left="320" w:right="240"/>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Product Warranty </w:t>
      </w:r>
      <w:r>
        <w:rPr>
          <w:rFonts w:ascii="Times New Roman" w:cs="Times New Roman" w:eastAsia="Times New Roman" w:hAnsi="Times New Roman"/>
          <w:sz w:val="17"/>
          <w:szCs w:val="17"/>
          <w:color w:val="auto"/>
        </w:rPr>
        <w:t>– Product warranty costs are accrued in the period sales are recognized. Our products are generally sold with standard warranty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periods, which differ by product, ranging from 12 to 36 months. Parts and labor are typically covered under the terms of the warranty agreement. Our warranty expense accruals are based on historical and estimated costs by product and configuration. From time to time we offer customers extended warranties beyond the standard warranty period. In those situations, the revenue relating to the extended warranty is deferred at its estimated fair value and recognized on a straight-line basis over the contract period. Costs associated with our extended warranty contracts are expensed as incurred.</w:t>
      </w:r>
    </w:p>
    <w:p>
      <w:pPr>
        <w:spacing w:after="0" w:line="168" w:lineRule="exact"/>
        <w:rPr>
          <w:sz w:val="20"/>
          <w:szCs w:val="20"/>
          <w:color w:val="auto"/>
        </w:rPr>
      </w:pPr>
    </w:p>
    <w:p>
      <w:pPr>
        <w:ind w:left="320" w:right="100"/>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 We assess our income tax positions and record tax benefits for all years subject to examination based upon management’s evaluation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facts, circumstances and information available at the reporting dates. For those tax positions where it is more likely than not that a tax benefit will be sustained, we have recorded the largest amount of tax benefit with a greater than 50 percent likelihood of being realized upon ultimate settlement with a taxing authority that has full knowledge of all relevant information. For those income tax positions where it is not more likely than not that a tax benefit will be sustained, no tax benefit has been recognized in the financial statements. Where applicable, associated interest and penalties have also been recognized and recorded, net of federal and state tax benefits, in income tax expense.</w:t>
      </w:r>
    </w:p>
    <w:p>
      <w:pPr>
        <w:spacing w:after="0" w:line="187" w:lineRule="exact"/>
        <w:rPr>
          <w:sz w:val="20"/>
          <w:szCs w:val="20"/>
          <w:color w:val="auto"/>
        </w:rPr>
      </w:pPr>
    </w:p>
    <w:p>
      <w:pPr>
        <w:ind w:left="320"/>
        <w:spacing w:after="0" w:line="252" w:lineRule="auto"/>
        <w:rPr>
          <w:sz w:val="20"/>
          <w:szCs w:val="20"/>
          <w:color w:val="auto"/>
        </w:rPr>
      </w:pPr>
      <w:r>
        <w:rPr>
          <w:rFonts w:ascii="Times New Roman" w:cs="Times New Roman" w:eastAsia="Times New Roman" w:hAnsi="Times New Roman"/>
          <w:sz w:val="18"/>
          <w:szCs w:val="18"/>
          <w:color w:val="auto"/>
        </w:rPr>
        <w:t>We recognized deferred tax assets and liabilities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 in which those temporary differences are expected to be recovered or settled. The effect on deferred tax assets and liabilities of a change in tax rates is recognized in income in the period that includes the enactment date. Valuation allowances are established for those jurisdictions when necessary to reduce deferred tax assets to the amounts that are more likely than not to be realized in the future.</w:t>
      </w:r>
    </w:p>
    <w:p>
      <w:pPr>
        <w:spacing w:after="0" w:line="183" w:lineRule="exact"/>
        <w:rPr>
          <w:sz w:val="20"/>
          <w:szCs w:val="20"/>
          <w:color w:val="auto"/>
        </w:rPr>
      </w:pPr>
    </w:p>
    <w:p>
      <w:pPr>
        <w:ind w:left="320" w:right="200"/>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Contingencies and Litigation </w:t>
      </w:r>
      <w:r>
        <w:rPr>
          <w:rFonts w:ascii="Times New Roman" w:cs="Times New Roman" w:eastAsia="Times New Roman" w:hAnsi="Times New Roman"/>
          <w:sz w:val="18"/>
          <w:szCs w:val="18"/>
          <w:color w:val="auto"/>
        </w:rPr>
        <w:t>– We assess the probability of adverse judgments in connection with current and threatened litigation. We would accrue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cost of an adverse judgment if, in our estimation, the adverse outcome is probable, and we can reasonably estimate the ultimate cost.</w:t>
      </w:r>
    </w:p>
    <w:p>
      <w:pPr>
        <w:spacing w:after="0" w:line="160" w:lineRule="exact"/>
        <w:rPr>
          <w:sz w:val="20"/>
          <w:szCs w:val="20"/>
          <w:color w:val="auto"/>
        </w:rPr>
      </w:pPr>
    </w:p>
    <w:p>
      <w:pPr>
        <w:ind w:left="320" w:right="120"/>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color w:val="auto"/>
        </w:rPr>
        <w:t>– We determine if a contract contains a lease at inception. Operating leases are included in operating lease right of use (“ROU”) assets, current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accrued liabilities, and long-term lease liabilities on our consolidated balance sheets. Finance leases are included in property, plant and equipment, other current accrued liabilities, and long-term lease liabilities on our consolidated balance sheets.</w:t>
      </w:r>
    </w:p>
    <w:p>
      <w:pPr>
        <w:spacing w:after="0" w:line="175" w:lineRule="exact"/>
        <w:rPr>
          <w:sz w:val="20"/>
          <w:szCs w:val="20"/>
          <w:color w:val="auto"/>
        </w:rPr>
      </w:pPr>
    </w:p>
    <w:p>
      <w:pPr>
        <w:ind w:left="320" w:right="20"/>
        <w:spacing w:after="0" w:line="274" w:lineRule="auto"/>
        <w:rPr>
          <w:sz w:val="20"/>
          <w:szCs w:val="20"/>
          <w:color w:val="auto"/>
        </w:rPr>
      </w:pPr>
      <w:r>
        <w:rPr>
          <w:rFonts w:ascii="Times New Roman" w:cs="Times New Roman" w:eastAsia="Times New Roman" w:hAnsi="Times New Roman"/>
          <w:sz w:val="17"/>
          <w:szCs w:val="17"/>
          <w:color w:val="auto"/>
        </w:rPr>
        <w:t>Operating lease ROU assets and operating lease liabilities are recognized based on the present value of the future minimum lease payments over the lease term at January 1, 2019, the adoption date of Accounting Standard Update (“ASU”) 2016-02</w:t>
      </w:r>
      <w:r>
        <w:rPr>
          <w:rFonts w:ascii="Times New Roman" w:cs="Times New Roman" w:eastAsia="Times New Roman" w:hAnsi="Times New Roman"/>
          <w:sz w:val="17"/>
          <w:szCs w:val="17"/>
          <w:i w:val="1"/>
          <w:iCs w:val="1"/>
          <w:color w:val="auto"/>
        </w:rPr>
        <w:t>, Leases (Topic 842)</w:t>
      </w:r>
      <w:r>
        <w:rPr>
          <w:rFonts w:ascii="Times New Roman" w:cs="Times New Roman" w:eastAsia="Times New Roman" w:hAnsi="Times New Roman"/>
          <w:sz w:val="17"/>
          <w:szCs w:val="17"/>
          <w:color w:val="auto"/>
        </w:rPr>
        <w:t>, or the commencement date for leases entered into after the adoption date. As most of our leases do not provide an implicit rate, we use our incremental borrowing rates for the remaining lease terms based on the information available at the adoption date or commencement date in determining the present value of future payments.</w:t>
      </w:r>
    </w:p>
    <w:p>
      <w:pPr>
        <w:spacing w:after="0" w:line="167" w:lineRule="exact"/>
        <w:rPr>
          <w:sz w:val="20"/>
          <w:szCs w:val="20"/>
          <w:color w:val="auto"/>
        </w:rPr>
      </w:pPr>
    </w:p>
    <w:p>
      <w:pPr>
        <w:ind w:left="320" w:right="20"/>
        <w:spacing w:after="0" w:line="251" w:lineRule="auto"/>
        <w:rPr>
          <w:sz w:val="20"/>
          <w:szCs w:val="20"/>
          <w:color w:val="auto"/>
        </w:rPr>
      </w:pPr>
      <w:r>
        <w:rPr>
          <w:rFonts w:ascii="Times New Roman" w:cs="Times New Roman" w:eastAsia="Times New Roman" w:hAnsi="Times New Roman"/>
          <w:sz w:val="18"/>
          <w:szCs w:val="18"/>
          <w:color w:val="auto"/>
        </w:rPr>
        <w:t>The operating lease ROU asset also includes any lease payments made, lease incentives, favorable and unfavorable lease terms recognized in business acquisitions and excludes initial direct costs incurred and variable lease payments. Variable lease payments include estimated payments that are subject to reconciliations throughout the lease term, increases or decreases in the contractual rent payments, as a result of changes in indices or interest rates and tax payments that are based on prevailing rates. Our lease terms may include renewal options to extend the lease when it is reasonably certain that we will exercise those options. In addition, we include purchase option amounts in our calculations when it is reasonably certain that we will exercise those options. Rent expense for minimum payments under operating leases is recognized on a straight-line basis over the term.</w:t>
      </w:r>
    </w:p>
    <w:p>
      <w:pPr>
        <w:spacing w:after="0" w:line="185" w:lineRule="exact"/>
        <w:rPr>
          <w:sz w:val="20"/>
          <w:szCs w:val="20"/>
          <w:color w:val="auto"/>
        </w:rPr>
      </w:pPr>
    </w:p>
    <w:p>
      <w:pPr>
        <w:ind w:left="320" w:right="240"/>
        <w:spacing w:after="0" w:line="259" w:lineRule="auto"/>
        <w:rPr>
          <w:sz w:val="20"/>
          <w:szCs w:val="20"/>
          <w:color w:val="auto"/>
        </w:rPr>
      </w:pPr>
      <w:r>
        <w:rPr>
          <w:rFonts w:ascii="Times New Roman" w:cs="Times New Roman" w:eastAsia="Times New Roman" w:hAnsi="Times New Roman"/>
          <w:sz w:val="18"/>
          <w:szCs w:val="18"/>
          <w:color w:val="auto"/>
        </w:rPr>
        <w:t>Leases with an initial term of 12 months or less are not recorded on the consolidated balance sheet but recognized in our consolidated statements of operations on a straight-line basis over the lease term. We account for lease and non-lease components as a single lease component and include both in our calculation of the ROU assets and lease liabilities.</w:t>
      </w:r>
    </w:p>
    <w:p>
      <w:pPr>
        <w:spacing w:after="0" w:line="178" w:lineRule="exact"/>
        <w:rPr>
          <w:sz w:val="20"/>
          <w:szCs w:val="20"/>
          <w:color w:val="auto"/>
        </w:rPr>
      </w:pPr>
    </w:p>
    <w:p>
      <w:pPr>
        <w:jc w:val="both"/>
        <w:ind w:left="320" w:right="280"/>
        <w:spacing w:after="0" w:line="259" w:lineRule="auto"/>
        <w:rPr>
          <w:sz w:val="20"/>
          <w:szCs w:val="20"/>
          <w:color w:val="auto"/>
        </w:rPr>
      </w:pPr>
      <w:r>
        <w:rPr>
          <w:rFonts w:ascii="Times New Roman" w:cs="Times New Roman" w:eastAsia="Times New Roman" w:hAnsi="Times New Roman"/>
          <w:sz w:val="18"/>
          <w:szCs w:val="18"/>
          <w:color w:val="auto"/>
        </w:rPr>
        <w:t>We sublease certain leased assets to third parties, mainly as a result of unused space in our facilities. None of our subleases contain extension options. Variable lease payments in our subleases include tax payments that are based on prevailing rates. We account for lease and non-lease components as a single lease component.</w:t>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36195</wp:posOffset>
            </wp:positionV>
            <wp:extent cx="71348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95" w:lineRule="exact"/>
        <w:rPr>
          <w:sz w:val="20"/>
          <w:szCs w:val="20"/>
          <w:color w:val="auto"/>
        </w:rPr>
      </w:pPr>
    </w:p>
    <w:p>
      <w:pPr>
        <w:ind w:left="320" w:right="8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 Our net sales are derived from the sale of products and services and are adjusted for estimated returns and allowances,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historically have been insignificant. We recognize revenue when the obligations under the terms of a contract with our customers are satisfied; generally, this occurs with the transfer of control of our systems and non-system products or the completion of services. In circumstances where control is not transferred until destination or acceptance, we defer revenue recognition until such events occur.</w:t>
      </w:r>
    </w:p>
    <w:p>
      <w:pPr>
        <w:spacing w:after="0" w:line="179" w:lineRule="exact"/>
        <w:rPr>
          <w:sz w:val="20"/>
          <w:szCs w:val="20"/>
          <w:color w:val="auto"/>
        </w:rPr>
      </w:pPr>
    </w:p>
    <w:p>
      <w:pPr>
        <w:ind w:left="320" w:right="120"/>
        <w:spacing w:after="0" w:line="252" w:lineRule="auto"/>
        <w:rPr>
          <w:sz w:val="20"/>
          <w:szCs w:val="20"/>
          <w:color w:val="auto"/>
        </w:rPr>
      </w:pPr>
      <w:r>
        <w:rPr>
          <w:rFonts w:ascii="Times New Roman" w:cs="Times New Roman" w:eastAsia="Times New Roman" w:hAnsi="Times New Roman"/>
          <w:sz w:val="18"/>
          <w:szCs w:val="18"/>
          <w:color w:val="auto"/>
        </w:rPr>
        <w:t>Revenue for established products that have previously satisfied a customer’s acceptance requirements is generally recognized upon shipment. In cases where a prior history of customer acceptance cannot be demonstrated and in the case of new products, revenue and cost of sales are deferred until customer acceptance has been received. Our post-shipment obligations typically include standard warranties. Service revenue is recognized over time as we transfer control to our customer for the related contract or upon completion of the services if they are short-term in nature. Spares, contactor and kit revenue is generally recognized upon shipment.</w:t>
      </w:r>
    </w:p>
    <w:p>
      <w:pPr>
        <w:spacing w:after="0" w:line="185" w:lineRule="exact"/>
        <w:rPr>
          <w:sz w:val="20"/>
          <w:szCs w:val="20"/>
          <w:color w:val="auto"/>
        </w:rPr>
      </w:pPr>
    </w:p>
    <w:p>
      <w:pPr>
        <w:ind w:left="320" w:right="180"/>
        <w:spacing w:after="0" w:line="259" w:lineRule="auto"/>
        <w:rPr>
          <w:sz w:val="20"/>
          <w:szCs w:val="20"/>
          <w:color w:val="auto"/>
        </w:rPr>
      </w:pPr>
      <w:r>
        <w:rPr>
          <w:rFonts w:ascii="Times New Roman" w:cs="Times New Roman" w:eastAsia="Times New Roman" w:hAnsi="Times New Roman"/>
          <w:sz w:val="18"/>
          <w:szCs w:val="18"/>
          <w:color w:val="auto"/>
        </w:rPr>
        <w:t>Certain of our equipment sales have multiple performance obligations that may occur at different points in time or over different periods of time. For arrangements containing multiple performance obligations, the revenue relating to the undelivered performance obligation is deferred using the relative standalone selling price method utilizing estimated sales prices until satisfaction of the deferred performance obligation.</w:t>
      </w:r>
    </w:p>
    <w:p>
      <w:pPr>
        <w:spacing w:after="0" w:line="178" w:lineRule="exact"/>
        <w:rPr>
          <w:sz w:val="20"/>
          <w:szCs w:val="20"/>
          <w:color w:val="auto"/>
        </w:rPr>
      </w:pPr>
    </w:p>
    <w:p>
      <w:pPr>
        <w:ind w:left="320"/>
        <w:spacing w:after="0" w:line="255" w:lineRule="auto"/>
        <w:rPr>
          <w:sz w:val="20"/>
          <w:szCs w:val="20"/>
          <w:color w:val="auto"/>
        </w:rPr>
      </w:pPr>
      <w:r>
        <w:rPr>
          <w:rFonts w:ascii="Times New Roman" w:cs="Times New Roman" w:eastAsia="Times New Roman" w:hAnsi="Times New Roman"/>
          <w:sz w:val="18"/>
          <w:szCs w:val="18"/>
          <w:color w:val="auto"/>
        </w:rPr>
        <w:t>Unsatisfied performance obligations primarily represent contracts for products with future delivery dates. At December 27, 2025 and December 28, 2024, we had $5.1 million and $5.6 million of revenue expected to be recognized in the future related to performance obligations that are unsatisfied (or partially unsatisfied) for contracts with original expected durations of over one year, respectively. As allowed under ASC 606, we have opted not to disclose unsatisfied performance obligations for contracts with original expected durations of less than one year.</w:t>
      </w:r>
    </w:p>
    <w:p>
      <w:pPr>
        <w:spacing w:after="0" w:line="180" w:lineRule="exact"/>
        <w:rPr>
          <w:sz w:val="20"/>
          <w:szCs w:val="20"/>
          <w:color w:val="auto"/>
        </w:rPr>
      </w:pPr>
    </w:p>
    <w:p>
      <w:pPr>
        <w:jc w:val="both"/>
        <w:ind w:left="320" w:right="120"/>
        <w:spacing w:after="0" w:line="259" w:lineRule="auto"/>
        <w:rPr>
          <w:sz w:val="20"/>
          <w:szCs w:val="20"/>
          <w:color w:val="auto"/>
        </w:rPr>
      </w:pPr>
      <w:r>
        <w:rPr>
          <w:rFonts w:ascii="Times New Roman" w:cs="Times New Roman" w:eastAsia="Times New Roman" w:hAnsi="Times New Roman"/>
          <w:sz w:val="18"/>
          <w:szCs w:val="18"/>
          <w:color w:val="auto"/>
        </w:rPr>
        <w:t xml:space="preserve">We generally sell our equipment with a product warranty. The product warranty provides assurance to customers that delivered products are as specified in the contract (an “assurance-type warranty”). Therefore, we account for such product warranties under ASC Topic 460, </w:t>
      </w:r>
      <w:r>
        <w:rPr>
          <w:rFonts w:ascii="Times New Roman" w:cs="Times New Roman" w:eastAsia="Times New Roman" w:hAnsi="Times New Roman"/>
          <w:sz w:val="18"/>
          <w:szCs w:val="18"/>
          <w:i w:val="1"/>
          <w:iCs w:val="1"/>
          <w:color w:val="auto"/>
        </w:rPr>
        <w:t>Guarantees</w:t>
      </w:r>
      <w:r>
        <w:rPr>
          <w:rFonts w:ascii="Times New Roman" w:cs="Times New Roman" w:eastAsia="Times New Roman" w:hAnsi="Times New Roman"/>
          <w:sz w:val="18"/>
          <w:szCs w:val="18"/>
          <w:color w:val="auto"/>
        </w:rPr>
        <w:t xml:space="preserve"> (“ASC 460”), and not as a separate performance obligation.</w:t>
      </w:r>
    </w:p>
    <w:p>
      <w:pPr>
        <w:spacing w:after="0" w:line="178" w:lineRule="exact"/>
        <w:rPr>
          <w:sz w:val="20"/>
          <w:szCs w:val="20"/>
          <w:color w:val="auto"/>
        </w:rPr>
      </w:pPr>
    </w:p>
    <w:p>
      <w:pPr>
        <w:ind w:left="320" w:right="80"/>
        <w:spacing w:after="0" w:line="267" w:lineRule="auto"/>
        <w:rPr>
          <w:sz w:val="20"/>
          <w:szCs w:val="20"/>
          <w:color w:val="auto"/>
        </w:rPr>
      </w:pPr>
      <w:r>
        <w:rPr>
          <w:rFonts w:ascii="Times New Roman" w:cs="Times New Roman" w:eastAsia="Times New Roman" w:hAnsi="Times New Roman"/>
          <w:sz w:val="17"/>
          <w:szCs w:val="17"/>
          <w:color w:val="auto"/>
        </w:rPr>
        <w:t>The transaction price reflects our expectations about the consideration we will be entitled to receive from the customer and may include fixed or variable amounts. Fixed consideration primarily includes sales to customers in which the amount of consideration is known as of the end of the reporting period. Variable consideration includes sales in which the amount of consideration that we will receive is unknown as of the end of a reporting period. Such consideration primarily includes sales made to certain customers with cumulative tier volume discounts offered. Variable consideration arrangements are rare; however, when they occur, we estimate variable consideration as the expected value to which we expect to be entitled. Included in the transaction price estimate are amounts in which it is probable that a significant reversal of cumulative revenue recognized will not occur when the uncertainty associated with the variable consideration is subsequently resolved. Variable consideration that does not meet revenue recognition criteria is deferred.</w:t>
      </w:r>
    </w:p>
    <w:p>
      <w:pPr>
        <w:spacing w:after="0" w:line="174" w:lineRule="exact"/>
        <w:rPr>
          <w:sz w:val="20"/>
          <w:szCs w:val="20"/>
          <w:color w:val="auto"/>
        </w:rPr>
      </w:pPr>
    </w:p>
    <w:p>
      <w:pPr>
        <w:ind w:left="320" w:right="640"/>
        <w:spacing w:after="0" w:line="274" w:lineRule="auto"/>
        <w:rPr>
          <w:sz w:val="20"/>
          <w:szCs w:val="20"/>
          <w:color w:val="auto"/>
        </w:rPr>
      </w:pPr>
      <w:r>
        <w:rPr>
          <w:rFonts w:ascii="Times New Roman" w:cs="Times New Roman" w:eastAsia="Times New Roman" w:hAnsi="Times New Roman"/>
          <w:sz w:val="18"/>
          <w:szCs w:val="18"/>
          <w:color w:val="auto"/>
        </w:rPr>
        <w:t>For contracts that are less than one year in duration we have elected to use the practical expedient available in ASC 606 to expense cost to obtain contracts as they are incurred because they would be amortized over less than one year.</w:t>
      </w:r>
    </w:p>
    <w:p>
      <w:pPr>
        <w:spacing w:after="0" w:line="163" w:lineRule="exact"/>
        <w:rPr>
          <w:sz w:val="20"/>
          <w:szCs w:val="20"/>
          <w:color w:val="auto"/>
        </w:rPr>
      </w:pPr>
    </w:p>
    <w:p>
      <w:pPr>
        <w:ind w:left="320" w:right="460"/>
        <w:spacing w:after="0" w:line="259" w:lineRule="auto"/>
        <w:rPr>
          <w:sz w:val="20"/>
          <w:szCs w:val="20"/>
          <w:color w:val="auto"/>
        </w:rPr>
      </w:pPr>
      <w:r>
        <w:rPr>
          <w:rFonts w:ascii="Times New Roman" w:cs="Times New Roman" w:eastAsia="Times New Roman" w:hAnsi="Times New Roman"/>
          <w:sz w:val="18"/>
          <w:szCs w:val="18"/>
          <w:color w:val="auto"/>
        </w:rPr>
        <w:t>Accounts receivable represent our unconditional right to receive consideration from our customers. Payment terms do not exceed one year from the invoice date and therefore do not include a significant financing component. To date, there have been no material impairment losses on accounts receivable. There were no material contract assets recorded on the consolidated balance sheet in any of the periods presented.</w:t>
      </w:r>
    </w:p>
    <w:p>
      <w:pPr>
        <w:spacing w:after="0" w:line="178" w:lineRule="exact"/>
        <w:rPr>
          <w:sz w:val="20"/>
          <w:szCs w:val="20"/>
          <w:color w:val="auto"/>
        </w:rPr>
      </w:pPr>
    </w:p>
    <w:p>
      <w:pPr>
        <w:ind w:left="320"/>
        <w:spacing w:after="0" w:line="251" w:lineRule="auto"/>
        <w:rPr>
          <w:sz w:val="20"/>
          <w:szCs w:val="20"/>
          <w:color w:val="auto"/>
        </w:rPr>
      </w:pPr>
      <w:r>
        <w:rPr>
          <w:rFonts w:ascii="Times New Roman" w:cs="Times New Roman" w:eastAsia="Times New Roman" w:hAnsi="Times New Roman"/>
          <w:sz w:val="18"/>
          <w:szCs w:val="18"/>
          <w:color w:val="auto"/>
        </w:rPr>
        <w:t>On shipments where sales are not recognized, gross profit is recorded as deferred profit in our consolidated balance sheet representing the difference between the receivable recorded and the inventory shipped. In certain instances where customer payments are received prior to product shipment, the customer’s payments are recorded as customer advances. At December 27, 2025, we had deferred revenue totaling approximately $15.3 million, current deferred profit of $8.6 million and deferred profit expected to be recognized after one year included in noncurrent other accrued liabilities of $3.7 million. At December 28, 2024, we had deferred revenue totaling approximately $8.6 million, current deferred profit of $3.6 million and deferred profit expected to be recognized after one year included in noncurrent other accrued liabilities of $4.3 million.</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36195</wp:posOffset>
            </wp:positionV>
            <wp:extent cx="71348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97" w:lineRule="exact"/>
        <w:rPr>
          <w:sz w:val="20"/>
          <w:szCs w:val="20"/>
          <w:color w:val="auto"/>
        </w:rPr>
      </w:pPr>
    </w:p>
    <w:tbl>
      <w:tblPr>
        <w:tblLayout w:type="fixed"/>
        <w:tblInd w:w="320" w:type="dxa"/>
        <w:tblCellMar>
          <w:top w:w="0" w:type="dxa"/>
          <w:left w:w="0" w:type="dxa"/>
          <w:bottom w:w="0" w:type="dxa"/>
          <w:right w:w="0" w:type="dxa"/>
        </w:tblCellMar>
      </w:tblPr>
      <w:tr>
        <w:trPr>
          <w:trHeight w:val="231"/>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Disaggregated net sales are as follows:</w:t>
            </w: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6"/>
        </w:trPr>
        <w:tc>
          <w:tcPr>
            <w:tcW w:w="160" w:type="dxa"/>
            <w:vAlign w:val="bottom"/>
          </w:tcPr>
          <w:p>
            <w:pPr>
              <w:spacing w:after="0"/>
              <w:rPr>
                <w:sz w:val="24"/>
                <w:szCs w:val="24"/>
                <w:color w:val="auto"/>
              </w:rPr>
            </w:pPr>
          </w:p>
        </w:tc>
        <w:tc>
          <w:tcPr>
            <w:tcW w:w="5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4"/>
                <w:szCs w:val="24"/>
                <w:color w:val="auto"/>
              </w:rPr>
            </w:pPr>
          </w:p>
        </w:tc>
      </w:tr>
      <w:tr>
        <w:trPr>
          <w:trHeight w:val="205"/>
        </w:trPr>
        <w:tc>
          <w:tcPr>
            <w:tcW w:w="160" w:type="dxa"/>
            <w:vAlign w:val="bottom"/>
          </w:tcPr>
          <w:p>
            <w:pPr>
              <w:spacing w:after="0"/>
              <w:rPr>
                <w:sz w:val="17"/>
                <w:szCs w:val="17"/>
                <w:color w:val="auto"/>
              </w:rPr>
            </w:pPr>
          </w:p>
        </w:tc>
        <w:tc>
          <w:tcPr>
            <w:tcW w:w="568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Systems-Semiconductor Test &amp; Inspection</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00"/>
              <w:spacing w:after="0" w:line="205" w:lineRule="exact"/>
              <w:rPr>
                <w:sz w:val="20"/>
                <w:szCs w:val="20"/>
                <w:color w:val="auto"/>
              </w:rPr>
            </w:pPr>
            <w:r>
              <w:rPr>
                <w:rFonts w:ascii="Times New Roman" w:cs="Times New Roman" w:eastAsia="Times New Roman" w:hAnsi="Times New Roman"/>
                <w:sz w:val="18"/>
                <w:szCs w:val="18"/>
                <w:color w:val="auto"/>
              </w:rPr>
              <w:t>180,627</w:t>
            </w:r>
          </w:p>
        </w:tc>
        <w:tc>
          <w:tcPr>
            <w:tcW w:w="440" w:type="dxa"/>
            <w:vAlign w:val="bottom"/>
            <w:gridSpan w:val="2"/>
            <w:shd w:val="clear" w:color="auto" w:fill="CCEEFF"/>
          </w:tcPr>
          <w:p>
            <w:pPr>
              <w:jc w:val="right"/>
              <w:ind w:right="152"/>
              <w:spacing w:after="0" w:line="205"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580"/>
              <w:spacing w:after="0" w:line="205" w:lineRule="exact"/>
              <w:rPr>
                <w:sz w:val="20"/>
                <w:szCs w:val="20"/>
                <w:color w:val="auto"/>
              </w:rPr>
            </w:pPr>
            <w:r>
              <w:rPr>
                <w:rFonts w:ascii="Times New Roman" w:cs="Times New Roman" w:eastAsia="Times New Roman" w:hAnsi="Times New Roman"/>
                <w:sz w:val="18"/>
                <w:szCs w:val="18"/>
                <w:color w:val="auto"/>
              </w:rPr>
              <w:t>139,133</w:t>
            </w:r>
          </w:p>
        </w:tc>
        <w:tc>
          <w:tcPr>
            <w:tcW w:w="420" w:type="dxa"/>
            <w:vAlign w:val="bottom"/>
            <w:gridSpan w:val="2"/>
            <w:shd w:val="clear" w:color="auto" w:fill="CCEEFF"/>
          </w:tcPr>
          <w:p>
            <w:pPr>
              <w:jc w:val="right"/>
              <w:ind w:right="157"/>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326,448</w:t>
            </w:r>
          </w:p>
        </w:tc>
        <w:tc>
          <w:tcPr>
            <w:tcW w:w="100" w:type="dxa"/>
            <w:vAlign w:val="bottom"/>
            <w:shd w:val="clear" w:color="auto" w:fill="CCEEFF"/>
          </w:tcPr>
          <w:p>
            <w:pPr>
              <w:spacing w:after="0"/>
              <w:rPr>
                <w:sz w:val="17"/>
                <w:szCs w:val="17"/>
                <w:color w:val="auto"/>
              </w:rPr>
            </w:pPr>
          </w:p>
        </w:tc>
      </w:tr>
      <w:tr>
        <w:trPr>
          <w:trHeight w:val="225"/>
        </w:trPr>
        <w:tc>
          <w:tcPr>
            <w:tcW w:w="16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Non-systems-Semiconductor Test &amp; Inspection</w:t>
            </w:r>
          </w:p>
        </w:tc>
        <w:tc>
          <w:tcPr>
            <w:tcW w:w="32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272,329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262,646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309,874</w:t>
            </w:r>
          </w:p>
        </w:tc>
      </w:tr>
      <w:tr>
        <w:trPr>
          <w:trHeight w:val="219"/>
        </w:trPr>
        <w:tc>
          <w:tcPr>
            <w:tcW w:w="160" w:type="dxa"/>
            <w:vAlign w:val="bottom"/>
          </w:tcPr>
          <w:p>
            <w:pPr>
              <w:spacing w:after="0"/>
              <w:rPr>
                <w:sz w:val="19"/>
                <w:szCs w:val="19"/>
                <w:color w:val="auto"/>
              </w:rPr>
            </w:pPr>
          </w:p>
        </w:tc>
        <w:tc>
          <w:tcPr>
            <w:tcW w:w="5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tcBorders>
              <w:top w:val="single" w:sz="8" w:color="auto"/>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452,956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2"/>
              </w:rPr>
              <w:t>401,779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636,322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6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Advertising Costs </w:t>
      </w:r>
      <w:r>
        <w:rPr>
          <w:rFonts w:ascii="Times New Roman" w:cs="Times New Roman" w:eastAsia="Times New Roman" w:hAnsi="Times New Roman"/>
          <w:sz w:val="18"/>
          <w:szCs w:val="18"/>
          <w:color w:val="auto"/>
        </w:rPr>
        <w:t>– Advertising costs are expensed as incurred and were not material for all periods presented.</w:t>
      </w:r>
    </w:p>
    <w:p>
      <w:pPr>
        <w:spacing w:after="0" w:line="217" w:lineRule="exact"/>
        <w:rPr>
          <w:sz w:val="20"/>
          <w:szCs w:val="20"/>
          <w:color w:val="auto"/>
        </w:rPr>
      </w:pPr>
    </w:p>
    <w:p>
      <w:pPr>
        <w:ind w:left="320" w:right="20"/>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Restructuring Costs </w:t>
      </w:r>
      <w:r>
        <w:rPr>
          <w:rFonts w:ascii="Times New Roman" w:cs="Times New Roman" w:eastAsia="Times New Roman" w:hAnsi="Times New Roman"/>
          <w:sz w:val="18"/>
          <w:szCs w:val="18"/>
          <w:color w:val="auto"/>
        </w:rPr>
        <w:t>– We record restructuring activities including costs for one-time termination benefits in accordance with ASC Topic 420,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Exit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Disposal Cost Obligations </w:t>
      </w:r>
      <w:r>
        <w:rPr>
          <w:rFonts w:ascii="Times New Roman" w:cs="Times New Roman" w:eastAsia="Times New Roman" w:hAnsi="Times New Roman"/>
          <w:sz w:val="18"/>
          <w:szCs w:val="18"/>
          <w:color w:val="auto"/>
        </w:rPr>
        <w:t>(“ASC 420”)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timing of recognition for severance costs accounted for under ASC 420 depends on whether employees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required to render service until they are terminated in order to receive the termination benefits. If employees are required to render service until they are terminated in order to receive the termination benefits, a liability is recognized ratably over the future service period. Otherwise, a liability is recognized when management has committed to a restructuring plan and has communicated those actions to employees. Employee termination benefits covered by existing benefit arrangements are recorded in accordance with ASC Topic 712, </w:t>
      </w:r>
      <w:r>
        <w:rPr>
          <w:rFonts w:ascii="Times New Roman" w:cs="Times New Roman" w:eastAsia="Times New Roman" w:hAnsi="Times New Roman"/>
          <w:sz w:val="18"/>
          <w:szCs w:val="18"/>
          <w:i w:val="1"/>
          <w:iCs w:val="1"/>
          <w:color w:val="auto"/>
        </w:rPr>
        <w:t>Nonretirement Postemployment Benefits.</w:t>
      </w:r>
      <w:r>
        <w:rPr>
          <w:rFonts w:ascii="Times New Roman" w:cs="Times New Roman" w:eastAsia="Times New Roman" w:hAnsi="Times New Roman"/>
          <w:sz w:val="18"/>
          <w:szCs w:val="18"/>
          <w:color w:val="auto"/>
        </w:rPr>
        <w:t xml:space="preserve"> These costs are recognized when management has committed to a restructuring plan and the severance costs are probable and estimable.</w:t>
      </w:r>
    </w:p>
    <w:p>
      <w:pPr>
        <w:spacing w:after="0" w:line="187" w:lineRule="exact"/>
        <w:rPr>
          <w:sz w:val="20"/>
          <w:szCs w:val="20"/>
          <w:color w:val="auto"/>
        </w:rPr>
      </w:pPr>
    </w:p>
    <w:p>
      <w:pPr>
        <w:ind w:left="320"/>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Debt Issuance Costs </w:t>
      </w:r>
      <w:r>
        <w:rPr>
          <w:rFonts w:ascii="Times New Roman" w:cs="Times New Roman" w:eastAsia="Times New Roman" w:hAnsi="Times New Roman"/>
          <w:sz w:val="17"/>
          <w:szCs w:val="17"/>
          <w:color w:val="auto"/>
        </w:rPr>
        <w:t>– We defer costs related to the issuance of debt. Debt issuance costs directly related to our Term Loan Credit Facility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Convertible Notes are presented within noncurrent liabilities as a reduction of long-term debt in our consolidated balance sheets. The amortization of such costs is recognized as interest expense using the effective interest method over the term of the respective debt issue. Amortization related to deferred debt issuance costs and original discount costs was $0.4 million and $0.1 million for the years ended December 27, 2025, and December 30, 2023, respectively. Amortization related to deferred debt issuance costs and original discount costs was not material for the year ended December 28, 2024.</w:t>
      </w:r>
    </w:p>
    <w:p>
      <w:pPr>
        <w:spacing w:after="0" w:line="168" w:lineRule="exact"/>
        <w:rPr>
          <w:sz w:val="20"/>
          <w:szCs w:val="20"/>
          <w:color w:val="auto"/>
        </w:rPr>
      </w:pPr>
    </w:p>
    <w:p>
      <w:pPr>
        <w:ind w:left="320" w:right="60"/>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Share-based Compensation </w:t>
      </w:r>
      <w:r>
        <w:rPr>
          <w:rFonts w:ascii="Times New Roman" w:cs="Times New Roman" w:eastAsia="Times New Roman" w:hAnsi="Times New Roman"/>
          <w:sz w:val="18"/>
          <w:szCs w:val="18"/>
          <w:color w:val="auto"/>
        </w:rPr>
        <w:t>– Compensation expense for restricted stock unit (RSU) awards is calculated based on the market price of our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on the grant date. As Cohu doesn’t currently pay dividends, no reduction for expected dividends is applied. Compensation expense for performance stock units (PSUs) with market-based goals is determined using a Monte Carlo simulation model as of the grant date.</w:t>
      </w:r>
    </w:p>
    <w:p>
      <w:pPr>
        <w:spacing w:after="0" w:line="173" w:lineRule="exact"/>
        <w:rPr>
          <w:sz w:val="20"/>
          <w:szCs w:val="20"/>
          <w:color w:val="auto"/>
        </w:rPr>
      </w:pPr>
    </w:p>
    <w:p>
      <w:pPr>
        <w:ind w:left="320" w:right="100"/>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Foreign Remeasurement and Currency Translation </w:t>
      </w:r>
      <w:r>
        <w:rPr>
          <w:rFonts w:ascii="Times New Roman" w:cs="Times New Roman" w:eastAsia="Times New Roman" w:hAnsi="Times New Roman"/>
          <w:sz w:val="18"/>
          <w:szCs w:val="18"/>
          <w:color w:val="auto"/>
        </w:rPr>
        <w:t>– Assets and liabilities of our wholly owned foreign subsidiaries that use the U.S. Dollar as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functional currency are re-measured using exchange rates in effect at the end of the period, except for nonmonetary assets, such as inventories and property, plant and equipment, which are re-measured using historical exchange rates. Revenues and costs are re-measured using average exchange rates for the period, except for costs related to those balance sheet items that are re-measured using historical exchange rates. Gains and losses on foreign currency transactions are recognized as incurred. During the years ended December 27, 2025, December 28, 2024 and December 30, 2023, in our consolidated statement of operations we recognized foreign exchange losses, net of hedging activity, of $0.8 million, $2.4 million and $5.2 million, respectively.</w:t>
      </w:r>
    </w:p>
    <w:p>
      <w:pPr>
        <w:spacing w:after="0" w:line="189" w:lineRule="exact"/>
        <w:rPr>
          <w:sz w:val="20"/>
          <w:szCs w:val="20"/>
          <w:color w:val="auto"/>
        </w:rPr>
      </w:pPr>
    </w:p>
    <w:p>
      <w:pPr>
        <w:ind w:left="320" w:right="60"/>
        <w:spacing w:after="0" w:line="282" w:lineRule="auto"/>
        <w:rPr>
          <w:sz w:val="20"/>
          <w:szCs w:val="20"/>
          <w:color w:val="auto"/>
        </w:rPr>
      </w:pPr>
      <w:r>
        <w:rPr>
          <w:rFonts w:ascii="Times New Roman" w:cs="Times New Roman" w:eastAsia="Times New Roman" w:hAnsi="Times New Roman"/>
          <w:sz w:val="17"/>
          <w:szCs w:val="17"/>
          <w:color w:val="auto"/>
        </w:rPr>
        <w:t>Certain of our foreign subsidiaries have designated the local currency as their functional currency and, as a result, their assets and liabilities are translated at the rate of exchange at the balance sheet date, while revenue and expenses are translated using the average exchange rate for the period. Cumulative translation adjustments resulting from the translation of the financial statements are included as a separate component of stockholders’ equity.</w:t>
      </w:r>
    </w:p>
    <w:p>
      <w:pPr>
        <w:spacing w:after="0" w:line="157" w:lineRule="exact"/>
        <w:rPr>
          <w:sz w:val="20"/>
          <w:szCs w:val="20"/>
          <w:color w:val="auto"/>
        </w:rPr>
      </w:pPr>
    </w:p>
    <w:p>
      <w:pPr>
        <w:ind w:left="320" w:right="40"/>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Foreign Exchange Derivative Contracts </w:t>
      </w:r>
      <w:r>
        <w:rPr>
          <w:rFonts w:ascii="Times New Roman" w:cs="Times New Roman" w:eastAsia="Times New Roman" w:hAnsi="Times New Roman"/>
          <w:sz w:val="18"/>
          <w:szCs w:val="18"/>
          <w:color w:val="auto"/>
        </w:rPr>
        <w:t>– We operate and sell our products in various global markets. As a result, we are exposed to changes in foreign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currency exchange rates. To minimize foreign exchange volatility, we enter into foreign currency forward contracts with a financial institution to hedge against future movements in foreign exchange rates. We do not use derivative financial instruments for speculative or trading purposes. The accounting for changes in the fair value of our derivatives depends on the intended use of the derivative and whether we have elected to designate a derivative as a hedging relationship and apply hedge accounting. All derivative instruments are recognized at fair value on our consolidated balance sheets and all changes in fair value are recognized in net earnings or in the statement of consolidated stockholders’ equity through accumulated other comprehensive loss (“AOCL”).</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36195</wp:posOffset>
            </wp:positionV>
            <wp:extent cx="71348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97" w:lineRule="exact"/>
        <w:rPr>
          <w:sz w:val="20"/>
          <w:szCs w:val="20"/>
          <w:color w:val="auto"/>
        </w:rPr>
      </w:pPr>
    </w:p>
    <w:p>
      <w:pPr>
        <w:ind w:left="320" w:right="100"/>
        <w:spacing w:after="0" w:line="252" w:lineRule="auto"/>
        <w:rPr>
          <w:sz w:val="20"/>
          <w:szCs w:val="20"/>
          <w:color w:val="auto"/>
        </w:rPr>
      </w:pPr>
      <w:r>
        <w:rPr>
          <w:rFonts w:ascii="Times New Roman" w:cs="Times New Roman" w:eastAsia="Times New Roman" w:hAnsi="Times New Roman"/>
          <w:sz w:val="18"/>
          <w:szCs w:val="18"/>
          <w:color w:val="auto"/>
        </w:rPr>
        <w:t>For contracts that qualify for hedge accounting treatment, the hedge contracts must be effective at reducing the risk associated with the exposure being hedged and must be designated as a hedge at the inception of the contract. Hedge effectiveness is assessed periodically. For accounting purposes, certain of our foreign currency forward contracts are not designated as hedging instruments and, accordingly, we record the fair value of these contracts as of the end of our reporting period in our consolidated balance sheets with changes in fair value recorded within foreign transaction gain (loss) in our consolidated statements of operations for both realized and unrealized gains and losses.</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Additional information related to our foreign exchange derivative contracts is included in Note 8, “Derivative Financial Instruments”.</w:t>
      </w:r>
    </w:p>
    <w:p>
      <w:pPr>
        <w:spacing w:after="0" w:line="215" w:lineRule="exact"/>
        <w:rPr>
          <w:sz w:val="20"/>
          <w:szCs w:val="20"/>
          <w:color w:val="auto"/>
        </w:rPr>
      </w:pPr>
    </w:p>
    <w:p>
      <w:pPr>
        <w:ind w:left="320"/>
        <w:spacing w:after="0" w:line="249" w:lineRule="auto"/>
        <w:rPr>
          <w:sz w:val="20"/>
          <w:szCs w:val="20"/>
          <w:color w:val="auto"/>
        </w:rPr>
      </w:pPr>
      <w:r>
        <w:rPr>
          <w:rFonts w:ascii="Times New Roman" w:cs="Times New Roman" w:eastAsia="Times New Roman" w:hAnsi="Times New Roman"/>
          <w:sz w:val="18"/>
          <w:szCs w:val="18"/>
          <w:b w:val="1"/>
          <w:bCs w:val="1"/>
          <w:color w:val="auto"/>
        </w:rPr>
        <w:t xml:space="preserve">Accumulated Other Comprehensive Loss </w:t>
      </w:r>
      <w:r>
        <w:rPr>
          <w:rFonts w:ascii="Times New Roman" w:cs="Times New Roman" w:eastAsia="Times New Roman" w:hAnsi="Times New Roman"/>
          <w:sz w:val="18"/>
          <w:szCs w:val="18"/>
          <w:color w:val="auto"/>
        </w:rPr>
        <w:t>– Our accumulated other comprehensive loss totaled approximately $32.5 million at December 27, 2025,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$51.2 million at December 28, 2024, and was attributed to, net of income taxes where applicable, foreign currency adjustments resulting from the translation of certain accounts into U.S. Dollars, changes in unrealized gains and losses on investments and adjustments to accumulated postretirement benefit obligations. The U.S. Dollar weakened relative to certain foreign currencies in countries where we have operations as of December 27, 2025 and consequently, our accumulated other comprehensive loss attributed to foreign currency translation adjustments decreased by $19.4 million during the year ended December 27, 2025. The U.S. Dollar strengthened relative to certain foreign currencies in countries where we have operations as of December 28, 2024 and consequently, our accumulated other comprehensive loss attributed to foreign currency translation adjustments increased by $16.8 million during the year ended December 28, 2024. Reclassification adjustments from accumulated other comprehensive loss during fiscal 2025 and 2024 were not significant. Additional information related to accumulated other comprehensive loss, on an after-tax basis is included in Note 15, “Accumulated Other Comprehensive Loss”.</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17" w:lineRule="exact"/>
        <w:rPr>
          <w:sz w:val="20"/>
          <w:szCs w:val="20"/>
          <w:color w:val="auto"/>
        </w:rPr>
      </w:pPr>
    </w:p>
    <w:p>
      <w:pPr>
        <w:ind w:left="320" w:right="60"/>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Recently Adopted Accounting Pronouncements </w:t>
      </w:r>
      <w:r>
        <w:rPr>
          <w:rFonts w:ascii="Times New Roman" w:cs="Times New Roman" w:eastAsia="Times New Roman" w:hAnsi="Times New Roman"/>
          <w:sz w:val="18"/>
          <w:szCs w:val="18"/>
          <w:color w:val="auto"/>
        </w:rPr>
        <w:t>– In December 2023, the Financial Accounting Standards Board (“FASB”) issued ASU 2023-09,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Income Taxes (Topic 740): Improvements to Income Tax Disclosures </w:t>
      </w:r>
      <w:r>
        <w:rPr>
          <w:rFonts w:ascii="Times New Roman" w:cs="Times New Roman" w:eastAsia="Times New Roman" w:hAnsi="Times New Roman"/>
          <w:sz w:val="18"/>
          <w:szCs w:val="18"/>
          <w:color w:val="auto"/>
        </w:rPr>
        <w:t>(“ASU 2023-09”), which requires disaggregated information about a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entity’s effective tax rate reconciliation as well as information on income taxes paid. This ASU is effective for fiscal years beginning after December 15, 2024. The Company adopted the new accounting pronouncement in the current period on a prospective basis. The adoption of ASU 2023-09 did not have a material impact on the consolidated financial statements or results of operations, however, it impacted our income tax disclosures in Note 10, “Income Taxes”.</w:t>
      </w:r>
    </w:p>
    <w:p>
      <w:pPr>
        <w:spacing w:after="0" w:line="185" w:lineRule="exact"/>
        <w:rPr>
          <w:sz w:val="20"/>
          <w:szCs w:val="20"/>
          <w:color w:val="auto"/>
        </w:rPr>
      </w:pPr>
    </w:p>
    <w:p>
      <w:pPr>
        <w:ind w:left="320"/>
        <w:spacing w:after="0" w:line="271" w:lineRule="auto"/>
        <w:rPr>
          <w:sz w:val="20"/>
          <w:szCs w:val="20"/>
          <w:color w:val="auto"/>
        </w:rPr>
      </w:pPr>
      <w:r>
        <w:rPr>
          <w:rFonts w:ascii="Times New Roman" w:cs="Times New Roman" w:eastAsia="Times New Roman" w:hAnsi="Times New Roman"/>
          <w:sz w:val="17"/>
          <w:szCs w:val="17"/>
          <w:color w:val="auto"/>
        </w:rPr>
        <w:t xml:space="preserve">In March 2020, the FASB issued ASU 2020-04, </w:t>
      </w:r>
      <w:r>
        <w:rPr>
          <w:rFonts w:ascii="Times New Roman" w:cs="Times New Roman" w:eastAsia="Times New Roman" w:hAnsi="Times New Roman"/>
          <w:sz w:val="17"/>
          <w:szCs w:val="17"/>
          <w:i w:val="1"/>
          <w:iCs w:val="1"/>
          <w:color w:val="auto"/>
        </w:rPr>
        <w:t>Reference Rate Reform (Topic 848) Facilitation of the Effects of Reference Rate Reform on 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Reporting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ASC 848</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ASC 848 provides temporary optional expedients and exceptions to certain U.S. GAAP contract modification requirements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contracts affected by reference rate reform as entities transition away from the London Interbank Offered Rate (“LIBOR”) to alternative reference rates. In December 2022, the FASB issued ASU 2022-06, </w:t>
      </w:r>
      <w:r>
        <w:rPr>
          <w:rFonts w:ascii="Times New Roman" w:cs="Times New Roman" w:eastAsia="Times New Roman" w:hAnsi="Times New Roman"/>
          <w:sz w:val="17"/>
          <w:szCs w:val="17"/>
          <w:i w:val="1"/>
          <w:iCs w:val="1"/>
          <w:color w:val="auto"/>
        </w:rPr>
        <w:t>Reference Rate Reform (Topic 848): Deferral of the Sunset Date of Topic 848</w:t>
      </w:r>
      <w:r>
        <w:rPr>
          <w:rFonts w:ascii="Times New Roman" w:cs="Times New Roman" w:eastAsia="Times New Roman" w:hAnsi="Times New Roman"/>
          <w:sz w:val="17"/>
          <w:szCs w:val="17"/>
          <w:color w:val="auto"/>
        </w:rPr>
        <w:t xml:space="preserve"> to defer the sunset date of ASC 848 from December 31, 2022 to December 31, 2024, after which entities will no longer be permitted to apply the optional expedients in ASC 848.</w:t>
      </w:r>
    </w:p>
    <w:p>
      <w:pPr>
        <w:spacing w:after="0" w:line="170" w:lineRule="exact"/>
        <w:rPr>
          <w:sz w:val="20"/>
          <w:szCs w:val="20"/>
          <w:color w:val="auto"/>
        </w:rPr>
      </w:pPr>
    </w:p>
    <w:p>
      <w:pPr>
        <w:ind w:left="320" w:right="160"/>
        <w:spacing w:after="0" w:line="251" w:lineRule="auto"/>
        <w:rPr>
          <w:sz w:val="20"/>
          <w:szCs w:val="20"/>
          <w:color w:val="auto"/>
        </w:rPr>
      </w:pPr>
      <w:r>
        <w:rPr>
          <w:rFonts w:ascii="Times New Roman" w:cs="Times New Roman" w:eastAsia="Times New Roman" w:hAnsi="Times New Roman"/>
          <w:sz w:val="18"/>
          <w:szCs w:val="18"/>
          <w:color w:val="auto"/>
        </w:rPr>
        <w:t>Effective June 16, 2023, we adopted ASC 848. Our Term Loan B Credit and Guaranty Agreement dated as of October 1, 2018, as amended, is our only contract where interest expense is based on LIBOR. The ICE Benchmark Administration Limited, LIBOR’s administrator, has ceased publishing certain LIBOR settings and stopped publishing the Overnight, 1-month, 3-month, 6-month, and 12-month USD LIBOR U.S. dollar settings in fiscal 2023. As a result, we commenced the transition of our LIBOR-based contract to SOFR. The optional expedients under ASC 848 have allowed and will allow us to account for contract modifications as continuations of the existing contract without further reassessments or remeasurements that would otherwise be required under the applicable U.S. GAAP.</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On February 9, 2024 we made a cash payment of $29.3 million to repay the remaining outstanding principal of our Term Loan Credit Facility.</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36195</wp:posOffset>
            </wp:positionV>
            <wp:extent cx="71348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95" w:lineRule="exact"/>
        <w:rPr>
          <w:sz w:val="20"/>
          <w:szCs w:val="20"/>
          <w:color w:val="auto"/>
        </w:rPr>
      </w:pPr>
    </w:p>
    <w:p>
      <w:pPr>
        <w:ind w:left="32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Recently Issued Accounting Pronouncements </w:t>
      </w:r>
      <w:r>
        <w:rPr>
          <w:rFonts w:ascii="Times New Roman" w:cs="Times New Roman" w:eastAsia="Times New Roman" w:hAnsi="Times New Roman"/>
          <w:sz w:val="18"/>
          <w:szCs w:val="18"/>
          <w:color w:val="auto"/>
        </w:rPr>
        <w:t>– In November 2024, the FASB issued ASU 2024-03,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Income Statement-Reporting Comprehensive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Income-Expense Disaggregation Disclosures (Subtopic 220-40): Disaggregation of Income Statement Expenses, </w:t>
      </w:r>
      <w:r>
        <w:rPr>
          <w:rFonts w:ascii="Times New Roman" w:cs="Times New Roman" w:eastAsia="Times New Roman" w:hAnsi="Times New Roman"/>
          <w:sz w:val="18"/>
          <w:szCs w:val="18"/>
          <w:color w:val="auto"/>
        </w:rPr>
        <w:t>requiring public entities to disclose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information about specific expense categories in the notes to the financial statements on an interim and annual basis. ASU 2024-03 is effective for fiscal years beginning after December 15, 2026, and for interim periods beginning after December 15, 2027, with early adoption permitted. We are currently evaluating the impact of adopting ASU 2024-03.</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All other newly issued accounting pronouncements not yet effective have been deemed either immaterial or not applicable.</w:t>
      </w:r>
    </w:p>
    <w:p>
      <w:pPr>
        <w:spacing w:after="0" w:line="200" w:lineRule="exact"/>
        <w:rPr>
          <w:sz w:val="20"/>
          <w:szCs w:val="20"/>
          <w:color w:val="auto"/>
        </w:rPr>
      </w:pPr>
    </w:p>
    <w:p>
      <w:pPr>
        <w:spacing w:after="0" w:line="254" w:lineRule="exact"/>
        <w:rPr>
          <w:sz w:val="20"/>
          <w:szCs w:val="20"/>
          <w:color w:val="auto"/>
        </w:rPr>
      </w:pPr>
    </w:p>
    <w:p>
      <w:pPr>
        <w:ind w:left="320" w:hanging="314"/>
        <w:spacing w:after="0"/>
        <w:tabs>
          <w:tab w:leader="none" w:pos="3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Purchased Intangible Assets</w:t>
      </w:r>
    </w:p>
    <w:p>
      <w:pPr>
        <w:spacing w:after="0" w:line="217"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Changes in the carrying value of our goodwill during the years ended December 27, 2025, and December 28, 2024,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2"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7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Total Goodwill</w:t>
            </w:r>
          </w:p>
        </w:tc>
      </w:tr>
      <w:tr>
        <w:trPr>
          <w:trHeight w:val="205"/>
        </w:trPr>
        <w:tc>
          <w:tcPr>
            <w:tcW w:w="738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Balance December 30, 2023</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241,658</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25"/>
        </w:trPr>
        <w:tc>
          <w:tcPr>
            <w:tcW w:w="7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Impact of currency exchange</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(7,019)</w:t>
            </w:r>
          </w:p>
        </w:tc>
      </w:tr>
      <w:tr>
        <w:trPr>
          <w:trHeight w:val="205"/>
        </w:trPr>
        <w:tc>
          <w:tcPr>
            <w:tcW w:w="738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Balance December 28, 2024</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234,639</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2"/>
        </w:trPr>
        <w:tc>
          <w:tcPr>
            <w:tcW w:w="7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Additions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33,688</w:t>
            </w:r>
          </w:p>
        </w:tc>
      </w:tr>
      <w:tr>
        <w:trPr>
          <w:trHeight w:val="225"/>
        </w:trPr>
        <w:tc>
          <w:tcPr>
            <w:tcW w:w="7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Impact of currency exchange</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14,700</w:t>
            </w:r>
          </w:p>
        </w:tc>
      </w:tr>
      <w:tr>
        <w:trPr>
          <w:trHeight w:val="218"/>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27, 2025</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283,027</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7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2" w:lineRule="exact"/>
        <w:rPr>
          <w:sz w:val="20"/>
          <w:szCs w:val="20"/>
          <w:color w:val="auto"/>
        </w:rPr>
      </w:pPr>
    </w:p>
    <w:tbl>
      <w:tblPr>
        <w:tblLayout w:type="fixed"/>
        <w:tblInd w:w="320" w:type="dxa"/>
        <w:tblCellMar>
          <w:top w:w="0" w:type="dxa"/>
          <w:left w:w="0" w:type="dxa"/>
          <w:bottom w:w="0" w:type="dxa"/>
          <w:right w:w="0" w:type="dxa"/>
        </w:tblCellMar>
      </w:tblPr>
      <w:tr>
        <w:trPr>
          <w:trHeight w:val="233"/>
        </w:trPr>
        <w:tc>
          <w:tcPr>
            <w:tcW w:w="66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 xml:space="preserve">Purchased intangible assets, subject to amortization,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23"/>
        </w:trPr>
        <w:tc>
          <w:tcPr>
            <w:tcW w:w="3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December 27, 2025</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20" w:type="dxa"/>
            <w:vAlign w:val="bottom"/>
            <w:gridSpan w:val="6"/>
          </w:tcPr>
          <w:p>
            <w:pPr>
              <w:ind w:left="400"/>
              <w:spacing w:after="0"/>
              <w:rPr>
                <w:sz w:val="20"/>
                <w:szCs w:val="20"/>
                <w:color w:val="auto"/>
              </w:rPr>
            </w:pPr>
            <w:r>
              <w:rPr>
                <w:rFonts w:ascii="Times New Roman" w:cs="Times New Roman" w:eastAsia="Times New Roman" w:hAnsi="Times New Roman"/>
                <w:sz w:val="18"/>
                <w:szCs w:val="18"/>
                <w:color w:val="auto"/>
              </w:rPr>
              <w:t>December 28, 2024</w:t>
            </w:r>
          </w:p>
        </w:tc>
      </w:tr>
      <w:tr>
        <w:trPr>
          <w:trHeight w:val="187"/>
        </w:trPr>
        <w:tc>
          <w:tcPr>
            <w:tcW w:w="38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center"/>
              <w:spacing w:after="0" w:line="187" w:lineRule="exact"/>
              <w:rPr>
                <w:sz w:val="20"/>
                <w:szCs w:val="20"/>
                <w:color w:val="auto"/>
              </w:rPr>
            </w:pPr>
            <w:r>
              <w:rPr>
                <w:rFonts w:ascii="Times New Roman" w:cs="Times New Roman" w:eastAsia="Times New Roman" w:hAnsi="Times New Roman"/>
                <w:sz w:val="18"/>
                <w:szCs w:val="18"/>
                <w:color w:val="auto"/>
                <w:w w:val="98"/>
              </w:rPr>
              <w:t>Remaining</w:t>
            </w: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12"/>
        </w:trPr>
        <w:tc>
          <w:tcPr>
            <w:tcW w:w="38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Gross Carrying</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Accumulated</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Useful Life</w:t>
            </w:r>
          </w:p>
        </w:tc>
        <w:tc>
          <w:tcPr>
            <w:tcW w:w="220" w:type="dxa"/>
            <w:vAlign w:val="bottom"/>
          </w:tcPr>
          <w:p>
            <w:pPr>
              <w:spacing w:after="0"/>
              <w:rPr>
                <w:sz w:val="18"/>
                <w:szCs w:val="18"/>
                <w:color w:val="auto"/>
              </w:rPr>
            </w:pP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Gross Carrying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Accumulated</w:t>
            </w:r>
          </w:p>
        </w:tc>
      </w:tr>
      <w:tr>
        <w:trPr>
          <w:trHeight w:val="230"/>
        </w:trPr>
        <w:tc>
          <w:tcPr>
            <w:tcW w:w="38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(years)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20" w:type="dxa"/>
            <w:vAlign w:val="bottom"/>
          </w:tcPr>
          <w:p>
            <w:pPr>
              <w:spacing w:after="0"/>
              <w:rPr>
                <w:sz w:val="20"/>
                <w:szCs w:val="20"/>
                <w:color w:val="auto"/>
              </w:rPr>
            </w:pPr>
          </w:p>
        </w:tc>
      </w:tr>
      <w:tr>
        <w:trPr>
          <w:trHeight w:val="205"/>
        </w:trPr>
        <w:tc>
          <w:tcPr>
            <w:tcW w:w="388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Developed technology</w:t>
            </w:r>
          </w:p>
        </w:tc>
        <w:tc>
          <w:tcPr>
            <w:tcW w:w="200" w:type="dxa"/>
            <w:vAlign w:val="bottom"/>
            <w:shd w:val="clear" w:color="auto" w:fill="CCEEFF"/>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241,038</w:t>
            </w:r>
          </w:p>
        </w:tc>
        <w:tc>
          <w:tcPr>
            <w:tcW w:w="320" w:type="dxa"/>
            <w:vAlign w:val="bottom"/>
            <w:gridSpan w:val="2"/>
            <w:shd w:val="clear" w:color="auto" w:fill="CCEEFF"/>
          </w:tcPr>
          <w:p>
            <w:pPr>
              <w:jc w:val="right"/>
              <w:ind w:right="2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00"/>
              <w:spacing w:after="0" w:line="205" w:lineRule="exact"/>
              <w:rPr>
                <w:sz w:val="20"/>
                <w:szCs w:val="20"/>
                <w:color w:val="auto"/>
              </w:rPr>
            </w:pPr>
            <w:r>
              <w:rPr>
                <w:rFonts w:ascii="Times New Roman" w:cs="Times New Roman" w:eastAsia="Times New Roman" w:hAnsi="Times New Roman"/>
                <w:sz w:val="18"/>
                <w:szCs w:val="18"/>
                <w:color w:val="auto"/>
              </w:rPr>
              <w:t>199,776</w:t>
            </w:r>
          </w:p>
        </w:tc>
        <w:tc>
          <w:tcPr>
            <w:tcW w:w="1080" w:type="dxa"/>
            <w:vAlign w:val="bottom"/>
            <w:shd w:val="clear" w:color="auto" w:fill="CCEEFF"/>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3.5</w:t>
            </w:r>
          </w:p>
        </w:tc>
        <w:tc>
          <w:tcPr>
            <w:tcW w:w="420" w:type="dxa"/>
            <w:vAlign w:val="bottom"/>
            <w:gridSpan w:val="2"/>
            <w:shd w:val="clear" w:color="auto" w:fill="CCEEFF"/>
          </w:tcPr>
          <w:p>
            <w:pPr>
              <w:jc w:val="right"/>
              <w:ind w:right="32"/>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20"/>
              <w:spacing w:after="0" w:line="205" w:lineRule="exact"/>
              <w:rPr>
                <w:sz w:val="20"/>
                <w:szCs w:val="20"/>
                <w:color w:val="auto"/>
              </w:rPr>
            </w:pPr>
            <w:r>
              <w:rPr>
                <w:rFonts w:ascii="Times New Roman" w:cs="Times New Roman" w:eastAsia="Times New Roman" w:hAnsi="Times New Roman"/>
                <w:sz w:val="18"/>
                <w:szCs w:val="18"/>
                <w:color w:val="auto"/>
              </w:rPr>
              <w:t>228,789</w:t>
            </w:r>
          </w:p>
        </w:tc>
        <w:tc>
          <w:tcPr>
            <w:tcW w:w="200" w:type="dxa"/>
            <w:vAlign w:val="bottom"/>
            <w:gridSpan w:val="2"/>
            <w:shd w:val="clear" w:color="auto" w:fill="CCEEFF"/>
          </w:tcPr>
          <w:p>
            <w:pPr>
              <w:jc w:val="right"/>
              <w:ind w:right="2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20"/>
              <w:spacing w:after="0" w:line="205" w:lineRule="exact"/>
              <w:rPr>
                <w:sz w:val="20"/>
                <w:szCs w:val="20"/>
                <w:color w:val="auto"/>
              </w:rPr>
            </w:pPr>
            <w:r>
              <w:rPr>
                <w:rFonts w:ascii="Times New Roman" w:cs="Times New Roman" w:eastAsia="Times New Roman" w:hAnsi="Times New Roman"/>
                <w:sz w:val="18"/>
                <w:szCs w:val="18"/>
                <w:color w:val="auto"/>
              </w:rPr>
              <w:t>163,453</w:t>
            </w:r>
          </w:p>
        </w:tc>
      </w:tr>
      <w:tr>
        <w:trPr>
          <w:trHeight w:val="212"/>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75,677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44,210</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72,570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35,229</w:t>
            </w:r>
          </w:p>
        </w:tc>
      </w:tr>
      <w:tr>
        <w:trPr>
          <w:trHeight w:val="212"/>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15,845</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20,926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12,930</w:t>
            </w:r>
          </w:p>
        </w:tc>
      </w:tr>
      <w:tr>
        <w:trPr>
          <w:trHeight w:val="212"/>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Backlog</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r>
      <w:tr>
        <w:trPr>
          <w:trHeight w:val="212"/>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Covenant not-to-compete</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179</w:t>
            </w:r>
          </w:p>
        </w:tc>
      </w:tr>
      <w:tr>
        <w:trPr>
          <w:trHeight w:val="20"/>
        </w:trPr>
        <w:tc>
          <w:tcPr>
            <w:tcW w:w="38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5"/>
        </w:trPr>
        <w:tc>
          <w:tcPr>
            <w:tcW w:w="3880" w:type="dxa"/>
            <w:vAlign w:val="bottom"/>
          </w:tcPr>
          <w:p>
            <w:pPr>
              <w:spacing w:after="0"/>
              <w:rPr>
                <w:sz w:val="17"/>
                <w:szCs w:val="17"/>
                <w:color w:val="auto"/>
              </w:rPr>
            </w:pPr>
          </w:p>
        </w:tc>
        <w:tc>
          <w:tcPr>
            <w:tcW w:w="200" w:type="dxa"/>
            <w:vAlign w:val="bottom"/>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339,306</w:t>
            </w:r>
          </w:p>
        </w:tc>
        <w:tc>
          <w:tcPr>
            <w:tcW w:w="320" w:type="dxa"/>
            <w:vAlign w:val="bottom"/>
            <w:gridSpan w:val="2"/>
          </w:tcPr>
          <w:p>
            <w:pPr>
              <w:jc w:val="right"/>
              <w:ind w:right="2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0"/>
              <w:spacing w:after="0" w:line="205" w:lineRule="exact"/>
              <w:rPr>
                <w:sz w:val="20"/>
                <w:szCs w:val="20"/>
                <w:color w:val="auto"/>
              </w:rPr>
            </w:pPr>
            <w:r>
              <w:rPr>
                <w:rFonts w:ascii="Times New Roman" w:cs="Times New Roman" w:eastAsia="Times New Roman" w:hAnsi="Times New Roman"/>
                <w:sz w:val="18"/>
                <w:szCs w:val="18"/>
                <w:color w:val="auto"/>
              </w:rPr>
              <w:t>260,034</w:t>
            </w:r>
          </w:p>
        </w:tc>
        <w:tc>
          <w:tcPr>
            <w:tcW w:w="1080" w:type="dxa"/>
            <w:vAlign w:val="bottom"/>
          </w:tcPr>
          <w:p>
            <w:pPr>
              <w:spacing w:after="0"/>
              <w:rPr>
                <w:sz w:val="17"/>
                <w:szCs w:val="17"/>
                <w:color w:val="auto"/>
              </w:rPr>
            </w:pPr>
          </w:p>
        </w:tc>
        <w:tc>
          <w:tcPr>
            <w:tcW w:w="420" w:type="dxa"/>
            <w:vAlign w:val="bottom"/>
            <w:gridSpan w:val="2"/>
          </w:tcPr>
          <w:p>
            <w:pPr>
              <w:jc w:val="right"/>
              <w:ind w:right="32"/>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line="205" w:lineRule="exact"/>
              <w:rPr>
                <w:sz w:val="20"/>
                <w:szCs w:val="20"/>
                <w:color w:val="auto"/>
              </w:rPr>
            </w:pPr>
            <w:r>
              <w:rPr>
                <w:rFonts w:ascii="Times New Roman" w:cs="Times New Roman" w:eastAsia="Times New Roman" w:hAnsi="Times New Roman"/>
                <w:sz w:val="18"/>
                <w:szCs w:val="18"/>
                <w:color w:val="auto"/>
              </w:rPr>
              <w:t>322,608</w:t>
            </w:r>
          </w:p>
        </w:tc>
        <w:tc>
          <w:tcPr>
            <w:tcW w:w="200" w:type="dxa"/>
            <w:vAlign w:val="bottom"/>
            <w:gridSpan w:val="2"/>
          </w:tcPr>
          <w:p>
            <w:pPr>
              <w:jc w:val="right"/>
              <w:ind w:right="2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0"/>
              <w:spacing w:after="0" w:line="205" w:lineRule="exact"/>
              <w:rPr>
                <w:sz w:val="20"/>
                <w:szCs w:val="20"/>
                <w:color w:val="auto"/>
              </w:rPr>
            </w:pPr>
            <w:r>
              <w:rPr>
                <w:rFonts w:ascii="Times New Roman" w:cs="Times New Roman" w:eastAsia="Times New Roman" w:hAnsi="Times New Roman"/>
                <w:sz w:val="18"/>
                <w:szCs w:val="18"/>
                <w:color w:val="auto"/>
              </w:rPr>
              <w:t>211,891</w:t>
            </w:r>
          </w:p>
        </w:tc>
      </w:tr>
      <w:tr>
        <w:trPr>
          <w:trHeight w:val="20"/>
        </w:trPr>
        <w:tc>
          <w:tcPr>
            <w:tcW w:w="3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Changes in the carrying values of purchased intangible assets presented above are a result of the impact of fluctuations in currency exchange rates.</w:t>
      </w:r>
    </w:p>
    <w:p>
      <w:pPr>
        <w:spacing w:after="0" w:line="217" w:lineRule="exact"/>
        <w:rPr>
          <w:sz w:val="20"/>
          <w:szCs w:val="20"/>
          <w:color w:val="auto"/>
        </w:rPr>
      </w:pPr>
    </w:p>
    <w:p>
      <w:pPr>
        <w:ind w:left="320"/>
        <w:spacing w:after="0" w:line="255" w:lineRule="auto"/>
        <w:rPr>
          <w:sz w:val="20"/>
          <w:szCs w:val="20"/>
          <w:color w:val="auto"/>
        </w:rPr>
      </w:pPr>
      <w:r>
        <w:rPr>
          <w:rFonts w:ascii="Times New Roman" w:cs="Times New Roman" w:eastAsia="Times New Roman" w:hAnsi="Times New Roman"/>
          <w:sz w:val="18"/>
          <w:szCs w:val="18"/>
          <w:color w:val="auto"/>
        </w:rPr>
        <w:t>We evaluate goodwill for impairment annually and when an event occurs or circumstances change that indicate that the carrying value may not be recoverable. We completed our required annual goodwill impairment testing as of October 1, 2025 and concluded there were no impairments of goodwill within our reporting units at that time. Other events and changes in circumstances may also require goodwill to be tested for impairment between annual measurement dates.</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Amortization expense related to purchased intangible assets was approximately $37.5 million in fiscal 2025, $39.1 million in fiscal 2024 and</w:t>
      </w:r>
    </w:p>
    <w:p>
      <w:pPr>
        <w:spacing w:after="0" w:line="24" w:lineRule="exact"/>
        <w:rPr>
          <w:sz w:val="20"/>
          <w:szCs w:val="20"/>
          <w:color w:val="auto"/>
        </w:rPr>
      </w:pPr>
    </w:p>
    <w:p>
      <w:pPr>
        <w:ind w:left="320" w:right="240"/>
        <w:spacing w:after="0" w:line="251" w:lineRule="auto"/>
        <w:rPr>
          <w:sz w:val="20"/>
          <w:szCs w:val="20"/>
          <w:color w:val="auto"/>
        </w:rPr>
      </w:pPr>
      <w:r>
        <w:rPr>
          <w:rFonts w:ascii="Times New Roman" w:cs="Times New Roman" w:eastAsia="Times New Roman" w:hAnsi="Times New Roman"/>
          <w:sz w:val="18"/>
          <w:szCs w:val="18"/>
          <w:color w:val="auto"/>
        </w:rPr>
        <w:t>$36.4 million in fiscal 2023. As of December 27, 2025, we expect amortization expense in future periods to be as follows: fiscal 2026 - $26.9 million; fiscal 2027 - $18.7 million; fiscal 2028 - $12.3 million; fiscal 2029 - $8.2 million fiscal 2030 - $6.2 million; and thereafter $7.0 million.</w:t>
      </w:r>
    </w:p>
    <w:p>
      <w:pPr>
        <w:spacing w:after="0" w:line="18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36195</wp:posOffset>
            </wp:positionV>
            <wp:extent cx="71348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320" w:hanging="314"/>
        <w:spacing w:after="0"/>
        <w:tabs>
          <w:tab w:leader="none" w:pos="3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Borrowings and Credit Agreements</w:t>
      </w:r>
    </w:p>
    <w:p>
      <w:pPr>
        <w:spacing w:after="0" w:line="219"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is a summary of our borrowings as of December 27, 2025 and December 28, 2024:</w:t>
      </w:r>
    </w:p>
    <w:p>
      <w:pPr>
        <w:spacing w:after="0" w:line="230" w:lineRule="exact"/>
        <w:rPr>
          <w:sz w:val="20"/>
          <w:szCs w:val="20"/>
          <w:color w:val="auto"/>
        </w:rPr>
      </w:pPr>
    </w:p>
    <w:tbl>
      <w:tblPr>
        <w:tblLayout w:type="fixed"/>
        <w:tblInd w:w="480" w:type="dxa"/>
        <w:tblCellMar>
          <w:top w:w="0" w:type="dxa"/>
          <w:left w:w="0" w:type="dxa"/>
          <w:bottom w:w="0" w:type="dxa"/>
          <w:right w:w="0" w:type="dxa"/>
        </w:tblCellMar>
      </w:tblPr>
      <w:tr>
        <w:trPr>
          <w:trHeight w:val="230"/>
        </w:trPr>
        <w:tc>
          <w:tcPr>
            <w:tcW w:w="67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5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ind w:right="192"/>
              <w:spacing w:after="0"/>
              <w:rPr>
                <w:sz w:val="20"/>
                <w:szCs w:val="20"/>
                <w:color w:val="auto"/>
              </w:rPr>
            </w:pPr>
            <w:r>
              <w:rPr>
                <w:rFonts w:ascii="Times New Roman" w:cs="Times New Roman" w:eastAsia="Times New Roman" w:hAnsi="Times New Roman"/>
                <w:sz w:val="18"/>
                <w:szCs w:val="18"/>
                <w:color w:val="auto"/>
              </w:rPr>
              <w:t>Fiscal year ended</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6780" w:type="dxa"/>
            <w:vAlign w:val="bottom"/>
            <w:tcBorders>
              <w:bottom w:val="single" w:sz="8" w:color="auto"/>
            </w:tcBorders>
            <w:vMerge w:val="continue"/>
          </w:tcPr>
          <w:p>
            <w:pPr>
              <w:spacing w:after="0"/>
              <w:rPr>
                <w:sz w:val="17"/>
                <w:szCs w:val="17"/>
                <w:color w:val="auto"/>
              </w:rPr>
            </w:pPr>
          </w:p>
        </w:tc>
        <w:tc>
          <w:tcPr>
            <w:tcW w:w="1740" w:type="dxa"/>
            <w:vAlign w:val="bottom"/>
            <w:tcBorders>
              <w:bottom w:val="single" w:sz="8" w:color="auto"/>
            </w:tcBorders>
            <w:gridSpan w:val="3"/>
          </w:tcPr>
          <w:p>
            <w:pPr>
              <w:jc w:val="right"/>
              <w:ind w:right="280"/>
              <w:spacing w:after="0" w:line="205" w:lineRule="exact"/>
              <w:rPr>
                <w:sz w:val="20"/>
                <w:szCs w:val="20"/>
                <w:color w:val="auto"/>
              </w:rPr>
            </w:pPr>
            <w:r>
              <w:rPr>
                <w:rFonts w:ascii="Times New Roman" w:cs="Times New Roman" w:eastAsia="Times New Roman" w:hAnsi="Times New Roman"/>
                <w:sz w:val="18"/>
                <w:szCs w:val="18"/>
                <w:color w:val="auto"/>
              </w:rPr>
              <w:t>December 27, 2025</w:t>
            </w:r>
          </w:p>
        </w:tc>
        <w:tc>
          <w:tcPr>
            <w:tcW w:w="1500" w:type="dxa"/>
            <w:vAlign w:val="bottom"/>
            <w:tcBorders>
              <w:bottom w:val="single" w:sz="8" w:color="auto"/>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auto"/>
              </w:rPr>
              <w:t>December 28, 2024</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78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Convertible notes</w:t>
            </w:r>
          </w:p>
        </w:tc>
        <w:tc>
          <w:tcPr>
            <w:tcW w:w="520" w:type="dxa"/>
            <w:vAlign w:val="bottom"/>
            <w:shd w:val="clear" w:color="auto" w:fill="CCEEFF"/>
          </w:tcPr>
          <w:p>
            <w:pPr>
              <w:jc w:val="right"/>
              <w:ind w:right="332"/>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00"/>
              <w:spacing w:after="0" w:line="205" w:lineRule="exact"/>
              <w:rPr>
                <w:sz w:val="20"/>
                <w:szCs w:val="20"/>
                <w:color w:val="auto"/>
              </w:rPr>
            </w:pPr>
            <w:r>
              <w:rPr>
                <w:rFonts w:ascii="Times New Roman" w:cs="Times New Roman" w:eastAsia="Times New Roman" w:hAnsi="Times New Roman"/>
                <w:sz w:val="18"/>
                <w:szCs w:val="18"/>
                <w:color w:val="auto"/>
              </w:rPr>
              <w:t>287,500</w:t>
            </w:r>
          </w:p>
        </w:tc>
        <w:tc>
          <w:tcPr>
            <w:tcW w:w="780" w:type="dxa"/>
            <w:vAlign w:val="bottom"/>
            <w:shd w:val="clear" w:color="auto" w:fill="CCEEFF"/>
          </w:tcPr>
          <w:p>
            <w:pPr>
              <w:jc w:val="right"/>
              <w:ind w:right="592"/>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Bank term loans-Kita</w:t>
            </w:r>
          </w:p>
        </w:tc>
        <w:tc>
          <w:tcPr>
            <w:tcW w:w="5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1,530</w:t>
            </w:r>
          </w:p>
        </w:tc>
        <w:tc>
          <w:tcPr>
            <w:tcW w:w="7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1,694</w:t>
            </w:r>
          </w:p>
        </w:tc>
        <w:tc>
          <w:tcPr>
            <w:tcW w:w="0" w:type="dxa"/>
            <w:vAlign w:val="bottom"/>
          </w:tcPr>
          <w:p>
            <w:pPr>
              <w:spacing w:after="0"/>
              <w:rPr>
                <w:sz w:val="1"/>
                <w:szCs w:val="1"/>
                <w:color w:val="auto"/>
              </w:rPr>
            </w:pPr>
          </w:p>
        </w:tc>
      </w:tr>
      <w:tr>
        <w:trPr>
          <w:trHeight w:val="212"/>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loan-Cohu GmbH</w:t>
            </w:r>
          </w:p>
        </w:tc>
        <w:tc>
          <w:tcPr>
            <w:tcW w:w="5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6,252</w:t>
            </w:r>
          </w:p>
        </w:tc>
        <w:tc>
          <w:tcPr>
            <w:tcW w:w="7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5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9,360</w:t>
            </w:r>
          </w:p>
        </w:tc>
        <w:tc>
          <w:tcPr>
            <w:tcW w:w="7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6,473</w:t>
            </w:r>
          </w:p>
        </w:tc>
        <w:tc>
          <w:tcPr>
            <w:tcW w:w="0" w:type="dxa"/>
            <w:vAlign w:val="bottom"/>
          </w:tcPr>
          <w:p>
            <w:pPr>
              <w:spacing w:after="0"/>
              <w:rPr>
                <w:sz w:val="1"/>
                <w:szCs w:val="1"/>
                <w:color w:val="auto"/>
              </w:rPr>
            </w:pPr>
          </w:p>
        </w:tc>
      </w:tr>
      <w:tr>
        <w:trPr>
          <w:trHeight w:val="225"/>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Lines of credit</w:t>
            </w:r>
          </w:p>
        </w:tc>
        <w:tc>
          <w:tcPr>
            <w:tcW w:w="5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447</w:t>
            </w:r>
          </w:p>
        </w:tc>
        <w:tc>
          <w:tcPr>
            <w:tcW w:w="7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633</w:t>
            </w:r>
          </w:p>
        </w:tc>
        <w:tc>
          <w:tcPr>
            <w:tcW w:w="0" w:type="dxa"/>
            <w:vAlign w:val="bottom"/>
          </w:tcPr>
          <w:p>
            <w:pPr>
              <w:spacing w:after="0"/>
              <w:rPr>
                <w:sz w:val="1"/>
                <w:szCs w:val="1"/>
                <w:color w:val="auto"/>
              </w:rPr>
            </w:pPr>
          </w:p>
        </w:tc>
      </w:tr>
      <w:tr>
        <w:trPr>
          <w:trHeight w:val="205"/>
        </w:trPr>
        <w:tc>
          <w:tcPr>
            <w:tcW w:w="6780" w:type="dxa"/>
            <w:vAlign w:val="bottom"/>
          </w:tcPr>
          <w:p>
            <w:pPr>
              <w:ind w:left="160"/>
              <w:spacing w:after="0" w:line="205" w:lineRule="exact"/>
              <w:rPr>
                <w:sz w:val="20"/>
                <w:szCs w:val="20"/>
                <w:color w:val="auto"/>
              </w:rPr>
            </w:pPr>
            <w:r>
              <w:rPr>
                <w:rFonts w:ascii="Times New Roman" w:cs="Times New Roman" w:eastAsia="Times New Roman" w:hAnsi="Times New Roman"/>
                <w:sz w:val="18"/>
                <w:szCs w:val="18"/>
                <w:color w:val="auto"/>
              </w:rPr>
              <w:t>Total debt</w:t>
            </w:r>
          </w:p>
        </w:tc>
        <w:tc>
          <w:tcPr>
            <w:tcW w:w="5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305,089</w:t>
            </w:r>
          </w:p>
        </w:tc>
        <w:tc>
          <w:tcPr>
            <w:tcW w:w="2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8,800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financing fees and discount</w:t>
            </w:r>
          </w:p>
        </w:tc>
        <w:tc>
          <w:tcPr>
            <w:tcW w:w="5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(9,012)</w:t>
            </w:r>
          </w:p>
        </w:tc>
        <w:tc>
          <w:tcPr>
            <w:tcW w:w="7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5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(11,051)</w:t>
            </w:r>
          </w:p>
        </w:tc>
        <w:tc>
          <w:tcPr>
            <w:tcW w:w="7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(1,748)</w:t>
            </w:r>
          </w:p>
        </w:tc>
        <w:tc>
          <w:tcPr>
            <w:tcW w:w="0" w:type="dxa"/>
            <w:vAlign w:val="bottom"/>
          </w:tcPr>
          <w:p>
            <w:pPr>
              <w:spacing w:after="0"/>
              <w:rPr>
                <w:sz w:val="1"/>
                <w:szCs w:val="1"/>
                <w:color w:val="auto"/>
              </w:rPr>
            </w:pPr>
          </w:p>
        </w:tc>
      </w:tr>
      <w:tr>
        <w:trPr>
          <w:trHeight w:val="218"/>
        </w:trPr>
        <w:tc>
          <w:tcPr>
            <w:tcW w:w="678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long-term debt</w:t>
            </w:r>
          </w:p>
        </w:tc>
        <w:tc>
          <w:tcPr>
            <w:tcW w:w="520" w:type="dxa"/>
            <w:vAlign w:val="bottom"/>
            <w:tcBorders>
              <w:top w:val="single" w:sz="8" w:color="auto"/>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285,026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The debt principal payments, excluding financing lease obligations, for the next five years and thereafter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7" w:lineRule="exact"/>
        <w:rPr>
          <w:sz w:val="20"/>
          <w:szCs w:val="20"/>
          <w:color w:val="auto"/>
        </w:rPr>
      </w:pPr>
    </w:p>
    <w:tbl>
      <w:tblPr>
        <w:tblLayout w:type="fixed"/>
        <w:tblInd w:w="480" w:type="dxa"/>
        <w:tblCellMar>
          <w:top w:w="0" w:type="dxa"/>
          <w:left w:w="0" w:type="dxa"/>
          <w:bottom w:w="0" w:type="dxa"/>
          <w:right w:w="0" w:type="dxa"/>
        </w:tblCellMar>
      </w:tblPr>
      <w:tr>
        <w:trPr>
          <w:trHeight w:val="21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840" w:type="dxa"/>
            <w:vAlign w:val="bottom"/>
            <w:gridSpan w:val="2"/>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11,051</w:t>
            </w:r>
          </w:p>
        </w:tc>
      </w:tr>
      <w:tr>
        <w:trPr>
          <w:trHeight w:val="212"/>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1,249</w:t>
            </w:r>
          </w:p>
        </w:tc>
      </w:tr>
      <w:tr>
        <w:trPr>
          <w:trHeight w:val="21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3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1,319</w:t>
            </w:r>
          </w:p>
        </w:tc>
      </w:tr>
      <w:tr>
        <w:trPr>
          <w:trHeight w:val="212"/>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3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1,125</w:t>
            </w:r>
          </w:p>
        </w:tc>
      </w:tr>
      <w:tr>
        <w:trPr>
          <w:trHeight w:val="21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3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629</w:t>
            </w:r>
          </w:p>
        </w:tc>
      </w:tr>
      <w:tr>
        <w:trPr>
          <w:trHeight w:val="225"/>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289,716</w:t>
            </w:r>
          </w:p>
        </w:tc>
      </w:tr>
      <w:tr>
        <w:trPr>
          <w:trHeight w:val="218"/>
        </w:trPr>
        <w:tc>
          <w:tcPr>
            <w:tcW w:w="4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32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305,089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0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Convertible Senior Notes Due 2031</w:t>
      </w:r>
    </w:p>
    <w:p>
      <w:pPr>
        <w:spacing w:after="0" w:line="219" w:lineRule="exact"/>
        <w:rPr>
          <w:sz w:val="20"/>
          <w:szCs w:val="20"/>
          <w:color w:val="auto"/>
        </w:rPr>
      </w:pPr>
    </w:p>
    <w:p>
      <w:pPr>
        <w:ind w:left="320"/>
        <w:spacing w:after="0" w:line="252" w:lineRule="auto"/>
        <w:rPr>
          <w:sz w:val="20"/>
          <w:szCs w:val="20"/>
          <w:color w:val="auto"/>
        </w:rPr>
      </w:pPr>
      <w:r>
        <w:rPr>
          <w:rFonts w:ascii="Times New Roman" w:cs="Times New Roman" w:eastAsia="Times New Roman" w:hAnsi="Times New Roman"/>
          <w:sz w:val="18"/>
          <w:szCs w:val="18"/>
          <w:color w:val="auto"/>
        </w:rPr>
        <w:t>On September 29, 2025, we issued $287.5 million aggregate principal amount of 1.50% convertible senior notes due 2031. The Notes include the full exercise by the initial purchasers on September 25, 2025 of their option to purchase up to an additional $27.5 million principal amount of the Notes. The Notes are senior unsecured obligations and bear interest at a coupon rate of 1.50% per annum, with interest payable semiannually in arrears on January 15 and July 15 of each year, beginning on January 15, 2026. The Notes will mature on January 15, 2031, unless earlier converted, redeemed or repurchased in accordance with their terms.</w:t>
      </w:r>
    </w:p>
    <w:p>
      <w:pPr>
        <w:spacing w:after="0" w:line="185" w:lineRule="exact"/>
        <w:rPr>
          <w:sz w:val="20"/>
          <w:szCs w:val="20"/>
          <w:color w:val="auto"/>
        </w:rPr>
      </w:pPr>
    </w:p>
    <w:p>
      <w:pPr>
        <w:ind w:left="320" w:right="20"/>
        <w:spacing w:after="0" w:line="248" w:lineRule="auto"/>
        <w:rPr>
          <w:sz w:val="20"/>
          <w:szCs w:val="20"/>
          <w:color w:val="auto"/>
        </w:rPr>
      </w:pPr>
      <w:r>
        <w:rPr>
          <w:rFonts w:ascii="Times New Roman" w:cs="Times New Roman" w:eastAsia="Times New Roman" w:hAnsi="Times New Roman"/>
          <w:sz w:val="18"/>
          <w:szCs w:val="18"/>
          <w:color w:val="auto"/>
        </w:rPr>
        <w:t>Prior to the close of business on the business day immediately preceding October 15, 2030, noteholders will have the right to convert their Notes only upon the occurrence of certain events. On or after October 15, 2030, noteholders may convert all or any portion of their Notes at any time at their election until the close of business on the second scheduled trading day immediately preceding the maturity date. Upon conversion, we will satisfy the conversion obligations by paying cash up to the aggregate principal amount of the Notes to be converted and paying and/or delivering cash, shares of common stock or a combination of cash and shares of common stock, at our election, in respect of the remainder, if any, of the conversion obligation in excess of the aggregate principal amount of the Notes being converted. The initial conversion rate for the Notes is 36.7975 shares of common stock per $1,000 principal amount of Notes (equivalent to an initial conversion price of approximately $27.18 per share of common stock), which represents an approximately 32.5% conversion premium over the last reported sale price of $20.51 per share of our common stock on The Nasdaq Stock Market on September 24, 2025 (the “Reference Price”). The conversion rate (and accordingly the conversion price) is subject to adjustment upon the occurrence of certain events. In addition, upon certain corporate events or upon a notice of redemption (as described below), we will, under certain circumstances, increase the conversion rate for noteholders who convert Notes in connection with such a corporate event or convert their Notes called (or deemed called) for redemption during the related redemption period, as the case may be.</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36195</wp:posOffset>
            </wp:positionV>
            <wp:extent cx="71348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97" w:lineRule="exact"/>
        <w:rPr>
          <w:sz w:val="20"/>
          <w:szCs w:val="20"/>
          <w:color w:val="auto"/>
        </w:rPr>
      </w:pPr>
    </w:p>
    <w:p>
      <w:pPr>
        <w:ind w:left="320"/>
        <w:spacing w:after="0" w:line="251" w:lineRule="auto"/>
        <w:rPr>
          <w:sz w:val="20"/>
          <w:szCs w:val="20"/>
          <w:color w:val="auto"/>
        </w:rPr>
      </w:pPr>
      <w:r>
        <w:rPr>
          <w:rFonts w:ascii="Times New Roman" w:cs="Times New Roman" w:eastAsia="Times New Roman" w:hAnsi="Times New Roman"/>
          <w:sz w:val="18"/>
          <w:szCs w:val="18"/>
          <w:color w:val="auto"/>
        </w:rPr>
        <w:t>The Notes will not be redeemable before January 22, 2029. The Notes will be redeemable, in whole or in part, for cash at our option at any time, and from time to time, on or after January 22, 2029 and prior to the 51st scheduled trading day immediately preceding the maturity date, if (i) the Notes are “freely tradable” (as defined in the indenture governing the Notes), and certain accrued and unpaid additional interest, if any, has been paid in full, as of the first interest payment date occurring on or before the date we send such notice and (ii) the last reported sale price per share of our common stock has been at least 130% of the conversion price for a specified period of time. The redemption price will be equal to the principal amount of the Notes to be redeemed, plus accrued and unpaid interest, if any, to, but excluding, the redemption date.</w:t>
      </w:r>
    </w:p>
    <w:p>
      <w:pPr>
        <w:spacing w:after="0" w:line="185" w:lineRule="exact"/>
        <w:rPr>
          <w:sz w:val="20"/>
          <w:szCs w:val="20"/>
          <w:color w:val="auto"/>
        </w:rPr>
      </w:pPr>
    </w:p>
    <w:p>
      <w:pPr>
        <w:ind w:left="320" w:right="360"/>
        <w:spacing w:after="0" w:line="259" w:lineRule="auto"/>
        <w:rPr>
          <w:sz w:val="20"/>
          <w:szCs w:val="20"/>
          <w:color w:val="auto"/>
        </w:rPr>
      </w:pPr>
      <w:r>
        <w:rPr>
          <w:rFonts w:ascii="Times New Roman" w:cs="Times New Roman" w:eastAsia="Times New Roman" w:hAnsi="Times New Roman"/>
          <w:sz w:val="18"/>
          <w:szCs w:val="18"/>
          <w:color w:val="auto"/>
        </w:rPr>
        <w:t>If a “fundamental change” (as defined in the indenture governing the Notes) occurs, then, subject to certain conditions, noteholders may require us to repurchase their Notes for cash. The repurchase price will be equal to the principal amount of the Notes to be repurchased, plus accrued and unpaid interest, if any, to, but excluding, the applicable repurchase date.</w:t>
      </w:r>
    </w:p>
    <w:p>
      <w:pPr>
        <w:spacing w:after="0" w:line="178" w:lineRule="exact"/>
        <w:rPr>
          <w:sz w:val="20"/>
          <w:szCs w:val="20"/>
          <w:color w:val="auto"/>
        </w:rPr>
      </w:pPr>
    </w:p>
    <w:p>
      <w:pPr>
        <w:ind w:left="320" w:right="60"/>
        <w:spacing w:after="0" w:line="259" w:lineRule="auto"/>
        <w:rPr>
          <w:sz w:val="20"/>
          <w:szCs w:val="20"/>
          <w:color w:val="auto"/>
        </w:rPr>
      </w:pPr>
      <w:r>
        <w:rPr>
          <w:rFonts w:ascii="Times New Roman" w:cs="Times New Roman" w:eastAsia="Times New Roman" w:hAnsi="Times New Roman"/>
          <w:sz w:val="18"/>
          <w:szCs w:val="18"/>
          <w:color w:val="auto"/>
        </w:rPr>
        <w:t>Our net proceeds from the offering were approximately $278.9 million, after deducting the initial purchasers’ discounts and commissions but before estimated offering expenses. We used approximately $31.4 million of the net proceeds to enter into the capped call transactions that are described in Note 9, “Equity”. We intend to use the remaining net proceeds for general corporate purposes.</w:t>
      </w:r>
    </w:p>
    <w:p>
      <w:pPr>
        <w:spacing w:after="0" w:line="178" w:lineRule="exact"/>
        <w:rPr>
          <w:sz w:val="20"/>
          <w:szCs w:val="20"/>
          <w:color w:val="auto"/>
        </w:rPr>
      </w:pPr>
    </w:p>
    <w:p>
      <w:pPr>
        <w:ind w:left="320" w:right="80"/>
        <w:spacing w:after="0" w:line="259" w:lineRule="auto"/>
        <w:rPr>
          <w:sz w:val="20"/>
          <w:szCs w:val="20"/>
          <w:color w:val="auto"/>
        </w:rPr>
      </w:pPr>
      <w:r>
        <w:rPr>
          <w:rFonts w:ascii="Times New Roman" w:cs="Times New Roman" w:eastAsia="Times New Roman" w:hAnsi="Times New Roman"/>
          <w:sz w:val="18"/>
          <w:szCs w:val="18"/>
          <w:color w:val="auto"/>
        </w:rPr>
        <w:t>The Notes are recorded as liabilities in accordance with ASC 470. Issuance costs will be amortized to interest expense over the term of the Notes using the effective interest method. Upon issuance, we evaluated the conversion feature for potential separation as an embedded derivative under ASC 815 and determined that the conversion feature did not meet the criteria for derivative accounting.</w:t>
      </w:r>
    </w:p>
    <w:p>
      <w:pPr>
        <w:spacing w:after="0" w:line="178" w:lineRule="exact"/>
        <w:rPr>
          <w:sz w:val="20"/>
          <w:szCs w:val="20"/>
          <w:color w:val="auto"/>
        </w:rPr>
      </w:pPr>
    </w:p>
    <w:p>
      <w:pPr>
        <w:ind w:left="320" w:right="20"/>
        <w:spacing w:after="0" w:line="255" w:lineRule="auto"/>
        <w:rPr>
          <w:sz w:val="20"/>
          <w:szCs w:val="20"/>
          <w:color w:val="auto"/>
        </w:rPr>
      </w:pPr>
      <w:r>
        <w:rPr>
          <w:rFonts w:ascii="Times New Roman" w:cs="Times New Roman" w:eastAsia="Times New Roman" w:hAnsi="Times New Roman"/>
          <w:sz w:val="18"/>
          <w:szCs w:val="18"/>
          <w:color w:val="auto"/>
        </w:rPr>
        <w:t>The effective interest rate for the Notes is 2.2% after considering the effect of the accretion of the related debt discount over the term of the Notes. For the year ended December 27, 2025, total interest expense related to the Notes was $1.5 million with coupon interest expense of $1.1 million and amortization of debt discount of $0.4 million. As of December 27, 2025, the remaining unamortized debt discount of the Notes was $9.0 million. At December 27, 2025, the outstanding Notes balance, net of discount, was $278.5 million.</w:t>
      </w:r>
    </w:p>
    <w:p>
      <w:pPr>
        <w:spacing w:after="0" w:line="180" w:lineRule="exact"/>
        <w:rPr>
          <w:sz w:val="20"/>
          <w:szCs w:val="20"/>
          <w:color w:val="auto"/>
        </w:rPr>
      </w:pPr>
    </w:p>
    <w:p>
      <w:pPr>
        <w:ind w:left="320" w:right="140"/>
        <w:spacing w:after="0" w:line="274" w:lineRule="auto"/>
        <w:rPr>
          <w:sz w:val="20"/>
          <w:szCs w:val="20"/>
          <w:color w:val="auto"/>
        </w:rPr>
      </w:pPr>
      <w:r>
        <w:rPr>
          <w:rFonts w:ascii="Times New Roman" w:cs="Times New Roman" w:eastAsia="Times New Roman" w:hAnsi="Times New Roman"/>
          <w:sz w:val="18"/>
          <w:szCs w:val="18"/>
          <w:color w:val="auto"/>
        </w:rPr>
        <w:t>As of December 27, 2025, the fair value of the Notes was $321.9 million. The measurement of the fair value of Notes is based on the last traded price of the Notes as of December 27, 2025 and is considered a Level 2 fair value measurement.</w:t>
      </w:r>
    </w:p>
    <w:p>
      <w:pPr>
        <w:spacing w:after="0" w:line="1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Credit Agreement</w:t>
      </w:r>
    </w:p>
    <w:p>
      <w:pPr>
        <w:spacing w:after="0" w:line="219" w:lineRule="exact"/>
        <w:rPr>
          <w:sz w:val="20"/>
          <w:szCs w:val="20"/>
          <w:color w:val="auto"/>
        </w:rPr>
      </w:pPr>
    </w:p>
    <w:p>
      <w:pPr>
        <w:ind w:left="320" w:right="20"/>
        <w:spacing w:after="0" w:line="250" w:lineRule="auto"/>
        <w:rPr>
          <w:sz w:val="20"/>
          <w:szCs w:val="20"/>
          <w:color w:val="auto"/>
        </w:rPr>
      </w:pPr>
      <w:r>
        <w:rPr>
          <w:rFonts w:ascii="Times New Roman" w:cs="Times New Roman" w:eastAsia="Times New Roman" w:hAnsi="Times New Roman"/>
          <w:sz w:val="18"/>
          <w:szCs w:val="18"/>
          <w:color w:val="auto"/>
        </w:rPr>
        <w:t>On October 1, 2018, we entered into a Credit Agreement providing for a $350.0 million Term Loan Credit Facility and borrowed the full amount to finance a portion of the Xcerra acquisition. Loans under the Term Loan Credit Facility were amortized in equal quarterly installments of 0.25% of the original principal amount, with the balance payable at maturity. All outstanding principal and interest in respect of the Term Loan Credit Facility would have been due on or before October 1, 2025. The loans under the Term Loan Credit Facility bore interest, at Cohu’s option, at a floating annual rate equal to LIBOR plus a margin of 3.00%. On June 16, 2023, in connection with the discontinuation of LIBOR, we entered into an amendment to our Term Loan Credit Facility, which provided for the transition of the benchmark interest rate from LIBOR to SOFR. Effective with the interest period beginning July 1, 2023, LIBOR was replaced with Adjusted Term SOFR, a floating annual rate equal to SOFR plus a margin of 3.0%.</w:t>
      </w:r>
    </w:p>
    <w:p>
      <w:pPr>
        <w:spacing w:after="0" w:line="187" w:lineRule="exact"/>
        <w:rPr>
          <w:sz w:val="20"/>
          <w:szCs w:val="20"/>
          <w:color w:val="auto"/>
        </w:rPr>
      </w:pPr>
    </w:p>
    <w:p>
      <w:pPr>
        <w:ind w:left="320" w:right="160"/>
        <w:spacing w:after="0" w:line="259" w:lineRule="auto"/>
        <w:rPr>
          <w:sz w:val="20"/>
          <w:szCs w:val="20"/>
          <w:color w:val="auto"/>
        </w:rPr>
      </w:pPr>
      <w:r>
        <w:rPr>
          <w:rFonts w:ascii="Times New Roman" w:cs="Times New Roman" w:eastAsia="Times New Roman" w:hAnsi="Times New Roman"/>
          <w:sz w:val="18"/>
          <w:szCs w:val="18"/>
          <w:color w:val="auto"/>
        </w:rPr>
        <w:t>On February 9, 2024, we made a cash payment of $29.3 million to repay the remaining outstanding amounts owed under our Term Loan Credit Facility. We accounted for the transaction as a debt extinguishment, and in the first quarter of fiscal 2024 we recognized a loss of $0.2 million due to the recognition of the remaining debt discount and deferred financing costs.</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Kita Term Loans</w:t>
      </w:r>
    </w:p>
    <w:p>
      <w:pPr>
        <w:spacing w:after="0" w:line="219" w:lineRule="exact"/>
        <w:rPr>
          <w:sz w:val="20"/>
          <w:szCs w:val="20"/>
          <w:color w:val="auto"/>
        </w:rPr>
      </w:pPr>
    </w:p>
    <w:p>
      <w:pPr>
        <w:ind w:left="320" w:right="20"/>
        <w:spacing w:after="0" w:line="251" w:lineRule="auto"/>
        <w:rPr>
          <w:sz w:val="20"/>
          <w:szCs w:val="20"/>
          <w:color w:val="auto"/>
        </w:rPr>
      </w:pPr>
      <w:r>
        <w:rPr>
          <w:rFonts w:ascii="Times New Roman" w:cs="Times New Roman" w:eastAsia="Times New Roman" w:hAnsi="Times New Roman"/>
          <w:sz w:val="18"/>
          <w:szCs w:val="18"/>
          <w:color w:val="auto"/>
        </w:rPr>
        <w:t>We have a series of term loans with Japanese financial institutions primarily related to the expansion of our facility in Osaka, Japan. The loans are collateralized by the facility and land, carry interest rates ranging from 0.05% to 0.96%, and expire at various dates through 2034. At December 27, 2025, the outstanding loan balance was $1.5 million, and $0.2 million of the outstanding balance is presented as current installments of long-term debt in our consolidated balance sheets. At December 28, 2024, the outstanding loan balance was $1.7 million, and $0.2 million of the outstanding balance is presented as current installments of long-term debt in our consolidated balance sheets. The fair value of the debt approximates the carrying value at December 27, 2025.</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36195</wp:posOffset>
            </wp:positionV>
            <wp:extent cx="71348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term loans are denominated in Japanese Yen and, as a result, amounts disclosed herein will fluctuate because of changes in currency exchange rates.</w:t>
      </w:r>
    </w:p>
    <w:p>
      <w:pPr>
        <w:spacing w:after="0" w:line="2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Construction Loans</w:t>
      </w:r>
    </w:p>
    <w:p>
      <w:pPr>
        <w:spacing w:after="0" w:line="219" w:lineRule="exact"/>
        <w:rPr>
          <w:sz w:val="20"/>
          <w:szCs w:val="20"/>
          <w:color w:val="auto"/>
        </w:rPr>
      </w:pPr>
    </w:p>
    <w:p>
      <w:pPr>
        <w:ind w:left="320" w:right="20"/>
        <w:spacing w:after="0" w:line="255" w:lineRule="auto"/>
        <w:rPr>
          <w:sz w:val="20"/>
          <w:szCs w:val="20"/>
          <w:color w:val="auto"/>
        </w:rPr>
      </w:pPr>
      <w:r>
        <w:rPr>
          <w:rFonts w:ascii="Times New Roman" w:cs="Times New Roman" w:eastAsia="Times New Roman" w:hAnsi="Times New Roman"/>
          <w:sz w:val="18"/>
          <w:szCs w:val="18"/>
          <w:color w:val="auto"/>
        </w:rPr>
        <w:t>In July 2019 and June 2020, one of our wholly owned subsidiaries located in Germany entered into a series of Loan Facilities with a German financial institution providing it with total borrowings of up to €10.1 million. The Loan Facilities were utilized to finance the expansion of our facility in Kolbermoor, Germany and are secured by the land and the existing building on the site. The Loan Facilities bear interest at agreed upon rates based on the facility amounts as discussed below.</w:t>
      </w:r>
    </w:p>
    <w:p>
      <w:pPr>
        <w:spacing w:after="0" w:line="180" w:lineRule="exact"/>
        <w:rPr>
          <w:sz w:val="20"/>
          <w:szCs w:val="20"/>
          <w:color w:val="auto"/>
        </w:rPr>
      </w:pPr>
    </w:p>
    <w:p>
      <w:pPr>
        <w:ind w:left="320" w:right="80"/>
        <w:spacing w:after="0" w:line="252" w:lineRule="auto"/>
        <w:rPr>
          <w:sz w:val="20"/>
          <w:szCs w:val="20"/>
          <w:color w:val="auto"/>
        </w:rPr>
      </w:pPr>
      <w:r>
        <w:rPr>
          <w:rFonts w:ascii="Times New Roman" w:cs="Times New Roman" w:eastAsia="Times New Roman" w:hAnsi="Times New Roman"/>
          <w:sz w:val="18"/>
          <w:szCs w:val="18"/>
          <w:color w:val="auto"/>
        </w:rPr>
        <w:t>The first facility totaling €3.4 million has been fully drawn and is payable over 10 years at a fixed annual interest rate of 0.8%. Principal and interest payments are due each quarter over the duration of the facility ending in September 2029. The second facility totaling €5.2 million has been fully drawn and is payable over 15 years at an annual interest rate of 1.05%, which is fixed until April 2027. Principal and interest payments are due each month over the duration of the facility ending in January 2034. The third facility totaling €0.9 million has been fully drawn and is payable over 10 years at an annual interest rate of 1.2%. Principal and interest payments are due each month over the duration of the facility ending in May 2030.</w:t>
      </w:r>
    </w:p>
    <w:p>
      <w:pPr>
        <w:spacing w:after="0" w:line="185" w:lineRule="exact"/>
        <w:rPr>
          <w:sz w:val="20"/>
          <w:szCs w:val="20"/>
          <w:color w:val="auto"/>
        </w:rPr>
      </w:pPr>
    </w:p>
    <w:p>
      <w:pPr>
        <w:ind w:left="320" w:right="140"/>
        <w:spacing w:after="0" w:line="252" w:lineRule="auto"/>
        <w:rPr>
          <w:sz w:val="20"/>
          <w:szCs w:val="20"/>
          <w:color w:val="auto"/>
        </w:rPr>
      </w:pPr>
      <w:r>
        <w:rPr>
          <w:rFonts w:ascii="Times New Roman" w:cs="Times New Roman" w:eastAsia="Times New Roman" w:hAnsi="Times New Roman"/>
          <w:sz w:val="18"/>
          <w:szCs w:val="18"/>
          <w:color w:val="auto"/>
        </w:rPr>
        <w:t>At December 27, 2025, total outstanding borrowings under the Loan Facilities was $6.3 million with $1.1 million of the total outstanding balance being presented as current installments of long-term debt in our consolidated balance sheets. At December 28, 2024, total outstanding borrowings under the Loan Facilities was $6.5 million with $0.9 million of the total outstanding balance being presented as current installments of long-term debt in our consolidated balance sheets. The loans are denominated in Euros and, as a result, amounts disclosed herein will fluctuate because of changes in currency exchange rates. The fair value of the debt approximates the carrying value at December 27, 2025.</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Revolving Credit Facility</w:t>
      </w:r>
    </w:p>
    <w:p>
      <w:pPr>
        <w:spacing w:after="0" w:line="219" w:lineRule="exact"/>
        <w:rPr>
          <w:sz w:val="20"/>
          <w:szCs w:val="20"/>
          <w:color w:val="auto"/>
        </w:rPr>
      </w:pPr>
    </w:p>
    <w:p>
      <w:pPr>
        <w:ind w:left="320" w:right="20"/>
        <w:spacing w:after="0" w:line="250" w:lineRule="auto"/>
        <w:rPr>
          <w:sz w:val="20"/>
          <w:szCs w:val="20"/>
          <w:color w:val="auto"/>
        </w:rPr>
      </w:pPr>
      <w:r>
        <w:rPr>
          <w:rFonts w:ascii="Times New Roman" w:cs="Times New Roman" w:eastAsia="Times New Roman" w:hAnsi="Times New Roman"/>
          <w:sz w:val="18"/>
          <w:szCs w:val="18"/>
          <w:color w:val="auto"/>
        </w:rPr>
        <w:t>On December 30, 2024, our wholly owned subsidiary in Malaysia entered into a revolving credit facility with a Malaysian financial institution that provides up to MYR 40 million, of which MYR 37.9 million was subsequently drawn. The revolving credit facility was utilized to finance the purchase of our leased facility in Melaka, Malaysia. Interest is due monthly and is calculated based on the lender’s Effective Cost of Funds plus a spread of 0.5%. The revolving credit facility is secured by the land and building. At December 27, 2025, $9.4 million was outstanding under the revolving credit facility and the rate of interest was 4.04%. As this revolving credit facility agreement renews monthly, it has been included in short-term borrowings in our consolidated balance sheets. The revolving credit is denominated in Malaysian Ringgits and, as a result, amounts disclosed herein will fluctuate because of changes in currency exchange rates.</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Lines of Credit</w:t>
      </w:r>
    </w:p>
    <w:p>
      <w:pPr>
        <w:spacing w:after="0" w:line="219" w:lineRule="exact"/>
        <w:rPr>
          <w:sz w:val="20"/>
          <w:szCs w:val="20"/>
          <w:color w:val="auto"/>
        </w:rPr>
      </w:pPr>
    </w:p>
    <w:p>
      <w:pPr>
        <w:ind w:left="320"/>
        <w:spacing w:after="0" w:line="255" w:lineRule="auto"/>
        <w:rPr>
          <w:sz w:val="20"/>
          <w:szCs w:val="20"/>
          <w:color w:val="auto"/>
        </w:rPr>
      </w:pPr>
      <w:r>
        <w:rPr>
          <w:rFonts w:ascii="Times New Roman" w:cs="Times New Roman" w:eastAsia="Times New Roman" w:hAnsi="Times New Roman"/>
          <w:sz w:val="18"/>
          <w:szCs w:val="18"/>
          <w:color w:val="auto"/>
        </w:rPr>
        <w:t>As a result of our acquisition of Kita, we assumed a series of revolving credit facilities with various financial institutions in Japan. The credit facilities renew monthly and provide Kita with access to working capital totaling up to 660 million Japanese Yen of which 70 million Japanese Yen is drawn. At December 27, 2025, total borrowings outstanding under the revolving lines of credit were $0.4 million. As these credit facility agreements renew monthly, they have been included in short-term borrowings in our consolidated balance sheets.</w:t>
      </w:r>
    </w:p>
    <w:p>
      <w:pPr>
        <w:spacing w:after="0" w:line="180" w:lineRule="exact"/>
        <w:rPr>
          <w:sz w:val="20"/>
          <w:szCs w:val="20"/>
          <w:color w:val="auto"/>
        </w:rPr>
      </w:pPr>
    </w:p>
    <w:p>
      <w:pPr>
        <w:ind w:left="320" w:right="320"/>
        <w:spacing w:after="0" w:line="274" w:lineRule="auto"/>
        <w:rPr>
          <w:sz w:val="20"/>
          <w:szCs w:val="20"/>
          <w:color w:val="auto"/>
        </w:rPr>
      </w:pPr>
      <w:r>
        <w:rPr>
          <w:rFonts w:ascii="Times New Roman" w:cs="Times New Roman" w:eastAsia="Times New Roman" w:hAnsi="Times New Roman"/>
          <w:sz w:val="18"/>
          <w:szCs w:val="18"/>
          <w:color w:val="auto"/>
        </w:rPr>
        <w:t>The revolving lines of credit are denominated in Japanese Yen and, as a result, amounts disclosed herein will fluctuate because of changes in currency exchange rates.</w:t>
      </w:r>
    </w:p>
    <w:p>
      <w:pPr>
        <w:spacing w:after="0" w:line="163" w:lineRule="exact"/>
        <w:rPr>
          <w:sz w:val="20"/>
          <w:szCs w:val="20"/>
          <w:color w:val="auto"/>
        </w:rPr>
      </w:pPr>
    </w:p>
    <w:p>
      <w:pPr>
        <w:ind w:left="320" w:right="260"/>
        <w:spacing w:after="0" w:line="304" w:lineRule="auto"/>
        <w:rPr>
          <w:sz w:val="20"/>
          <w:szCs w:val="20"/>
          <w:color w:val="auto"/>
        </w:rPr>
      </w:pPr>
      <w:r>
        <w:rPr>
          <w:rFonts w:ascii="Times New Roman" w:cs="Times New Roman" w:eastAsia="Times New Roman" w:hAnsi="Times New Roman"/>
          <w:sz w:val="17"/>
          <w:szCs w:val="17"/>
          <w:color w:val="auto"/>
        </w:rPr>
        <w:t>Our wholly owned subsidiary in Switzerland has one available line of credit which provides borrowings of up to a total of 2.0 million Swiss Francs, a portion of which is reserved for tax guarantees. At December 27, 2025, and December 28, 2024, no amounts were outstanding under this line of credit.</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36195</wp:posOffset>
            </wp:positionV>
            <wp:extent cx="71348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320" w:hanging="314"/>
        <w:spacing w:after="0"/>
        <w:tabs>
          <w:tab w:leader="none" w:pos="3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 Charges</w:t>
      </w:r>
    </w:p>
    <w:p>
      <w:pPr>
        <w:spacing w:after="0" w:line="217"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u w:val="single" w:color="auto"/>
          <w:color w:val="auto"/>
        </w:rPr>
        <w:t>2025 Strategic Restructuring</w:t>
      </w:r>
    </w:p>
    <w:p>
      <w:pPr>
        <w:spacing w:after="0" w:line="219" w:lineRule="exact"/>
        <w:rPr>
          <w:rFonts w:ascii="Times New Roman" w:cs="Times New Roman" w:eastAsia="Times New Roman" w:hAnsi="Times New Roman"/>
          <w:sz w:val="18"/>
          <w:szCs w:val="18"/>
          <w:b w:val="1"/>
          <w:bCs w:val="1"/>
          <w:color w:val="auto"/>
        </w:rPr>
      </w:pPr>
    </w:p>
    <w:p>
      <w:pPr>
        <w:ind w:left="320" w:right="40"/>
        <w:spacing w:after="0" w:line="214" w:lineRule="exact"/>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On February 19, 2025, we approved and began executing a strategic restructuring program designed to reposition our organization and improve our cost structure (the “2025 Restructuring Program”). As part of this program, we consolidated certain of our operations in La Chaux-de-Fonds, Switzerland, and Kolbermoor, Germany, into lower</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cost locations, and we also implemented headcount reductions in those areas and in the U.S. and across Asia. Relating to the operations consolidation actions, we notified certain impacted employees of the corresponding reduction in force program at those locations which required negotiation with the microtechnology and Swiss watch trade union and the German labor organization which represent certain of the employees at their respective locations. During the second quarter of fiscal 2025, headcount reductions we implemented in Switzerland as part of the 2025 Restructuring Program resulted in a change to our defined benefit pension plan, resulting in a curtailment of future benefits for affected employees. In accordance with ASC Topic 715, </w:t>
      </w:r>
      <w:r>
        <w:rPr>
          <w:rFonts w:ascii="Times New Roman" w:cs="Times New Roman" w:eastAsia="Times New Roman" w:hAnsi="Times New Roman"/>
          <w:sz w:val="17"/>
          <w:szCs w:val="17"/>
          <w:i w:val="1"/>
          <w:iCs w:val="1"/>
          <w:color w:val="auto"/>
        </w:rPr>
        <w:t>Compensation-Retirement Benefits</w:t>
      </w:r>
      <w:r>
        <w:rPr>
          <w:rFonts w:ascii="Times New Roman" w:cs="Times New Roman" w:eastAsia="Times New Roman" w:hAnsi="Times New Roman"/>
          <w:sz w:val="17"/>
          <w:szCs w:val="17"/>
          <w:color w:val="auto"/>
        </w:rPr>
        <w:t xml:space="preserve"> (“ASC 715”), during the fiscal year ended December 27, 2025, we recognized pension curtailment gains totaling $2.2 million. These gains reflect the reduction in the projected benefit obligation due to the termination of future service accruals for impacted plan participants and are included in the consolidated statements of operations. The 2025 Restructuring Program, as implemented over time, will reduce headcount and enable us to optimize the facilities of our operations, as well as transition certain manufacturing to other lower cost regions. The 2025 Restructuring Program is being implemented as part of a comprehensive review of our operations with the goal of reducing costs during the extended downturn in the semiconductor test and inspection equipment industry.</w:t>
      </w:r>
    </w:p>
    <w:p>
      <w:pPr>
        <w:spacing w:after="0" w:line="193" w:lineRule="exact"/>
        <w:rPr>
          <w:rFonts w:ascii="Times New Roman" w:cs="Times New Roman" w:eastAsia="Times New Roman" w:hAnsi="Times New Roman"/>
          <w:sz w:val="18"/>
          <w:szCs w:val="18"/>
          <w:b w:val="1"/>
          <w:bCs w:val="1"/>
          <w:color w:val="auto"/>
        </w:rPr>
      </w:pPr>
    </w:p>
    <w:p>
      <w:pPr>
        <w:ind w:left="320"/>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fourth quarter of 2025, management identified additional restructuring actions under Cohu’s previously communicated 2025 Restructuring Program to further optimize our cost structure and operational footprint. These additional actions were announced and commenced on January 13, 2026, and include the further consolidation of certain operations within our IS and ST business segments in the U.S. and Asia, as well as workforce reductions across select functions. Consistent with our ongoing benefit arrangements, management determined that these actions represent a continuation of an ongoing plan which requires recognition of a liability for postemployment benefits when the obligation is probable and reasonably estimable. Because the related termination benefits were probable and reasonably estimable, as of December 27, 2025, Cohu recorded an accrual totaling $1.4 million. Approximately $0.5 million of additional costs are expected to be recorded during fiscal 2026.</w:t>
      </w:r>
    </w:p>
    <w:p>
      <w:pPr>
        <w:spacing w:after="0" w:line="186" w:lineRule="exact"/>
        <w:rPr>
          <w:rFonts w:ascii="Times New Roman" w:cs="Times New Roman" w:eastAsia="Times New Roman" w:hAnsi="Times New Roman"/>
          <w:sz w:val="18"/>
          <w:szCs w:val="18"/>
          <w:b w:val="1"/>
          <w:bCs w:val="1"/>
          <w:color w:val="auto"/>
        </w:rPr>
      </w:pPr>
    </w:p>
    <w:p>
      <w:pPr>
        <w:ind w:left="320" w:right="40"/>
        <w:spacing w:after="0" w:line="27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 result of the activities described above, we recognized total pretax charges of $10.1 million during the fiscal year ended December 27, 2025, that are within the scope of ASC 420.</w:t>
      </w:r>
    </w:p>
    <w:p>
      <w:pPr>
        <w:spacing w:after="0" w:line="163"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Charges related to the 2025 Restructuring Program for the fiscal year ended December 27, 2025, were as follows:</w:t>
      </w:r>
    </w:p>
    <w:p>
      <w:pPr>
        <w:spacing w:after="0" w:line="228" w:lineRule="exact"/>
        <w:rPr>
          <w:sz w:val="20"/>
          <w:szCs w:val="20"/>
          <w:color w:val="auto"/>
        </w:rPr>
      </w:pPr>
    </w:p>
    <w:tbl>
      <w:tblPr>
        <w:tblLayout w:type="fixed"/>
        <w:tblInd w:w="640" w:type="dxa"/>
        <w:tblCellMar>
          <w:top w:w="0" w:type="dxa"/>
          <w:left w:w="0" w:type="dxa"/>
          <w:bottom w:w="0" w:type="dxa"/>
          <w:right w:w="0" w:type="dxa"/>
        </w:tblCellMar>
      </w:tblPr>
      <w:tr>
        <w:trPr>
          <w:trHeight w:val="232"/>
        </w:trPr>
        <w:tc>
          <w:tcPr>
            <w:tcW w:w="7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05"/>
        </w:trPr>
        <w:tc>
          <w:tcPr>
            <w:tcW w:w="730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Employee severance costs</w:t>
            </w:r>
          </w:p>
        </w:tc>
        <w:tc>
          <w:tcPr>
            <w:tcW w:w="360" w:type="dxa"/>
            <w:vAlign w:val="bottom"/>
            <w:shd w:val="clear" w:color="auto" w:fill="CCEEFF"/>
          </w:tcPr>
          <w:p>
            <w:pPr>
              <w:jc w:val="right"/>
              <w:ind w:right="172"/>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8,300</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2"/>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Inventory related charges (adjustments)</w:t>
            </w:r>
          </w:p>
        </w:tc>
        <w:tc>
          <w:tcPr>
            <w:tcW w:w="3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w:t>
            </w:r>
          </w:p>
        </w:tc>
        <w:tc>
          <w:tcPr>
            <w:tcW w:w="60" w:type="dxa"/>
            <w:vAlign w:val="bottom"/>
          </w:tcPr>
          <w:p>
            <w:pPr>
              <w:spacing w:after="0"/>
              <w:rPr>
                <w:sz w:val="18"/>
                <w:szCs w:val="18"/>
                <w:color w:val="auto"/>
              </w:rPr>
            </w:pPr>
          </w:p>
        </w:tc>
      </w:tr>
      <w:tr>
        <w:trPr>
          <w:trHeight w:val="225"/>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restructuring costs</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153</w:t>
            </w:r>
          </w:p>
        </w:tc>
        <w:tc>
          <w:tcPr>
            <w:tcW w:w="60" w:type="dxa"/>
            <w:vAlign w:val="bottom"/>
            <w:shd w:val="clear" w:color="auto" w:fill="CCEEFF"/>
          </w:tcPr>
          <w:p>
            <w:pPr>
              <w:spacing w:after="0"/>
              <w:rPr>
                <w:sz w:val="19"/>
                <w:szCs w:val="19"/>
                <w:color w:val="auto"/>
              </w:rPr>
            </w:pPr>
          </w:p>
        </w:tc>
      </w:tr>
      <w:tr>
        <w:trPr>
          <w:trHeight w:val="219"/>
        </w:trPr>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8,575</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7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4" w:lineRule="exact"/>
        <w:rPr>
          <w:sz w:val="20"/>
          <w:szCs w:val="20"/>
          <w:color w:val="auto"/>
        </w:rPr>
      </w:pPr>
    </w:p>
    <w:p>
      <w:pPr>
        <w:ind w:left="320" w:right="60"/>
        <w:spacing w:after="0" w:line="274" w:lineRule="auto"/>
        <w:rPr>
          <w:sz w:val="20"/>
          <w:szCs w:val="20"/>
          <w:color w:val="auto"/>
        </w:rPr>
      </w:pPr>
      <w:r>
        <w:rPr>
          <w:rFonts w:ascii="Times New Roman" w:cs="Times New Roman" w:eastAsia="Times New Roman" w:hAnsi="Times New Roman"/>
          <w:sz w:val="18"/>
          <w:szCs w:val="18"/>
          <w:color w:val="auto"/>
        </w:rPr>
        <w:t>Costs associated with restructuring activities are presented in our consolidated statements of operations as restructuring charges. Other restructuring costs include crating, freight, travel and manufacturing transition costs.</w:t>
      </w: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36195</wp:posOffset>
            </wp:positionV>
            <wp:extent cx="71348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activity within the restructuring related accounts for the 2025 Restructuring Program during the fiscal year ended</w:t>
      </w:r>
    </w:p>
    <w:p>
      <w:pPr>
        <w:spacing w:after="0" w:line="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December 27, 2025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98" w:lineRule="exact"/>
        <w:rPr>
          <w:sz w:val="20"/>
          <w:szCs w:val="20"/>
          <w:color w:val="auto"/>
        </w:rPr>
      </w:pPr>
    </w:p>
    <w:tbl>
      <w:tblPr>
        <w:tblLayout w:type="fixed"/>
        <w:tblInd w:w="480" w:type="dxa"/>
        <w:tblCellMar>
          <w:top w:w="0" w:type="dxa"/>
          <w:left w:w="0" w:type="dxa"/>
          <w:bottom w:w="0" w:type="dxa"/>
          <w:right w:w="0" w:type="dxa"/>
        </w:tblCellMar>
      </w:tblPr>
      <w:tr>
        <w:trPr>
          <w:trHeight w:val="212"/>
        </w:trPr>
        <w:tc>
          <w:tcPr>
            <w:tcW w:w="3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Employee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5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Severance</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6"/>
              </w:rPr>
              <w:t>Other Exit Costs</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Total</w:t>
            </w:r>
          </w:p>
        </w:tc>
      </w:tr>
      <w:tr>
        <w:trPr>
          <w:trHeight w:val="205"/>
        </w:trPr>
        <w:tc>
          <w:tcPr>
            <w:tcW w:w="35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12"/>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28, 2024</w:t>
            </w:r>
          </w:p>
        </w:tc>
        <w:tc>
          <w:tcPr>
            <w:tcW w:w="152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2"/>
        </w:trPr>
        <w:tc>
          <w:tcPr>
            <w:tcW w:w="3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Costs accrued</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8,453</w:t>
            </w:r>
          </w:p>
        </w:tc>
      </w:tr>
      <w:tr>
        <w:trPr>
          <w:trHeight w:val="212"/>
        </w:trPr>
        <w:tc>
          <w:tcPr>
            <w:tcW w:w="3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Amounts paid or charged</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(6,570)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(6,699)</w:t>
            </w:r>
          </w:p>
        </w:tc>
      </w:tr>
      <w:tr>
        <w:trPr>
          <w:trHeight w:val="225"/>
        </w:trPr>
        <w:tc>
          <w:tcPr>
            <w:tcW w:w="3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Impact of currency exchange</w:t>
            </w: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402</w:t>
            </w:r>
          </w:p>
        </w:tc>
      </w:tr>
      <w:tr>
        <w:trPr>
          <w:trHeight w:val="218"/>
        </w:trPr>
        <w:tc>
          <w:tcPr>
            <w:tcW w:w="3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27, 2025</w:t>
            </w:r>
          </w:p>
        </w:tc>
        <w:tc>
          <w:tcPr>
            <w:tcW w:w="12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Poway Volume Manufacturing Transition</w:t>
      </w:r>
    </w:p>
    <w:p>
      <w:pPr>
        <w:spacing w:after="0" w:line="219" w:lineRule="exact"/>
        <w:rPr>
          <w:sz w:val="20"/>
          <w:szCs w:val="20"/>
          <w:color w:val="auto"/>
        </w:rPr>
      </w:pPr>
    </w:p>
    <w:p>
      <w:pPr>
        <w:ind w:left="320"/>
        <w:spacing w:after="0" w:line="251" w:lineRule="auto"/>
        <w:rPr>
          <w:sz w:val="20"/>
          <w:szCs w:val="20"/>
          <w:color w:val="auto"/>
        </w:rPr>
      </w:pPr>
      <w:r>
        <w:rPr>
          <w:rFonts w:ascii="Times New Roman" w:cs="Times New Roman" w:eastAsia="Times New Roman" w:hAnsi="Times New Roman"/>
          <w:sz w:val="18"/>
          <w:szCs w:val="18"/>
          <w:color w:val="auto"/>
        </w:rPr>
        <w:t>During the fourth quarter of fiscal 2024, we made the decision to transition all remaining volume manufacturing out of Poway, CA, and consolidate it into our factories in Asia. When fully implemented, these changes will allow us to better utilize our corporate infrastructure, drive improvements in inventory management, optimize our warehousing and better support our long-term goals. Total pretax charges related to the Poway volume manufacturing transition for the fiscal year ended December 27, 2025, were $1.7 million. Total pretax charges related to the Poway volume manufacturing transition for the fiscal year ended December 28, 2024, were not material. Charges related to the Poway volume manufacturing transition for the fiscal year ended December 27, 2025, were as follows:</w:t>
      </w:r>
    </w:p>
    <w:p>
      <w:pPr>
        <w:spacing w:after="0" w:line="196" w:lineRule="exact"/>
        <w:rPr>
          <w:sz w:val="20"/>
          <w:szCs w:val="20"/>
          <w:color w:val="auto"/>
        </w:rPr>
      </w:pPr>
    </w:p>
    <w:tbl>
      <w:tblPr>
        <w:tblLayout w:type="fixed"/>
        <w:tblInd w:w="640" w:type="dxa"/>
        <w:tblCellMar>
          <w:top w:w="0" w:type="dxa"/>
          <w:left w:w="0" w:type="dxa"/>
          <w:bottom w:w="0" w:type="dxa"/>
          <w:right w:w="0" w:type="dxa"/>
        </w:tblCellMar>
      </w:tblPr>
      <w:tr>
        <w:trPr>
          <w:trHeight w:val="232"/>
        </w:trPr>
        <w:tc>
          <w:tcPr>
            <w:tcW w:w="7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05"/>
        </w:trPr>
        <w:tc>
          <w:tcPr>
            <w:tcW w:w="738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Employee severance costs</w:t>
            </w:r>
          </w:p>
        </w:tc>
        <w:tc>
          <w:tcPr>
            <w:tcW w:w="340" w:type="dxa"/>
            <w:vAlign w:val="bottom"/>
            <w:gridSpan w:val="2"/>
            <w:shd w:val="clear" w:color="auto" w:fill="CCEEFF"/>
          </w:tcPr>
          <w:p>
            <w:pPr>
              <w:jc w:val="right"/>
              <w:ind w:right="157"/>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1,053</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2"/>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Inventory related charges (adjustments)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623</w:t>
            </w:r>
          </w:p>
        </w:tc>
      </w:tr>
      <w:tr>
        <w:trPr>
          <w:trHeight w:val="225"/>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restructuring costs</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637</w:t>
            </w:r>
          </w:p>
        </w:tc>
      </w:tr>
      <w:tr>
        <w:trPr>
          <w:trHeight w:val="218"/>
        </w:trPr>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7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4" w:lineRule="exact"/>
        <w:rPr>
          <w:sz w:val="20"/>
          <w:szCs w:val="20"/>
          <w:color w:val="auto"/>
        </w:rPr>
      </w:pPr>
    </w:p>
    <w:p>
      <w:pPr>
        <w:ind w:left="320" w:right="60"/>
        <w:spacing w:after="0" w:line="274" w:lineRule="auto"/>
        <w:rPr>
          <w:sz w:val="20"/>
          <w:szCs w:val="20"/>
          <w:color w:val="auto"/>
        </w:rPr>
      </w:pPr>
      <w:r>
        <w:rPr>
          <w:rFonts w:ascii="Times New Roman" w:cs="Times New Roman" w:eastAsia="Times New Roman" w:hAnsi="Times New Roman"/>
          <w:sz w:val="18"/>
          <w:szCs w:val="18"/>
          <w:color w:val="auto"/>
        </w:rPr>
        <w:t>Costs associated with restructuring activities are presented in our consolidated statements of operations as restructuring charges. Other restructuring costs include freight, logistics, training and travel expenses to facilitate moving inventory and manufacturing equipment from Poway to Asia.</w:t>
      </w:r>
    </w:p>
    <w:p>
      <w:pPr>
        <w:spacing w:after="0" w:line="163" w:lineRule="exact"/>
        <w:rPr>
          <w:sz w:val="20"/>
          <w:szCs w:val="20"/>
          <w:color w:val="auto"/>
        </w:rPr>
      </w:pPr>
    </w:p>
    <w:p>
      <w:pPr>
        <w:ind w:left="320" w:right="300"/>
        <w:spacing w:after="0" w:line="274" w:lineRule="auto"/>
        <w:rPr>
          <w:sz w:val="20"/>
          <w:szCs w:val="20"/>
          <w:color w:val="auto"/>
        </w:rPr>
      </w:pPr>
      <w:r>
        <w:rPr>
          <w:rFonts w:ascii="Times New Roman" w:cs="Times New Roman" w:eastAsia="Times New Roman" w:hAnsi="Times New Roman"/>
          <w:sz w:val="18"/>
          <w:szCs w:val="18"/>
          <w:color w:val="auto"/>
        </w:rPr>
        <w:t xml:space="preserve">The following table summarizes the activity within the restructuring related accounts for the Poway volume manufacturing transition during the fiscal year ended December 27, 2025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63" w:lineRule="exact"/>
        <w:rPr>
          <w:sz w:val="20"/>
          <w:szCs w:val="20"/>
          <w:color w:val="auto"/>
        </w:rPr>
      </w:pPr>
    </w:p>
    <w:tbl>
      <w:tblPr>
        <w:tblLayout w:type="fixed"/>
        <w:tblInd w:w="480" w:type="dxa"/>
        <w:tblCellMar>
          <w:top w:w="0" w:type="dxa"/>
          <w:left w:w="0" w:type="dxa"/>
          <w:bottom w:w="0" w:type="dxa"/>
          <w:right w:w="0" w:type="dxa"/>
        </w:tblCellMar>
      </w:tblPr>
      <w:tr>
        <w:trPr>
          <w:trHeight w:val="212"/>
        </w:trPr>
        <w:tc>
          <w:tcPr>
            <w:tcW w:w="3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Employee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Severance</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6"/>
              </w:rPr>
              <w:t>Other Exit Costs</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Total</w:t>
            </w:r>
          </w:p>
        </w:tc>
      </w:tr>
      <w:tr>
        <w:trPr>
          <w:trHeight w:val="205"/>
        </w:trPr>
        <w:tc>
          <w:tcPr>
            <w:tcW w:w="3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12"/>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28, 2024</w:t>
            </w:r>
          </w:p>
        </w:tc>
        <w:tc>
          <w:tcPr>
            <w:tcW w:w="160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6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2"/>
        </w:trPr>
        <w:tc>
          <w:tcPr>
            <w:tcW w:w="3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Costs accrued</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637</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1,690</w:t>
            </w:r>
          </w:p>
        </w:tc>
      </w:tr>
      <w:tr>
        <w:trPr>
          <w:trHeight w:val="225"/>
        </w:trPr>
        <w:tc>
          <w:tcPr>
            <w:tcW w:w="3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Amounts paid or charged</w:t>
            </w:r>
          </w:p>
        </w:tc>
        <w:tc>
          <w:tcPr>
            <w:tcW w:w="1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(1,053)</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(637)</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(1,690)</w:t>
            </w:r>
          </w:p>
        </w:tc>
      </w:tr>
      <w:tr>
        <w:trPr>
          <w:trHeight w:val="219"/>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27, 2025</w:t>
            </w:r>
          </w:p>
        </w:tc>
        <w:tc>
          <w:tcPr>
            <w:tcW w:w="13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r>
      <w:tr>
        <w:trPr>
          <w:trHeight w:val="20"/>
        </w:trPr>
        <w:tc>
          <w:tcPr>
            <w:tcW w:w="3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MCT Integration Program</w:t>
      </w:r>
    </w:p>
    <w:p>
      <w:pPr>
        <w:spacing w:after="0" w:line="219" w:lineRule="exact"/>
        <w:rPr>
          <w:sz w:val="20"/>
          <w:szCs w:val="20"/>
          <w:color w:val="auto"/>
        </w:rPr>
      </w:pPr>
    </w:p>
    <w:p>
      <w:pPr>
        <w:ind w:left="320" w:right="120"/>
        <w:spacing w:after="0" w:line="252" w:lineRule="auto"/>
        <w:rPr>
          <w:sz w:val="20"/>
          <w:szCs w:val="20"/>
          <w:color w:val="auto"/>
        </w:rPr>
      </w:pPr>
      <w:r>
        <w:rPr>
          <w:rFonts w:ascii="Times New Roman" w:cs="Times New Roman" w:eastAsia="Times New Roman" w:hAnsi="Times New Roman"/>
          <w:sz w:val="18"/>
          <w:szCs w:val="18"/>
          <w:color w:val="auto"/>
        </w:rPr>
        <w:t>During fiscal 2023, we began a strategic restructuring and integration program (“MCT Integration Program”) in connection with the acquisition of MCT Worldwide, LLC (“MCT”). As part of the MCT Integration Program, we consolidated MCT’s Penang, Malaysia manufacturing operations into Cohu’s Melaka, Malaysia manufacturing operations by the end of fiscal 2023. Relating to the facility consolidation actions, we notified certain impacted employees of a reduction in force program and the facility consolidation and reduction in force programs are being implemented as part of a comprehensive review of our operations and are intended to reduce our operating cost structure and capitalize on acquisition synergies.</w:t>
      </w:r>
    </w:p>
    <w:p>
      <w:pPr>
        <w:spacing w:after="0" w:line="185" w:lineRule="exact"/>
        <w:rPr>
          <w:sz w:val="20"/>
          <w:szCs w:val="20"/>
          <w:color w:val="auto"/>
        </w:rPr>
      </w:pPr>
    </w:p>
    <w:p>
      <w:pPr>
        <w:ind w:left="320" w:right="140"/>
        <w:spacing w:after="0" w:line="274" w:lineRule="auto"/>
        <w:rPr>
          <w:sz w:val="20"/>
          <w:szCs w:val="20"/>
          <w:color w:val="auto"/>
        </w:rPr>
      </w:pPr>
      <w:r>
        <w:rPr>
          <w:rFonts w:ascii="Times New Roman" w:cs="Times New Roman" w:eastAsia="Times New Roman" w:hAnsi="Times New Roman"/>
          <w:sz w:val="18"/>
          <w:szCs w:val="18"/>
          <w:color w:val="auto"/>
        </w:rPr>
        <w:t>As a result of the activities described above, we recognized total pretax charges of $2.4 million during the fiscal year ended December 30, 2023, that are within the scope of ASC 420. Total pretax charges during the fiscal year ended December 27, 2025 and December 28, 2024 were not material.</w:t>
      </w: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20"/>
          </w:cols>
          <w:pgMar w:left="320" w:top="570"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36195</wp:posOffset>
            </wp:positionV>
            <wp:extent cx="71348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Charges related to the MCT Integration Program for the year ended December 30, 2023, were as follows:</w:t>
      </w:r>
    </w:p>
    <w:p>
      <w:pPr>
        <w:spacing w:after="0" w:line="228" w:lineRule="exact"/>
        <w:rPr>
          <w:sz w:val="20"/>
          <w:szCs w:val="20"/>
          <w:color w:val="auto"/>
        </w:rPr>
      </w:pPr>
    </w:p>
    <w:tbl>
      <w:tblPr>
        <w:tblLayout w:type="fixed"/>
        <w:tblInd w:w="480" w:type="dxa"/>
        <w:tblCellMar>
          <w:top w:w="0" w:type="dxa"/>
          <w:left w:w="0" w:type="dxa"/>
          <w:bottom w:w="0" w:type="dxa"/>
          <w:right w:w="0" w:type="dxa"/>
        </w:tblCellMar>
      </w:tblPr>
      <w:tr>
        <w:trPr>
          <w:trHeight w:val="232"/>
        </w:trPr>
        <w:tc>
          <w:tcPr>
            <w:tcW w:w="4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7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CCEEFF"/>
            </w:tcBorders>
          </w:tcPr>
          <w:p>
            <w:pPr>
              <w:spacing w:after="0"/>
              <w:rPr>
                <w:sz w:val="20"/>
                <w:szCs w:val="20"/>
                <w:color w:val="auto"/>
              </w:rPr>
            </w:pPr>
          </w:p>
        </w:tc>
      </w:tr>
      <w:tr>
        <w:trPr>
          <w:trHeight w:val="205"/>
        </w:trPr>
        <w:tc>
          <w:tcPr>
            <w:tcW w:w="462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Employee severance costs</w:t>
            </w:r>
          </w:p>
        </w:tc>
        <w:tc>
          <w:tcPr>
            <w:tcW w:w="276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2"/>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2,159</w:t>
            </w:r>
          </w:p>
        </w:tc>
        <w:tc>
          <w:tcPr>
            <w:tcW w:w="80" w:type="dxa"/>
            <w:vAlign w:val="bottom"/>
            <w:shd w:val="clear" w:color="auto" w:fill="CCEEFF"/>
          </w:tcPr>
          <w:p>
            <w:pPr>
              <w:spacing w:after="0"/>
              <w:rPr>
                <w:sz w:val="17"/>
                <w:szCs w:val="17"/>
                <w:color w:val="auto"/>
              </w:rPr>
            </w:pPr>
          </w:p>
        </w:tc>
      </w:tr>
      <w:tr>
        <w:trPr>
          <w:trHeight w:val="225"/>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Other restructuring costs</w:t>
            </w:r>
          </w:p>
        </w:tc>
        <w:tc>
          <w:tcPr>
            <w:tcW w:w="2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262</w:t>
            </w:r>
          </w:p>
        </w:tc>
      </w:tr>
      <w:tr>
        <w:trPr>
          <w:trHeight w:val="218"/>
        </w:trPr>
        <w:tc>
          <w:tcPr>
            <w:tcW w:w="46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76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ind w:left="320" w:right="80"/>
        <w:spacing w:after="0" w:line="274" w:lineRule="auto"/>
        <w:rPr>
          <w:sz w:val="20"/>
          <w:szCs w:val="20"/>
          <w:color w:val="auto"/>
        </w:rPr>
      </w:pPr>
      <w:r>
        <w:rPr>
          <w:rFonts w:ascii="Times New Roman" w:cs="Times New Roman" w:eastAsia="Times New Roman" w:hAnsi="Times New Roman"/>
          <w:sz w:val="18"/>
          <w:szCs w:val="18"/>
          <w:color w:val="auto"/>
        </w:rPr>
        <w:t>Costs associated with restructuring activities are presented in our consolidated statements of operations as restructuring charges. Other restructuring costs include facility closure and manufacturing software integration costs.</w:t>
      </w:r>
    </w:p>
    <w:p>
      <w:pPr>
        <w:spacing w:after="0" w:line="163" w:lineRule="exact"/>
        <w:rPr>
          <w:sz w:val="20"/>
          <w:szCs w:val="20"/>
          <w:color w:val="auto"/>
        </w:rPr>
      </w:pPr>
    </w:p>
    <w:p>
      <w:pPr>
        <w:ind w:left="320" w:right="160"/>
        <w:spacing w:after="0" w:line="274" w:lineRule="auto"/>
        <w:rPr>
          <w:sz w:val="20"/>
          <w:szCs w:val="20"/>
          <w:color w:val="auto"/>
        </w:rPr>
      </w:pPr>
      <w:r>
        <w:rPr>
          <w:rFonts w:ascii="Times New Roman" w:cs="Times New Roman" w:eastAsia="Times New Roman" w:hAnsi="Times New Roman"/>
          <w:sz w:val="18"/>
          <w:szCs w:val="18"/>
          <w:color w:val="auto"/>
        </w:rPr>
        <w:t xml:space="preserve">The following table summarizes the activity within the restructuring related accounts for the MCT Integration Program during the year ended December 30, 2023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63" w:lineRule="exact"/>
        <w:rPr>
          <w:sz w:val="20"/>
          <w:szCs w:val="20"/>
          <w:color w:val="auto"/>
        </w:rPr>
      </w:pPr>
    </w:p>
    <w:tbl>
      <w:tblPr>
        <w:tblLayout w:type="fixed"/>
        <w:tblInd w:w="480" w:type="dxa"/>
        <w:tblCellMar>
          <w:top w:w="0" w:type="dxa"/>
          <w:left w:w="0" w:type="dxa"/>
          <w:bottom w:w="0" w:type="dxa"/>
          <w:right w:w="0" w:type="dxa"/>
        </w:tblCellMar>
      </w:tblPr>
      <w:tr>
        <w:trPr>
          <w:trHeight w:val="212"/>
        </w:trPr>
        <w:tc>
          <w:tcPr>
            <w:tcW w:w="3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Employee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Severance</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6"/>
              </w:rPr>
              <w:t>Other Exit Costs</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Total</w:t>
            </w:r>
          </w:p>
        </w:tc>
      </w:tr>
      <w:tr>
        <w:trPr>
          <w:trHeight w:val="205"/>
        </w:trPr>
        <w:tc>
          <w:tcPr>
            <w:tcW w:w="3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12"/>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2022</w:t>
            </w:r>
          </w:p>
        </w:tc>
        <w:tc>
          <w:tcPr>
            <w:tcW w:w="160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6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2"/>
        </w:trPr>
        <w:tc>
          <w:tcPr>
            <w:tcW w:w="3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Costs accrued</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2,159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2,421</w:t>
            </w:r>
          </w:p>
        </w:tc>
      </w:tr>
      <w:tr>
        <w:trPr>
          <w:trHeight w:val="225"/>
        </w:trPr>
        <w:tc>
          <w:tcPr>
            <w:tcW w:w="3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Amounts paid or charged</w:t>
            </w:r>
          </w:p>
        </w:tc>
        <w:tc>
          <w:tcPr>
            <w:tcW w:w="1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(2,091)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(262)</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(2,353)</w:t>
            </w:r>
          </w:p>
        </w:tc>
      </w:tr>
      <w:tr>
        <w:trPr>
          <w:trHeight w:val="218"/>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30, 2023</w:t>
            </w:r>
          </w:p>
        </w:tc>
        <w:tc>
          <w:tcPr>
            <w:tcW w:w="13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19"/>
                <w:szCs w:val="19"/>
                <w:color w:val="auto"/>
              </w:rPr>
            </w:pPr>
          </w:p>
        </w:tc>
      </w:tr>
      <w:tr>
        <w:trPr>
          <w:trHeight w:val="20"/>
        </w:trPr>
        <w:tc>
          <w:tcPr>
            <w:tcW w:w="3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Xcerra Integration Program</w:t>
      </w:r>
    </w:p>
    <w:p>
      <w:pPr>
        <w:spacing w:after="0" w:line="219" w:lineRule="exact"/>
        <w:rPr>
          <w:sz w:val="20"/>
          <w:szCs w:val="20"/>
          <w:color w:val="auto"/>
        </w:rPr>
      </w:pPr>
    </w:p>
    <w:p>
      <w:pPr>
        <w:ind w:left="320"/>
        <w:spacing w:after="0" w:line="255" w:lineRule="auto"/>
        <w:rPr>
          <w:sz w:val="20"/>
          <w:szCs w:val="20"/>
          <w:color w:val="auto"/>
        </w:rPr>
      </w:pPr>
      <w:r>
        <w:rPr>
          <w:rFonts w:ascii="Times New Roman" w:cs="Times New Roman" w:eastAsia="Times New Roman" w:hAnsi="Times New Roman"/>
          <w:sz w:val="18"/>
          <w:szCs w:val="18"/>
          <w:color w:val="auto"/>
        </w:rPr>
        <w:t>Subsequent to the acquisition of Xcerra, during the fourth quarter of 2018, we began a strategic restructuring program designed to reposition our organization and improve our cost structure as part of our targeted integration plan regarding the recently acquired Xcerra (“Xcerra Integration Program”). As part of the Xcerra Integration Program we consolidated our global handler and contactor manufacturing operations and closed our manufacturing operations in Penang, Malaysia and Fontana, California in 2019.</w:t>
      </w:r>
    </w:p>
    <w:p>
      <w:pPr>
        <w:spacing w:after="0" w:line="180" w:lineRule="exact"/>
        <w:rPr>
          <w:sz w:val="20"/>
          <w:szCs w:val="20"/>
          <w:color w:val="auto"/>
        </w:rPr>
      </w:pPr>
    </w:p>
    <w:p>
      <w:pPr>
        <w:ind w:left="320" w:right="60"/>
        <w:spacing w:after="0" w:line="249" w:lineRule="auto"/>
        <w:rPr>
          <w:sz w:val="20"/>
          <w:szCs w:val="20"/>
          <w:color w:val="auto"/>
        </w:rPr>
      </w:pPr>
      <w:r>
        <w:rPr>
          <w:rFonts w:ascii="Times New Roman" w:cs="Times New Roman" w:eastAsia="Times New Roman" w:hAnsi="Times New Roman"/>
          <w:sz w:val="18"/>
          <w:szCs w:val="18"/>
          <w:color w:val="auto"/>
        </w:rPr>
        <w:t>In 2019, we began the Xcerra Integration Program of our German operations and entered a social plan with the German labor organization representing certain of the employees of our wholly owned subsidiary, Multitest elektronische Systeme GmbH. During the fourth quarter of 2020 we implemented a voluntary program and termination agreements with certain employees of our wholly owned subsidiary, Cohu GmbH. These programs collectively reduced headcount, enabled us to consolidate the facilities of our multiple operations located near Kolbermoor and Rosenheim, Germany, as well as transitioned certain manufacturing to other lower cost regions. The facility consolidations and reduction in force programs were implemented as part of a comprehensive review of our operations and are intended to streamline and reduce our operating cost structure and capitalize on acquisition synergies. As of December 31, 2022, restructuring activities associated with the Xcerra Integration Program were materially complete. Certain end of life inventory adjustments have continued during the fiscal years 2023 and 2024.</w:t>
      </w:r>
    </w:p>
    <w:p>
      <w:pPr>
        <w:spacing w:after="0" w:line="190" w:lineRule="exact"/>
        <w:rPr>
          <w:sz w:val="20"/>
          <w:szCs w:val="20"/>
          <w:color w:val="auto"/>
        </w:rPr>
      </w:pPr>
    </w:p>
    <w:p>
      <w:pPr>
        <w:ind w:left="320" w:right="240"/>
        <w:spacing w:after="0" w:line="259" w:lineRule="auto"/>
        <w:rPr>
          <w:sz w:val="20"/>
          <w:szCs w:val="20"/>
          <w:color w:val="auto"/>
        </w:rPr>
      </w:pPr>
      <w:r>
        <w:rPr>
          <w:rFonts w:ascii="Times New Roman" w:cs="Times New Roman" w:eastAsia="Times New Roman" w:hAnsi="Times New Roman"/>
          <w:sz w:val="18"/>
          <w:szCs w:val="18"/>
          <w:color w:val="auto"/>
        </w:rPr>
        <w:t>As a result of the activities described above, we recognized total pretax credits of $(0.5) million and $(0.1) million for the fiscal years ended December 28, 2024 and December 30, 2023, respectively, that are within the scope of ASC 420. Total pretax charges during the fiscal year ended December 27, 2025 were not material. All costs of the Xcerra Integration Program were incurred by our Semiconductor Test &amp; Inspection segment.</w:t>
      </w:r>
    </w:p>
    <w:p>
      <w:pPr>
        <w:spacing w:after="0" w:line="178" w:lineRule="exact"/>
        <w:rPr>
          <w:sz w:val="20"/>
          <w:szCs w:val="20"/>
          <w:color w:val="auto"/>
        </w:rPr>
      </w:pPr>
    </w:p>
    <w:p>
      <w:pPr>
        <w:ind w:left="320" w:right="300"/>
        <w:spacing w:after="0" w:line="274" w:lineRule="auto"/>
        <w:rPr>
          <w:sz w:val="20"/>
          <w:szCs w:val="20"/>
          <w:color w:val="auto"/>
        </w:rPr>
      </w:pPr>
      <w:r>
        <w:rPr>
          <w:rFonts w:ascii="Times New Roman" w:cs="Times New Roman" w:eastAsia="Times New Roman" w:hAnsi="Times New Roman"/>
          <w:sz w:val="18"/>
          <w:szCs w:val="18"/>
          <w:color w:val="auto"/>
        </w:rPr>
        <w:t xml:space="preserve">Charges related to the Xcerra Integration Program for the fiscal years ended December 27, 2025, December 28, 2024 and December 30, 2023, were as follows </w:t>
      </w:r>
      <w:r>
        <w:rPr>
          <w:rFonts w:ascii="Times New Roman" w:cs="Times New Roman" w:eastAsia="Times New Roman" w:hAnsi="Times New Roman"/>
          <w:sz w:val="18"/>
          <w:szCs w:val="18"/>
          <w:i w:val="1"/>
          <w:iCs w:val="1"/>
          <w:color w:val="auto"/>
        </w:rPr>
        <w:t>(in thousands):</w:t>
      </w:r>
    </w:p>
    <w:p>
      <w:pPr>
        <w:spacing w:after="0" w:line="175" w:lineRule="exact"/>
        <w:rPr>
          <w:sz w:val="20"/>
          <w:szCs w:val="20"/>
          <w:color w:val="auto"/>
        </w:rPr>
      </w:pPr>
    </w:p>
    <w:tbl>
      <w:tblPr>
        <w:tblLayout w:type="fixed"/>
        <w:tblInd w:w="640" w:type="dxa"/>
        <w:tblCellMar>
          <w:top w:w="0" w:type="dxa"/>
          <w:left w:w="0" w:type="dxa"/>
          <w:bottom w:w="0" w:type="dxa"/>
          <w:right w:w="0" w:type="dxa"/>
        </w:tblCellMar>
      </w:tblPr>
      <w:tr>
        <w:trPr>
          <w:trHeight w:val="232"/>
        </w:trPr>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5"/>
        </w:trPr>
        <w:tc>
          <w:tcPr>
            <w:tcW w:w="408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Employee severance costs</w:t>
            </w:r>
          </w:p>
        </w:tc>
        <w:tc>
          <w:tcPr>
            <w:tcW w:w="1600" w:type="dxa"/>
            <w:vAlign w:val="bottom"/>
            <w:gridSpan w:val="2"/>
            <w:shd w:val="clear" w:color="auto" w:fill="CCEEFF"/>
          </w:tcPr>
          <w:p>
            <w:pPr>
              <w:jc w:val="right"/>
              <w:ind w:right="132"/>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37"/>
              <w:spacing w:after="0" w:line="205"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23"/>
              <w:spacing w:after="0" w:line="205"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6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2"/>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Inventory related charges (adjustments)</w:t>
            </w: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63"/>
              <w:spacing w:after="0"/>
              <w:rPr>
                <w:sz w:val="20"/>
                <w:szCs w:val="20"/>
                <w:color w:val="auto"/>
              </w:rPr>
            </w:pPr>
            <w:r>
              <w:rPr>
                <w:rFonts w:ascii="Times New Roman" w:cs="Times New Roman" w:eastAsia="Times New Roman" w:hAnsi="Times New Roman"/>
                <w:sz w:val="18"/>
                <w:szCs w:val="18"/>
                <w:color w:val="auto"/>
              </w:rPr>
              <w:t>(465)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r>
      <w:tr>
        <w:trPr>
          <w:trHeight w:val="225"/>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restructuring costs</w:t>
            </w:r>
          </w:p>
        </w:tc>
        <w:tc>
          <w:tcPr>
            <w:tcW w:w="1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r>
      <w:tr>
        <w:trPr>
          <w:trHeight w:val="219"/>
        </w:trPr>
        <w:tc>
          <w:tcPr>
            <w:tcW w:w="4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tcPr>
          <w:p>
            <w:pPr>
              <w:spacing w:after="0"/>
              <w:rPr>
                <w:sz w:val="19"/>
                <w:szCs w:val="19"/>
                <w:color w:val="auto"/>
              </w:rPr>
            </w:pPr>
          </w:p>
        </w:tc>
        <w:tc>
          <w:tcPr>
            <w:tcW w:w="32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300" w:type="dxa"/>
            <w:vAlign w:val="bottom"/>
            <w:tcBorders>
              <w:top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20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20" w:type="dxa"/>
            <w:vAlign w:val="bottom"/>
          </w:tcPr>
          <w:p>
            <w:pPr>
              <w:spacing w:after="0"/>
              <w:rPr>
                <w:sz w:val="19"/>
                <w:szCs w:val="19"/>
                <w:color w:val="auto"/>
              </w:rPr>
            </w:pPr>
          </w:p>
        </w:tc>
        <w:tc>
          <w:tcPr>
            <w:tcW w:w="280" w:type="dxa"/>
            <w:vAlign w:val="bottom"/>
            <w:tcBorders>
              <w:top w:val="single" w:sz="8" w:color="auto"/>
            </w:tcBorders>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w w:val="79"/>
              </w:rPr>
              <w:t>)</w:t>
            </w:r>
          </w:p>
        </w:tc>
      </w:tr>
      <w:tr>
        <w:trPr>
          <w:trHeight w:val="20"/>
        </w:trPr>
        <w:tc>
          <w:tcPr>
            <w:tcW w:w="40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ind w:left="320" w:right="260"/>
        <w:spacing w:after="0" w:line="259" w:lineRule="auto"/>
        <w:rPr>
          <w:sz w:val="20"/>
          <w:szCs w:val="20"/>
          <w:color w:val="auto"/>
        </w:rPr>
      </w:pPr>
      <w:r>
        <w:rPr>
          <w:rFonts w:ascii="Times New Roman" w:cs="Times New Roman" w:eastAsia="Times New Roman" w:hAnsi="Times New Roman"/>
          <w:sz w:val="18"/>
          <w:szCs w:val="18"/>
          <w:color w:val="auto"/>
        </w:rPr>
        <w:t>During the fiscal year ended December 28, 2024 and December 30, 2023 our restructuring activities included the reversal of certain inventory related charges related to the decision to end manufacturing of certain of Xcerra’s semiconductor test handler products taken in prior periods. Costs associated with inventory charges are classified within cost of sales.</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36195</wp:posOffset>
            </wp:positionV>
            <wp:extent cx="71348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97" w:lineRule="exact"/>
        <w:rPr>
          <w:sz w:val="20"/>
          <w:szCs w:val="20"/>
          <w:color w:val="auto"/>
        </w:rPr>
      </w:pPr>
    </w:p>
    <w:p>
      <w:pPr>
        <w:ind w:left="320" w:right="260"/>
        <w:spacing w:after="0" w:line="255" w:lineRule="auto"/>
        <w:rPr>
          <w:sz w:val="20"/>
          <w:szCs w:val="20"/>
          <w:color w:val="auto"/>
        </w:rPr>
      </w:pPr>
      <w:r>
        <w:rPr>
          <w:rFonts w:ascii="Times New Roman" w:cs="Times New Roman" w:eastAsia="Times New Roman" w:hAnsi="Times New Roman"/>
          <w:sz w:val="18"/>
          <w:szCs w:val="18"/>
          <w:color w:val="auto"/>
        </w:rPr>
        <w:t>At December 27, 2025, our total accrual for restructuring related items for the 2025 Restructuring Program, Poway volume manufacturing transition, MCT and Xcerra integration programs is reflected within current liabilities in our consolidated balance sheets as these amounts are expected to be paid out in fiscal 2026. The estimated costs associated with the employee severance and facility consolidation actions are not material and will be paid predominantly in cash.</w:t>
      </w:r>
    </w:p>
    <w:p>
      <w:pPr>
        <w:spacing w:after="0" w:line="200" w:lineRule="exact"/>
        <w:rPr>
          <w:sz w:val="20"/>
          <w:szCs w:val="20"/>
          <w:color w:val="auto"/>
        </w:rPr>
      </w:pPr>
    </w:p>
    <w:p>
      <w:pPr>
        <w:spacing w:after="0" w:line="217" w:lineRule="exact"/>
        <w:rPr>
          <w:sz w:val="20"/>
          <w:szCs w:val="20"/>
          <w:color w:val="auto"/>
        </w:rPr>
      </w:pPr>
    </w:p>
    <w:p>
      <w:pPr>
        <w:ind w:left="320" w:hanging="314"/>
        <w:spacing w:after="0"/>
        <w:tabs>
          <w:tab w:leader="none" w:pos="3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 Measured at Fair Value</w:t>
      </w:r>
    </w:p>
    <w:p>
      <w:pPr>
        <w:spacing w:after="0" w:line="219" w:lineRule="exact"/>
        <w:rPr>
          <w:rFonts w:ascii="Times New Roman" w:cs="Times New Roman" w:eastAsia="Times New Roman" w:hAnsi="Times New Roman"/>
          <w:sz w:val="18"/>
          <w:szCs w:val="18"/>
          <w:b w:val="1"/>
          <w:bCs w:val="1"/>
          <w:color w:val="auto"/>
        </w:rPr>
      </w:pPr>
    </w:p>
    <w:p>
      <w:pPr>
        <w:ind w:left="3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cash, cash equivalents, and short-term investments consisted primarily of cash and other investment grade securities. We do not hold investment securities for trading purposes. All short-term investments in debt securities are classified as available-for-sale and recorded at fair value. Investment securities are exposed to market risk due to changes in interest rates and credit risk and we monitor credit risk and attempt to mitigate exposure by making high-quality investments and through investment diversification.</w:t>
      </w:r>
    </w:p>
    <w:p>
      <w:pPr>
        <w:spacing w:after="0" w:line="180" w:lineRule="exact"/>
        <w:rPr>
          <w:rFonts w:ascii="Times New Roman" w:cs="Times New Roman" w:eastAsia="Times New Roman" w:hAnsi="Times New Roman"/>
          <w:sz w:val="18"/>
          <w:szCs w:val="18"/>
          <w:b w:val="1"/>
          <w:bCs w:val="1"/>
          <w:color w:val="auto"/>
        </w:rPr>
      </w:pPr>
    </w:p>
    <w:p>
      <w:pPr>
        <w:ind w:left="320" w:right="60"/>
        <w:spacing w:after="0" w:line="27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We assess whether unrealized loss positions on available-for-sale debt securities are due to credit-related factors. The credit-related portion of unrealized losses, and any subsequent improvements, are recorded in earnings through an allowance account. Unrealized gains and losses that are not due to credit-related factors are included in accumulated other comprehensive loss. Factors that could indicate an impairment exists include, but are not limited to earnings performance, changes in credit rating or adverse changes in the regulatory or economic environment of the asset. Gross realized gains and losses on sales of short-term investments are included in interest income. Realized gains and losses for the periods presented were not significant.</w:t>
      </w:r>
    </w:p>
    <w:p>
      <w:pPr>
        <w:spacing w:after="0" w:line="166"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Investments that we have classified as short-term, by security type,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2"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16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5"/>
          </w:tcPr>
          <w:p>
            <w:pPr>
              <w:jc w:val="right"/>
              <w:ind w:right="195"/>
              <w:spacing w:after="0"/>
              <w:rPr>
                <w:sz w:val="20"/>
                <w:szCs w:val="20"/>
                <w:color w:val="auto"/>
              </w:rPr>
            </w:pPr>
            <w:r>
              <w:rPr>
                <w:rFonts w:ascii="Times New Roman" w:cs="Times New Roman" w:eastAsia="Times New Roman" w:hAnsi="Times New Roman"/>
                <w:sz w:val="18"/>
                <w:szCs w:val="18"/>
                <w:color w:val="auto"/>
              </w:rPr>
              <w:t>At December 27, 2025</w:t>
            </w: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16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center"/>
              <w:spacing w:after="0" w:line="187" w:lineRule="exact"/>
              <w:rPr>
                <w:sz w:val="20"/>
                <w:szCs w:val="20"/>
                <w:color w:val="auto"/>
              </w:rPr>
            </w:pPr>
            <w:r>
              <w:rPr>
                <w:rFonts w:ascii="Times New Roman" w:cs="Times New Roman" w:eastAsia="Times New Roman" w:hAnsi="Times New Roman"/>
                <w:sz w:val="18"/>
                <w:szCs w:val="18"/>
                <w:color w:val="auto"/>
                <w:w w:val="99"/>
              </w:rPr>
              <w:t>Gross</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ind w:left="95"/>
              <w:spacing w:after="0" w:line="187" w:lineRule="exact"/>
              <w:rPr>
                <w:sz w:val="20"/>
                <w:szCs w:val="20"/>
                <w:color w:val="auto"/>
              </w:rPr>
            </w:pPr>
            <w:r>
              <w:rPr>
                <w:rFonts w:ascii="Times New Roman" w:cs="Times New Roman" w:eastAsia="Times New Roman" w:hAnsi="Times New Roman"/>
                <w:sz w:val="18"/>
                <w:szCs w:val="18"/>
                <w:color w:val="auto"/>
                <w:w w:val="95"/>
              </w:rPr>
              <w:t>Gross</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ind w:right="72"/>
              <w:spacing w:after="0" w:line="187" w:lineRule="exact"/>
              <w:rPr>
                <w:sz w:val="20"/>
                <w:szCs w:val="20"/>
                <w:color w:val="auto"/>
              </w:rPr>
            </w:pPr>
            <w:r>
              <w:rPr>
                <w:rFonts w:ascii="Times New Roman" w:cs="Times New Roman" w:eastAsia="Times New Roman" w:hAnsi="Times New Roman"/>
                <w:sz w:val="18"/>
                <w:szCs w:val="18"/>
                <w:color w:val="auto"/>
                <w:w w:val="99"/>
              </w:rPr>
              <w:t>Estimated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5"/>
        </w:trPr>
        <w:tc>
          <w:tcPr>
            <w:tcW w:w="16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Amortized</w:t>
            </w:r>
          </w:p>
        </w:tc>
        <w:tc>
          <w:tcPr>
            <w:tcW w:w="14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Unrealized</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center"/>
              <w:ind w:left="95"/>
              <w:spacing w:after="0"/>
              <w:rPr>
                <w:sz w:val="20"/>
                <w:szCs w:val="20"/>
                <w:color w:val="auto"/>
              </w:rPr>
            </w:pPr>
            <w:r>
              <w:rPr>
                <w:rFonts w:ascii="Times New Roman" w:cs="Times New Roman" w:eastAsia="Times New Roman" w:hAnsi="Times New Roman"/>
                <w:sz w:val="18"/>
                <w:szCs w:val="18"/>
                <w:color w:val="auto"/>
                <w:w w:val="96"/>
              </w:rPr>
              <w:t>Unrealized</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6"/>
              </w:rPr>
              <w:t>Fair</w:t>
            </w:r>
          </w:p>
        </w:tc>
        <w:tc>
          <w:tcPr>
            <w:tcW w:w="100" w:type="dxa"/>
            <w:vAlign w:val="bottom"/>
          </w:tcPr>
          <w:p>
            <w:pPr>
              <w:spacing w:after="0"/>
              <w:rPr>
                <w:sz w:val="19"/>
                <w:szCs w:val="19"/>
                <w:color w:val="auto"/>
              </w:rPr>
            </w:pPr>
          </w:p>
        </w:tc>
      </w:tr>
      <w:tr>
        <w:trPr>
          <w:trHeight w:val="230"/>
        </w:trPr>
        <w:tc>
          <w:tcPr>
            <w:tcW w:w="16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6"/>
              </w:rPr>
              <w:t>Cost</w:t>
            </w:r>
          </w:p>
        </w:tc>
        <w:tc>
          <w:tcPr>
            <w:tcW w:w="14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Gains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center"/>
              <w:ind w:left="115"/>
              <w:spacing w:after="0" w:line="230" w:lineRule="exact"/>
              <w:rPr>
                <w:sz w:val="20"/>
                <w:szCs w:val="20"/>
                <w:color w:val="auto"/>
              </w:rPr>
            </w:pPr>
            <w:r>
              <w:rPr>
                <w:rFonts w:ascii="Times New Roman" w:cs="Times New Roman" w:eastAsia="Times New Roman" w:hAnsi="Times New Roman"/>
                <w:sz w:val="16"/>
                <w:szCs w:val="16"/>
                <w:color w:val="auto"/>
              </w:rPr>
              <w:t xml:space="preserve">Losses </w:t>
            </w:r>
            <w:r>
              <w:rPr>
                <w:rFonts w:ascii="Times New Roman" w:cs="Times New Roman" w:eastAsia="Times New Roman" w:hAnsi="Times New Roman"/>
                <w:sz w:val="26"/>
                <w:szCs w:val="26"/>
                <w:color w:val="auto"/>
                <w:vertAlign w:val="superscript"/>
              </w:rPr>
              <w:t>(1)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2"/>
              </w:rPr>
              <w:t>Value</w:t>
            </w:r>
          </w:p>
        </w:tc>
        <w:tc>
          <w:tcPr>
            <w:tcW w:w="100" w:type="dxa"/>
            <w:vAlign w:val="bottom"/>
          </w:tcPr>
          <w:p>
            <w:pPr>
              <w:spacing w:after="0"/>
              <w:rPr>
                <w:sz w:val="20"/>
                <w:szCs w:val="20"/>
                <w:color w:val="auto"/>
              </w:rPr>
            </w:pPr>
          </w:p>
        </w:tc>
      </w:tr>
      <w:tr>
        <w:trPr>
          <w:trHeight w:val="205"/>
        </w:trPr>
        <w:tc>
          <w:tcPr>
            <w:tcW w:w="160" w:type="dxa"/>
            <w:vAlign w:val="bottom"/>
          </w:tcPr>
          <w:p>
            <w:pPr>
              <w:spacing w:after="0"/>
              <w:rPr>
                <w:sz w:val="17"/>
                <w:szCs w:val="17"/>
                <w:color w:val="auto"/>
              </w:rPr>
            </w:pPr>
          </w:p>
        </w:tc>
        <w:tc>
          <w:tcPr>
            <w:tcW w:w="524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5"/>
                <w:szCs w:val="15"/>
                <w:color w:val="auto"/>
              </w:rPr>
              <w:t xml:space="preserve">Corporate debt securities </w:t>
            </w:r>
            <w:r>
              <w:rPr>
                <w:rFonts w:ascii="Times New Roman" w:cs="Times New Roman" w:eastAsia="Times New Roman" w:hAnsi="Times New Roman"/>
                <w:sz w:val="23"/>
                <w:szCs w:val="23"/>
                <w:color w:val="auto"/>
                <w:vertAlign w:val="superscript"/>
              </w:rPr>
              <w:t>(2)</w:t>
            </w:r>
          </w:p>
        </w:tc>
        <w:tc>
          <w:tcPr>
            <w:tcW w:w="16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150,314</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w w:val="88"/>
              </w:rPr>
              <w:t>60</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815"/>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w w:val="88"/>
              </w:rPr>
              <w:t>13</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150,361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16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Bank certificates of deposit</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58,130</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58,156</w:t>
            </w:r>
          </w:p>
        </w:tc>
        <w:tc>
          <w:tcPr>
            <w:tcW w:w="100" w:type="dxa"/>
            <w:vAlign w:val="bottom"/>
          </w:tcPr>
          <w:p>
            <w:pPr>
              <w:spacing w:after="0"/>
              <w:rPr>
                <w:sz w:val="18"/>
                <w:szCs w:val="18"/>
                <w:color w:val="auto"/>
              </w:rPr>
            </w:pPr>
          </w:p>
        </w:tc>
      </w:tr>
      <w:tr>
        <w:trPr>
          <w:trHeight w:val="212"/>
        </w:trPr>
        <w:tc>
          <w:tcPr>
            <w:tcW w:w="16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37,584</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37,652</w:t>
            </w:r>
          </w:p>
        </w:tc>
        <w:tc>
          <w:tcPr>
            <w:tcW w:w="100" w:type="dxa"/>
            <w:vAlign w:val="bottom"/>
          </w:tcPr>
          <w:p>
            <w:pPr>
              <w:spacing w:after="0"/>
              <w:rPr>
                <w:sz w:val="18"/>
                <w:szCs w:val="18"/>
                <w:color w:val="auto"/>
              </w:rPr>
            </w:pPr>
          </w:p>
        </w:tc>
      </w:tr>
      <w:tr>
        <w:trPr>
          <w:trHeight w:val="212"/>
        </w:trPr>
        <w:tc>
          <w:tcPr>
            <w:tcW w:w="16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10,038</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10,056</w:t>
            </w:r>
          </w:p>
        </w:tc>
        <w:tc>
          <w:tcPr>
            <w:tcW w:w="100" w:type="dxa"/>
            <w:vAlign w:val="bottom"/>
          </w:tcPr>
          <w:p>
            <w:pPr>
              <w:spacing w:after="0"/>
              <w:rPr>
                <w:sz w:val="18"/>
                <w:szCs w:val="18"/>
                <w:color w:val="auto"/>
              </w:rPr>
            </w:pPr>
          </w:p>
        </w:tc>
      </w:tr>
      <w:tr>
        <w:trPr>
          <w:trHeight w:val="225"/>
        </w:trPr>
        <w:tc>
          <w:tcPr>
            <w:tcW w:w="160" w:type="dxa"/>
            <w:vAlign w:val="bottom"/>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government security</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703</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tcPr>
          <w:p>
            <w:pPr>
              <w:spacing w:after="0"/>
              <w:rPr>
                <w:sz w:val="19"/>
                <w:szCs w:val="19"/>
                <w:color w:val="auto"/>
              </w:rPr>
            </w:pPr>
          </w:p>
        </w:tc>
      </w:tr>
      <w:tr>
        <w:trPr>
          <w:trHeight w:val="219"/>
        </w:trPr>
        <w:tc>
          <w:tcPr>
            <w:tcW w:w="16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256,769</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815"/>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13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256,928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1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7"/>
        </w:trPr>
        <w:tc>
          <w:tcPr>
            <w:tcW w:w="16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5"/>
          </w:tcPr>
          <w:p>
            <w:pPr>
              <w:jc w:val="right"/>
              <w:ind w:right="195"/>
              <w:spacing w:after="0"/>
              <w:rPr>
                <w:sz w:val="20"/>
                <w:szCs w:val="20"/>
                <w:color w:val="auto"/>
              </w:rPr>
            </w:pPr>
            <w:r>
              <w:rPr>
                <w:rFonts w:ascii="Times New Roman" w:cs="Times New Roman" w:eastAsia="Times New Roman" w:hAnsi="Times New Roman"/>
                <w:sz w:val="18"/>
                <w:szCs w:val="18"/>
                <w:color w:val="auto"/>
              </w:rPr>
              <w:t>At December 28, 2024</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16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center"/>
              <w:spacing w:after="0" w:line="187" w:lineRule="exact"/>
              <w:rPr>
                <w:sz w:val="20"/>
                <w:szCs w:val="20"/>
                <w:color w:val="auto"/>
              </w:rPr>
            </w:pPr>
            <w:r>
              <w:rPr>
                <w:rFonts w:ascii="Times New Roman" w:cs="Times New Roman" w:eastAsia="Times New Roman" w:hAnsi="Times New Roman"/>
                <w:sz w:val="18"/>
                <w:szCs w:val="18"/>
                <w:color w:val="auto"/>
                <w:w w:val="99"/>
              </w:rPr>
              <w:t>Gross</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ind w:left="95"/>
              <w:spacing w:after="0" w:line="187" w:lineRule="exact"/>
              <w:rPr>
                <w:sz w:val="20"/>
                <w:szCs w:val="20"/>
                <w:color w:val="auto"/>
              </w:rPr>
            </w:pPr>
            <w:r>
              <w:rPr>
                <w:rFonts w:ascii="Times New Roman" w:cs="Times New Roman" w:eastAsia="Times New Roman" w:hAnsi="Times New Roman"/>
                <w:sz w:val="18"/>
                <w:szCs w:val="18"/>
                <w:color w:val="auto"/>
                <w:w w:val="95"/>
              </w:rPr>
              <w:t>Gross</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ind w:right="72"/>
              <w:spacing w:after="0" w:line="187" w:lineRule="exact"/>
              <w:rPr>
                <w:sz w:val="20"/>
                <w:szCs w:val="20"/>
                <w:color w:val="auto"/>
              </w:rPr>
            </w:pPr>
            <w:r>
              <w:rPr>
                <w:rFonts w:ascii="Times New Roman" w:cs="Times New Roman" w:eastAsia="Times New Roman" w:hAnsi="Times New Roman"/>
                <w:sz w:val="18"/>
                <w:szCs w:val="18"/>
                <w:color w:val="auto"/>
                <w:w w:val="99"/>
              </w:rPr>
              <w:t>Estimated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5"/>
        </w:trPr>
        <w:tc>
          <w:tcPr>
            <w:tcW w:w="16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Amortized</w:t>
            </w:r>
          </w:p>
        </w:tc>
        <w:tc>
          <w:tcPr>
            <w:tcW w:w="14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Unrealized</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center"/>
              <w:ind w:left="95"/>
              <w:spacing w:after="0"/>
              <w:rPr>
                <w:sz w:val="20"/>
                <w:szCs w:val="20"/>
                <w:color w:val="auto"/>
              </w:rPr>
            </w:pPr>
            <w:r>
              <w:rPr>
                <w:rFonts w:ascii="Times New Roman" w:cs="Times New Roman" w:eastAsia="Times New Roman" w:hAnsi="Times New Roman"/>
                <w:sz w:val="18"/>
                <w:szCs w:val="18"/>
                <w:color w:val="auto"/>
                <w:w w:val="96"/>
              </w:rPr>
              <w:t>Unrealized</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6"/>
              </w:rPr>
              <w:t>Fair</w:t>
            </w:r>
          </w:p>
        </w:tc>
        <w:tc>
          <w:tcPr>
            <w:tcW w:w="100" w:type="dxa"/>
            <w:vAlign w:val="bottom"/>
          </w:tcPr>
          <w:p>
            <w:pPr>
              <w:spacing w:after="0"/>
              <w:rPr>
                <w:sz w:val="19"/>
                <w:szCs w:val="19"/>
                <w:color w:val="auto"/>
              </w:rPr>
            </w:pPr>
          </w:p>
        </w:tc>
      </w:tr>
      <w:tr>
        <w:trPr>
          <w:trHeight w:val="230"/>
        </w:trPr>
        <w:tc>
          <w:tcPr>
            <w:tcW w:w="16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6"/>
              </w:rPr>
              <w:t>Cost</w:t>
            </w:r>
          </w:p>
        </w:tc>
        <w:tc>
          <w:tcPr>
            <w:tcW w:w="14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Gains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center"/>
              <w:ind w:left="115"/>
              <w:spacing w:after="0" w:line="230" w:lineRule="exact"/>
              <w:rPr>
                <w:sz w:val="20"/>
                <w:szCs w:val="20"/>
                <w:color w:val="auto"/>
              </w:rPr>
            </w:pPr>
            <w:r>
              <w:rPr>
                <w:rFonts w:ascii="Times New Roman" w:cs="Times New Roman" w:eastAsia="Times New Roman" w:hAnsi="Times New Roman"/>
                <w:sz w:val="16"/>
                <w:szCs w:val="16"/>
                <w:color w:val="auto"/>
              </w:rPr>
              <w:t xml:space="preserve">Losses </w:t>
            </w:r>
            <w:r>
              <w:rPr>
                <w:rFonts w:ascii="Times New Roman" w:cs="Times New Roman" w:eastAsia="Times New Roman" w:hAnsi="Times New Roman"/>
                <w:sz w:val="26"/>
                <w:szCs w:val="26"/>
                <w:color w:val="auto"/>
                <w:vertAlign w:val="superscript"/>
              </w:rPr>
              <w:t>(1)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2"/>
              </w:rPr>
              <w:t>Value</w:t>
            </w:r>
          </w:p>
        </w:tc>
        <w:tc>
          <w:tcPr>
            <w:tcW w:w="100" w:type="dxa"/>
            <w:vAlign w:val="bottom"/>
          </w:tcPr>
          <w:p>
            <w:pPr>
              <w:spacing w:after="0"/>
              <w:rPr>
                <w:sz w:val="20"/>
                <w:szCs w:val="20"/>
                <w:color w:val="auto"/>
              </w:rPr>
            </w:pPr>
          </w:p>
        </w:tc>
      </w:tr>
      <w:tr>
        <w:trPr>
          <w:trHeight w:val="205"/>
        </w:trPr>
        <w:tc>
          <w:tcPr>
            <w:tcW w:w="160" w:type="dxa"/>
            <w:vAlign w:val="bottom"/>
          </w:tcPr>
          <w:p>
            <w:pPr>
              <w:spacing w:after="0"/>
              <w:rPr>
                <w:sz w:val="17"/>
                <w:szCs w:val="17"/>
                <w:color w:val="auto"/>
              </w:rPr>
            </w:pPr>
          </w:p>
        </w:tc>
        <w:tc>
          <w:tcPr>
            <w:tcW w:w="524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5"/>
                <w:szCs w:val="15"/>
                <w:color w:val="auto"/>
              </w:rPr>
              <w:t xml:space="preserve">Corporate debt securities </w:t>
            </w:r>
            <w:r>
              <w:rPr>
                <w:rFonts w:ascii="Times New Roman" w:cs="Times New Roman" w:eastAsia="Times New Roman" w:hAnsi="Times New Roman"/>
                <w:sz w:val="23"/>
                <w:szCs w:val="23"/>
                <w:color w:val="auto"/>
                <w:vertAlign w:val="superscript"/>
              </w:rPr>
              <w:t>(2)</w:t>
            </w:r>
          </w:p>
        </w:tc>
        <w:tc>
          <w:tcPr>
            <w:tcW w:w="16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32,040</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w w:val="88"/>
              </w:rPr>
              <w:t>37</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815"/>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w w:val="88"/>
              </w:rPr>
              <w:t>25</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32,052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16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16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certificates of deposit</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6,971</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6,972</w:t>
            </w:r>
          </w:p>
        </w:tc>
        <w:tc>
          <w:tcPr>
            <w:tcW w:w="100" w:type="dxa"/>
            <w:vAlign w:val="bottom"/>
          </w:tcPr>
          <w:p>
            <w:pPr>
              <w:spacing w:after="0"/>
              <w:rPr>
                <w:sz w:val="18"/>
                <w:szCs w:val="18"/>
                <w:color w:val="auto"/>
              </w:rPr>
            </w:pPr>
          </w:p>
        </w:tc>
      </w:tr>
      <w:tr>
        <w:trPr>
          <w:trHeight w:val="212"/>
        </w:trPr>
        <w:tc>
          <w:tcPr>
            <w:tcW w:w="16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3,647</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3,653</w:t>
            </w:r>
          </w:p>
        </w:tc>
        <w:tc>
          <w:tcPr>
            <w:tcW w:w="100" w:type="dxa"/>
            <w:vAlign w:val="bottom"/>
          </w:tcPr>
          <w:p>
            <w:pPr>
              <w:spacing w:after="0"/>
              <w:rPr>
                <w:sz w:val="18"/>
                <w:szCs w:val="18"/>
                <w:color w:val="auto"/>
              </w:rPr>
            </w:pPr>
          </w:p>
        </w:tc>
      </w:tr>
      <w:tr>
        <w:trPr>
          <w:trHeight w:val="212"/>
        </w:trPr>
        <w:tc>
          <w:tcPr>
            <w:tcW w:w="16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government security</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714</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tcPr>
          <w:p>
            <w:pPr>
              <w:spacing w:after="0"/>
              <w:rPr>
                <w:sz w:val="18"/>
                <w:szCs w:val="18"/>
                <w:color w:val="auto"/>
              </w:rPr>
            </w:pPr>
          </w:p>
        </w:tc>
      </w:tr>
      <w:tr>
        <w:trPr>
          <w:trHeight w:val="225"/>
        </w:trPr>
        <w:tc>
          <w:tcPr>
            <w:tcW w:w="16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Municipal securities</w:t>
            </w:r>
          </w:p>
        </w:tc>
        <w:tc>
          <w:tcPr>
            <w:tcW w:w="16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330</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19"/>
                <w:szCs w:val="19"/>
                <w:color w:val="auto"/>
              </w:rPr>
            </w:pPr>
          </w:p>
        </w:tc>
      </w:tr>
      <w:tr>
        <w:trPr>
          <w:trHeight w:val="219"/>
        </w:trPr>
        <w:tc>
          <w:tcPr>
            <w:tcW w:w="160" w:type="dxa"/>
            <w:vAlign w:val="bottom"/>
          </w:tcPr>
          <w:p>
            <w:pPr>
              <w:spacing w:after="0"/>
              <w:rPr>
                <w:sz w:val="19"/>
                <w:szCs w:val="19"/>
                <w:color w:val="auto"/>
              </w:rPr>
            </w:pPr>
          </w:p>
        </w:tc>
        <w:tc>
          <w:tcPr>
            <w:tcW w:w="5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55,666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62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815"/>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43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5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ind w:left="640" w:right="120" w:hanging="316"/>
        <w:spacing w:after="0" w:line="263" w:lineRule="auto"/>
        <w:tabs>
          <w:tab w:leader="none" w:pos="6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27, 2025, the cost and fair value of investments with loss positions were both approximately $58.3 million. As of December 28, 2024, the cost and fair value of investments with loss positions was approximately $20.5 million and $20.4 million, respectively. We evaluated the nature of these investments, credit worthiness of the issuer and the duration of these impairments to determine if a credit-related decline in fair value had occurred and concluded that these losses were temporary and we have the ability and intent to hold these investments to maturity.</w:t>
      </w:r>
    </w:p>
    <w:p>
      <w:pPr>
        <w:spacing w:after="0" w:line="186" w:lineRule="exact"/>
        <w:rPr>
          <w:rFonts w:ascii="Times New Roman" w:cs="Times New Roman" w:eastAsia="Times New Roman" w:hAnsi="Times New Roman"/>
          <w:sz w:val="16"/>
          <w:szCs w:val="16"/>
          <w:color w:val="auto"/>
        </w:rPr>
      </w:pPr>
    </w:p>
    <w:p>
      <w:pPr>
        <w:ind w:left="640" w:right="120" w:hanging="316"/>
        <w:spacing w:after="0" w:line="290" w:lineRule="auto"/>
        <w:tabs>
          <w:tab w:leader="none" w:pos="6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debt securities include investments in financial and other corporate institutions. No single issuer represents a significant portion of the total corporate debt securities portfolio.</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36195</wp:posOffset>
            </wp:positionV>
            <wp:extent cx="71348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97" w:lineRule="exact"/>
        <w:rPr>
          <w:sz w:val="20"/>
          <w:szCs w:val="20"/>
          <w:color w:val="auto"/>
        </w:rPr>
      </w:pPr>
    </w:p>
    <w:tbl>
      <w:tblPr>
        <w:tblLayout w:type="fixed"/>
        <w:tblInd w:w="320" w:type="dxa"/>
        <w:tblCellMar>
          <w:top w:w="0" w:type="dxa"/>
          <w:left w:w="0" w:type="dxa"/>
          <w:bottom w:w="0" w:type="dxa"/>
          <w:right w:w="0" w:type="dxa"/>
        </w:tblCellMar>
      </w:tblPr>
      <w:tr>
        <w:trPr>
          <w:trHeight w:val="231"/>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maturities of short-term investments at December 27, 2025, were as follows:</w:t>
            </w: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60" w:type="dxa"/>
            <w:vAlign w:val="bottom"/>
          </w:tcPr>
          <w:p>
            <w:pPr>
              <w:spacing w:after="0"/>
              <w:rPr>
                <w:sz w:val="24"/>
                <w:szCs w:val="24"/>
                <w:color w:val="auto"/>
              </w:rPr>
            </w:pPr>
          </w:p>
        </w:tc>
        <w:tc>
          <w:tcPr>
            <w:tcW w:w="66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Amortized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Estimated</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6660" w:type="dxa"/>
            <w:vAlign w:val="bottom"/>
            <w:vMerge w:val="continue"/>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Cost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6660" w:type="dxa"/>
            <w:vAlign w:val="bottom"/>
            <w:tcBorders>
              <w:top w:val="single" w:sz="8" w:color="auto"/>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Due in 1 year or less</w:t>
            </w:r>
          </w:p>
        </w:tc>
        <w:tc>
          <w:tcPr>
            <w:tcW w:w="940" w:type="dxa"/>
            <w:vAlign w:val="bottom"/>
            <w:tcBorders>
              <w:top w:val="single" w:sz="8" w:color="auto"/>
            </w:tcBorders>
            <w:gridSpan w:val="2"/>
            <w:shd w:val="clear" w:color="auto" w:fill="CCEEFF"/>
          </w:tcPr>
          <w:p>
            <w:pPr>
              <w:jc w:val="right"/>
              <w:ind w:right="32"/>
              <w:spacing w:after="0" w:line="205"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gridSpan w:val="2"/>
            <w:shd w:val="clear" w:color="auto" w:fill="CCEEFF"/>
          </w:tcPr>
          <w:p>
            <w:pPr>
              <w:jc w:val="right"/>
              <w:ind w:right="120"/>
              <w:spacing w:after="0" w:line="205" w:lineRule="exact"/>
              <w:rPr>
                <w:sz w:val="20"/>
                <w:szCs w:val="20"/>
                <w:color w:val="auto"/>
              </w:rPr>
            </w:pPr>
            <w:r>
              <w:rPr>
                <w:rFonts w:ascii="Times New Roman" w:cs="Times New Roman" w:eastAsia="Times New Roman" w:hAnsi="Times New Roman"/>
                <w:sz w:val="18"/>
                <w:szCs w:val="18"/>
                <w:color w:val="auto"/>
              </w:rPr>
              <w:t>200,379</w:t>
            </w:r>
          </w:p>
        </w:tc>
        <w:tc>
          <w:tcPr>
            <w:tcW w:w="340" w:type="dxa"/>
            <w:vAlign w:val="bottom"/>
            <w:tcBorders>
              <w:top w:val="single" w:sz="8" w:color="auto"/>
            </w:tcBorders>
            <w:gridSpan w:val="2"/>
            <w:shd w:val="clear" w:color="auto" w:fill="CCEEFF"/>
          </w:tcPr>
          <w:p>
            <w:pPr>
              <w:jc w:val="right"/>
              <w:ind w:right="77"/>
              <w:spacing w:after="0" w:line="205"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200,436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6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Due after 1 year through 5 years</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56,390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56,492</w:t>
            </w:r>
          </w:p>
        </w:tc>
        <w:tc>
          <w:tcPr>
            <w:tcW w:w="0" w:type="dxa"/>
            <w:vAlign w:val="bottom"/>
          </w:tcPr>
          <w:p>
            <w:pPr>
              <w:spacing w:after="0"/>
              <w:rPr>
                <w:sz w:val="1"/>
                <w:szCs w:val="1"/>
                <w:color w:val="auto"/>
              </w:rPr>
            </w:pPr>
          </w:p>
        </w:tc>
      </w:tr>
      <w:tr>
        <w:trPr>
          <w:trHeight w:val="219"/>
        </w:trPr>
        <w:tc>
          <w:tcPr>
            <w:tcW w:w="160" w:type="dxa"/>
            <w:vAlign w:val="bottom"/>
          </w:tcPr>
          <w:p>
            <w:pPr>
              <w:spacing w:after="0"/>
              <w:rPr>
                <w:sz w:val="19"/>
                <w:szCs w:val="19"/>
                <w:color w:val="auto"/>
              </w:rPr>
            </w:pPr>
          </w:p>
        </w:tc>
        <w:tc>
          <w:tcPr>
            <w:tcW w:w="666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256,769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320" w:right="140"/>
        <w:spacing w:after="0" w:line="251" w:lineRule="auto"/>
        <w:rPr>
          <w:sz w:val="20"/>
          <w:szCs w:val="20"/>
          <w:color w:val="auto"/>
        </w:rPr>
      </w:pPr>
      <w:r>
        <w:rPr>
          <w:rFonts w:ascii="Times New Roman" w:cs="Times New Roman" w:eastAsia="Times New Roman" w:hAnsi="Times New Roman"/>
          <w:sz w:val="18"/>
          <w:szCs w:val="18"/>
          <w:color w:val="auto"/>
        </w:rPr>
        <w:t>Accounting standards pertaining to fair value measurements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When available, we use quoted market prices to determine the fair value of our investments, and they are included in Level 1. When quoted market prices are unobservable, we use quotes from independent pricing vendors based on recent trading activity and other relevant information.</w:t>
      </w:r>
    </w:p>
    <w:p>
      <w:pPr>
        <w:spacing w:after="0" w:line="185" w:lineRule="exact"/>
        <w:rPr>
          <w:sz w:val="20"/>
          <w:szCs w:val="20"/>
          <w:color w:val="auto"/>
        </w:rPr>
      </w:pPr>
    </w:p>
    <w:p>
      <w:pPr>
        <w:ind w:left="320" w:right="80"/>
        <w:spacing w:after="0" w:line="274" w:lineRule="auto"/>
        <w:rPr>
          <w:sz w:val="20"/>
          <w:szCs w:val="20"/>
          <w:color w:val="auto"/>
        </w:rPr>
      </w:pPr>
      <w:r>
        <w:rPr>
          <w:rFonts w:ascii="Times New Roman" w:cs="Times New Roman" w:eastAsia="Times New Roman" w:hAnsi="Times New Roman"/>
          <w:sz w:val="18"/>
          <w:szCs w:val="18"/>
          <w:color w:val="auto"/>
        </w:rPr>
        <w:t xml:space="preserve">The following table summarizes, by major security type, our financial instruments that are measured at fair value on a recurring basis and are categorized using the fair value hierarchy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0" w:type="dxa"/>
            <w:vAlign w:val="bottom"/>
            <w:gridSpan w:val="13"/>
          </w:tcPr>
          <w:p>
            <w:pPr>
              <w:jc w:val="right"/>
              <w:ind w:right="840"/>
              <w:spacing w:after="0"/>
              <w:rPr>
                <w:sz w:val="20"/>
                <w:szCs w:val="20"/>
                <w:color w:val="auto"/>
              </w:rPr>
            </w:pPr>
            <w:r>
              <w:rPr>
                <w:rFonts w:ascii="Times New Roman" w:cs="Times New Roman" w:eastAsia="Times New Roman" w:hAnsi="Times New Roman"/>
                <w:sz w:val="18"/>
                <w:szCs w:val="18"/>
                <w:color w:val="auto"/>
              </w:rPr>
              <w:t>Fair value measurements at December 27, 2025 using:</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48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center"/>
              <w:spacing w:after="0" w:line="201" w:lineRule="exact"/>
              <w:rPr>
                <w:sz w:val="20"/>
                <w:szCs w:val="20"/>
                <w:color w:val="auto"/>
              </w:rPr>
            </w:pPr>
            <w:r>
              <w:rPr>
                <w:rFonts w:ascii="Times New Roman" w:cs="Times New Roman" w:eastAsia="Times New Roman" w:hAnsi="Times New Roman"/>
                <w:sz w:val="18"/>
                <w:szCs w:val="18"/>
                <w:color w:val="auto"/>
                <w:w w:val="96"/>
              </w:rPr>
              <w:t>Total estimated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Level 1</w:t>
            </w:r>
          </w:p>
        </w:tc>
        <w:tc>
          <w:tcPr>
            <w:tcW w:w="200" w:type="dxa"/>
            <w:vAlign w:val="bottom"/>
          </w:tcPr>
          <w:p>
            <w:pPr>
              <w:spacing w:after="0"/>
              <w:rPr>
                <w:sz w:val="20"/>
                <w:szCs w:val="20"/>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Level 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Level 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fair 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80" w:type="dxa"/>
            <w:vAlign w:val="bottom"/>
          </w:tcPr>
          <w:p>
            <w:pPr>
              <w:spacing w:after="0"/>
              <w:rPr>
                <w:sz w:val="17"/>
                <w:szCs w:val="17"/>
                <w:color w:val="auto"/>
              </w:rPr>
            </w:pPr>
          </w:p>
        </w:tc>
        <w:tc>
          <w:tcPr>
            <w:tcW w:w="354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Cash</w:t>
            </w:r>
          </w:p>
        </w:tc>
        <w:tc>
          <w:tcPr>
            <w:tcW w:w="17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2"/>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142,091</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142,091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8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183,611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183,611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certificates of deposit</w:t>
            </w:r>
          </w:p>
        </w:tc>
        <w:tc>
          <w:tcPr>
            <w:tcW w:w="1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58,156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58,156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51,712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51,712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37,652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37,652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80" w:type="dxa"/>
            <w:vAlign w:val="bottom"/>
          </w:tcPr>
          <w:p>
            <w:pPr>
              <w:spacing w:after="0"/>
              <w:rPr>
                <w:sz w:val="19"/>
                <w:szCs w:val="19"/>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government security</w:t>
            </w:r>
          </w:p>
        </w:tc>
        <w:tc>
          <w:tcPr>
            <w:tcW w:w="1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8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142,091</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341,890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483,981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4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0" w:type="dxa"/>
            <w:vAlign w:val="bottom"/>
            <w:gridSpan w:val="13"/>
          </w:tcPr>
          <w:p>
            <w:pPr>
              <w:jc w:val="right"/>
              <w:ind w:right="840"/>
              <w:spacing w:after="0"/>
              <w:rPr>
                <w:sz w:val="20"/>
                <w:szCs w:val="20"/>
                <w:color w:val="auto"/>
              </w:rPr>
            </w:pPr>
            <w:r>
              <w:rPr>
                <w:rFonts w:ascii="Times New Roman" w:cs="Times New Roman" w:eastAsia="Times New Roman" w:hAnsi="Times New Roman"/>
                <w:sz w:val="18"/>
                <w:szCs w:val="18"/>
                <w:color w:val="auto"/>
              </w:rPr>
              <w:t>Fair value measurements at December 28, 2024 using:</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8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center"/>
              <w:spacing w:after="0" w:line="201" w:lineRule="exact"/>
              <w:rPr>
                <w:sz w:val="20"/>
                <w:szCs w:val="20"/>
                <w:color w:val="auto"/>
              </w:rPr>
            </w:pPr>
            <w:r>
              <w:rPr>
                <w:rFonts w:ascii="Times New Roman" w:cs="Times New Roman" w:eastAsia="Times New Roman" w:hAnsi="Times New Roman"/>
                <w:sz w:val="18"/>
                <w:szCs w:val="18"/>
                <w:color w:val="auto"/>
                <w:w w:val="96"/>
              </w:rPr>
              <w:t>Total estimated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Level 1</w:t>
            </w:r>
          </w:p>
        </w:tc>
        <w:tc>
          <w:tcPr>
            <w:tcW w:w="200" w:type="dxa"/>
            <w:vAlign w:val="bottom"/>
          </w:tcPr>
          <w:p>
            <w:pPr>
              <w:spacing w:after="0"/>
              <w:rPr>
                <w:sz w:val="20"/>
                <w:szCs w:val="20"/>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Level 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Level 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fair 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80" w:type="dxa"/>
            <w:vAlign w:val="bottom"/>
          </w:tcPr>
          <w:p>
            <w:pPr>
              <w:spacing w:after="0"/>
              <w:rPr>
                <w:sz w:val="17"/>
                <w:szCs w:val="17"/>
                <w:color w:val="auto"/>
              </w:rPr>
            </w:pPr>
          </w:p>
        </w:tc>
        <w:tc>
          <w:tcPr>
            <w:tcW w:w="354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Cash</w:t>
            </w:r>
          </w:p>
        </w:tc>
        <w:tc>
          <w:tcPr>
            <w:tcW w:w="17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2"/>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136,965</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136,965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8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69,442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69,442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32,052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certificates of deposit</w:t>
            </w:r>
          </w:p>
        </w:tc>
        <w:tc>
          <w:tcPr>
            <w:tcW w:w="1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6,972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3,653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Municipal securities</w:t>
            </w:r>
          </w:p>
        </w:tc>
        <w:tc>
          <w:tcPr>
            <w:tcW w:w="1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8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Foreign government security</w:t>
            </w:r>
          </w:p>
        </w:tc>
        <w:tc>
          <w:tcPr>
            <w:tcW w:w="1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80" w:type="dxa"/>
            <w:vAlign w:val="bottom"/>
          </w:tcPr>
          <w:p>
            <w:pPr>
              <w:spacing w:after="0"/>
              <w:rPr>
                <w:sz w:val="19"/>
                <w:szCs w:val="19"/>
                <w:color w:val="auto"/>
              </w:rPr>
            </w:pPr>
          </w:p>
        </w:tc>
        <w:tc>
          <w:tcPr>
            <w:tcW w:w="3540" w:type="dxa"/>
            <w:vAlign w:val="bottom"/>
            <w:tcBorders>
              <w:top w:val="single" w:sz="8" w:color="CCEEFF"/>
              <w:bottom w:val="single" w:sz="8" w:color="CCEEFF"/>
            </w:tcBorders>
            <w:shd w:val="clear" w:color="auto" w:fill="CCEEFF"/>
          </w:tcPr>
          <w:p>
            <w:pPr>
              <w:spacing w:after="0"/>
              <w:rPr>
                <w:sz w:val="19"/>
                <w:szCs w:val="19"/>
                <w:color w:val="auto"/>
              </w:rPr>
            </w:pPr>
          </w:p>
        </w:tc>
        <w:tc>
          <w:tcPr>
            <w:tcW w:w="17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136,965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125,127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4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80" w:type="dxa"/>
            <w:vAlign w:val="bottom"/>
            <w:tcBorders>
              <w:bottom w:val="single" w:sz="8" w:color="auto"/>
            </w:tcBorders>
          </w:tcPr>
          <w:p>
            <w:pPr>
              <w:spacing w:after="0"/>
              <w:rPr>
                <w:sz w:val="9"/>
                <w:szCs w:val="9"/>
                <w:color w:val="auto"/>
              </w:rPr>
            </w:pPr>
          </w:p>
        </w:tc>
        <w:tc>
          <w:tcPr>
            <w:tcW w:w="354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36195</wp:posOffset>
            </wp:positionV>
            <wp:extent cx="71348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320" w:hanging="314"/>
        <w:spacing w:after="0"/>
        <w:tabs>
          <w:tab w:leader="none" w:pos="3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Plans</w:t>
      </w:r>
    </w:p>
    <w:p>
      <w:pPr>
        <w:spacing w:after="0" w:line="217" w:lineRule="exact"/>
        <w:rPr>
          <w:rFonts w:ascii="Times New Roman" w:cs="Times New Roman" w:eastAsia="Times New Roman" w:hAnsi="Times New Roman"/>
          <w:sz w:val="18"/>
          <w:szCs w:val="18"/>
          <w:b w:val="1"/>
          <w:bCs w:val="1"/>
          <w:color w:val="auto"/>
        </w:rPr>
      </w:pPr>
    </w:p>
    <w:p>
      <w:pPr>
        <w:ind w:left="320" w:right="10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Defined Contribution Retirement Plans </w:t>
      </w:r>
      <w:r>
        <w:rPr>
          <w:rFonts w:ascii="Times New Roman" w:cs="Times New Roman" w:eastAsia="Times New Roman" w:hAnsi="Times New Roman"/>
          <w:sz w:val="18"/>
          <w:szCs w:val="18"/>
          <w:color w:val="auto"/>
        </w:rPr>
        <w:t>– Cohu maintains a defined contribution 401(k) retirement savings plan covering all salaried and hourly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Participation is voluntary and participants’ contributions are based on their eligible compensation. Participants in the Cohu plan receive matching contributions of 50% up to 8% of salary contributed, subject to various statutory limits. In fiscal 2025, 2024 and 2023, we made matching contributions to the plan of $2.2 million, $2.3 million and $2.5 million, respectively.</w:t>
      </w:r>
    </w:p>
    <w:p>
      <w:pPr>
        <w:spacing w:after="0" w:line="176" w:lineRule="exact"/>
        <w:rPr>
          <w:rFonts w:ascii="Times New Roman" w:cs="Times New Roman" w:eastAsia="Times New Roman" w:hAnsi="Times New Roman"/>
          <w:sz w:val="18"/>
          <w:szCs w:val="18"/>
          <w:b w:val="1"/>
          <w:bCs w:val="1"/>
          <w:color w:val="auto"/>
        </w:rPr>
      </w:pPr>
    </w:p>
    <w:p>
      <w:pPr>
        <w:ind w:left="320" w:right="1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Defined Benefit Retirement Plans </w:t>
      </w:r>
      <w:r>
        <w:rPr>
          <w:rFonts w:ascii="Times New Roman" w:cs="Times New Roman" w:eastAsia="Times New Roman" w:hAnsi="Times New Roman"/>
          <w:sz w:val="18"/>
          <w:szCs w:val="18"/>
          <w:color w:val="auto"/>
        </w:rPr>
        <w:t>– Some of our employees located in Europe and Asia participate in defined benefit retirement plans. Our largest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defined benefit retirement plan is the Ismeca Europe Semiconductor BVG Pension Plan which covers our employees in Switzerland (“the Swiss Plan”) and the following discussion relates solely to the Swiss Plan, all other plans are not material to our financial statements.</w:t>
      </w:r>
    </w:p>
    <w:p>
      <w:pPr>
        <w:spacing w:after="0" w:line="174"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Net periodic benefit cost of the Swiss Plan was as follows:</w:t>
      </w:r>
    </w:p>
    <w:p>
      <w:pPr>
        <w:spacing w:after="0" w:line="228" w:lineRule="exact"/>
        <w:rPr>
          <w:sz w:val="20"/>
          <w:szCs w:val="20"/>
          <w:color w:val="auto"/>
        </w:rPr>
      </w:pPr>
    </w:p>
    <w:tbl>
      <w:tblPr>
        <w:tblLayout w:type="fixed"/>
        <w:tblInd w:w="480" w:type="dxa"/>
        <w:tblCellMar>
          <w:top w:w="0" w:type="dxa"/>
          <w:left w:w="0" w:type="dxa"/>
          <w:bottom w:w="0" w:type="dxa"/>
          <w:right w:w="0" w:type="dxa"/>
        </w:tblCellMar>
      </w:tblPr>
      <w:tr>
        <w:trPr>
          <w:trHeight w:val="232"/>
        </w:trPr>
        <w:tc>
          <w:tcPr>
            <w:tcW w:w="5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5"/>
        </w:trPr>
        <w:tc>
          <w:tcPr>
            <w:tcW w:w="568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Service cost</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43"/>
              <w:spacing w:after="0" w:line="205" w:lineRule="exact"/>
              <w:rPr>
                <w:sz w:val="20"/>
                <w:szCs w:val="20"/>
                <w:color w:val="auto"/>
              </w:rPr>
            </w:pPr>
            <w:r>
              <w:rPr>
                <w:rFonts w:ascii="Times New Roman" w:cs="Times New Roman" w:eastAsia="Times New Roman" w:hAnsi="Times New Roman"/>
                <w:sz w:val="18"/>
                <w:szCs w:val="18"/>
                <w:color w:val="auto"/>
              </w:rPr>
              <w:t>603</w:t>
            </w:r>
          </w:p>
        </w:tc>
        <w:tc>
          <w:tcPr>
            <w:tcW w:w="420" w:type="dxa"/>
            <w:vAlign w:val="bottom"/>
            <w:gridSpan w:val="2"/>
            <w:shd w:val="clear" w:color="auto" w:fill="CCEEFF"/>
          </w:tcPr>
          <w:p>
            <w:pPr>
              <w:jc w:val="right"/>
              <w:ind w:right="152"/>
              <w:spacing w:after="0" w:line="205"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line="205" w:lineRule="exact"/>
              <w:rPr>
                <w:sz w:val="20"/>
                <w:szCs w:val="20"/>
                <w:color w:val="auto"/>
              </w:rPr>
            </w:pPr>
            <w:r>
              <w:rPr>
                <w:rFonts w:ascii="Times New Roman" w:cs="Times New Roman" w:eastAsia="Times New Roman" w:hAnsi="Times New Roman"/>
                <w:sz w:val="18"/>
                <w:szCs w:val="18"/>
                <w:color w:val="auto"/>
              </w:rPr>
              <w:t>643</w:t>
            </w:r>
          </w:p>
        </w:tc>
        <w:tc>
          <w:tcPr>
            <w:tcW w:w="320" w:type="dxa"/>
            <w:vAlign w:val="bottom"/>
            <w:gridSpan w:val="2"/>
            <w:shd w:val="clear" w:color="auto" w:fill="CCEEFF"/>
          </w:tcPr>
          <w:p>
            <w:pPr>
              <w:jc w:val="right"/>
              <w:ind w:right="18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551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2"/>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320" w:type="dxa"/>
            <w:vAlign w:val="bottom"/>
          </w:tcPr>
          <w:p>
            <w:pPr>
              <w:spacing w:after="0"/>
              <w:rPr>
                <w:sz w:val="18"/>
                <w:szCs w:val="18"/>
                <w:color w:val="auto"/>
              </w:rPr>
            </w:pPr>
          </w:p>
        </w:tc>
        <w:tc>
          <w:tcPr>
            <w:tcW w:w="1300" w:type="dxa"/>
            <w:vAlign w:val="bottom"/>
            <w:gridSpan w:val="2"/>
          </w:tcPr>
          <w:p>
            <w:pPr>
              <w:jc w:val="right"/>
              <w:ind w:right="43"/>
              <w:spacing w:after="0"/>
              <w:rPr>
                <w:sz w:val="20"/>
                <w:szCs w:val="20"/>
                <w:color w:val="auto"/>
              </w:rPr>
            </w:pPr>
            <w:r>
              <w:rPr>
                <w:rFonts w:ascii="Times New Roman" w:cs="Times New Roman" w:eastAsia="Times New Roman" w:hAnsi="Times New Roman"/>
                <w:sz w:val="18"/>
                <w:szCs w:val="18"/>
                <w:color w:val="auto"/>
              </w:rPr>
              <w:t>244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510</w:t>
            </w:r>
          </w:p>
        </w:tc>
        <w:tc>
          <w:tcPr>
            <w:tcW w:w="80" w:type="dxa"/>
            <w:vAlign w:val="bottom"/>
          </w:tcPr>
          <w:p>
            <w:pPr>
              <w:spacing w:after="0"/>
              <w:rPr>
                <w:sz w:val="18"/>
                <w:szCs w:val="18"/>
                <w:color w:val="auto"/>
              </w:rPr>
            </w:pPr>
          </w:p>
        </w:tc>
      </w:tr>
      <w:tr>
        <w:trPr>
          <w:trHeight w:val="212"/>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assets</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(331)</w:t>
            </w:r>
          </w:p>
        </w:tc>
      </w:tr>
      <w:tr>
        <w:trPr>
          <w:trHeight w:val="212"/>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Curtailment</w:t>
            </w:r>
          </w:p>
        </w:tc>
        <w:tc>
          <w:tcPr>
            <w:tcW w:w="32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5"/>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Settlements</w:t>
            </w: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(277)</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(177)</w:t>
            </w:r>
          </w:p>
        </w:tc>
      </w:tr>
      <w:tr>
        <w:trPr>
          <w:trHeight w:val="218"/>
        </w:trPr>
        <w:tc>
          <w:tcPr>
            <w:tcW w:w="5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periodic costs</w:t>
            </w:r>
          </w:p>
        </w:tc>
        <w:tc>
          <w:tcPr>
            <w:tcW w:w="320" w:type="dxa"/>
            <w:vAlign w:val="bottom"/>
            <w:tcBorders>
              <w:top w:val="single" w:sz="8" w:color="auto"/>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ind w:left="320" w:right="260"/>
        <w:spacing w:after="0" w:line="274" w:lineRule="auto"/>
        <w:rPr>
          <w:sz w:val="20"/>
          <w:szCs w:val="20"/>
          <w:color w:val="auto"/>
        </w:rPr>
      </w:pPr>
      <w:r>
        <w:rPr>
          <w:rFonts w:ascii="Times New Roman" w:cs="Times New Roman" w:eastAsia="Times New Roman" w:hAnsi="Times New Roman"/>
          <w:sz w:val="18"/>
          <w:szCs w:val="18"/>
          <w:color w:val="auto"/>
        </w:rPr>
        <w:t>The following table sets forth the projected benefit obligation, the fair value of plan assets, the funded status and the liability we have recorded in our consolidated balance sheets related to the Swiss Plan:</w:t>
      </w:r>
    </w:p>
    <w:p>
      <w:pPr>
        <w:spacing w:after="0" w:line="175" w:lineRule="exact"/>
        <w:rPr>
          <w:sz w:val="20"/>
          <w:szCs w:val="20"/>
          <w:color w:val="auto"/>
        </w:rPr>
      </w:pPr>
    </w:p>
    <w:tbl>
      <w:tblPr>
        <w:tblLayout w:type="fixed"/>
        <w:tblInd w:w="480" w:type="dxa"/>
        <w:tblCellMar>
          <w:top w:w="0" w:type="dxa"/>
          <w:left w:w="0" w:type="dxa"/>
          <w:bottom w:w="0" w:type="dxa"/>
          <w:right w:w="0" w:type="dxa"/>
        </w:tblCellMar>
      </w:tblPr>
      <w:tr>
        <w:trPr>
          <w:trHeight w:val="232"/>
        </w:trPr>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5"/>
        </w:trPr>
        <w:tc>
          <w:tcPr>
            <w:tcW w:w="528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Change in projected benefit obligation:</w:t>
            </w:r>
          </w:p>
        </w:tc>
        <w:tc>
          <w:tcPr>
            <w:tcW w:w="2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2"/>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244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(21,511)</w:t>
            </w:r>
          </w:p>
        </w:tc>
        <w:tc>
          <w:tcPr>
            <w:tcW w:w="320" w:type="dxa"/>
            <w:vAlign w:val="bottom"/>
            <w:gridSpan w:val="2"/>
          </w:tcPr>
          <w:p>
            <w:pPr>
              <w:jc w:val="right"/>
              <w:ind w:right="18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(24,884)</w:t>
            </w:r>
          </w:p>
        </w:tc>
      </w:tr>
      <w:tr>
        <w:trPr>
          <w:trHeight w:val="212"/>
        </w:trPr>
        <w:tc>
          <w:tcPr>
            <w:tcW w:w="5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Service cost</w:t>
            </w:r>
          </w:p>
        </w:tc>
        <w:tc>
          <w:tcPr>
            <w:tcW w:w="2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(643)</w:t>
            </w:r>
          </w:p>
        </w:tc>
      </w:tr>
      <w:tr>
        <w:trPr>
          <w:trHeight w:val="212"/>
        </w:trPr>
        <w:tc>
          <w:tcPr>
            <w:tcW w:w="5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cost</w:t>
            </w:r>
          </w:p>
        </w:tc>
        <w:tc>
          <w:tcPr>
            <w:tcW w:w="2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(357)</w:t>
            </w:r>
          </w:p>
        </w:tc>
      </w:tr>
      <w:tr>
        <w:trPr>
          <w:trHeight w:val="212"/>
        </w:trPr>
        <w:tc>
          <w:tcPr>
            <w:tcW w:w="5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Actuarial gain (loss)</w:t>
            </w:r>
          </w:p>
        </w:tc>
        <w:tc>
          <w:tcPr>
            <w:tcW w:w="2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2,705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2"/>
        </w:trPr>
        <w:tc>
          <w:tcPr>
            <w:tcW w:w="5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2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(988)</w:t>
            </w:r>
          </w:p>
        </w:tc>
      </w:tr>
      <w:tr>
        <w:trPr>
          <w:trHeight w:val="212"/>
        </w:trPr>
        <w:tc>
          <w:tcPr>
            <w:tcW w:w="5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Benefits paid</w:t>
            </w:r>
          </w:p>
        </w:tc>
        <w:tc>
          <w:tcPr>
            <w:tcW w:w="2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80" w:type="dxa"/>
            <w:vAlign w:val="bottom"/>
            <w:shd w:val="clear" w:color="auto" w:fill="CCEEFF"/>
          </w:tcPr>
          <w:p>
            <w:pPr>
              <w:spacing w:after="0"/>
              <w:rPr>
                <w:sz w:val="18"/>
                <w:szCs w:val="18"/>
                <w:color w:val="auto"/>
              </w:rPr>
            </w:pPr>
          </w:p>
        </w:tc>
      </w:tr>
      <w:tr>
        <w:trPr>
          <w:trHeight w:val="212"/>
        </w:trPr>
        <w:tc>
          <w:tcPr>
            <w:tcW w:w="5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Plan change</w:t>
            </w:r>
          </w:p>
        </w:tc>
        <w:tc>
          <w:tcPr>
            <w:tcW w:w="2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tcPr>
          <w:p>
            <w:pPr>
              <w:spacing w:after="0"/>
              <w:rPr>
                <w:sz w:val="18"/>
                <w:szCs w:val="18"/>
                <w:color w:val="auto"/>
              </w:rPr>
            </w:pPr>
          </w:p>
        </w:tc>
      </w:tr>
      <w:tr>
        <w:trPr>
          <w:trHeight w:val="212"/>
        </w:trPr>
        <w:tc>
          <w:tcPr>
            <w:tcW w:w="5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Settlements</w:t>
            </w:r>
          </w:p>
        </w:tc>
        <w:tc>
          <w:tcPr>
            <w:tcW w:w="2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8,296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80" w:type="dxa"/>
            <w:vAlign w:val="bottom"/>
            <w:shd w:val="clear" w:color="auto" w:fill="CCEEFF"/>
          </w:tcPr>
          <w:p>
            <w:pPr>
              <w:spacing w:after="0"/>
              <w:rPr>
                <w:sz w:val="18"/>
                <w:szCs w:val="18"/>
                <w:color w:val="auto"/>
              </w:rPr>
            </w:pPr>
          </w:p>
        </w:tc>
      </w:tr>
      <w:tr>
        <w:trPr>
          <w:trHeight w:val="212"/>
        </w:trPr>
        <w:tc>
          <w:tcPr>
            <w:tcW w:w="5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Plan Curtailment</w:t>
            </w:r>
          </w:p>
        </w:tc>
        <w:tc>
          <w:tcPr>
            <w:tcW w:w="2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5"/>
        </w:trPr>
        <w:tc>
          <w:tcPr>
            <w:tcW w:w="5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currency exchange adjustment</w:t>
            </w:r>
          </w:p>
        </w:tc>
        <w:tc>
          <w:tcPr>
            <w:tcW w:w="2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(956)</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80" w:type="dxa"/>
            <w:vAlign w:val="bottom"/>
            <w:shd w:val="clear" w:color="auto" w:fill="CCEEFF"/>
          </w:tcPr>
          <w:p>
            <w:pPr>
              <w:spacing w:after="0"/>
              <w:rPr>
                <w:sz w:val="19"/>
                <w:szCs w:val="19"/>
                <w:color w:val="auto"/>
              </w:rPr>
            </w:pPr>
          </w:p>
        </w:tc>
      </w:tr>
      <w:tr>
        <w:trPr>
          <w:trHeight w:val="205"/>
        </w:trPr>
        <w:tc>
          <w:tcPr>
            <w:tcW w:w="52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Benefit obligation at end of year</w:t>
            </w:r>
          </w:p>
        </w:tc>
        <w:tc>
          <w:tcPr>
            <w:tcW w:w="2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(11,262)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(21,511)</w:t>
            </w:r>
          </w:p>
        </w:tc>
        <w:tc>
          <w:tcPr>
            <w:tcW w:w="100" w:type="dxa"/>
            <w:vAlign w:val="bottom"/>
            <w:gridSpan w:val="2"/>
          </w:tcPr>
          <w:p>
            <w:pPr>
              <w:spacing w:after="0"/>
              <w:rPr>
                <w:sz w:val="17"/>
                <w:szCs w:val="17"/>
                <w:color w:val="auto"/>
              </w:rPr>
            </w:pPr>
          </w:p>
        </w:tc>
      </w:tr>
      <w:tr>
        <w:trPr>
          <w:trHeight w:val="212"/>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plan assets:</w:t>
            </w:r>
          </w:p>
        </w:tc>
        <w:tc>
          <w:tcPr>
            <w:tcW w:w="2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2"/>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2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17,458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19,700</w:t>
            </w:r>
          </w:p>
        </w:tc>
        <w:tc>
          <w:tcPr>
            <w:tcW w:w="80" w:type="dxa"/>
            <w:vAlign w:val="bottom"/>
          </w:tcPr>
          <w:p>
            <w:pPr>
              <w:spacing w:after="0"/>
              <w:rPr>
                <w:sz w:val="18"/>
                <w:szCs w:val="18"/>
                <w:color w:val="auto"/>
              </w:rPr>
            </w:pPr>
          </w:p>
        </w:tc>
      </w:tr>
      <w:tr>
        <w:trPr>
          <w:trHeight w:val="212"/>
        </w:trPr>
        <w:tc>
          <w:tcPr>
            <w:tcW w:w="5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Return on assets, net of actuarial gain/loss</w:t>
            </w:r>
          </w:p>
        </w:tc>
        <w:tc>
          <w:tcPr>
            <w:tcW w:w="2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80" w:type="dxa"/>
            <w:vAlign w:val="bottom"/>
            <w:shd w:val="clear" w:color="auto" w:fill="CCEEFF"/>
          </w:tcPr>
          <w:p>
            <w:pPr>
              <w:spacing w:after="0"/>
              <w:rPr>
                <w:sz w:val="18"/>
                <w:szCs w:val="18"/>
                <w:color w:val="auto"/>
              </w:rPr>
            </w:pPr>
          </w:p>
        </w:tc>
      </w:tr>
      <w:tr>
        <w:trPr>
          <w:trHeight w:val="212"/>
        </w:trPr>
        <w:tc>
          <w:tcPr>
            <w:tcW w:w="5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Employer contributions</w:t>
            </w:r>
          </w:p>
        </w:tc>
        <w:tc>
          <w:tcPr>
            <w:tcW w:w="2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80" w:type="dxa"/>
            <w:vAlign w:val="bottom"/>
          </w:tcPr>
          <w:p>
            <w:pPr>
              <w:spacing w:after="0"/>
              <w:rPr>
                <w:sz w:val="18"/>
                <w:szCs w:val="18"/>
                <w:color w:val="auto"/>
              </w:rPr>
            </w:pPr>
          </w:p>
        </w:tc>
      </w:tr>
      <w:tr>
        <w:trPr>
          <w:trHeight w:val="212"/>
        </w:trPr>
        <w:tc>
          <w:tcPr>
            <w:tcW w:w="5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2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80" w:type="dxa"/>
            <w:vAlign w:val="bottom"/>
            <w:shd w:val="clear" w:color="auto" w:fill="CCEEFF"/>
          </w:tcPr>
          <w:p>
            <w:pPr>
              <w:spacing w:after="0"/>
              <w:rPr>
                <w:sz w:val="18"/>
                <w:szCs w:val="18"/>
                <w:color w:val="auto"/>
              </w:rPr>
            </w:pPr>
          </w:p>
        </w:tc>
      </w:tr>
      <w:tr>
        <w:trPr>
          <w:trHeight w:val="212"/>
        </w:trPr>
        <w:tc>
          <w:tcPr>
            <w:tcW w:w="5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Benefits paid</w:t>
            </w:r>
          </w:p>
        </w:tc>
        <w:tc>
          <w:tcPr>
            <w:tcW w:w="2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(599)</w:t>
            </w:r>
          </w:p>
        </w:tc>
      </w:tr>
      <w:tr>
        <w:trPr>
          <w:trHeight w:val="212"/>
        </w:trPr>
        <w:tc>
          <w:tcPr>
            <w:tcW w:w="5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Settlements</w:t>
            </w:r>
          </w:p>
        </w:tc>
        <w:tc>
          <w:tcPr>
            <w:tcW w:w="2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(8,296)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(2,820)</w:t>
            </w:r>
          </w:p>
        </w:tc>
      </w:tr>
      <w:tr>
        <w:trPr>
          <w:trHeight w:val="225"/>
        </w:trPr>
        <w:tc>
          <w:tcPr>
            <w:tcW w:w="5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Foreign currency exchange adjustment</w:t>
            </w:r>
          </w:p>
        </w:tc>
        <w:tc>
          <w:tcPr>
            <w:tcW w:w="2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2,084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(1,326)</w:t>
            </w:r>
          </w:p>
        </w:tc>
      </w:tr>
      <w:tr>
        <w:trPr>
          <w:trHeight w:val="205"/>
        </w:trPr>
        <w:tc>
          <w:tcPr>
            <w:tcW w:w="528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Fair value of plan assets at end of year</w:t>
            </w:r>
          </w:p>
        </w:tc>
        <w:tc>
          <w:tcPr>
            <w:tcW w:w="2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12,109</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17,458</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8"/>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Net asset (liability) at end of year</w:t>
            </w:r>
          </w:p>
        </w:tc>
        <w:tc>
          <w:tcPr>
            <w:tcW w:w="2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w w:val="79"/>
              </w:rPr>
              <w:t>)</w:t>
            </w:r>
          </w:p>
        </w:tc>
      </w:tr>
      <w:tr>
        <w:trPr>
          <w:trHeight w:val="20"/>
        </w:trPr>
        <w:tc>
          <w:tcPr>
            <w:tcW w:w="52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ind w:left="320" w:right="20"/>
        <w:spacing w:after="0" w:line="255" w:lineRule="auto"/>
        <w:rPr>
          <w:sz w:val="20"/>
          <w:szCs w:val="20"/>
          <w:color w:val="auto"/>
        </w:rPr>
      </w:pPr>
      <w:r>
        <w:rPr>
          <w:rFonts w:ascii="Times New Roman" w:cs="Times New Roman" w:eastAsia="Times New Roman" w:hAnsi="Times New Roman"/>
          <w:sz w:val="18"/>
          <w:szCs w:val="18"/>
          <w:color w:val="auto"/>
        </w:rPr>
        <w:t>At December 27, 2025, and December 28, 2024, the Swiss Plan’s net liability is included in noncurrent accrued retirement benefits. Amounts recognized in accumulated other comprehensive income (loss) net of tax related to the Swiss Plan consisted of an unrecognized net actuarial gains totaling $3.9 million and $4.0 million at December 27, 2025, and December 28, 2024, respectively. The actuarial gains of $2.7 million and $0.1 million for the years ended December 27, 2025, and December 28, 2024, respectively, were due to assumption changes as well as plan experience.</w:t>
      </w:r>
    </w:p>
    <w:p>
      <w:pPr>
        <w:spacing w:after="0" w:line="1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36195</wp:posOffset>
            </wp:positionV>
            <wp:extent cx="71348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Weighted-average actuarial assumptions used to determine the projected benefit obligation under the Swiss Plan are as follows:</w:t>
      </w:r>
    </w:p>
    <w:p>
      <w:pPr>
        <w:spacing w:after="0" w:line="230"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160" w:type="dxa"/>
            <w:vAlign w:val="bottom"/>
          </w:tcPr>
          <w:p>
            <w:pPr>
              <w:spacing w:after="0"/>
              <w:rPr>
                <w:sz w:val="20"/>
                <w:szCs w:val="20"/>
                <w:color w:val="auto"/>
              </w:rPr>
            </w:pPr>
          </w:p>
        </w:tc>
        <w:tc>
          <w:tcPr>
            <w:tcW w:w="6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2025</w:t>
            </w:r>
          </w:p>
        </w:tc>
        <w:tc>
          <w:tcPr>
            <w:tcW w:w="8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bottom w:val="single" w:sz="8" w:color="CCEEFF"/>
            </w:tcBorders>
          </w:tcPr>
          <w:p>
            <w:pPr>
              <w:spacing w:after="0"/>
              <w:rPr>
                <w:sz w:val="20"/>
                <w:szCs w:val="20"/>
                <w:color w:val="auto"/>
              </w:rPr>
            </w:pPr>
          </w:p>
        </w:tc>
      </w:tr>
      <w:tr>
        <w:trPr>
          <w:trHeight w:val="205"/>
        </w:trPr>
        <w:tc>
          <w:tcPr>
            <w:tcW w:w="160" w:type="dxa"/>
            <w:vAlign w:val="bottom"/>
          </w:tcPr>
          <w:p>
            <w:pPr>
              <w:spacing w:after="0"/>
              <w:rPr>
                <w:sz w:val="17"/>
                <w:szCs w:val="17"/>
                <w:color w:val="auto"/>
              </w:rPr>
            </w:pPr>
          </w:p>
        </w:tc>
        <w:tc>
          <w:tcPr>
            <w:tcW w:w="630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Discount rate</w:t>
            </w:r>
          </w:p>
        </w:tc>
        <w:tc>
          <w:tcPr>
            <w:tcW w:w="16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12"/>
              <w:spacing w:after="0" w:line="205" w:lineRule="exact"/>
              <w:rPr>
                <w:sz w:val="20"/>
                <w:szCs w:val="20"/>
                <w:color w:val="auto"/>
              </w:rPr>
            </w:pPr>
            <w:r>
              <w:rPr>
                <w:rFonts w:ascii="Times New Roman" w:cs="Times New Roman" w:eastAsia="Times New Roman" w:hAnsi="Times New Roman"/>
                <w:sz w:val="18"/>
                <w:szCs w:val="18"/>
                <w:color w:val="auto"/>
              </w:rPr>
              <w:t>1.3%</w:t>
            </w:r>
          </w:p>
        </w:tc>
        <w:tc>
          <w:tcPr>
            <w:tcW w:w="1360" w:type="dxa"/>
            <w:vAlign w:val="bottom"/>
            <w:gridSpan w:val="2"/>
            <w:shd w:val="clear" w:color="auto" w:fill="CCEEFF"/>
          </w:tcPr>
          <w:p>
            <w:pPr>
              <w:jc w:val="right"/>
              <w:ind w:right="20"/>
              <w:spacing w:after="0" w:line="205" w:lineRule="exact"/>
              <w:rPr>
                <w:sz w:val="20"/>
                <w:szCs w:val="20"/>
                <w:color w:val="auto"/>
              </w:rPr>
            </w:pPr>
            <w:r>
              <w:rPr>
                <w:rFonts w:ascii="Times New Roman" w:cs="Times New Roman" w:eastAsia="Times New Roman" w:hAnsi="Times New Roman"/>
                <w:sz w:val="18"/>
                <w:szCs w:val="18"/>
                <w:color w:val="auto"/>
              </w:rPr>
              <w:t>1.1%</w:t>
            </w:r>
          </w:p>
        </w:tc>
      </w:tr>
      <w:tr>
        <w:trPr>
          <w:trHeight w:val="231"/>
        </w:trPr>
        <w:tc>
          <w:tcPr>
            <w:tcW w:w="160" w:type="dxa"/>
            <w:vAlign w:val="bottom"/>
          </w:tcPr>
          <w:p>
            <w:pPr>
              <w:spacing w:after="0"/>
              <w:rPr>
                <w:sz w:val="20"/>
                <w:szCs w:val="20"/>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increase</w:t>
            </w:r>
          </w:p>
        </w:tc>
        <w:tc>
          <w:tcPr>
            <w:tcW w:w="1640" w:type="dxa"/>
            <w:vAlign w:val="bottom"/>
          </w:tcPr>
          <w:p>
            <w:pPr>
              <w:spacing w:after="0"/>
              <w:rPr>
                <w:sz w:val="20"/>
                <w:szCs w:val="20"/>
                <w:color w:val="auto"/>
              </w:rPr>
            </w:pPr>
          </w:p>
        </w:tc>
        <w:tc>
          <w:tcPr>
            <w:tcW w:w="8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2.2%</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r>
        <w:trPr>
          <w:trHeight w:val="406"/>
        </w:trPr>
        <w:tc>
          <w:tcPr>
            <w:tcW w:w="8100" w:type="dxa"/>
            <w:vAlign w:val="bottom"/>
            <w:gridSpan w:val="3"/>
          </w:tcPr>
          <w:p>
            <w:pPr>
              <w:jc w:val="right"/>
              <w:ind w:right="432"/>
              <w:spacing w:after="0"/>
              <w:rPr>
                <w:sz w:val="20"/>
                <w:szCs w:val="20"/>
                <w:color w:val="auto"/>
              </w:rPr>
            </w:pPr>
            <w:r>
              <w:rPr>
                <w:rFonts w:ascii="Times New Roman" w:cs="Times New Roman" w:eastAsia="Times New Roman" w:hAnsi="Times New Roman"/>
                <w:sz w:val="18"/>
                <w:szCs w:val="18"/>
                <w:color w:val="auto"/>
                <w:w w:val="97"/>
              </w:rPr>
              <w:t>Weighted-average assumptions used to determine net periodic benefit cost of the Swiss Plan are as follows:</w:t>
            </w: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6"/>
        </w:trPr>
        <w:tc>
          <w:tcPr>
            <w:tcW w:w="160" w:type="dxa"/>
            <w:vAlign w:val="bottom"/>
          </w:tcPr>
          <w:p>
            <w:pPr>
              <w:spacing w:after="0"/>
              <w:rPr>
                <w:sz w:val="24"/>
                <w:szCs w:val="24"/>
                <w:color w:val="auto"/>
              </w:rPr>
            </w:pPr>
          </w:p>
        </w:tc>
        <w:tc>
          <w:tcPr>
            <w:tcW w:w="6300" w:type="dxa"/>
            <w:vAlign w:val="bottom"/>
            <w:tcBorders>
              <w:bottom w:val="single" w:sz="8" w:color="auto"/>
            </w:tcBorders>
          </w:tcPr>
          <w:p>
            <w:pPr>
              <w:ind w:left="5800"/>
              <w:spacing w:after="0"/>
              <w:rPr>
                <w:sz w:val="20"/>
                <w:szCs w:val="20"/>
                <w:color w:val="auto"/>
              </w:rPr>
            </w:pPr>
            <w:r>
              <w:rPr>
                <w:rFonts w:ascii="Times New Roman" w:cs="Times New Roman" w:eastAsia="Times New Roman" w:hAnsi="Times New Roman"/>
                <w:sz w:val="18"/>
                <w:szCs w:val="18"/>
                <w:color w:val="auto"/>
              </w:rPr>
              <w:t>2025</w:t>
            </w:r>
          </w:p>
        </w:tc>
        <w:tc>
          <w:tcPr>
            <w:tcW w:w="16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2024</w:t>
            </w:r>
          </w:p>
        </w:tc>
        <w:tc>
          <w:tcPr>
            <w:tcW w:w="8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Borders>
              <w:bottom w:val="single" w:sz="8" w:color="CCEEFF"/>
            </w:tcBorders>
          </w:tcPr>
          <w:p>
            <w:pPr>
              <w:spacing w:after="0"/>
              <w:rPr>
                <w:sz w:val="24"/>
                <w:szCs w:val="24"/>
                <w:color w:val="auto"/>
              </w:rPr>
            </w:pPr>
          </w:p>
        </w:tc>
      </w:tr>
      <w:tr>
        <w:trPr>
          <w:trHeight w:val="205"/>
        </w:trPr>
        <w:tc>
          <w:tcPr>
            <w:tcW w:w="160" w:type="dxa"/>
            <w:vAlign w:val="bottom"/>
          </w:tcPr>
          <w:p>
            <w:pPr>
              <w:spacing w:after="0"/>
              <w:rPr>
                <w:sz w:val="17"/>
                <w:szCs w:val="17"/>
                <w:color w:val="auto"/>
              </w:rPr>
            </w:pPr>
          </w:p>
        </w:tc>
        <w:tc>
          <w:tcPr>
            <w:tcW w:w="630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Discount rate</w:t>
            </w:r>
          </w:p>
        </w:tc>
        <w:tc>
          <w:tcPr>
            <w:tcW w:w="1640" w:type="dxa"/>
            <w:vAlign w:val="bottom"/>
            <w:shd w:val="clear" w:color="auto" w:fill="CCEEFF"/>
          </w:tcPr>
          <w:p>
            <w:pPr>
              <w:jc w:val="right"/>
              <w:ind w:right="1032"/>
              <w:spacing w:after="0" w:line="205" w:lineRule="exact"/>
              <w:rPr>
                <w:sz w:val="20"/>
                <w:szCs w:val="20"/>
                <w:color w:val="auto"/>
              </w:rPr>
            </w:pPr>
            <w:r>
              <w:rPr>
                <w:rFonts w:ascii="Times New Roman" w:cs="Times New Roman" w:eastAsia="Times New Roman" w:hAnsi="Times New Roman"/>
                <w:sz w:val="18"/>
                <w:szCs w:val="18"/>
                <w:color w:val="auto"/>
              </w:rPr>
              <w:t>1.3%</w:t>
            </w:r>
          </w:p>
        </w:tc>
        <w:tc>
          <w:tcPr>
            <w:tcW w:w="820" w:type="dxa"/>
            <w:vAlign w:val="bottom"/>
            <w:shd w:val="clear" w:color="auto" w:fill="CCEEFF"/>
          </w:tcPr>
          <w:p>
            <w:pPr>
              <w:jc w:val="right"/>
              <w:ind w:right="212"/>
              <w:spacing w:after="0" w:line="205" w:lineRule="exact"/>
              <w:rPr>
                <w:sz w:val="20"/>
                <w:szCs w:val="20"/>
                <w:color w:val="auto"/>
              </w:rPr>
            </w:pPr>
            <w:r>
              <w:rPr>
                <w:rFonts w:ascii="Times New Roman" w:cs="Times New Roman" w:eastAsia="Times New Roman" w:hAnsi="Times New Roman"/>
                <w:sz w:val="18"/>
                <w:szCs w:val="18"/>
                <w:color w:val="auto"/>
              </w:rPr>
              <w:t>1.1%</w:t>
            </w:r>
          </w:p>
        </w:tc>
        <w:tc>
          <w:tcPr>
            <w:tcW w:w="1360" w:type="dxa"/>
            <w:vAlign w:val="bottom"/>
            <w:gridSpan w:val="2"/>
            <w:shd w:val="clear" w:color="auto" w:fill="CCEEFF"/>
          </w:tcPr>
          <w:p>
            <w:pPr>
              <w:jc w:val="right"/>
              <w:ind w:right="20"/>
              <w:spacing w:after="0" w:line="205" w:lineRule="exact"/>
              <w:rPr>
                <w:sz w:val="20"/>
                <w:szCs w:val="20"/>
                <w:color w:val="auto"/>
              </w:rPr>
            </w:pPr>
            <w:r>
              <w:rPr>
                <w:rFonts w:ascii="Times New Roman" w:cs="Times New Roman" w:eastAsia="Times New Roman" w:hAnsi="Times New Roman"/>
                <w:sz w:val="18"/>
                <w:szCs w:val="18"/>
                <w:color w:val="auto"/>
              </w:rPr>
              <w:t>1.5%</w:t>
            </w:r>
          </w:p>
        </w:tc>
      </w:tr>
      <w:tr>
        <w:trPr>
          <w:trHeight w:val="212"/>
        </w:trPr>
        <w:tc>
          <w:tcPr>
            <w:tcW w:w="16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Rate of return on assets</w:t>
            </w:r>
          </w:p>
        </w:tc>
        <w:tc>
          <w:tcPr>
            <w:tcW w:w="1640" w:type="dxa"/>
            <w:vAlign w:val="bottom"/>
          </w:tcPr>
          <w:p>
            <w:pPr>
              <w:jc w:val="right"/>
              <w:ind w:right="1032"/>
              <w:spacing w:after="0"/>
              <w:rPr>
                <w:sz w:val="20"/>
                <w:szCs w:val="20"/>
                <w:color w:val="auto"/>
              </w:rPr>
            </w:pPr>
            <w:r>
              <w:rPr>
                <w:rFonts w:ascii="Times New Roman" w:cs="Times New Roman" w:eastAsia="Times New Roman" w:hAnsi="Times New Roman"/>
                <w:sz w:val="18"/>
                <w:szCs w:val="18"/>
                <w:color w:val="auto"/>
              </w:rPr>
              <w:t>1.3%</w:t>
            </w:r>
          </w:p>
        </w:tc>
        <w:tc>
          <w:tcPr>
            <w:tcW w:w="8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1.3%</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r>
      <w:tr>
        <w:trPr>
          <w:trHeight w:val="212"/>
        </w:trPr>
        <w:tc>
          <w:tcPr>
            <w:tcW w:w="16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increase</w:t>
            </w:r>
          </w:p>
        </w:tc>
        <w:tc>
          <w:tcPr>
            <w:tcW w:w="1640" w:type="dxa"/>
            <w:vAlign w:val="bottom"/>
            <w:shd w:val="clear" w:color="auto" w:fill="CCEEFF"/>
          </w:tcPr>
          <w:p>
            <w:pPr>
              <w:jc w:val="right"/>
              <w:ind w:right="1032"/>
              <w:spacing w:after="0"/>
              <w:rPr>
                <w:sz w:val="20"/>
                <w:szCs w:val="20"/>
                <w:color w:val="auto"/>
              </w:rPr>
            </w:pPr>
            <w:r>
              <w:rPr>
                <w:rFonts w:ascii="Times New Roman" w:cs="Times New Roman" w:eastAsia="Times New Roman" w:hAnsi="Times New Roman"/>
                <w:sz w:val="18"/>
                <w:szCs w:val="18"/>
                <w:color w:val="auto"/>
              </w:rPr>
              <w:t>2.2%</w:t>
            </w:r>
          </w:p>
        </w:tc>
        <w:tc>
          <w:tcPr>
            <w:tcW w:w="8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1.0%</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r>
    </w:tbl>
    <w:p>
      <w:pPr>
        <w:spacing w:after="0" w:line="194" w:lineRule="exact"/>
        <w:rPr>
          <w:sz w:val="20"/>
          <w:szCs w:val="20"/>
          <w:color w:val="auto"/>
        </w:rPr>
      </w:pPr>
    </w:p>
    <w:p>
      <w:pPr>
        <w:jc w:val="both"/>
        <w:ind w:left="320" w:right="20"/>
        <w:spacing w:after="0" w:line="304" w:lineRule="auto"/>
        <w:rPr>
          <w:sz w:val="20"/>
          <w:szCs w:val="20"/>
          <w:color w:val="auto"/>
        </w:rPr>
      </w:pPr>
      <w:r>
        <w:rPr>
          <w:rFonts w:ascii="Times New Roman" w:cs="Times New Roman" w:eastAsia="Times New Roman" w:hAnsi="Times New Roman"/>
          <w:sz w:val="17"/>
          <w:szCs w:val="17"/>
          <w:color w:val="auto"/>
        </w:rPr>
        <w:t>During 2026 employer and employee contributions to the Swiss Plan are expected to total $0.4 million. Estimated benefit payments are expected to be as follows: 2026 - $0.9 million; 2027 - $1.0 million; 2028 - $0.6 million; 2029 - $0.5 million; 2030 - $0.5 million; and $3.6 million thereafter through 2035.</w:t>
      </w:r>
    </w:p>
    <w:p>
      <w:pPr>
        <w:spacing w:after="0" w:line="141" w:lineRule="exact"/>
        <w:rPr>
          <w:sz w:val="20"/>
          <w:szCs w:val="20"/>
          <w:color w:val="auto"/>
        </w:rPr>
      </w:pPr>
    </w:p>
    <w:p>
      <w:pPr>
        <w:ind w:left="320" w:right="40"/>
        <w:spacing w:after="0" w:line="250" w:lineRule="auto"/>
        <w:rPr>
          <w:sz w:val="20"/>
          <w:szCs w:val="20"/>
          <w:color w:val="auto"/>
        </w:rPr>
      </w:pPr>
      <w:r>
        <w:rPr>
          <w:rFonts w:ascii="Times New Roman" w:cs="Times New Roman" w:eastAsia="Times New Roman" w:hAnsi="Times New Roman"/>
          <w:sz w:val="18"/>
          <w:szCs w:val="18"/>
          <w:color w:val="auto"/>
        </w:rPr>
        <w:t>As is customary with Swiss pension plans, the assets of the plan are invested in a collective fund with multiple employers. We have no investment authority over the assets of the plan that are held and invested by a Swiss insurance company. Investment holdings are made with respect to Swiss laws and target allocations for plan assets are 45% debt securities and cash, 24% real estate investments, 13% alternative investments and 18% equity securities. The valuation of the collective fund assets as a whole is a Level 3 measurement; however, the individual investments of the fund are generally Level 1 (equity securities), Level 2 (fixed income) and Level 3 (real estate and alternative) investments. We determine the fair value of the plan assets based on information provided by the collective fund, through review of the collective fund’s annual financial statements. See Note 5, “Financial Instruments Measured at Fair Value” for additional information on the three-tier fair value hierarchy.</w:t>
      </w:r>
    </w:p>
    <w:p>
      <w:pPr>
        <w:spacing w:after="0" w:line="187" w:lineRule="exact"/>
        <w:rPr>
          <w:sz w:val="20"/>
          <w:szCs w:val="20"/>
          <w:color w:val="auto"/>
        </w:rPr>
      </w:pPr>
    </w:p>
    <w:p>
      <w:pPr>
        <w:ind w:left="320"/>
        <w:spacing w:after="0" w:line="255" w:lineRule="auto"/>
        <w:rPr>
          <w:sz w:val="20"/>
          <w:szCs w:val="20"/>
          <w:color w:val="auto"/>
        </w:rPr>
      </w:pPr>
      <w:r>
        <w:rPr>
          <w:rFonts w:ascii="Times New Roman" w:cs="Times New Roman" w:eastAsia="Times New Roman" w:hAnsi="Times New Roman"/>
          <w:sz w:val="18"/>
          <w:szCs w:val="18"/>
          <w:color w:val="auto"/>
        </w:rPr>
        <w:t>During the second quarter of fiscal 2025, we implemented headcount reductions in Switzerland as part of the 2025 Restructuring Program which resulted in a curtailment of future benefits for affected employees. In accordance with ASC 715, during the fiscal year ended December 27, 2025, we recognized pension curtailment gains totaling $2.2 million. These gains reflect the reduction in the projected benefit obligation due to the termination of future service accruals for impacted plan participants and are included in the consolidated statements of operations.</w:t>
      </w:r>
    </w:p>
    <w:p>
      <w:pPr>
        <w:spacing w:after="0" w:line="180" w:lineRule="exact"/>
        <w:rPr>
          <w:sz w:val="20"/>
          <w:szCs w:val="20"/>
          <w:color w:val="auto"/>
        </w:rPr>
      </w:pPr>
    </w:p>
    <w:p>
      <w:pPr>
        <w:ind w:left="320" w:right="280"/>
        <w:spacing w:after="0" w:line="274" w:lineRule="auto"/>
        <w:rPr>
          <w:sz w:val="20"/>
          <w:szCs w:val="20"/>
          <w:color w:val="auto"/>
        </w:rPr>
      </w:pPr>
      <w:r>
        <w:rPr>
          <w:rFonts w:ascii="Times New Roman" w:cs="Times New Roman" w:eastAsia="Times New Roman" w:hAnsi="Times New Roman"/>
          <w:sz w:val="18"/>
          <w:szCs w:val="18"/>
          <w:color w:val="auto"/>
        </w:rPr>
        <w:t>We maintain other defined benefit plans for employees located outside the U.S. for which the majority of the obligations and net periodic benefit cost were determined to be immaterial for all periods presented.</w:t>
      </w:r>
    </w:p>
    <w:p>
      <w:pPr>
        <w:spacing w:after="0" w:line="161" w:lineRule="exact"/>
        <w:rPr>
          <w:sz w:val="20"/>
          <w:szCs w:val="20"/>
          <w:color w:val="auto"/>
        </w:rPr>
      </w:pPr>
    </w:p>
    <w:p>
      <w:pPr>
        <w:ind w:left="320"/>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Retiree Medical Benefits </w:t>
      </w:r>
      <w:r>
        <w:rPr>
          <w:rFonts w:ascii="Times New Roman" w:cs="Times New Roman" w:eastAsia="Times New Roman" w:hAnsi="Times New Roman"/>
          <w:sz w:val="18"/>
          <w:szCs w:val="18"/>
          <w:color w:val="auto"/>
        </w:rPr>
        <w:t>– We provide post-retirement health benefits to certain executives and directors under a noncontributory plan. The net periodic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benefit cost was $0.1 million in fiscal 2025, 2024 and 2023. We fund benefits as costs are incurred and as a result there are no plan assets.</w:t>
      </w:r>
    </w:p>
    <w:p>
      <w:pPr>
        <w:spacing w:after="0" w:line="162" w:lineRule="exact"/>
        <w:rPr>
          <w:sz w:val="20"/>
          <w:szCs w:val="20"/>
          <w:color w:val="auto"/>
        </w:rPr>
      </w:pPr>
    </w:p>
    <w:p>
      <w:pPr>
        <w:jc w:val="both"/>
        <w:ind w:left="320" w:right="20"/>
        <w:spacing w:after="0" w:line="282" w:lineRule="auto"/>
        <w:rPr>
          <w:sz w:val="20"/>
          <w:szCs w:val="20"/>
          <w:color w:val="auto"/>
        </w:rPr>
      </w:pPr>
      <w:r>
        <w:rPr>
          <w:rFonts w:ascii="Times New Roman" w:cs="Times New Roman" w:eastAsia="Times New Roman" w:hAnsi="Times New Roman"/>
          <w:sz w:val="17"/>
          <w:szCs w:val="17"/>
          <w:color w:val="auto"/>
        </w:rPr>
        <w:t>The weighted average discount rate used in determining the accumulated post-retirement benefit obligation was 5.1% in fiscal 2025, 5.4% in fiscal 2024 and 4.7% in fiscal 2023. The annual rates of increase of the cost of health benefits were assumed to be 10.7% in fiscal 2026 for post-65 participants. This rate was then assumed to decrease 0.69% per year for participants that have reached the age of 65 to 4.5% in fiscal 2035 and remain level thereafter.</w:t>
      </w:r>
    </w:p>
    <w:p>
      <w:pPr>
        <w:spacing w:after="0" w:line="159" w:lineRule="exact"/>
        <w:rPr>
          <w:sz w:val="20"/>
          <w:szCs w:val="20"/>
          <w:color w:val="auto"/>
        </w:rPr>
      </w:pPr>
    </w:p>
    <w:p>
      <w:pPr>
        <w:ind w:left="320"/>
        <w:spacing w:after="0" w:line="259" w:lineRule="auto"/>
        <w:rPr>
          <w:sz w:val="20"/>
          <w:szCs w:val="20"/>
          <w:color w:val="auto"/>
        </w:rPr>
      </w:pPr>
      <w:r>
        <w:rPr>
          <w:rFonts w:ascii="Times New Roman" w:cs="Times New Roman" w:eastAsia="Times New Roman" w:hAnsi="Times New Roman"/>
          <w:sz w:val="18"/>
          <w:szCs w:val="18"/>
          <w:color w:val="auto"/>
        </w:rPr>
        <w:t>Contributions to the post-retirement health benefit plan are expected to total $0.1 million in fiscal 2026. Estimated benefit payments are expected to be as follows: fiscal 2026 - $0.1 million; fiscal 2027 - $0.1 million; fiscal 2028 - $0.1 million; fiscal 2029 - $0.1 million; fiscal 2030 - $0.1 million and $0.7 million thereafter through fiscal 2035.</w:t>
      </w:r>
    </w:p>
    <w:p>
      <w:pPr>
        <w:spacing w:after="0" w:line="1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36195</wp:posOffset>
            </wp:positionV>
            <wp:extent cx="71348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sets forth the post-retirement benefit obligation, funded status and the liability we have recorded in our consolidated balance sheets:</w:t>
      </w:r>
    </w:p>
    <w:p>
      <w:pPr>
        <w:spacing w:after="0" w:line="240" w:lineRule="exact"/>
        <w:rPr>
          <w:sz w:val="20"/>
          <w:szCs w:val="20"/>
          <w:color w:val="auto"/>
        </w:rPr>
      </w:pPr>
    </w:p>
    <w:tbl>
      <w:tblPr>
        <w:tblLayout w:type="fixed"/>
        <w:tblInd w:w="480" w:type="dxa"/>
        <w:tblCellMar>
          <w:top w:w="0" w:type="dxa"/>
          <w:left w:w="0" w:type="dxa"/>
          <w:bottom w:w="0" w:type="dxa"/>
          <w:right w:w="0" w:type="dxa"/>
        </w:tblCellMar>
      </w:tblPr>
      <w:tr>
        <w:trPr>
          <w:trHeight w:val="232"/>
        </w:trPr>
        <w:tc>
          <w:tcPr>
            <w:tcW w:w="5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r>
      <w:tr>
        <w:trPr>
          <w:trHeight w:val="205"/>
        </w:trPr>
        <w:tc>
          <w:tcPr>
            <w:tcW w:w="554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Accumulated benefit obligation at beginning of year</w:t>
            </w:r>
          </w:p>
        </w:tc>
        <w:tc>
          <w:tcPr>
            <w:tcW w:w="2180" w:type="dxa"/>
            <w:vAlign w:val="bottom"/>
            <w:gridSpan w:val="2"/>
            <w:shd w:val="clear" w:color="auto" w:fill="CCEEFF"/>
          </w:tcPr>
          <w:p>
            <w:pPr>
              <w:jc w:val="right"/>
              <w:ind w:right="152"/>
              <w:spacing w:after="0" w:line="205"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
              <w:spacing w:after="0" w:line="205" w:lineRule="exact"/>
              <w:rPr>
                <w:sz w:val="20"/>
                <w:szCs w:val="20"/>
                <w:color w:val="auto"/>
              </w:rPr>
            </w:pPr>
            <w:r>
              <w:rPr>
                <w:rFonts w:ascii="Times New Roman" w:cs="Times New Roman" w:eastAsia="Times New Roman" w:hAnsi="Times New Roman"/>
                <w:sz w:val="18"/>
                <w:szCs w:val="18"/>
                <w:color w:val="auto"/>
              </w:rPr>
              <w:t>(1,592)</w:t>
            </w:r>
          </w:p>
        </w:tc>
        <w:tc>
          <w:tcPr>
            <w:tcW w:w="400" w:type="dxa"/>
            <w:vAlign w:val="bottom"/>
            <w:gridSpan w:val="2"/>
            <w:shd w:val="clear" w:color="auto" w:fill="CCEEFF"/>
          </w:tcPr>
          <w:p>
            <w:pPr>
              <w:jc w:val="right"/>
              <w:ind w:right="157"/>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(1,651)</w:t>
            </w:r>
          </w:p>
        </w:tc>
        <w:tc>
          <w:tcPr>
            <w:tcW w:w="100" w:type="dxa"/>
            <w:vAlign w:val="bottom"/>
            <w:shd w:val="clear" w:color="auto" w:fill="CCEEFF"/>
          </w:tcPr>
          <w:p>
            <w:pPr>
              <w:spacing w:after="0"/>
              <w:rPr>
                <w:sz w:val="17"/>
                <w:szCs w:val="17"/>
                <w:color w:val="auto"/>
              </w:rPr>
            </w:pPr>
          </w:p>
        </w:tc>
      </w:tr>
      <w:tr>
        <w:trPr>
          <w:trHeight w:val="212"/>
        </w:trPr>
        <w:tc>
          <w:tcPr>
            <w:tcW w:w="5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cost</w:t>
            </w:r>
          </w:p>
        </w:tc>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3"/>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2"/>
        </w:trPr>
        <w:tc>
          <w:tcPr>
            <w:tcW w:w="5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Actuarial (gain) loss</w:t>
            </w:r>
          </w:p>
        </w:tc>
        <w:tc>
          <w:tcPr>
            <w:tcW w:w="1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8"/>
                <w:szCs w:val="18"/>
                <w:color w:val="auto"/>
              </w:rPr>
            </w:pPr>
          </w:p>
        </w:tc>
      </w:tr>
      <w:tr>
        <w:trPr>
          <w:trHeight w:val="225"/>
        </w:trPr>
        <w:tc>
          <w:tcPr>
            <w:tcW w:w="5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Benefits paid</w:t>
            </w:r>
          </w:p>
        </w:tc>
        <w:tc>
          <w:tcPr>
            <w:tcW w:w="1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63"/>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23"/>
              <w:spacing w:after="0"/>
              <w:rPr>
                <w:sz w:val="20"/>
                <w:szCs w:val="20"/>
                <w:color w:val="auto"/>
              </w:rPr>
            </w:pPr>
            <w:r>
              <w:rPr>
                <w:rFonts w:ascii="Times New Roman" w:cs="Times New Roman" w:eastAsia="Times New Roman" w:hAnsi="Times New Roman"/>
                <w:sz w:val="18"/>
                <w:szCs w:val="18"/>
                <w:color w:val="auto"/>
              </w:rPr>
              <w:t>109</w:t>
            </w:r>
          </w:p>
        </w:tc>
      </w:tr>
      <w:tr>
        <w:trPr>
          <w:trHeight w:val="205"/>
        </w:trPr>
        <w:tc>
          <w:tcPr>
            <w:tcW w:w="554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Accumulated benefit obligation at end of year</w:t>
            </w:r>
          </w:p>
        </w:tc>
        <w:tc>
          <w:tcPr>
            <w:tcW w:w="18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(1,767)</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(1,592)</w:t>
            </w:r>
          </w:p>
        </w:tc>
        <w:tc>
          <w:tcPr>
            <w:tcW w:w="100" w:type="dxa"/>
            <w:vAlign w:val="bottom"/>
            <w:tcBorders>
              <w:top w:val="single" w:sz="8" w:color="CCEEFF"/>
            </w:tcBorders>
            <w:shd w:val="clear" w:color="auto" w:fill="CCEEFF"/>
          </w:tcPr>
          <w:p>
            <w:pPr>
              <w:spacing w:after="0"/>
              <w:rPr>
                <w:sz w:val="17"/>
                <w:szCs w:val="17"/>
                <w:color w:val="auto"/>
              </w:rPr>
            </w:pPr>
          </w:p>
        </w:tc>
      </w:tr>
      <w:tr>
        <w:trPr>
          <w:trHeight w:val="225"/>
        </w:trPr>
        <w:tc>
          <w:tcPr>
            <w:tcW w:w="5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Plan assets at end of year</w:t>
            </w:r>
          </w:p>
        </w:tc>
        <w:tc>
          <w:tcPr>
            <w:tcW w:w="18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r>
      <w:tr>
        <w:trPr>
          <w:trHeight w:val="219"/>
        </w:trPr>
        <w:tc>
          <w:tcPr>
            <w:tcW w:w="5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Funded status</w:t>
            </w:r>
          </w:p>
        </w:tc>
        <w:tc>
          <w:tcPr>
            <w:tcW w:w="18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14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20"/>
        </w:trPr>
        <w:tc>
          <w:tcPr>
            <w:tcW w:w="55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2" w:lineRule="exact"/>
        <w:rPr>
          <w:sz w:val="20"/>
          <w:szCs w:val="20"/>
          <w:color w:val="auto"/>
        </w:rPr>
      </w:pPr>
    </w:p>
    <w:p>
      <w:pPr>
        <w:ind w:left="320" w:right="100"/>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Deferred Compensation </w:t>
      </w:r>
      <w:r>
        <w:rPr>
          <w:rFonts w:ascii="Times New Roman" w:cs="Times New Roman" w:eastAsia="Times New Roman" w:hAnsi="Times New Roman"/>
          <w:sz w:val="18"/>
          <w:szCs w:val="18"/>
          <w:color w:val="auto"/>
        </w:rPr>
        <w:t>– The Cohu, Inc. Deferred Compensation Plan allows certain of our officers to defer a portion of their current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have purchased life insurance policies on the participants with Cohu as the named beneficiary. Participant contributions, distributions and investment earnings and losses are accumulated in a separate account for each participant. At December 27, 2025, the payroll liability to participants, included in accrued compensation and benefits in the consolidated balance sheet, was approximately $0.4 million and the cash surrender value of the related life insurance policies included in other current assets was approximately $1.5 million. At December 28, 2024, the liability totaled $0.6 million and the corresponding assets were $1.4 million.</w:t>
      </w:r>
    </w:p>
    <w:p>
      <w:pPr>
        <w:spacing w:after="0" w:line="185" w:lineRule="exact"/>
        <w:rPr>
          <w:sz w:val="20"/>
          <w:szCs w:val="20"/>
          <w:color w:val="auto"/>
        </w:rPr>
      </w:pPr>
    </w:p>
    <w:p>
      <w:pPr>
        <w:ind w:left="320" w:right="40"/>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Employee Stock Benefit Plans </w:t>
      </w:r>
      <w:r>
        <w:rPr>
          <w:rFonts w:ascii="Times New Roman" w:cs="Times New Roman" w:eastAsia="Times New Roman" w:hAnsi="Times New Roman"/>
          <w:sz w:val="18"/>
          <w:szCs w:val="18"/>
          <w:color w:val="auto"/>
        </w:rPr>
        <w:t>– Our 2005 Equity Incentive Plan (“2005 Plan”) and our 1997 Employee Stock Purchase Plan are broad-based, long-term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retention programs intended to attract, motivate, and retain talented employees as well as align stockholder and employee interests. Awards that may be granted under the 2005 Plan include, but are not limited to, non-qualified and incentive stock options, restricted stock units, and performance stock units. We settle employee stock option exercises, employee stock purchase plan purchases, and the vesting of restricted stock units, and performance stock units with newly issued common shares or treasury shares. At December 27, 2025, there were 1,841,531 shares available for future equity grants under the 2005 Plan and 353,581 shares available for purchase under the ESPP.</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Employee Stock Purchase Plan</w:t>
      </w:r>
    </w:p>
    <w:p>
      <w:pPr>
        <w:spacing w:after="0" w:line="219" w:lineRule="exact"/>
        <w:rPr>
          <w:sz w:val="20"/>
          <w:szCs w:val="20"/>
          <w:color w:val="auto"/>
        </w:rPr>
      </w:pPr>
    </w:p>
    <w:p>
      <w:pPr>
        <w:ind w:left="320"/>
        <w:spacing w:after="0" w:line="259" w:lineRule="auto"/>
        <w:rPr>
          <w:sz w:val="20"/>
          <w:szCs w:val="20"/>
          <w:color w:val="auto"/>
        </w:rPr>
      </w:pPr>
      <w:r>
        <w:rPr>
          <w:rFonts w:ascii="Times New Roman" w:cs="Times New Roman" w:eastAsia="Times New Roman" w:hAnsi="Times New Roman"/>
          <w:sz w:val="18"/>
          <w:szCs w:val="18"/>
          <w:color w:val="auto"/>
        </w:rPr>
        <w:t>The ESPP provides for the issuance of a maximum of 3,750,000 shares of our common stock. Under the ESPP, eligible employees may purchase shares of common stock through payroll deductions. The price paid for the common stock is equal to 85% of the fair market value of our common stock on specified dates. During the last three years we issued shares under the ESPP as follows: 2025 - 274,735; 2024 - 171,353 and 2023 - 146,829.</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Stock Options</w:t>
      </w:r>
    </w:p>
    <w:p>
      <w:pPr>
        <w:spacing w:after="0" w:line="219" w:lineRule="exact"/>
        <w:rPr>
          <w:sz w:val="20"/>
          <w:szCs w:val="20"/>
          <w:color w:val="auto"/>
        </w:rPr>
      </w:pPr>
    </w:p>
    <w:p>
      <w:pPr>
        <w:ind w:left="320" w:right="200"/>
        <w:spacing w:after="0" w:line="255" w:lineRule="auto"/>
        <w:rPr>
          <w:sz w:val="20"/>
          <w:szCs w:val="20"/>
          <w:color w:val="auto"/>
        </w:rPr>
      </w:pPr>
      <w:r>
        <w:rPr>
          <w:rFonts w:ascii="Times New Roman" w:cs="Times New Roman" w:eastAsia="Times New Roman" w:hAnsi="Times New Roman"/>
          <w:sz w:val="18"/>
          <w:szCs w:val="18"/>
          <w:color w:val="auto"/>
        </w:rPr>
        <w:t>Under the 2005 Plan stock options may be granted to employees, consultants and outside directors to purchase a fixed number of shares of our common stock at prices not less than 100% of the fair market value at the date of grant. Options generally vest and become exercisable after one year or in four annual increments beginning one year after the grant date and expire ten years from the grant date. We have historically issued new shares of Cohu common stock upon share option exercise.</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During fiscal 2025, 2024 and 2023 no stock options were granted. At December 27, 2025 and December 28, 2024, we had no stock options outstanding.</w:t>
      </w:r>
    </w:p>
    <w:p>
      <w:pPr>
        <w:spacing w:after="0" w:line="2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Stock Units</w:t>
      </w:r>
    </w:p>
    <w:p>
      <w:pPr>
        <w:spacing w:after="0" w:line="219" w:lineRule="exact"/>
        <w:rPr>
          <w:sz w:val="20"/>
          <w:szCs w:val="20"/>
          <w:color w:val="auto"/>
        </w:rPr>
      </w:pPr>
    </w:p>
    <w:p>
      <w:pPr>
        <w:ind w:left="320" w:right="120"/>
        <w:spacing w:after="0" w:line="251" w:lineRule="auto"/>
        <w:rPr>
          <w:sz w:val="20"/>
          <w:szCs w:val="20"/>
          <w:color w:val="auto"/>
        </w:rPr>
      </w:pPr>
      <w:r>
        <w:rPr>
          <w:rFonts w:ascii="Times New Roman" w:cs="Times New Roman" w:eastAsia="Times New Roman" w:hAnsi="Times New Roman"/>
          <w:sz w:val="18"/>
          <w:szCs w:val="18"/>
          <w:color w:val="auto"/>
        </w:rPr>
        <w:t>Under our equity incentive plans, restricted stock units (“RSUs”) may be granted to employees, consultants and outside directors. Restricted stock units vest over a one-year, two-year, three-year or a four-year period from the date of grant. Prior to vesting, restricted stock units do not have dividend equivalent rights, do not have voting rights and the shares underlying the restricted stock units are not considered issued and outstanding. New shares of our common stock or treasury shares will be issued on the date the restricted stock units vest net of the statutory tax withholding requirements to be paid by us on behalf of our employees. As a result, the actual number of shares issued will be fewer than the actual number of RSUs outstanding at December 27, 2025.</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36195</wp:posOffset>
            </wp:positionV>
            <wp:extent cx="71348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Restricted stock unit activity under our share-based compensation plans was as follows:</w:t>
      </w:r>
    </w:p>
    <w:p>
      <w:pPr>
        <w:spacing w:after="0" w:line="230" w:lineRule="exact"/>
        <w:rPr>
          <w:sz w:val="20"/>
          <w:szCs w:val="20"/>
          <w:color w:val="auto"/>
        </w:rPr>
      </w:pPr>
    </w:p>
    <w:tbl>
      <w:tblPr>
        <w:tblLayout w:type="fixed"/>
        <w:tblInd w:w="480" w:type="dxa"/>
        <w:tblCellMar>
          <w:top w:w="0" w:type="dxa"/>
          <w:left w:w="0" w:type="dxa"/>
          <w:bottom w:w="0" w:type="dxa"/>
          <w:right w:w="0" w:type="dxa"/>
        </w:tblCellMar>
      </w:tblPr>
      <w:tr>
        <w:trPr>
          <w:trHeight w:val="230"/>
        </w:trPr>
        <w:tc>
          <w:tcPr>
            <w:tcW w:w="3120" w:type="dxa"/>
            <w:vAlign w:val="bottom"/>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9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9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31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center"/>
              <w:ind w:right="52"/>
              <w:spacing w:after="0" w:line="201" w:lineRule="exact"/>
              <w:rPr>
                <w:sz w:val="20"/>
                <w:szCs w:val="20"/>
                <w:color w:val="auto"/>
              </w:rPr>
            </w:pPr>
            <w:r>
              <w:rPr>
                <w:rFonts w:ascii="Times New Roman" w:cs="Times New Roman" w:eastAsia="Times New Roman" w:hAnsi="Times New Roman"/>
                <w:sz w:val="18"/>
                <w:szCs w:val="18"/>
                <w:color w:val="auto"/>
                <w:w w:val="96"/>
              </w:rPr>
              <w:t>Wt. Avg.</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center"/>
              <w:ind w:right="52"/>
              <w:spacing w:after="0" w:line="201" w:lineRule="exact"/>
              <w:rPr>
                <w:sz w:val="20"/>
                <w:szCs w:val="20"/>
                <w:color w:val="auto"/>
              </w:rPr>
            </w:pPr>
            <w:r>
              <w:rPr>
                <w:rFonts w:ascii="Times New Roman" w:cs="Times New Roman" w:eastAsia="Times New Roman" w:hAnsi="Times New Roman"/>
                <w:sz w:val="18"/>
                <w:szCs w:val="18"/>
                <w:color w:val="auto"/>
                <w:w w:val="96"/>
              </w:rPr>
              <w:t>Wt. Avg.</w:t>
            </w: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112"/>
              <w:spacing w:after="0" w:line="201" w:lineRule="exact"/>
              <w:rPr>
                <w:sz w:val="20"/>
                <w:szCs w:val="20"/>
                <w:color w:val="auto"/>
              </w:rPr>
            </w:pPr>
            <w:r>
              <w:rPr>
                <w:rFonts w:ascii="Times New Roman" w:cs="Times New Roman" w:eastAsia="Times New Roman" w:hAnsi="Times New Roman"/>
                <w:sz w:val="18"/>
                <w:szCs w:val="18"/>
                <w:color w:val="auto"/>
              </w:rPr>
              <w:t>Wt. Avg.</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vMerge w:val="continue"/>
          </w:tcPr>
          <w:p>
            <w:pPr>
              <w:spacing w:after="0"/>
              <w:rPr>
                <w:sz w:val="20"/>
                <w:szCs w:val="20"/>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Units</w:t>
            </w:r>
          </w:p>
        </w:tc>
        <w:tc>
          <w:tcPr>
            <w:tcW w:w="20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6"/>
              </w:rPr>
              <w:t>Fair Value</w:t>
            </w: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Units</w:t>
            </w:r>
          </w:p>
        </w:tc>
        <w:tc>
          <w:tcPr>
            <w:tcW w:w="200" w:type="dxa"/>
            <w:vAlign w:val="bottom"/>
          </w:tcPr>
          <w:p>
            <w:pPr>
              <w:spacing w:after="0"/>
              <w:rPr>
                <w:sz w:val="20"/>
                <w:szCs w:val="20"/>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6"/>
              </w:rPr>
              <w:t>Fair Value</w:t>
            </w: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Units</w:t>
            </w:r>
          </w:p>
        </w:tc>
        <w:tc>
          <w:tcPr>
            <w:tcW w:w="20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Fair Value</w:t>
            </w:r>
          </w:p>
        </w:tc>
        <w:tc>
          <w:tcPr>
            <w:tcW w:w="0" w:type="dxa"/>
            <w:vAlign w:val="bottom"/>
          </w:tcPr>
          <w:p>
            <w:pPr>
              <w:spacing w:after="0"/>
              <w:rPr>
                <w:sz w:val="1"/>
                <w:szCs w:val="1"/>
                <w:color w:val="auto"/>
              </w:rPr>
            </w:pPr>
          </w:p>
        </w:tc>
      </w:tr>
      <w:tr>
        <w:trPr>
          <w:trHeight w:val="205"/>
        </w:trPr>
        <w:tc>
          <w:tcPr>
            <w:tcW w:w="3120" w:type="dxa"/>
            <w:vAlign w:val="bottom"/>
            <w:tcBorders>
              <w:top w:val="single" w:sz="8" w:color="auto"/>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Outstanding, beginning of year</w:t>
            </w:r>
          </w:p>
        </w:tc>
        <w:tc>
          <w:tcPr>
            <w:tcW w:w="1220" w:type="dxa"/>
            <w:vAlign w:val="bottom"/>
            <w:tcBorders>
              <w:top w:val="single" w:sz="8" w:color="auto"/>
            </w:tcBorders>
            <w:gridSpan w:val="2"/>
            <w:shd w:val="clear" w:color="auto" w:fill="CCEEFF"/>
          </w:tcPr>
          <w:p>
            <w:pPr>
              <w:jc w:val="right"/>
              <w:ind w:right="140"/>
              <w:spacing w:after="0" w:line="205" w:lineRule="exact"/>
              <w:rPr>
                <w:sz w:val="20"/>
                <w:szCs w:val="20"/>
                <w:color w:val="auto"/>
              </w:rPr>
            </w:pPr>
            <w:r>
              <w:rPr>
                <w:rFonts w:ascii="Times New Roman" w:cs="Times New Roman" w:eastAsia="Times New Roman" w:hAnsi="Times New Roman"/>
                <w:sz w:val="18"/>
                <w:szCs w:val="18"/>
                <w:color w:val="auto"/>
              </w:rPr>
              <w:t>885</w:t>
            </w:r>
          </w:p>
        </w:tc>
        <w:tc>
          <w:tcPr>
            <w:tcW w:w="20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gridSpan w:val="2"/>
            <w:shd w:val="clear" w:color="auto" w:fill="CCEEFF"/>
          </w:tcPr>
          <w:p>
            <w:pPr>
              <w:jc w:val="right"/>
              <w:ind w:right="200"/>
              <w:spacing w:after="0" w:line="205" w:lineRule="exact"/>
              <w:rPr>
                <w:sz w:val="20"/>
                <w:szCs w:val="20"/>
                <w:color w:val="auto"/>
              </w:rPr>
            </w:pPr>
            <w:r>
              <w:rPr>
                <w:rFonts w:ascii="Times New Roman" w:cs="Times New Roman" w:eastAsia="Times New Roman" w:hAnsi="Times New Roman"/>
                <w:sz w:val="18"/>
                <w:szCs w:val="18"/>
                <w:color w:val="auto"/>
              </w:rPr>
              <w:t>32.34</w:t>
            </w:r>
          </w:p>
        </w:tc>
        <w:tc>
          <w:tcPr>
            <w:tcW w:w="1200" w:type="dxa"/>
            <w:vAlign w:val="bottom"/>
            <w:tcBorders>
              <w:top w:val="single" w:sz="8" w:color="auto"/>
            </w:tcBorders>
            <w:gridSpan w:val="2"/>
            <w:shd w:val="clear" w:color="auto" w:fill="CCEEFF"/>
          </w:tcPr>
          <w:p>
            <w:pPr>
              <w:jc w:val="right"/>
              <w:ind w:right="140"/>
              <w:spacing w:after="0" w:line="205" w:lineRule="exact"/>
              <w:rPr>
                <w:sz w:val="20"/>
                <w:szCs w:val="20"/>
                <w:color w:val="auto"/>
              </w:rPr>
            </w:pPr>
            <w:r>
              <w:rPr>
                <w:rFonts w:ascii="Times New Roman" w:cs="Times New Roman" w:eastAsia="Times New Roman" w:hAnsi="Times New Roman"/>
                <w:sz w:val="18"/>
                <w:szCs w:val="18"/>
                <w:color w:val="auto"/>
              </w:rPr>
              <w:t>884</w:t>
            </w:r>
          </w:p>
        </w:tc>
        <w:tc>
          <w:tcPr>
            <w:tcW w:w="20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gridSpan w:val="2"/>
            <w:shd w:val="clear" w:color="auto" w:fill="CCEEFF"/>
          </w:tcPr>
          <w:p>
            <w:pPr>
              <w:jc w:val="right"/>
              <w:ind w:right="220"/>
              <w:spacing w:after="0" w:line="205" w:lineRule="exact"/>
              <w:rPr>
                <w:sz w:val="20"/>
                <w:szCs w:val="20"/>
                <w:color w:val="auto"/>
              </w:rPr>
            </w:pPr>
            <w:r>
              <w:rPr>
                <w:rFonts w:ascii="Times New Roman" w:cs="Times New Roman" w:eastAsia="Times New Roman" w:hAnsi="Times New Roman"/>
                <w:sz w:val="18"/>
                <w:szCs w:val="18"/>
                <w:color w:val="auto"/>
              </w:rPr>
              <w:t>30.52</w:t>
            </w:r>
          </w:p>
        </w:tc>
        <w:tc>
          <w:tcPr>
            <w:tcW w:w="1180" w:type="dxa"/>
            <w:vAlign w:val="bottom"/>
            <w:tcBorders>
              <w:top w:val="single" w:sz="8" w:color="auto"/>
            </w:tcBorders>
            <w:gridSpan w:val="2"/>
            <w:shd w:val="clear" w:color="auto" w:fill="CCEEFF"/>
          </w:tcPr>
          <w:p>
            <w:pPr>
              <w:jc w:val="right"/>
              <w:ind w:right="120"/>
              <w:spacing w:after="0" w:line="205" w:lineRule="exact"/>
              <w:rPr>
                <w:sz w:val="20"/>
                <w:szCs w:val="20"/>
                <w:color w:val="auto"/>
              </w:rPr>
            </w:pPr>
            <w:r>
              <w:rPr>
                <w:rFonts w:ascii="Times New Roman" w:cs="Times New Roman" w:eastAsia="Times New Roman" w:hAnsi="Times New Roman"/>
                <w:sz w:val="18"/>
                <w:szCs w:val="18"/>
                <w:color w:val="auto"/>
              </w:rPr>
              <w:t>969</w:t>
            </w:r>
          </w:p>
        </w:tc>
        <w:tc>
          <w:tcPr>
            <w:tcW w:w="20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24.55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18.50</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31.76</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36.66</w:t>
            </w:r>
          </w:p>
        </w:tc>
        <w:tc>
          <w:tcPr>
            <w:tcW w:w="0" w:type="dxa"/>
            <w:vAlign w:val="bottom"/>
          </w:tcPr>
          <w:p>
            <w:pPr>
              <w:spacing w:after="0"/>
              <w:rPr>
                <w:sz w:val="1"/>
                <w:szCs w:val="1"/>
                <w:color w:val="auto"/>
              </w:rPr>
            </w:pPr>
          </w:p>
        </w:tc>
      </w:tr>
      <w:tr>
        <w:trPr>
          <w:trHeight w:val="212"/>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Released</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32.99</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27.33</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22.33</w:t>
            </w:r>
          </w:p>
        </w:tc>
        <w:tc>
          <w:tcPr>
            <w:tcW w:w="0" w:type="dxa"/>
            <w:vAlign w:val="bottom"/>
          </w:tcPr>
          <w:p>
            <w:pPr>
              <w:spacing w:after="0"/>
              <w:rPr>
                <w:sz w:val="1"/>
                <w:szCs w:val="1"/>
                <w:color w:val="auto"/>
              </w:rPr>
            </w:pPr>
          </w:p>
        </w:tc>
      </w:tr>
      <w:tr>
        <w:trPr>
          <w:trHeight w:val="225"/>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28.01</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31.92</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28.62</w:t>
            </w:r>
          </w:p>
        </w:tc>
        <w:tc>
          <w:tcPr>
            <w:tcW w:w="0" w:type="dxa"/>
            <w:vAlign w:val="bottom"/>
          </w:tcPr>
          <w:p>
            <w:pPr>
              <w:spacing w:after="0"/>
              <w:rPr>
                <w:sz w:val="1"/>
                <w:szCs w:val="1"/>
                <w:color w:val="auto"/>
              </w:rPr>
            </w:pPr>
          </w:p>
        </w:tc>
      </w:tr>
      <w:tr>
        <w:trPr>
          <w:trHeight w:val="218"/>
        </w:trPr>
        <w:tc>
          <w:tcPr>
            <w:tcW w:w="3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end of year</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CCEEFF"/>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23.10</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32.34</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30.52</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Equity-Based Performance Stock Units</w:t>
      </w:r>
    </w:p>
    <w:p>
      <w:pPr>
        <w:spacing w:after="0" w:line="219" w:lineRule="exact"/>
        <w:rPr>
          <w:sz w:val="20"/>
          <w:szCs w:val="20"/>
          <w:color w:val="auto"/>
        </w:rPr>
      </w:pPr>
    </w:p>
    <w:p>
      <w:pPr>
        <w:ind w:left="320"/>
        <w:spacing w:after="0" w:line="251" w:lineRule="auto"/>
        <w:rPr>
          <w:sz w:val="20"/>
          <w:szCs w:val="20"/>
          <w:color w:val="auto"/>
        </w:rPr>
      </w:pPr>
      <w:r>
        <w:rPr>
          <w:rFonts w:ascii="Times New Roman" w:cs="Times New Roman" w:eastAsia="Times New Roman" w:hAnsi="Times New Roman"/>
          <w:sz w:val="18"/>
          <w:szCs w:val="18"/>
          <w:color w:val="auto"/>
        </w:rPr>
        <w:t>We grant performance stock units (“PSUs”) to certain senior executives as a part of our long-term equity compensation program. The number of shares of common stock that will ultimately be issued to settle PSUs granted ranges from 0% to 200% of the number granted and is determined based on certain performance criteria over a three-year measurement period. The performance criteria for the majority of PSUs are based on a combination of our annualized Total Shareholder Return (“TSR”) for the performance period and the relative performance of our TSR compared with the annualized TSR of certain peer companies for the performance period. PSUs granted vest 100% on the third anniversary of their grant, assuming achievement of the applicable performance criteria.</w:t>
      </w:r>
    </w:p>
    <w:p>
      <w:pPr>
        <w:spacing w:after="0" w:line="185" w:lineRule="exact"/>
        <w:rPr>
          <w:sz w:val="20"/>
          <w:szCs w:val="20"/>
          <w:color w:val="auto"/>
        </w:rPr>
      </w:pPr>
    </w:p>
    <w:p>
      <w:pPr>
        <w:ind w:left="320" w:right="260"/>
        <w:spacing w:after="0" w:line="259" w:lineRule="auto"/>
        <w:rPr>
          <w:sz w:val="20"/>
          <w:szCs w:val="20"/>
          <w:color w:val="auto"/>
        </w:rPr>
      </w:pPr>
      <w:r>
        <w:rPr>
          <w:rFonts w:ascii="Times New Roman" w:cs="Times New Roman" w:eastAsia="Times New Roman" w:hAnsi="Times New Roman"/>
          <w:sz w:val="18"/>
          <w:szCs w:val="18"/>
          <w:color w:val="auto"/>
        </w:rPr>
        <w:t>We estimated the fair value of the PSUs using a Monte Carlo simulation model on the date of grant. Compensation expense is recognized over the requisite service period. New shares of our common stock or treasury shares will be issued on the date the PSUs vest net of the minimum statutory tax withholding requirements to be paid by us on behalf of our employees.</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PSU activity under our share-based compensation plans was as follows:</w:t>
      </w:r>
    </w:p>
    <w:p>
      <w:pPr>
        <w:spacing w:after="0" w:line="230" w:lineRule="exact"/>
        <w:rPr>
          <w:sz w:val="20"/>
          <w:szCs w:val="20"/>
          <w:color w:val="auto"/>
        </w:rPr>
      </w:pPr>
    </w:p>
    <w:tbl>
      <w:tblPr>
        <w:tblLayout w:type="fixed"/>
        <w:tblInd w:w="480" w:type="dxa"/>
        <w:tblCellMar>
          <w:top w:w="0" w:type="dxa"/>
          <w:left w:w="0" w:type="dxa"/>
          <w:bottom w:w="0" w:type="dxa"/>
          <w:right w:w="0" w:type="dxa"/>
        </w:tblCellMar>
      </w:tblPr>
      <w:tr>
        <w:trPr>
          <w:trHeight w:val="230"/>
        </w:trPr>
        <w:tc>
          <w:tcPr>
            <w:tcW w:w="3120" w:type="dxa"/>
            <w:vAlign w:val="bottom"/>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9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9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31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center"/>
              <w:ind w:right="52"/>
              <w:spacing w:after="0" w:line="201" w:lineRule="exact"/>
              <w:rPr>
                <w:sz w:val="20"/>
                <w:szCs w:val="20"/>
                <w:color w:val="auto"/>
              </w:rPr>
            </w:pPr>
            <w:r>
              <w:rPr>
                <w:rFonts w:ascii="Times New Roman" w:cs="Times New Roman" w:eastAsia="Times New Roman" w:hAnsi="Times New Roman"/>
                <w:sz w:val="18"/>
                <w:szCs w:val="18"/>
                <w:color w:val="auto"/>
                <w:w w:val="96"/>
              </w:rPr>
              <w:t>Wt. Avg.</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center"/>
              <w:ind w:right="52"/>
              <w:spacing w:after="0" w:line="201" w:lineRule="exact"/>
              <w:rPr>
                <w:sz w:val="20"/>
                <w:szCs w:val="20"/>
                <w:color w:val="auto"/>
              </w:rPr>
            </w:pPr>
            <w:r>
              <w:rPr>
                <w:rFonts w:ascii="Times New Roman" w:cs="Times New Roman" w:eastAsia="Times New Roman" w:hAnsi="Times New Roman"/>
                <w:sz w:val="18"/>
                <w:szCs w:val="18"/>
                <w:color w:val="auto"/>
                <w:w w:val="96"/>
              </w:rPr>
              <w:t>Wt. Avg.</w:t>
            </w: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112"/>
              <w:spacing w:after="0" w:line="201" w:lineRule="exact"/>
              <w:rPr>
                <w:sz w:val="20"/>
                <w:szCs w:val="20"/>
                <w:color w:val="auto"/>
              </w:rPr>
            </w:pPr>
            <w:r>
              <w:rPr>
                <w:rFonts w:ascii="Times New Roman" w:cs="Times New Roman" w:eastAsia="Times New Roman" w:hAnsi="Times New Roman"/>
                <w:sz w:val="18"/>
                <w:szCs w:val="18"/>
                <w:color w:val="auto"/>
              </w:rPr>
              <w:t>Wt. Avg.</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vMerge w:val="continue"/>
          </w:tcPr>
          <w:p>
            <w:pPr>
              <w:spacing w:after="0"/>
              <w:rPr>
                <w:sz w:val="20"/>
                <w:szCs w:val="20"/>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Units</w:t>
            </w:r>
          </w:p>
        </w:tc>
        <w:tc>
          <w:tcPr>
            <w:tcW w:w="20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6"/>
              </w:rPr>
              <w:t>Fair Value</w:t>
            </w: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Units</w:t>
            </w:r>
          </w:p>
        </w:tc>
        <w:tc>
          <w:tcPr>
            <w:tcW w:w="200" w:type="dxa"/>
            <w:vAlign w:val="bottom"/>
          </w:tcPr>
          <w:p>
            <w:pPr>
              <w:spacing w:after="0"/>
              <w:rPr>
                <w:sz w:val="20"/>
                <w:szCs w:val="20"/>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6"/>
              </w:rPr>
              <w:t>Fair Value</w:t>
            </w: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Units</w:t>
            </w:r>
          </w:p>
        </w:tc>
        <w:tc>
          <w:tcPr>
            <w:tcW w:w="20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Fair Value</w:t>
            </w:r>
          </w:p>
        </w:tc>
        <w:tc>
          <w:tcPr>
            <w:tcW w:w="0" w:type="dxa"/>
            <w:vAlign w:val="bottom"/>
          </w:tcPr>
          <w:p>
            <w:pPr>
              <w:spacing w:after="0"/>
              <w:rPr>
                <w:sz w:val="1"/>
                <w:szCs w:val="1"/>
                <w:color w:val="auto"/>
              </w:rPr>
            </w:pPr>
          </w:p>
        </w:tc>
      </w:tr>
      <w:tr>
        <w:trPr>
          <w:trHeight w:val="205"/>
        </w:trPr>
        <w:tc>
          <w:tcPr>
            <w:tcW w:w="3120" w:type="dxa"/>
            <w:vAlign w:val="bottom"/>
            <w:tcBorders>
              <w:top w:val="single" w:sz="8" w:color="auto"/>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Outstanding, beginning of year</w:t>
            </w:r>
          </w:p>
        </w:tc>
        <w:tc>
          <w:tcPr>
            <w:tcW w:w="1220" w:type="dxa"/>
            <w:vAlign w:val="bottom"/>
            <w:tcBorders>
              <w:top w:val="single" w:sz="8" w:color="auto"/>
            </w:tcBorders>
            <w:gridSpan w:val="2"/>
            <w:shd w:val="clear" w:color="auto" w:fill="CCEEFF"/>
          </w:tcPr>
          <w:p>
            <w:pPr>
              <w:jc w:val="right"/>
              <w:ind w:right="140"/>
              <w:spacing w:after="0" w:line="205" w:lineRule="exact"/>
              <w:rPr>
                <w:sz w:val="20"/>
                <w:szCs w:val="20"/>
                <w:color w:val="auto"/>
              </w:rPr>
            </w:pPr>
            <w:r>
              <w:rPr>
                <w:rFonts w:ascii="Times New Roman" w:cs="Times New Roman" w:eastAsia="Times New Roman" w:hAnsi="Times New Roman"/>
                <w:sz w:val="18"/>
                <w:szCs w:val="18"/>
                <w:color w:val="auto"/>
              </w:rPr>
              <w:t>539</w:t>
            </w:r>
          </w:p>
        </w:tc>
        <w:tc>
          <w:tcPr>
            <w:tcW w:w="20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gridSpan w:val="2"/>
            <w:shd w:val="clear" w:color="auto" w:fill="CCEEFF"/>
          </w:tcPr>
          <w:p>
            <w:pPr>
              <w:jc w:val="right"/>
              <w:ind w:right="200"/>
              <w:spacing w:after="0" w:line="205" w:lineRule="exact"/>
              <w:rPr>
                <w:sz w:val="20"/>
                <w:szCs w:val="20"/>
                <w:color w:val="auto"/>
              </w:rPr>
            </w:pPr>
            <w:r>
              <w:rPr>
                <w:rFonts w:ascii="Times New Roman" w:cs="Times New Roman" w:eastAsia="Times New Roman" w:hAnsi="Times New Roman"/>
                <w:sz w:val="18"/>
                <w:szCs w:val="18"/>
                <w:color w:val="auto"/>
              </w:rPr>
              <w:t>39.64</w:t>
            </w:r>
          </w:p>
        </w:tc>
        <w:tc>
          <w:tcPr>
            <w:tcW w:w="1200" w:type="dxa"/>
            <w:vAlign w:val="bottom"/>
            <w:tcBorders>
              <w:top w:val="single" w:sz="8" w:color="auto"/>
            </w:tcBorders>
            <w:gridSpan w:val="2"/>
            <w:shd w:val="clear" w:color="auto" w:fill="CCEEFF"/>
          </w:tcPr>
          <w:p>
            <w:pPr>
              <w:jc w:val="right"/>
              <w:ind w:right="140"/>
              <w:spacing w:after="0" w:line="205" w:lineRule="exact"/>
              <w:rPr>
                <w:sz w:val="20"/>
                <w:szCs w:val="20"/>
                <w:color w:val="auto"/>
              </w:rPr>
            </w:pPr>
            <w:r>
              <w:rPr>
                <w:rFonts w:ascii="Times New Roman" w:cs="Times New Roman" w:eastAsia="Times New Roman" w:hAnsi="Times New Roman"/>
                <w:sz w:val="18"/>
                <w:szCs w:val="18"/>
                <w:color w:val="auto"/>
              </w:rPr>
              <w:t>408</w:t>
            </w:r>
          </w:p>
        </w:tc>
        <w:tc>
          <w:tcPr>
            <w:tcW w:w="20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gridSpan w:val="2"/>
            <w:shd w:val="clear" w:color="auto" w:fill="CCEEFF"/>
          </w:tcPr>
          <w:p>
            <w:pPr>
              <w:jc w:val="right"/>
              <w:ind w:right="220"/>
              <w:spacing w:after="0" w:line="205" w:lineRule="exact"/>
              <w:rPr>
                <w:sz w:val="20"/>
                <w:szCs w:val="20"/>
                <w:color w:val="auto"/>
              </w:rPr>
            </w:pPr>
            <w:r>
              <w:rPr>
                <w:rFonts w:ascii="Times New Roman" w:cs="Times New Roman" w:eastAsia="Times New Roman" w:hAnsi="Times New Roman"/>
                <w:sz w:val="18"/>
                <w:szCs w:val="18"/>
                <w:color w:val="auto"/>
              </w:rPr>
              <w:t>45.65</w:t>
            </w:r>
          </w:p>
        </w:tc>
        <w:tc>
          <w:tcPr>
            <w:tcW w:w="1180" w:type="dxa"/>
            <w:vAlign w:val="bottom"/>
            <w:tcBorders>
              <w:top w:val="single" w:sz="8" w:color="auto"/>
            </w:tcBorders>
            <w:gridSpan w:val="2"/>
            <w:shd w:val="clear" w:color="auto" w:fill="CCEEFF"/>
          </w:tcPr>
          <w:p>
            <w:pPr>
              <w:jc w:val="right"/>
              <w:ind w:right="120"/>
              <w:spacing w:after="0" w:line="205" w:lineRule="exact"/>
              <w:rPr>
                <w:sz w:val="20"/>
                <w:szCs w:val="20"/>
                <w:color w:val="auto"/>
              </w:rPr>
            </w:pPr>
            <w:r>
              <w:rPr>
                <w:rFonts w:ascii="Times New Roman" w:cs="Times New Roman" w:eastAsia="Times New Roman" w:hAnsi="Times New Roman"/>
                <w:sz w:val="18"/>
                <w:szCs w:val="18"/>
                <w:color w:val="auto"/>
              </w:rPr>
              <w:t>403</w:t>
            </w:r>
          </w:p>
        </w:tc>
        <w:tc>
          <w:tcPr>
            <w:tcW w:w="20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28.64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13.84</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33.78</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39.97</w:t>
            </w:r>
          </w:p>
        </w:tc>
        <w:tc>
          <w:tcPr>
            <w:tcW w:w="0" w:type="dxa"/>
            <w:vAlign w:val="bottom"/>
          </w:tcPr>
          <w:p>
            <w:pPr>
              <w:spacing w:after="0"/>
              <w:rPr>
                <w:sz w:val="1"/>
                <w:szCs w:val="1"/>
                <w:color w:val="auto"/>
              </w:rPr>
            </w:pPr>
          </w:p>
        </w:tc>
      </w:tr>
      <w:tr>
        <w:trPr>
          <w:trHeight w:val="212"/>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Released</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33.38</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57.39</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13.18</w:t>
            </w:r>
          </w:p>
        </w:tc>
        <w:tc>
          <w:tcPr>
            <w:tcW w:w="0" w:type="dxa"/>
            <w:vAlign w:val="bottom"/>
          </w:tcPr>
          <w:p>
            <w:pPr>
              <w:spacing w:after="0"/>
              <w:rPr>
                <w:sz w:val="1"/>
                <w:szCs w:val="1"/>
                <w:color w:val="auto"/>
              </w:rPr>
            </w:pPr>
          </w:p>
        </w:tc>
      </w:tr>
      <w:tr>
        <w:trPr>
          <w:trHeight w:val="225"/>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35.94</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57.39</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42.52</w:t>
            </w:r>
          </w:p>
        </w:tc>
        <w:tc>
          <w:tcPr>
            <w:tcW w:w="0" w:type="dxa"/>
            <w:vAlign w:val="bottom"/>
          </w:tcPr>
          <w:p>
            <w:pPr>
              <w:spacing w:after="0"/>
              <w:rPr>
                <w:sz w:val="1"/>
                <w:szCs w:val="1"/>
                <w:color w:val="auto"/>
              </w:rPr>
            </w:pPr>
          </w:p>
        </w:tc>
      </w:tr>
      <w:tr>
        <w:trPr>
          <w:trHeight w:val="218"/>
        </w:trPr>
        <w:tc>
          <w:tcPr>
            <w:tcW w:w="3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end of year</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CCEEFF"/>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27.05</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39.64</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45.65</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320" w:right="80"/>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Share-based Compensation </w:t>
      </w:r>
      <w:r>
        <w:rPr>
          <w:rFonts w:ascii="Times New Roman" w:cs="Times New Roman" w:eastAsia="Times New Roman" w:hAnsi="Times New Roman"/>
          <w:sz w:val="18"/>
          <w:szCs w:val="18"/>
          <w:color w:val="auto"/>
        </w:rPr>
        <w:t>– We estimate the fair value of our employee stock purchase plan using the Black-Scholes valuation model.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assumptions for the Black-Scholes model include the risk-free rate of interest, expected dividend yield, expected volatility, and the expected life of the award. The estimated fair value of PSUs is determined on the grant date using the Monte Carlo simulation valuation model. The Monte Carlo simulation model incorporates assumptions for the risk-free interest rate, Cohu and the selected peer group price volatility, the correlation between Cohu and the selected index, and dividend yields. Share-based compensation expense related to restricted stock unit awards is calculated based on the market price of our common stock on the date of grant, reduced by the present value of dividends expected to be paid on our common stock prior to vesting of the restricted stock unit. Cohu’s Board of Directors authorized suspending our quarterly cash dividend indefinitely, as of May 5, 2020. All awards granted in fiscal 2025, 2024 and 2023 exclude the assumption of dividend payments.</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36195</wp:posOffset>
            </wp:positionV>
            <wp:extent cx="71348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weighted average assumptions were used to value share-based awards granted:</w:t>
      </w:r>
    </w:p>
    <w:p>
      <w:pPr>
        <w:spacing w:after="0" w:line="228" w:lineRule="exact"/>
        <w:rPr>
          <w:sz w:val="20"/>
          <w:szCs w:val="20"/>
          <w:color w:val="auto"/>
        </w:rPr>
      </w:pPr>
    </w:p>
    <w:tbl>
      <w:tblPr>
        <w:tblLayout w:type="fixed"/>
        <w:tblInd w:w="640" w:type="dxa"/>
        <w:tblCellMar>
          <w:top w:w="0" w:type="dxa"/>
          <w:left w:w="0" w:type="dxa"/>
          <w:bottom w:w="0" w:type="dxa"/>
          <w:right w:w="0" w:type="dxa"/>
        </w:tblCellMar>
      </w:tblPr>
      <w:tr>
        <w:trPr>
          <w:trHeight w:val="232"/>
        </w:trPr>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tc>
        <w:tc>
          <w:tcPr>
            <w:tcW w:w="1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Borders>
              <w:bottom w:val="single" w:sz="8" w:color="CCEEFF"/>
            </w:tcBorders>
          </w:tcPr>
          <w:p>
            <w:pPr>
              <w:spacing w:after="0"/>
              <w:rPr>
                <w:sz w:val="20"/>
                <w:szCs w:val="20"/>
                <w:color w:val="auto"/>
              </w:rPr>
            </w:pPr>
          </w:p>
        </w:tc>
      </w:tr>
      <w:tr>
        <w:trPr>
          <w:trHeight w:val="205"/>
        </w:trPr>
        <w:tc>
          <w:tcPr>
            <w:tcW w:w="436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Expected volatility</w:t>
            </w:r>
          </w:p>
        </w:tc>
        <w:tc>
          <w:tcPr>
            <w:tcW w:w="1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41.6%</w:t>
            </w: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35.5%</w:t>
            </w:r>
          </w:p>
        </w:tc>
        <w:tc>
          <w:tcPr>
            <w:tcW w:w="3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0"/>
              <w:spacing w:after="0" w:line="205" w:lineRule="exact"/>
              <w:rPr>
                <w:sz w:val="20"/>
                <w:szCs w:val="20"/>
                <w:color w:val="auto"/>
              </w:rPr>
            </w:pPr>
            <w:r>
              <w:rPr>
                <w:rFonts w:ascii="Times New Roman" w:cs="Times New Roman" w:eastAsia="Times New Roman" w:hAnsi="Times New Roman"/>
                <w:sz w:val="18"/>
                <w:szCs w:val="18"/>
                <w:color w:val="auto"/>
              </w:rPr>
              <w:t>36.3%</w:t>
            </w:r>
          </w:p>
        </w:tc>
      </w:tr>
      <w:tr>
        <w:trPr>
          <w:trHeight w:val="212"/>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r>
      <w:tr>
        <w:trPr>
          <w:trHeight w:val="212"/>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0.5</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0.5</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0.5</w:t>
            </w:r>
          </w:p>
        </w:tc>
      </w:tr>
      <w:tr>
        <w:trPr>
          <w:trHeight w:val="231"/>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grant date fair value per share</w:t>
            </w: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6.19</w:t>
            </w:r>
          </w:p>
        </w:tc>
        <w:tc>
          <w:tcPr>
            <w:tcW w:w="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7.49</w:t>
            </w:r>
          </w:p>
        </w:tc>
        <w:tc>
          <w:tcPr>
            <w:tcW w:w="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8.54</w:t>
            </w:r>
          </w:p>
        </w:tc>
      </w:tr>
    </w:tbl>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Reported share-based compensation is classified in the consolidated financial statements as follows:</w:t>
      </w:r>
    </w:p>
    <w:p>
      <w:pPr>
        <w:spacing w:after="0" w:line="228" w:lineRule="exact"/>
        <w:rPr>
          <w:sz w:val="20"/>
          <w:szCs w:val="20"/>
          <w:color w:val="auto"/>
        </w:rPr>
      </w:pPr>
    </w:p>
    <w:tbl>
      <w:tblPr>
        <w:tblLayout w:type="fixed"/>
        <w:tblInd w:w="480" w:type="dxa"/>
        <w:tblCellMar>
          <w:top w:w="0" w:type="dxa"/>
          <w:left w:w="0" w:type="dxa"/>
          <w:bottom w:w="0" w:type="dxa"/>
          <w:right w:w="0" w:type="dxa"/>
        </w:tblCellMar>
      </w:tblPr>
      <w:tr>
        <w:trPr>
          <w:trHeight w:val="232"/>
        </w:trPr>
        <w:tc>
          <w:tcPr>
            <w:tcW w:w="5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5"/>
        </w:trPr>
        <w:tc>
          <w:tcPr>
            <w:tcW w:w="568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00"/>
              <w:spacing w:after="0" w:line="205" w:lineRule="exact"/>
              <w:rPr>
                <w:sz w:val="20"/>
                <w:szCs w:val="20"/>
                <w:color w:val="auto"/>
              </w:rPr>
            </w:pPr>
            <w:r>
              <w:rPr>
                <w:rFonts w:ascii="Times New Roman" w:cs="Times New Roman" w:eastAsia="Times New Roman" w:hAnsi="Times New Roman"/>
                <w:sz w:val="18"/>
                <w:szCs w:val="18"/>
                <w:color w:val="auto"/>
              </w:rPr>
              <w:t>1,396</w:t>
            </w:r>
          </w:p>
        </w:tc>
        <w:tc>
          <w:tcPr>
            <w:tcW w:w="440" w:type="dxa"/>
            <w:vAlign w:val="bottom"/>
            <w:gridSpan w:val="2"/>
            <w:shd w:val="clear" w:color="auto" w:fill="CCEEFF"/>
          </w:tcPr>
          <w:p>
            <w:pPr>
              <w:jc w:val="right"/>
              <w:ind w:right="152"/>
              <w:spacing w:after="0" w:line="205"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line="205" w:lineRule="exact"/>
              <w:rPr>
                <w:sz w:val="20"/>
                <w:szCs w:val="20"/>
                <w:color w:val="auto"/>
              </w:rPr>
            </w:pPr>
            <w:r>
              <w:rPr>
                <w:rFonts w:ascii="Times New Roman" w:cs="Times New Roman" w:eastAsia="Times New Roman" w:hAnsi="Times New Roman"/>
                <w:sz w:val="18"/>
                <w:szCs w:val="18"/>
                <w:color w:val="auto"/>
              </w:rPr>
              <w:t>1,049</w:t>
            </w:r>
          </w:p>
        </w:tc>
        <w:tc>
          <w:tcPr>
            <w:tcW w:w="320" w:type="dxa"/>
            <w:vAlign w:val="bottom"/>
            <w:gridSpan w:val="2"/>
            <w:shd w:val="clear" w:color="auto" w:fill="CCEEFF"/>
          </w:tcPr>
          <w:p>
            <w:pPr>
              <w:jc w:val="right"/>
              <w:ind w:right="18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845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2"/>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5,456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3,566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3,394</w:t>
            </w:r>
          </w:p>
        </w:tc>
        <w:tc>
          <w:tcPr>
            <w:tcW w:w="80" w:type="dxa"/>
            <w:vAlign w:val="bottom"/>
          </w:tcPr>
          <w:p>
            <w:pPr>
              <w:spacing w:after="0"/>
              <w:rPr>
                <w:sz w:val="18"/>
                <w:szCs w:val="18"/>
                <w:color w:val="auto"/>
              </w:rPr>
            </w:pPr>
          </w:p>
        </w:tc>
      </w:tr>
      <w:tr>
        <w:trPr>
          <w:trHeight w:val="225"/>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16,125</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12,998</w:t>
            </w:r>
          </w:p>
        </w:tc>
        <w:tc>
          <w:tcPr>
            <w:tcW w:w="80" w:type="dxa"/>
            <w:vAlign w:val="bottom"/>
            <w:shd w:val="clear" w:color="auto" w:fill="CCEEFF"/>
          </w:tcPr>
          <w:p>
            <w:pPr>
              <w:spacing w:after="0"/>
              <w:rPr>
                <w:sz w:val="19"/>
                <w:szCs w:val="19"/>
                <w:color w:val="auto"/>
              </w:rPr>
            </w:pPr>
          </w:p>
        </w:tc>
      </w:tr>
      <w:tr>
        <w:trPr>
          <w:trHeight w:val="205"/>
        </w:trPr>
        <w:tc>
          <w:tcPr>
            <w:tcW w:w="56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Share-based compensation</w:t>
            </w:r>
          </w:p>
        </w:tc>
        <w:tc>
          <w:tcPr>
            <w:tcW w:w="3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23,042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20,740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17,237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5"/>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(211)</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(1,770)</w:t>
            </w:r>
          </w:p>
        </w:tc>
      </w:tr>
      <w:tr>
        <w:trPr>
          <w:trHeight w:val="218"/>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Total share-based compensation, net of tax</w:t>
            </w:r>
          </w:p>
        </w:tc>
        <w:tc>
          <w:tcPr>
            <w:tcW w:w="320" w:type="dxa"/>
            <w:vAlign w:val="bottom"/>
            <w:tcBorders>
              <w:top w:val="single" w:sz="8" w:color="auto"/>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23,179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20,529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left="320" w:right="360"/>
        <w:spacing w:after="0" w:line="259" w:lineRule="auto"/>
        <w:rPr>
          <w:sz w:val="20"/>
          <w:szCs w:val="20"/>
          <w:color w:val="auto"/>
        </w:rPr>
      </w:pPr>
      <w:r>
        <w:rPr>
          <w:rFonts w:ascii="Times New Roman" w:cs="Times New Roman" w:eastAsia="Times New Roman" w:hAnsi="Times New Roman"/>
          <w:sz w:val="18"/>
          <w:szCs w:val="18"/>
          <w:color w:val="auto"/>
        </w:rPr>
        <w:t>We account for forfeitures of plan-based awards as they occur. At December 27, 2025, we had approximately $25.1 million of pre-tax unrecognized compensation cost related to unvested restricted stock units and performance stock units which is expected to be recognized over a weighted-average period of approximately 1.7 years.</w:t>
      </w:r>
    </w:p>
    <w:p>
      <w:pPr>
        <w:spacing w:after="0" w:line="200" w:lineRule="exact"/>
        <w:rPr>
          <w:sz w:val="20"/>
          <w:szCs w:val="20"/>
          <w:color w:val="auto"/>
        </w:rPr>
      </w:pPr>
    </w:p>
    <w:p>
      <w:pPr>
        <w:spacing w:after="0" w:line="214" w:lineRule="exact"/>
        <w:rPr>
          <w:sz w:val="20"/>
          <w:szCs w:val="20"/>
          <w:color w:val="auto"/>
        </w:rPr>
      </w:pPr>
    </w:p>
    <w:p>
      <w:pPr>
        <w:ind w:left="320" w:right="9280" w:hanging="314"/>
        <w:spacing w:after="0" w:line="521" w:lineRule="auto"/>
        <w:tabs>
          <w:tab w:leader="none" w:pos="320" w:val="left"/>
        </w:tabs>
        <w:numPr>
          <w:ilvl w:val="0"/>
          <w:numId w:val="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Business Acquisitions </w:t>
      </w:r>
      <w:r>
        <w:rPr>
          <w:rFonts w:ascii="Times New Roman" w:cs="Times New Roman" w:eastAsia="Times New Roman" w:hAnsi="Times New Roman"/>
          <w:sz w:val="17"/>
          <w:szCs w:val="17"/>
          <w:i w:val="1"/>
          <w:iCs w:val="1"/>
          <w:u w:val="single" w:color="auto"/>
          <w:color w:val="auto"/>
        </w:rPr>
        <w:t>Tignis, Inc.</w:t>
      </w:r>
    </w:p>
    <w:p>
      <w:pPr>
        <w:spacing w:after="0" w:line="1" w:lineRule="exact"/>
        <w:rPr>
          <w:rFonts w:ascii="Times New Roman" w:cs="Times New Roman" w:eastAsia="Times New Roman" w:hAnsi="Times New Roman"/>
          <w:sz w:val="17"/>
          <w:szCs w:val="17"/>
          <w:b w:val="1"/>
          <w:bCs w:val="1"/>
          <w:color w:val="auto"/>
        </w:rPr>
      </w:pPr>
    </w:p>
    <w:p>
      <w:pPr>
        <w:ind w:left="320"/>
        <w:spacing w:after="0" w:line="25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On January 7, 2025, we completed the acquisition of Tignis, Inc. (“Tignis”), a provider of artificial intelligence (“AI”) process control and analytics-based monitoring software. This strategic acquisition is intended to enable us to expand our analytics offerings to the semiconductor process control market. Tignis’ PAICe Monitor and PAICe Maker solutions leverage the insights of physical phenomena with cutting-edge AI, machine learning, and data science to deliver advanced predictive and prescriptive automation solutions for semiconductor manufacturing. Tignis is also expected to deepen Cohu’s expertise in data science while adding advanced analytics to our DI-Core software. The acquisition of Tignis is a debt free transaction and was subject to a working capital adjustment which we finalized in the third quarter of fiscal 2025. We made a cash payment totaling approximately $34.8 million, net of cash received, for Tignis which was paid out of cash on hand.</w:t>
      </w:r>
    </w:p>
    <w:p>
      <w:pPr>
        <w:spacing w:after="0" w:line="186" w:lineRule="exact"/>
        <w:rPr>
          <w:rFonts w:ascii="Times New Roman" w:cs="Times New Roman" w:eastAsia="Times New Roman" w:hAnsi="Times New Roman"/>
          <w:sz w:val="17"/>
          <w:szCs w:val="17"/>
          <w:b w:val="1"/>
          <w:bCs w:val="1"/>
          <w:color w:val="auto"/>
        </w:rPr>
      </w:pPr>
    </w:p>
    <w:p>
      <w:pPr>
        <w:ind w:left="320"/>
        <w:spacing w:after="0" w:line="24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In addition to the initial consideration paid, the Tignis shareholders had the right to receive an additional $5.0million of consideration which was based on Tignis achieving certain sales and expense targets through December 2025. The contingent consideration payable was classified as Level 3 in the fair value hierarchy. See Note 5 “Financial Instruments Measured at Fair Value” for additional information on the three-tier fair value hierarchy. Contingent consideration was recorded in our consolidated balance sheets in other accrued liabilities. Adjustments to the fair value of contingent consideration was reflected in selling, general, and administrative expense in our consolidated statements of operations. The initial fair value of the contingent consideration recognized at acquisition date was $1.7 million. In the first quarter of fiscal 2025, we updated the fair value of contingent consideration to zero based on management’s current estimates at that date which differed from those used as of January 7, 2025. The sales and expense targets were not met in fiscal 2025 and no additional payment is owed to Tignis shareholders.</w:t>
      </w:r>
    </w:p>
    <w:p>
      <w:pPr>
        <w:spacing w:after="0" w:line="190" w:lineRule="exact"/>
        <w:rPr>
          <w:rFonts w:ascii="Times New Roman" w:cs="Times New Roman" w:eastAsia="Times New Roman" w:hAnsi="Times New Roman"/>
          <w:sz w:val="17"/>
          <w:szCs w:val="17"/>
          <w:b w:val="1"/>
          <w:bCs w:val="1"/>
          <w:color w:val="auto"/>
        </w:rPr>
      </w:pPr>
    </w:p>
    <w:p>
      <w:pPr>
        <w:ind w:left="320" w:right="300"/>
        <w:spacing w:after="0" w:line="25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Including cash paid, the impact of our working capital adjustment and the fair value of the contingent consideration, the purchase price for Tignis is $36.6 million. During the twelve months ending December 27, 2025, we incurred acquisition-related costs totaling approximately $0.4 million, which were expensed as selling, general and administrative costs.</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20"/>
          </w:cols>
          <w:pgMar w:left="320" w:top="570"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36195</wp:posOffset>
            </wp:positionV>
            <wp:extent cx="71348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95" w:lineRule="exact"/>
        <w:rPr>
          <w:sz w:val="20"/>
          <w:szCs w:val="20"/>
          <w:color w:val="auto"/>
        </w:rPr>
      </w:pPr>
    </w:p>
    <w:p>
      <w:pPr>
        <w:ind w:left="320" w:right="180"/>
        <w:spacing w:after="0" w:line="256" w:lineRule="auto"/>
        <w:rPr>
          <w:sz w:val="20"/>
          <w:szCs w:val="20"/>
          <w:color w:val="auto"/>
        </w:rPr>
      </w:pPr>
      <w:r>
        <w:rPr>
          <w:rFonts w:ascii="Times New Roman" w:cs="Times New Roman" w:eastAsia="Times New Roman" w:hAnsi="Times New Roman"/>
          <w:sz w:val="18"/>
          <w:szCs w:val="18"/>
          <w:color w:val="auto"/>
        </w:rPr>
        <w:t xml:space="preserve">The acquisition of Tignis has been accounted for in conformity with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The acquired assets and liabilities of Tignis were recorded at their respective fair values including an amount for goodwill representing the difference between the consideration paid and the fair value of the identifiable net assets. The purchase price allocation was finalized during the third quarter of fiscal 2025. The table below summarizes the assets acquired and liabilities assumed as of January 7, 2025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97"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3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 including cash received</w:t>
            </w:r>
          </w:p>
        </w:tc>
        <w:tc>
          <w:tcPr>
            <w:tcW w:w="1140" w:type="dxa"/>
            <w:vAlign w:val="bottom"/>
            <w:gridSpan w:val="3"/>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33,688</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6860" w:type="dxa"/>
            <w:vAlign w:val="bottom"/>
          </w:tcPr>
          <w:p>
            <w:pPr>
              <w:ind w:left="160"/>
              <w:spacing w:after="0" w:line="205" w:lineRule="exact"/>
              <w:rPr>
                <w:sz w:val="20"/>
                <w:szCs w:val="20"/>
                <w:color w:val="auto"/>
              </w:rPr>
            </w:pPr>
            <w:r>
              <w:rPr>
                <w:rFonts w:ascii="Times New Roman" w:cs="Times New Roman" w:eastAsia="Times New Roman" w:hAnsi="Times New Roman"/>
                <w:sz w:val="18"/>
                <w:szCs w:val="18"/>
                <w:color w:val="auto"/>
              </w:rPr>
              <w:t>Total assets acquired</w:t>
            </w: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auto"/>
                <w:w w:val="96"/>
              </w:rPr>
              <w:t>36,956</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assumed</w:t>
            </w:r>
          </w:p>
        </w:tc>
        <w:tc>
          <w:tcPr>
            <w:tcW w:w="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20" w:type="dxa"/>
            <w:vAlign w:val="bottom"/>
          </w:tcPr>
          <w:p>
            <w:pPr>
              <w:spacing w:after="0"/>
              <w:rPr>
                <w:sz w:val="19"/>
                <w:szCs w:val="19"/>
                <w:color w:val="auto"/>
              </w:rPr>
            </w:pPr>
          </w:p>
        </w:tc>
        <w:tc>
          <w:tcPr>
            <w:tcW w:w="6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assets acquired</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6"/>
              </w:rPr>
              <w:t>36,607</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allocation of the intangible assets subject to amortization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71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2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auto"/>
                <w:w w:val="94"/>
              </w:rPr>
              <w:t>Weighted</w:t>
            </w: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5"/>
              </w:rPr>
              <w:t>Average</w:t>
            </w: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Estimated</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Useful Life</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Fair Value</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9"/>
              </w:rPr>
              <w:t>(years)</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686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Developed technology</w:t>
            </w:r>
          </w:p>
        </w:tc>
        <w:tc>
          <w:tcPr>
            <w:tcW w:w="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594"/>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w w:val="88"/>
              </w:rPr>
              <w:t>2,300</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gridSpan w:val="3"/>
            <w:shd w:val="clear" w:color="auto" w:fill="CCEEFF"/>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3.0</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w:t>
            </w:r>
          </w:p>
        </w:tc>
        <w:tc>
          <w:tcPr>
            <w:tcW w:w="1600" w:type="dxa"/>
            <w:vAlign w:val="bottom"/>
            <w:gridSpan w:val="4"/>
          </w:tcPr>
          <w:p>
            <w:pPr>
              <w:jc w:val="center"/>
              <w:ind w:left="92"/>
              <w:spacing w:after="0"/>
              <w:rPr>
                <w:sz w:val="20"/>
                <w:szCs w:val="20"/>
                <w:color w:val="auto"/>
              </w:rPr>
            </w:pPr>
            <w:r>
              <w:rPr>
                <w:rFonts w:ascii="Times New Roman" w:cs="Times New Roman" w:eastAsia="Times New Roman" w:hAnsi="Times New Roman"/>
                <w:sz w:val="18"/>
                <w:szCs w:val="18"/>
                <w:color w:val="auto"/>
                <w:w w:val="97"/>
              </w:rPr>
              <w:t>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1600" w:type="dxa"/>
            <w:vAlign w:val="bottom"/>
            <w:gridSpan w:val="4"/>
            <w:shd w:val="clear" w:color="auto" w:fill="CCEEFF"/>
          </w:tcPr>
          <w:p>
            <w:pPr>
              <w:jc w:val="center"/>
              <w:ind w:left="92"/>
              <w:spacing w:after="0"/>
              <w:rPr>
                <w:sz w:val="20"/>
                <w:szCs w:val="20"/>
                <w:color w:val="auto"/>
              </w:rPr>
            </w:pPr>
            <w:r>
              <w:rPr>
                <w:rFonts w:ascii="Times New Roman" w:cs="Times New Roman" w:eastAsia="Times New Roman" w:hAnsi="Times New Roman"/>
                <w:sz w:val="18"/>
                <w:szCs w:val="18"/>
                <w:color w:val="auto"/>
                <w:w w:val="97"/>
              </w:rPr>
              <w:t>4.0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20" w:type="dxa"/>
            <w:vAlign w:val="bottom"/>
          </w:tcPr>
          <w:p>
            <w:pPr>
              <w:spacing w:after="0"/>
              <w:rPr>
                <w:sz w:val="19"/>
                <w:szCs w:val="19"/>
                <w:color w:val="auto"/>
              </w:rPr>
            </w:pPr>
          </w:p>
        </w:tc>
        <w:tc>
          <w:tcPr>
            <w:tcW w:w="6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intangible assets</w:t>
            </w:r>
          </w:p>
        </w:tc>
        <w:tc>
          <w:tcPr>
            <w:tcW w:w="20" w:type="dxa"/>
            <w:vAlign w:val="bottom"/>
            <w:tcBorders>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594"/>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2,900</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320" w:right="160"/>
        <w:spacing w:after="0" w:line="255" w:lineRule="auto"/>
        <w:rPr>
          <w:sz w:val="20"/>
          <w:szCs w:val="20"/>
          <w:color w:val="auto"/>
        </w:rPr>
      </w:pPr>
      <w:r>
        <w:rPr>
          <w:rFonts w:ascii="Times New Roman" w:cs="Times New Roman" w:eastAsia="Times New Roman" w:hAnsi="Times New Roman"/>
          <w:sz w:val="18"/>
          <w:szCs w:val="18"/>
          <w:color w:val="auto"/>
        </w:rPr>
        <w:t>Acquired intangible assets reported above are being amortized using the straight-line method over their estimated useful lives which approximates the pattern of how the economic benefit is expected to be used. While high customer retention rates are common in the semiconductor capital equipment industry, amounts allocated to customer relationships are being amortized on an accelerated basis over their estimated useful lives due to the early-stage nature of Tignis’ business and historical customer turnover.</w:t>
      </w:r>
    </w:p>
    <w:p>
      <w:pPr>
        <w:spacing w:after="0" w:line="180" w:lineRule="exact"/>
        <w:rPr>
          <w:sz w:val="20"/>
          <w:szCs w:val="20"/>
          <w:color w:val="auto"/>
        </w:rPr>
      </w:pPr>
    </w:p>
    <w:p>
      <w:pPr>
        <w:ind w:left="320"/>
        <w:spacing w:after="0" w:line="249" w:lineRule="auto"/>
        <w:rPr>
          <w:sz w:val="20"/>
          <w:szCs w:val="20"/>
          <w:color w:val="auto"/>
        </w:rPr>
      </w:pPr>
      <w:r>
        <w:rPr>
          <w:rFonts w:ascii="Times New Roman" w:cs="Times New Roman" w:eastAsia="Times New Roman" w:hAnsi="Times New Roman"/>
          <w:sz w:val="18"/>
          <w:szCs w:val="18"/>
          <w:color w:val="auto"/>
        </w:rPr>
        <w:t>The value assigned to developed technology was determined by using the relief from royalty method under the income approach, which included assumptions related to revenue growth rates, royalty rates, and discount rates. Developed technology, which comprises products that have reached technological feasibility, includes the products in Tignis’ product line. The revenue estimates used to value the developed technology were based on estimates of relevant market sizes and growth factors, expected trends in technology and the nature and expected timing of new product introductions by Tignis and competitors. The estimated after-tax cash flows were based on a hypothetical royalty rate applied to the revenues for the developed technology. The discount rate utilized to discount the net cash flows of the developed technology to present value was based on the risk associated with the respective cash flows taking into consideration the perceived risk of the technology relative to the other acquired assets, the weighted average cost of capital, the internal rate of return, and the weighted average return on assets.</w:t>
      </w:r>
    </w:p>
    <w:p>
      <w:pPr>
        <w:spacing w:after="0" w:line="190" w:lineRule="exact"/>
        <w:rPr>
          <w:sz w:val="20"/>
          <w:szCs w:val="20"/>
          <w:color w:val="auto"/>
        </w:rPr>
      </w:pPr>
    </w:p>
    <w:p>
      <w:pPr>
        <w:ind w:left="320" w:right="40"/>
        <w:spacing w:after="0" w:line="255" w:lineRule="auto"/>
        <w:rPr>
          <w:sz w:val="20"/>
          <w:szCs w:val="20"/>
          <w:color w:val="auto"/>
        </w:rPr>
      </w:pPr>
      <w:r>
        <w:rPr>
          <w:rFonts w:ascii="Times New Roman" w:cs="Times New Roman" w:eastAsia="Times New Roman" w:hAnsi="Times New Roman"/>
          <w:sz w:val="18"/>
          <w:szCs w:val="18"/>
          <w:color w:val="auto"/>
        </w:rPr>
        <w:t>The value assigned to customer relationships was determined by using the multi-period excess earnings method under the income approach. The estimated cash flow was based on revenues from the existing customers net of operating expenses and net of contributory asset charges. The discount rate utilized to discount the net cash flows of the customer relationships to present value was based on the respective cash flows taking into consideration the perceived risks.</w:t>
      </w:r>
    </w:p>
    <w:p>
      <w:pPr>
        <w:spacing w:after="0" w:line="178" w:lineRule="exact"/>
        <w:rPr>
          <w:sz w:val="20"/>
          <w:szCs w:val="20"/>
          <w:color w:val="auto"/>
        </w:rPr>
      </w:pPr>
    </w:p>
    <w:p>
      <w:pPr>
        <w:ind w:left="320" w:right="20"/>
        <w:spacing w:after="0" w:line="253" w:lineRule="auto"/>
        <w:rPr>
          <w:sz w:val="20"/>
          <w:szCs w:val="20"/>
          <w:color w:val="auto"/>
        </w:rPr>
      </w:pPr>
      <w:r>
        <w:rPr>
          <w:rFonts w:ascii="Times New Roman" w:cs="Times New Roman" w:eastAsia="Times New Roman" w:hAnsi="Times New Roman"/>
          <w:sz w:val="18"/>
          <w:szCs w:val="18"/>
          <w:color w:val="auto"/>
        </w:rPr>
        <w:t xml:space="preserve">The earnout agreement was measured at fair value in accordance with the guidance provided by 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ASC 820 defines fair value as the price that would be received from selling an asset or paid to transfer a liability in an orderly transaction between market participants at the measurement date. When determining the fair value measurements for assets and liabilities required to be recorded at their fair values, we consider the principal or most advantageous market in which we would transact and consider assumptions that market participants would use when pricing the assets or liabilities, such as inherent risk, transfer restrictions, and risk of nonperformance.</w:t>
      </w:r>
    </w:p>
    <w:p>
      <w:pPr>
        <w:spacing w:after="0" w:line="183" w:lineRule="exact"/>
        <w:rPr>
          <w:sz w:val="20"/>
          <w:szCs w:val="20"/>
          <w:color w:val="auto"/>
        </w:rPr>
      </w:pPr>
    </w:p>
    <w:p>
      <w:pPr>
        <w:ind w:left="320" w:right="700"/>
        <w:spacing w:after="0" w:line="274" w:lineRule="auto"/>
        <w:rPr>
          <w:sz w:val="20"/>
          <w:szCs w:val="20"/>
          <w:color w:val="auto"/>
        </w:rPr>
      </w:pPr>
      <w:r>
        <w:rPr>
          <w:rFonts w:ascii="Times New Roman" w:cs="Times New Roman" w:eastAsia="Times New Roman" w:hAnsi="Times New Roman"/>
          <w:sz w:val="18"/>
          <w:szCs w:val="18"/>
          <w:color w:val="auto"/>
        </w:rPr>
        <w:t>Tignis’ results of operations have been included starting January 7, 2025. The impact of Tignis on our consolidated statements of operations and comprehensive income (loss) was not material.</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36195</wp:posOffset>
            </wp:positionV>
            <wp:extent cx="71348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MCT</w:t>
      </w:r>
    </w:p>
    <w:p>
      <w:pPr>
        <w:spacing w:after="0" w:line="219" w:lineRule="exact"/>
        <w:rPr>
          <w:sz w:val="20"/>
          <w:szCs w:val="20"/>
          <w:color w:val="auto"/>
        </w:rPr>
      </w:pPr>
    </w:p>
    <w:p>
      <w:pPr>
        <w:ind w:left="320" w:right="60"/>
        <w:spacing w:after="0" w:line="249" w:lineRule="auto"/>
        <w:rPr>
          <w:sz w:val="20"/>
          <w:szCs w:val="20"/>
          <w:color w:val="auto"/>
        </w:rPr>
      </w:pPr>
      <w:r>
        <w:rPr>
          <w:rFonts w:ascii="Times New Roman" w:cs="Times New Roman" w:eastAsia="Times New Roman" w:hAnsi="Times New Roman"/>
          <w:sz w:val="18"/>
          <w:szCs w:val="18"/>
          <w:color w:val="auto"/>
        </w:rPr>
        <w:t>On January 30, 2023, we completed the acquisition of all the outstanding membership units of MCT, pursuant to a membership unit purchase agreement dated January 30, 2023, by and among MCT, Arise Acquisition Co., LLC, The Seaport Group LLC Profit Sharing Plan, and Delta Design, Inc., a wholly owned subsidiary of Cohu (“the MCT Acquisition”). MCT is a U.S. based company with a principal manufacturing site in Penang, Malaysia. MCT provides automated solutions for the semiconductor industry and designs, manufactures, markets, services and distributes strip test handlers, film frame handlers and laser mark handlers. On January 30, 2023, we made a cash payment totaling $28.0 million for MCT of which $0.6 million was used to pay the former MCT CFO and CEO and expensed as restructuring severance expense. Taking into consideration the amount expensed as severance and the working capital adjustment receivable resulted in a final net purchase price of approximately $26.8 million. The MCT Acquisition was a cash free debt free transaction and was subject to a working capital adjustment for the difference between the actual and estimated net working capital. The MCT Acquisition was accounted for in conformity with ASC 805.</w:t>
      </w:r>
    </w:p>
    <w:p>
      <w:pPr>
        <w:spacing w:after="0" w:line="187" w:lineRule="exact"/>
        <w:rPr>
          <w:sz w:val="20"/>
          <w:szCs w:val="20"/>
          <w:color w:val="auto"/>
        </w:rPr>
      </w:pPr>
    </w:p>
    <w:p>
      <w:pPr>
        <w:ind w:left="320" w:right="240"/>
        <w:spacing w:after="0" w:line="259" w:lineRule="auto"/>
        <w:rPr>
          <w:sz w:val="20"/>
          <w:szCs w:val="20"/>
          <w:color w:val="auto"/>
        </w:rPr>
      </w:pPr>
      <w:r>
        <w:rPr>
          <w:rFonts w:ascii="Times New Roman" w:cs="Times New Roman" w:eastAsia="Times New Roman" w:hAnsi="Times New Roman"/>
          <w:sz w:val="18"/>
          <w:szCs w:val="18"/>
          <w:color w:val="auto"/>
        </w:rPr>
        <w:t>The acquired assets and liabilities of MCT were recorded at their respective fair values including an amount for goodwill representing the difference between the consideration paid and the fair value of the identifiable net assets. The purchase price allocation was finalized during the fourth quarter of 2023. The table below summarizes the assets acquired and liabilities assumed as of January 30, 2023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96"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3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 including cash received</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5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9,505</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8,755</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6780" w:type="dxa"/>
            <w:vAlign w:val="bottom"/>
          </w:tcPr>
          <w:p>
            <w:pPr>
              <w:ind w:left="160"/>
              <w:spacing w:after="0" w:line="205" w:lineRule="exact"/>
              <w:rPr>
                <w:sz w:val="20"/>
                <w:szCs w:val="20"/>
                <w:color w:val="auto"/>
              </w:rPr>
            </w:pPr>
            <w:r>
              <w:rPr>
                <w:rFonts w:ascii="Times New Roman" w:cs="Times New Roman" w:eastAsia="Times New Roman" w:hAnsi="Times New Roman"/>
                <w:sz w:val="18"/>
                <w:szCs w:val="18"/>
                <w:color w:val="auto"/>
              </w:rPr>
              <w:t>Total assets acquired</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auto"/>
              </w:rPr>
              <w:t>30,813</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assumed</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20" w:type="dxa"/>
            <w:vAlign w:val="bottom"/>
          </w:tcPr>
          <w:p>
            <w:pPr>
              <w:spacing w:after="0"/>
              <w:rPr>
                <w:sz w:val="19"/>
                <w:szCs w:val="19"/>
                <w:color w:val="auto"/>
              </w:rPr>
            </w:pPr>
          </w:p>
        </w:tc>
        <w:tc>
          <w:tcPr>
            <w:tcW w:w="6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assets acquired</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52"/>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26,789</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allocation of the intangible assets subject to amortization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71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2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color w:val="auto"/>
                <w:w w:val="97"/>
              </w:rPr>
              <w:t>Weighted</w:t>
            </w: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5"/>
              </w:rPr>
              <w:t>Average</w:t>
            </w: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Estimated</w:t>
            </w:r>
          </w:p>
        </w:tc>
        <w:tc>
          <w:tcPr>
            <w:tcW w:w="160" w:type="dxa"/>
            <w:vAlign w:val="bottom"/>
          </w:tcPr>
          <w:p>
            <w:pPr>
              <w:spacing w:after="0"/>
              <w:rPr>
                <w:sz w:val="18"/>
                <w:szCs w:val="18"/>
                <w:color w:val="auto"/>
              </w:rPr>
            </w:pPr>
          </w:p>
        </w:tc>
        <w:tc>
          <w:tcPr>
            <w:tcW w:w="160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6"/>
              </w:rPr>
              <w:t>Useful Life</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Fair Value</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w w:val="95"/>
              </w:rPr>
              <w:t>(years)</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678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Developed technology</w:t>
            </w:r>
          </w:p>
        </w:tc>
        <w:tc>
          <w:tcPr>
            <w:tcW w:w="240" w:type="dxa"/>
            <w:vAlign w:val="bottom"/>
            <w:tcBorders>
              <w:top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gridSpan w:val="2"/>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7,500</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gridSpan w:val="3"/>
            <w:shd w:val="clear" w:color="auto" w:fill="CCEEFF"/>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7.0</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Pr>
          <w:p>
            <w:pPr>
              <w:spacing w:after="0"/>
              <w:rPr>
                <w:sz w:val="18"/>
                <w:szCs w:val="18"/>
                <w:color w:val="auto"/>
              </w:rPr>
            </w:pPr>
          </w:p>
        </w:tc>
        <w:tc>
          <w:tcPr>
            <w:tcW w:w="1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4,000</w:t>
            </w:r>
          </w:p>
        </w:tc>
        <w:tc>
          <w:tcPr>
            <w:tcW w:w="1640" w:type="dxa"/>
            <w:vAlign w:val="bottom"/>
            <w:gridSpan w:val="4"/>
          </w:tcPr>
          <w:p>
            <w:pPr>
              <w:jc w:val="center"/>
              <w:ind w:left="72"/>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backlog</w:t>
            </w:r>
          </w:p>
        </w:tc>
        <w:tc>
          <w:tcPr>
            <w:tcW w:w="24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w:t>
            </w:r>
          </w:p>
        </w:tc>
        <w:tc>
          <w:tcPr>
            <w:tcW w:w="1640" w:type="dxa"/>
            <w:vAlign w:val="bottom"/>
            <w:gridSpan w:val="4"/>
            <w:shd w:val="clear" w:color="auto" w:fill="CCEEFF"/>
          </w:tcPr>
          <w:p>
            <w:pPr>
              <w:jc w:val="center"/>
              <w:ind w:left="92"/>
              <w:spacing w:after="0"/>
              <w:rPr>
                <w:sz w:val="20"/>
                <w:szCs w:val="20"/>
                <w:color w:val="auto"/>
              </w:rPr>
            </w:pPr>
            <w:r>
              <w:rPr>
                <w:rFonts w:ascii="Times New Roman" w:cs="Times New Roman" w:eastAsia="Times New Roman" w:hAnsi="Times New Roman"/>
                <w:sz w:val="18"/>
                <w:szCs w:val="18"/>
                <w:color w:val="auto"/>
                <w:w w:val="97"/>
              </w:rPr>
              <w:t>0.5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20" w:type="dxa"/>
            <w:vAlign w:val="bottom"/>
          </w:tcPr>
          <w:p>
            <w:pPr>
              <w:spacing w:after="0"/>
              <w:rPr>
                <w:sz w:val="19"/>
                <w:szCs w:val="19"/>
                <w:color w:val="auto"/>
              </w:rPr>
            </w:pPr>
          </w:p>
        </w:tc>
        <w:tc>
          <w:tcPr>
            <w:tcW w:w="6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intangible assets</w:t>
            </w:r>
          </w:p>
        </w:tc>
        <w:tc>
          <w:tcPr>
            <w:tcW w:w="24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320" w:right="260"/>
        <w:spacing w:after="0" w:line="259" w:lineRule="auto"/>
        <w:rPr>
          <w:sz w:val="20"/>
          <w:szCs w:val="20"/>
          <w:color w:val="auto"/>
        </w:rPr>
      </w:pPr>
      <w:r>
        <w:rPr>
          <w:rFonts w:ascii="Times New Roman" w:cs="Times New Roman" w:eastAsia="Times New Roman" w:hAnsi="Times New Roman"/>
          <w:sz w:val="18"/>
          <w:szCs w:val="18"/>
          <w:color w:val="auto"/>
        </w:rPr>
        <w:t>Acquired intangible assets reported above are being amortized using the straight-line method over their estimated useful lives which approximates the pattern of how the economic benefit is expected to be used. This includes amounts allocated to customer relationships because of anticipated high customer retention rates that are common in the semiconductor capital equipment industry.</w:t>
      </w:r>
    </w:p>
    <w:p>
      <w:pPr>
        <w:spacing w:after="0" w:line="178" w:lineRule="exact"/>
        <w:rPr>
          <w:sz w:val="20"/>
          <w:szCs w:val="20"/>
          <w:color w:val="auto"/>
        </w:rPr>
      </w:pPr>
    </w:p>
    <w:p>
      <w:pPr>
        <w:ind w:left="320"/>
        <w:spacing w:after="0" w:line="249" w:lineRule="auto"/>
        <w:rPr>
          <w:sz w:val="20"/>
          <w:szCs w:val="20"/>
          <w:color w:val="auto"/>
        </w:rPr>
      </w:pPr>
      <w:r>
        <w:rPr>
          <w:rFonts w:ascii="Times New Roman" w:cs="Times New Roman" w:eastAsia="Times New Roman" w:hAnsi="Times New Roman"/>
          <w:sz w:val="18"/>
          <w:szCs w:val="18"/>
          <w:color w:val="auto"/>
        </w:rPr>
        <w:t>The value assigned to developed technology was determined by using the relief from royalty method under the income approach, which included assumptions related to revenue growth rates, royalty rates, and discount rates. Developed technology, which comprises products that have reached technological feasibility, includes the products in MCT’s product line. The revenue estimates used to value the developed technology were based on estimates of relevant market sizes and growth factors, expected trends in technology and the nature and expected timing of new product introductions by MCT and competitors. The estimated after-tax cash flows were based on a hypothetical royalty rate applied to the revenues for the developed technology. The discount rate utilized to discount the net cash flows of the developed technology to present value was based on the risk associated with the respective cash flows taking into consideration the perceived risk of the technology relative to the other acquired assets, the weighted average cost of capital, the internal rate of return, and the weighted average return on assets.</w:t>
      </w:r>
    </w:p>
    <w:p>
      <w:pPr>
        <w:spacing w:after="0" w:line="1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36195</wp:posOffset>
            </wp:positionV>
            <wp:extent cx="713486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97" w:lineRule="exact"/>
        <w:rPr>
          <w:sz w:val="20"/>
          <w:szCs w:val="20"/>
          <w:color w:val="auto"/>
        </w:rPr>
      </w:pPr>
    </w:p>
    <w:p>
      <w:pPr>
        <w:ind w:left="320" w:right="80"/>
        <w:spacing w:after="0" w:line="255" w:lineRule="auto"/>
        <w:rPr>
          <w:sz w:val="20"/>
          <w:szCs w:val="20"/>
          <w:color w:val="auto"/>
        </w:rPr>
      </w:pPr>
      <w:r>
        <w:rPr>
          <w:rFonts w:ascii="Times New Roman" w:cs="Times New Roman" w:eastAsia="Times New Roman" w:hAnsi="Times New Roman"/>
          <w:sz w:val="18"/>
          <w:szCs w:val="18"/>
          <w:color w:val="auto"/>
        </w:rPr>
        <w:t>The value assigned to customer relationships was determined by using the multi-period excess earnings method under the income approach. The estimated cash flows were based on revenues from the existing customers net of operating expenses and net of contributory asset charges. The discount rate utilized to discount the net cash flows of the customer relationships to present value was based on the respective cash flows taking into consideration the perceived risks.</w:t>
      </w:r>
    </w:p>
    <w:p>
      <w:pPr>
        <w:spacing w:after="0" w:line="180" w:lineRule="exact"/>
        <w:rPr>
          <w:sz w:val="20"/>
          <w:szCs w:val="20"/>
          <w:color w:val="auto"/>
        </w:rPr>
      </w:pPr>
    </w:p>
    <w:p>
      <w:pPr>
        <w:ind w:left="320" w:right="320"/>
        <w:spacing w:after="0" w:line="259" w:lineRule="auto"/>
        <w:rPr>
          <w:sz w:val="20"/>
          <w:szCs w:val="20"/>
          <w:color w:val="auto"/>
        </w:rPr>
      </w:pPr>
      <w:r>
        <w:rPr>
          <w:rFonts w:ascii="Times New Roman" w:cs="Times New Roman" w:eastAsia="Times New Roman" w:hAnsi="Times New Roman"/>
          <w:sz w:val="18"/>
          <w:szCs w:val="18"/>
          <w:color w:val="auto"/>
        </w:rPr>
        <w:t>The value assigned to backlog acquired was estimated based upon the contractual nature of the backlog as of January 30, 2023, using the multi-period excess earnings method under the income approach to discount back to present value the cash flows attributable to the backlog at a discount rate commensurate with the expected risks of the backlog cash flows.</w:t>
      </w:r>
    </w:p>
    <w:p>
      <w:pPr>
        <w:spacing w:after="0" w:line="178" w:lineRule="exact"/>
        <w:rPr>
          <w:sz w:val="20"/>
          <w:szCs w:val="20"/>
          <w:color w:val="auto"/>
        </w:rPr>
      </w:pPr>
    </w:p>
    <w:p>
      <w:pPr>
        <w:ind w:left="320" w:right="700"/>
        <w:spacing w:after="0" w:line="274" w:lineRule="auto"/>
        <w:rPr>
          <w:sz w:val="20"/>
          <w:szCs w:val="20"/>
          <w:color w:val="auto"/>
        </w:rPr>
      </w:pPr>
      <w:r>
        <w:rPr>
          <w:rFonts w:ascii="Times New Roman" w:cs="Times New Roman" w:eastAsia="Times New Roman" w:hAnsi="Times New Roman"/>
          <w:sz w:val="18"/>
          <w:szCs w:val="18"/>
          <w:color w:val="auto"/>
        </w:rPr>
        <w:t>MCT’s results of operations have been included starting January 30, 2023. The impact of MCT on our consolidated statements of operations and comprehensive income (loss) was not material.</w:t>
      </w:r>
    </w:p>
    <w:p>
      <w:pPr>
        <w:spacing w:after="0" w:line="163" w:lineRule="exact"/>
        <w:rPr>
          <w:sz w:val="20"/>
          <w:szCs w:val="20"/>
          <w:color w:val="auto"/>
        </w:rPr>
      </w:pPr>
    </w:p>
    <w:p>
      <w:pPr>
        <w:ind w:left="320" w:right="100"/>
        <w:spacing w:after="0" w:line="259" w:lineRule="auto"/>
        <w:rPr>
          <w:sz w:val="20"/>
          <w:szCs w:val="20"/>
          <w:color w:val="auto"/>
        </w:rPr>
      </w:pPr>
      <w:r>
        <w:rPr>
          <w:rFonts w:ascii="Times New Roman" w:cs="Times New Roman" w:eastAsia="Times New Roman" w:hAnsi="Times New Roman"/>
          <w:sz w:val="18"/>
          <w:szCs w:val="18"/>
          <w:color w:val="auto"/>
        </w:rPr>
        <w:t>In connection with the MCT Acquisition, during the fiscal year ended December 28, 2024 and December 30, 2023, we incurred acquisition-related costs, which were expensed as selling, general and administrative costs totaling $0.1 million and $0.5 million, respectively. No acquisition-related costs were incurred for MCT in fiscal 2025.</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EQT</w:t>
      </w:r>
    </w:p>
    <w:p>
      <w:pPr>
        <w:spacing w:after="0" w:line="219" w:lineRule="exact"/>
        <w:rPr>
          <w:sz w:val="20"/>
          <w:szCs w:val="20"/>
          <w:color w:val="auto"/>
        </w:rPr>
      </w:pPr>
    </w:p>
    <w:p>
      <w:pPr>
        <w:ind w:left="320" w:right="60"/>
        <w:spacing w:after="0" w:line="262" w:lineRule="auto"/>
        <w:rPr>
          <w:sz w:val="20"/>
          <w:szCs w:val="20"/>
          <w:color w:val="auto"/>
        </w:rPr>
      </w:pPr>
      <w:r>
        <w:rPr>
          <w:rFonts w:ascii="Times New Roman" w:cs="Times New Roman" w:eastAsia="Times New Roman" w:hAnsi="Times New Roman"/>
          <w:sz w:val="17"/>
          <w:szCs w:val="17"/>
          <w:color w:val="auto"/>
        </w:rPr>
        <w:t>On October 2, 2023, we completed the acquisition of Equiptest Engineering Pte. Ltd. (“EQT”), a provider of semiconductor test contactors and other consumables. (“the EQT Acquisition”). EQT is a Singapore based company with a principal manufacturing site located there. EQT provides test interface products including high performance thermal, MEMS, Infrared, Coaxial and Kelvin Contactors that expands our interface products in mid- to high-power contactors. The EQT Acquisition was a cash free debt free transaction and was subject to a working capital adjustment for the difference between the actual and estimated net working capital. We made a cash payment of SGD 66.0 million ($48.3 million) on October 2, 2023, and set up a retention sum liability for potential adjustments to working capital and future tax or insurance claims in the amount of SGD 2.2 million ($1.6 million) resulting in an initial purchase price of SGD 68.3 million ($49.9 million). The working capital adjustment was finalized in January 2024 and an additional cash payment was made to EQT owners of SGD 0.8 million (approximately $0.6 million) resulting in an adjusted purchase price of SGD 68.8 million ($50.3 million). The retention liability for remaining tax, insurance and other claims as of December 27, 2025, and December 28, 2024, was SGD 1.3 million</w:t>
      </w:r>
    </w:p>
    <w:p>
      <w:pPr>
        <w:spacing w:after="0" w:line="7" w:lineRule="exact"/>
        <w:rPr>
          <w:sz w:val="20"/>
          <w:szCs w:val="20"/>
          <w:color w:val="auto"/>
        </w:rPr>
      </w:pPr>
    </w:p>
    <w:p>
      <w:pPr>
        <w:ind w:left="320" w:right="280"/>
        <w:spacing w:after="0" w:line="247" w:lineRule="auto"/>
        <w:rPr>
          <w:sz w:val="20"/>
          <w:szCs w:val="20"/>
          <w:color w:val="auto"/>
        </w:rPr>
      </w:pPr>
      <w:r>
        <w:rPr>
          <w:rFonts w:ascii="Times New Roman" w:cs="Times New Roman" w:eastAsia="Times New Roman" w:hAnsi="Times New Roman"/>
          <w:sz w:val="18"/>
          <w:szCs w:val="18"/>
          <w:color w:val="auto"/>
        </w:rPr>
        <w:t>($1.0 million) and SGD 1.1 million ($0.8 million), respectively and is accrued in long term other liabilities on our consolidated balance sheet. The retention liability for net working capital, remaining tax, insurance and other claims as of December 30, 2023, was SGD 2.2 million ($1.6 million) and $0.3 million and $1.3 million is accrued in short term and long term other liabilities, respectively, on our consolidated balance sheet. The EQT Acquisition has been accounted for in conformity with ASC 805.</w:t>
      </w:r>
    </w:p>
    <w:p>
      <w:pPr>
        <w:spacing w:after="0" w:line="189" w:lineRule="exact"/>
        <w:rPr>
          <w:sz w:val="20"/>
          <w:szCs w:val="20"/>
          <w:color w:val="auto"/>
        </w:rPr>
      </w:pPr>
    </w:p>
    <w:p>
      <w:pPr>
        <w:ind w:left="320" w:right="100"/>
        <w:spacing w:after="0" w:line="259" w:lineRule="auto"/>
        <w:rPr>
          <w:sz w:val="20"/>
          <w:szCs w:val="20"/>
          <w:color w:val="auto"/>
        </w:rPr>
      </w:pPr>
      <w:r>
        <w:rPr>
          <w:rFonts w:ascii="Times New Roman" w:cs="Times New Roman" w:eastAsia="Times New Roman" w:hAnsi="Times New Roman"/>
          <w:sz w:val="18"/>
          <w:szCs w:val="18"/>
          <w:color w:val="auto"/>
        </w:rPr>
        <w:t>The acquired assets and liabilities of EQT were recorded at their respective fair values including an amount for goodwill representing the difference between the consideration paid and the fair value of the identifiable net assets. The table below summarizes the assets acquired and liabilities assumed as of October 2, 2023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 including cash received</w:t>
            </w:r>
          </w:p>
        </w:tc>
        <w:tc>
          <w:tcPr>
            <w:tcW w:w="4040" w:type="dxa"/>
            <w:vAlign w:val="bottom"/>
            <w:gridSpan w:val="2"/>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10,135</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538</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4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3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34,500</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4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3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15,377</w:t>
            </w: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3820" w:type="dxa"/>
            <w:vAlign w:val="bottom"/>
            <w:tcBorders>
              <w:top w:val="single" w:sz="8" w:color="CCEEFF"/>
            </w:tcBorders>
            <w:shd w:val="clear" w:color="auto" w:fill="CCEEFF"/>
          </w:tcPr>
          <w:p>
            <w:pPr>
              <w:ind w:left="160"/>
              <w:spacing w:after="0" w:line="205" w:lineRule="exact"/>
              <w:rPr>
                <w:sz w:val="20"/>
                <w:szCs w:val="20"/>
                <w:color w:val="auto"/>
              </w:rPr>
            </w:pPr>
            <w:r>
              <w:rPr>
                <w:rFonts w:ascii="Times New Roman" w:cs="Times New Roman" w:eastAsia="Times New Roman" w:hAnsi="Times New Roman"/>
                <w:sz w:val="18"/>
                <w:szCs w:val="18"/>
                <w:color w:val="auto"/>
              </w:rPr>
              <w:t>Total assets acquired</w:t>
            </w:r>
          </w:p>
        </w:tc>
        <w:tc>
          <w:tcPr>
            <w:tcW w:w="34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60,550</w:t>
            </w:r>
          </w:p>
        </w:tc>
        <w:tc>
          <w:tcPr>
            <w:tcW w:w="80" w:type="dxa"/>
            <w:vAlign w:val="bottom"/>
            <w:tcBorders>
              <w:top w:val="single" w:sz="8" w:color="CCEEFF"/>
            </w:tcBorders>
            <w:shd w:val="clear" w:color="auto" w:fill="CCEEFF"/>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4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assumed</w:t>
            </w:r>
          </w:p>
        </w:tc>
        <w:tc>
          <w:tcPr>
            <w:tcW w:w="3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(10,203)</w:t>
            </w: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40" w:type="dxa"/>
            <w:vAlign w:val="bottom"/>
          </w:tcPr>
          <w:p>
            <w:pPr>
              <w:spacing w:after="0"/>
              <w:rPr>
                <w:sz w:val="19"/>
                <w:szCs w:val="19"/>
                <w:color w:val="auto"/>
              </w:rPr>
            </w:pPr>
          </w:p>
        </w:tc>
        <w:tc>
          <w:tcPr>
            <w:tcW w:w="38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assets acquired</w:t>
            </w:r>
          </w:p>
        </w:tc>
        <w:tc>
          <w:tcPr>
            <w:tcW w:w="348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50,347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480" w:type="dxa"/>
            <w:vAlign w:val="bottom"/>
            <w:vMerge w:val="restart"/>
          </w:tcPr>
          <w:p>
            <w:pPr>
              <w:jc w:val="right"/>
              <w:ind w:right="2132"/>
              <w:spacing w:after="0"/>
              <w:rPr>
                <w:sz w:val="20"/>
                <w:szCs w:val="20"/>
                <w:color w:val="auto"/>
              </w:rPr>
            </w:pPr>
            <w:r>
              <w:rPr>
                <w:rFonts w:ascii="Times New Roman" w:cs="Times New Roman" w:eastAsia="Times New Roman" w:hAnsi="Times New Roman"/>
                <w:sz w:val="18"/>
                <w:szCs w:val="18"/>
                <w:color w:val="auto"/>
              </w:rPr>
              <w:t>76</w:t>
            </w: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6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640" w:type="dxa"/>
            <w:vAlign w:val="bottom"/>
            <w:tcBorders>
              <w:bottom w:val="single" w:sz="8" w:color="auto"/>
            </w:tcBorders>
          </w:tcPr>
          <w:p>
            <w:pPr>
              <w:spacing w:after="0"/>
              <w:rPr>
                <w:sz w:val="9"/>
                <w:szCs w:val="9"/>
                <w:color w:val="auto"/>
              </w:rPr>
            </w:pPr>
          </w:p>
        </w:tc>
        <w:tc>
          <w:tcPr>
            <w:tcW w:w="3820" w:type="dxa"/>
            <w:vAlign w:val="bottom"/>
            <w:tcBorders>
              <w:bottom w:val="single" w:sz="8" w:color="auto"/>
            </w:tcBorders>
          </w:tcPr>
          <w:p>
            <w:pPr>
              <w:spacing w:after="0"/>
              <w:rPr>
                <w:sz w:val="9"/>
                <w:szCs w:val="9"/>
                <w:color w:val="auto"/>
              </w:rPr>
            </w:pPr>
          </w:p>
        </w:tc>
        <w:tc>
          <w:tcPr>
            <w:tcW w:w="34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0"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36195</wp:posOffset>
            </wp:positionV>
            <wp:extent cx="71348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95" w:lineRule="exact"/>
        <w:rPr>
          <w:sz w:val="20"/>
          <w:szCs w:val="20"/>
          <w:color w:val="auto"/>
        </w:rPr>
      </w:pPr>
    </w:p>
    <w:tbl>
      <w:tblPr>
        <w:tblLayout w:type="fixed"/>
        <w:tblInd w:w="320" w:type="dxa"/>
        <w:tblCellMar>
          <w:top w:w="0" w:type="dxa"/>
          <w:left w:w="0" w:type="dxa"/>
          <w:bottom w:w="0" w:type="dxa"/>
          <w:right w:w="0" w:type="dxa"/>
        </w:tblCellMar>
      </w:tblPr>
      <w:tr>
        <w:trPr>
          <w:trHeight w:val="233"/>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allocation of intangible assets subject to amortization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5"/>
        </w:trPr>
        <w:tc>
          <w:tcPr>
            <w:tcW w:w="3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Weighted</w:t>
            </w:r>
          </w:p>
        </w:tc>
      </w:tr>
      <w:tr>
        <w:trPr>
          <w:trHeight w:val="212"/>
        </w:trPr>
        <w:tc>
          <w:tcPr>
            <w:tcW w:w="3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Average</w:t>
            </w:r>
          </w:p>
        </w:tc>
      </w:tr>
      <w:tr>
        <w:trPr>
          <w:trHeight w:val="212"/>
        </w:trPr>
        <w:tc>
          <w:tcPr>
            <w:tcW w:w="3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Estimated</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Useful Life</w:t>
            </w:r>
          </w:p>
        </w:tc>
      </w:tr>
      <w:tr>
        <w:trPr>
          <w:trHeight w:val="230"/>
        </w:trPr>
        <w:tc>
          <w:tcPr>
            <w:tcW w:w="32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Fair Value</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(years)</w:t>
            </w:r>
          </w:p>
        </w:tc>
      </w:tr>
      <w:tr>
        <w:trPr>
          <w:trHeight w:val="205"/>
        </w:trPr>
        <w:tc>
          <w:tcPr>
            <w:tcW w:w="320" w:type="dxa"/>
            <w:vAlign w:val="bottom"/>
          </w:tcPr>
          <w:p>
            <w:pPr>
              <w:spacing w:after="0"/>
              <w:rPr>
                <w:sz w:val="17"/>
                <w:szCs w:val="17"/>
                <w:color w:val="auto"/>
              </w:rPr>
            </w:pPr>
          </w:p>
        </w:tc>
        <w:tc>
          <w:tcPr>
            <w:tcW w:w="610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Developed technology</w:t>
            </w: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2"/>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20,600</w:t>
            </w:r>
          </w:p>
        </w:tc>
        <w:tc>
          <w:tcPr>
            <w:tcW w:w="18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8.0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2"/>
        </w:trPr>
        <w:tc>
          <w:tcPr>
            <w:tcW w:w="3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12,900</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r>
      <w:tr>
        <w:trPr>
          <w:trHeight w:val="212"/>
        </w:trPr>
        <w:tc>
          <w:tcPr>
            <w:tcW w:w="3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backlog</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100" w:type="dxa"/>
            <w:vAlign w:val="bottom"/>
            <w:shd w:val="clear" w:color="auto" w:fill="CCEEFF"/>
          </w:tcPr>
          <w:p>
            <w:pPr>
              <w:spacing w:after="0"/>
              <w:rPr>
                <w:sz w:val="18"/>
                <w:szCs w:val="18"/>
                <w:color w:val="auto"/>
              </w:rPr>
            </w:pPr>
          </w:p>
        </w:tc>
      </w:tr>
      <w:tr>
        <w:trPr>
          <w:trHeight w:val="225"/>
        </w:trPr>
        <w:tc>
          <w:tcPr>
            <w:tcW w:w="3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Trademarks and trade name</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900</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5.0</w:t>
            </w:r>
          </w:p>
        </w:tc>
        <w:tc>
          <w:tcPr>
            <w:tcW w:w="100" w:type="dxa"/>
            <w:vAlign w:val="bottom"/>
          </w:tcPr>
          <w:p>
            <w:pPr>
              <w:spacing w:after="0"/>
              <w:rPr>
                <w:sz w:val="19"/>
                <w:szCs w:val="19"/>
                <w:color w:val="auto"/>
              </w:rPr>
            </w:pPr>
          </w:p>
        </w:tc>
      </w:tr>
      <w:tr>
        <w:trPr>
          <w:trHeight w:val="218"/>
        </w:trPr>
        <w:tc>
          <w:tcPr>
            <w:tcW w:w="320" w:type="dxa"/>
            <w:vAlign w:val="bottom"/>
          </w:tcPr>
          <w:p>
            <w:pPr>
              <w:spacing w:after="0"/>
              <w:rPr>
                <w:sz w:val="19"/>
                <w:szCs w:val="19"/>
                <w:color w:val="auto"/>
              </w:rPr>
            </w:pPr>
          </w:p>
        </w:tc>
        <w:tc>
          <w:tcPr>
            <w:tcW w:w="61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intangible assets</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left="320" w:right="300"/>
        <w:spacing w:after="0" w:line="259" w:lineRule="auto"/>
        <w:rPr>
          <w:sz w:val="20"/>
          <w:szCs w:val="20"/>
          <w:color w:val="auto"/>
        </w:rPr>
      </w:pPr>
      <w:r>
        <w:rPr>
          <w:rFonts w:ascii="Times New Roman" w:cs="Times New Roman" w:eastAsia="Times New Roman" w:hAnsi="Times New Roman"/>
          <w:sz w:val="18"/>
          <w:szCs w:val="18"/>
          <w:color w:val="auto"/>
        </w:rPr>
        <w:t>Acquired intangible assets reported above are being amortized using the straight-line method over their estimated useful lives which approximates the pattern of how the economic benefit is expected to be used. This includes amounts allocated to customer relationships because of anticipated high customer retention rates that are common in the semiconductor capital equipment industry.</w:t>
      </w:r>
    </w:p>
    <w:p>
      <w:pPr>
        <w:spacing w:after="0" w:line="178" w:lineRule="exact"/>
        <w:rPr>
          <w:sz w:val="20"/>
          <w:szCs w:val="20"/>
          <w:color w:val="auto"/>
        </w:rPr>
      </w:pPr>
    </w:p>
    <w:p>
      <w:pPr>
        <w:ind w:left="320" w:right="40"/>
        <w:spacing w:after="0" w:line="249" w:lineRule="auto"/>
        <w:rPr>
          <w:sz w:val="20"/>
          <w:szCs w:val="20"/>
          <w:color w:val="auto"/>
        </w:rPr>
      </w:pPr>
      <w:r>
        <w:rPr>
          <w:rFonts w:ascii="Times New Roman" w:cs="Times New Roman" w:eastAsia="Times New Roman" w:hAnsi="Times New Roman"/>
          <w:sz w:val="18"/>
          <w:szCs w:val="18"/>
          <w:color w:val="auto"/>
        </w:rPr>
        <w:t>The value assigned to developed technology was determined by using the relief from royalty method under the income approach, which included assumptions related to revenue growth rates, royalty rates, and discount rates. Developed technology, which comprises products that have reached technological feasibility, includes the products in EQT’s product line. The revenue estimates used to value the developed technology were based on estimates of relevant market sizes and growth factors, expected trends in technology and the nature and expected timing of new product introductions by EQT and competitors. The estimated after-tax cash flows were based on a hypothetical royalty rate applied to the revenues for the developed technology. The discount rate utilized to discount the net cash flows of the developed technology to present value was based on the risk associated with the respective cash flows taking into consideration the perceived risk of the technology relative to the other acquired assets, the weighted average cost of capital, the internal rate of return, and the weighted average return on assets.</w:t>
      </w:r>
    </w:p>
    <w:p>
      <w:pPr>
        <w:spacing w:after="0" w:line="190" w:lineRule="exact"/>
        <w:rPr>
          <w:sz w:val="20"/>
          <w:szCs w:val="20"/>
          <w:color w:val="auto"/>
        </w:rPr>
      </w:pPr>
    </w:p>
    <w:p>
      <w:pPr>
        <w:ind w:left="320" w:right="60"/>
        <w:spacing w:after="0" w:line="255" w:lineRule="auto"/>
        <w:rPr>
          <w:sz w:val="20"/>
          <w:szCs w:val="20"/>
          <w:color w:val="auto"/>
        </w:rPr>
      </w:pPr>
      <w:r>
        <w:rPr>
          <w:rFonts w:ascii="Times New Roman" w:cs="Times New Roman" w:eastAsia="Times New Roman" w:hAnsi="Times New Roman"/>
          <w:sz w:val="18"/>
          <w:szCs w:val="18"/>
          <w:color w:val="auto"/>
        </w:rPr>
        <w:t>The value assigned to customer relationships was determined by using the multi-period excess earnings method under the income approach. The estimated cash flows were based on revenues from the existing customers net of operating expenses and net of contributory asset charges. The discount rate utilized to discount the net cash flows of the customer relationships to present value was based on the respective cash flows taking into consideration the perceived risks.</w:t>
      </w:r>
    </w:p>
    <w:p>
      <w:pPr>
        <w:spacing w:after="0" w:line="180" w:lineRule="exact"/>
        <w:rPr>
          <w:sz w:val="20"/>
          <w:szCs w:val="20"/>
          <w:color w:val="auto"/>
        </w:rPr>
      </w:pPr>
    </w:p>
    <w:p>
      <w:pPr>
        <w:ind w:left="320" w:right="360"/>
        <w:spacing w:after="0" w:line="259" w:lineRule="auto"/>
        <w:rPr>
          <w:sz w:val="20"/>
          <w:szCs w:val="20"/>
          <w:color w:val="auto"/>
        </w:rPr>
      </w:pPr>
      <w:r>
        <w:rPr>
          <w:rFonts w:ascii="Times New Roman" w:cs="Times New Roman" w:eastAsia="Times New Roman" w:hAnsi="Times New Roman"/>
          <w:sz w:val="18"/>
          <w:szCs w:val="18"/>
          <w:color w:val="auto"/>
        </w:rPr>
        <w:t>The value assigned to backlog acquired was estimated based upon the contractual nature of the backlog as of October 2, 2023, using the multi-period excess earnings method under the income approach to discount back to present value the cash flows attributable to the backlog at a discount rate commensurate with the expected risks of the backlog cash flows.</w:t>
      </w:r>
    </w:p>
    <w:p>
      <w:pPr>
        <w:spacing w:after="0" w:line="178" w:lineRule="exact"/>
        <w:rPr>
          <w:sz w:val="20"/>
          <w:szCs w:val="20"/>
          <w:color w:val="auto"/>
        </w:rPr>
      </w:pPr>
    </w:p>
    <w:p>
      <w:pPr>
        <w:ind w:left="320"/>
        <w:spacing w:after="0" w:line="274" w:lineRule="auto"/>
        <w:rPr>
          <w:sz w:val="20"/>
          <w:szCs w:val="20"/>
          <w:color w:val="auto"/>
        </w:rPr>
      </w:pPr>
      <w:r>
        <w:rPr>
          <w:rFonts w:ascii="Times New Roman" w:cs="Times New Roman" w:eastAsia="Times New Roman" w:hAnsi="Times New Roman"/>
          <w:sz w:val="18"/>
          <w:szCs w:val="18"/>
          <w:color w:val="auto"/>
        </w:rPr>
        <w:t>The value assigned to trademarks and trade names acquired was determined by using the using the relief from royalty method under the income approach, which included assumptions related to revenue growth rates, royalty rates, and discount rates.</w:t>
      </w:r>
    </w:p>
    <w:p>
      <w:pPr>
        <w:spacing w:after="0" w:line="163" w:lineRule="exact"/>
        <w:rPr>
          <w:sz w:val="20"/>
          <w:szCs w:val="20"/>
          <w:color w:val="auto"/>
        </w:rPr>
      </w:pPr>
    </w:p>
    <w:p>
      <w:pPr>
        <w:ind w:left="320" w:right="560"/>
        <w:spacing w:after="0" w:line="274" w:lineRule="auto"/>
        <w:rPr>
          <w:sz w:val="20"/>
          <w:szCs w:val="20"/>
          <w:color w:val="auto"/>
        </w:rPr>
      </w:pPr>
      <w:r>
        <w:rPr>
          <w:rFonts w:ascii="Times New Roman" w:cs="Times New Roman" w:eastAsia="Times New Roman" w:hAnsi="Times New Roman"/>
          <w:sz w:val="18"/>
          <w:szCs w:val="18"/>
          <w:color w:val="auto"/>
        </w:rPr>
        <w:t>EQT’s results of operations have been included starting October 2, 2023. The impact of EQT on Cohu’s consolidated statements of operations and comprehensive income (loss) were not material.</w:t>
      </w:r>
    </w:p>
    <w:p>
      <w:pPr>
        <w:spacing w:after="0" w:line="163" w:lineRule="exact"/>
        <w:rPr>
          <w:sz w:val="20"/>
          <w:szCs w:val="20"/>
          <w:color w:val="auto"/>
        </w:rPr>
      </w:pPr>
    </w:p>
    <w:p>
      <w:pPr>
        <w:jc w:val="both"/>
        <w:ind w:left="320" w:right="60"/>
        <w:spacing w:after="0" w:line="259" w:lineRule="auto"/>
        <w:rPr>
          <w:sz w:val="20"/>
          <w:szCs w:val="20"/>
          <w:color w:val="auto"/>
        </w:rPr>
      </w:pPr>
      <w:r>
        <w:rPr>
          <w:rFonts w:ascii="Times New Roman" w:cs="Times New Roman" w:eastAsia="Times New Roman" w:hAnsi="Times New Roman"/>
          <w:sz w:val="18"/>
          <w:szCs w:val="18"/>
          <w:color w:val="auto"/>
        </w:rPr>
        <w:t>In connection with the acquisition of EQT, during the twelve-month periods ended December 28, 2024 and December 30, 2023 we incurred acquisition-related costs, which were expensed as selling, general and administrative costs totaling $0.1 million and $1.1 million, respectively. No acquisition-related costs were incurred for EQT in fiscal 2025.</w:t>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36195</wp:posOffset>
            </wp:positionV>
            <wp:extent cx="71348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320" w:right="8160" w:hanging="314"/>
        <w:spacing w:after="0" w:line="521" w:lineRule="auto"/>
        <w:tabs>
          <w:tab w:leader="none" w:pos="320" w:val="left"/>
        </w:tabs>
        <w:numPr>
          <w:ilvl w:val="0"/>
          <w:numId w:val="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Derivative Financial Instruments </w:t>
      </w:r>
      <w:r>
        <w:rPr>
          <w:rFonts w:ascii="Times New Roman" w:cs="Times New Roman" w:eastAsia="Times New Roman" w:hAnsi="Times New Roman"/>
          <w:sz w:val="17"/>
          <w:szCs w:val="17"/>
          <w:b w:val="1"/>
          <w:bCs w:val="1"/>
          <w:i w:val="1"/>
          <w:iCs w:val="1"/>
          <w:color w:val="auto"/>
        </w:rPr>
        <w:t>Economic (Non-Designated) Hedges</w:t>
      </w:r>
    </w:p>
    <w:p>
      <w:pPr>
        <w:spacing w:after="0" w:line="1" w:lineRule="exact"/>
        <w:rPr>
          <w:rFonts w:ascii="Times New Roman" w:cs="Times New Roman" w:eastAsia="Times New Roman" w:hAnsi="Times New Roman"/>
          <w:sz w:val="17"/>
          <w:szCs w:val="17"/>
          <w:b w:val="1"/>
          <w:bCs w:val="1"/>
          <w:color w:val="auto"/>
        </w:rPr>
      </w:pPr>
    </w:p>
    <w:p>
      <w:pPr>
        <w:ind w:left="320" w:right="80"/>
        <w:spacing w:after="0" w:line="25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We enter into foreign currency forward contracts to manage our foreign exchange exposure related to intercompany transactions and other balance sheet items that are subject to revaluation. For accounting purposes, our foreign currency forward contracts that are not designated as hedging instruments are recorded at fair value as of the end of our reporting period in our consolidated balance sheets with changes in fair value recorded within foreign transaction gain (loss) in our consolidated statements of operations for both realized and unrealized gains and losses. The gain or loss recorded on these instruments is substantially offset by the remeasurement adjustment on the foreign currency denominated asset or liability.</w:t>
      </w:r>
    </w:p>
    <w:p>
      <w:pPr>
        <w:spacing w:after="0" w:line="185" w:lineRule="exact"/>
        <w:rPr>
          <w:rFonts w:ascii="Times New Roman" w:cs="Times New Roman" w:eastAsia="Times New Roman" w:hAnsi="Times New Roman"/>
          <w:sz w:val="17"/>
          <w:szCs w:val="17"/>
          <w:b w:val="1"/>
          <w:bCs w:val="1"/>
          <w:color w:val="auto"/>
        </w:rPr>
      </w:pPr>
    </w:p>
    <w:p>
      <w:pPr>
        <w:ind w:left="320" w:right="140"/>
        <w:spacing w:after="0" w:line="27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 xml:space="preserve">The location and amount of gains (losses) related to non-designated derivative instruments in the consolidated statements of operations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63" w:lineRule="exact"/>
        <w:rPr>
          <w:sz w:val="20"/>
          <w:szCs w:val="20"/>
          <w:color w:val="auto"/>
        </w:rPr>
      </w:pPr>
    </w:p>
    <w:tbl>
      <w:tblPr>
        <w:tblLayout w:type="fixed"/>
        <w:tblInd w:w="480" w:type="dxa"/>
        <w:tblCellMar>
          <w:top w:w="0" w:type="dxa"/>
          <w:left w:w="0" w:type="dxa"/>
          <w:bottom w:w="0" w:type="dxa"/>
          <w:right w:w="0" w:type="dxa"/>
        </w:tblCellMar>
      </w:tblPr>
      <w:tr>
        <w:trPr>
          <w:trHeight w:val="225"/>
        </w:trPr>
        <w:tc>
          <w:tcPr>
            <w:tcW w:w="276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7"/>
              </w:rPr>
              <w:t>Derivatives Not Designated</w:t>
            </w:r>
          </w:p>
        </w:tc>
        <w:tc>
          <w:tcPr>
            <w:tcW w:w="27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Location of Gain (Loss)</w:t>
            </w:r>
          </w:p>
        </w:tc>
        <w:tc>
          <w:tcPr>
            <w:tcW w:w="1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jc w:val="center"/>
              <w:ind w:right="272"/>
              <w:spacing w:after="0"/>
              <w:rPr>
                <w:sz w:val="20"/>
                <w:szCs w:val="20"/>
                <w:color w:val="auto"/>
              </w:rPr>
            </w:pPr>
            <w:r>
              <w:rPr>
                <w:rFonts w:ascii="Times New Roman" w:cs="Times New Roman" w:eastAsia="Times New Roman" w:hAnsi="Times New Roman"/>
                <w:sz w:val="18"/>
                <w:szCs w:val="18"/>
                <w:color w:val="auto"/>
                <w:w w:val="96"/>
              </w:rPr>
              <w:t>Fiscal Year</w:t>
            </w: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760" w:type="dxa"/>
            <w:vAlign w:val="bottom"/>
            <w:tcBorders>
              <w:bottom w:val="single" w:sz="8" w:color="auto"/>
            </w:tcBorders>
          </w:tcPr>
          <w:p>
            <w:pPr>
              <w:jc w:val="center"/>
              <w:ind w:left="112"/>
              <w:spacing w:after="0"/>
              <w:rPr>
                <w:sz w:val="20"/>
                <w:szCs w:val="20"/>
                <w:color w:val="auto"/>
              </w:rPr>
            </w:pPr>
            <w:r>
              <w:rPr>
                <w:rFonts w:ascii="Times New Roman" w:cs="Times New Roman" w:eastAsia="Times New Roman" w:hAnsi="Times New Roman"/>
                <w:sz w:val="18"/>
                <w:szCs w:val="18"/>
                <w:color w:val="auto"/>
                <w:w w:val="98"/>
              </w:rPr>
              <w:t>as Hedging Instruments</w:t>
            </w:r>
          </w:p>
        </w:tc>
        <w:tc>
          <w:tcPr>
            <w:tcW w:w="27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Recognized on Derivatives</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6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color w:val="auto"/>
              </w:rPr>
              <w:t>2024</w:t>
            </w:r>
          </w:p>
        </w:tc>
        <w:tc>
          <w:tcPr>
            <w:tcW w:w="4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r>
      <w:tr>
        <w:trPr>
          <w:trHeight w:val="205"/>
        </w:trPr>
        <w:tc>
          <w:tcPr>
            <w:tcW w:w="276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Foreign exchange forward contracts</w:t>
            </w:r>
          </w:p>
        </w:tc>
        <w:tc>
          <w:tcPr>
            <w:tcW w:w="2700" w:type="dxa"/>
            <w:vAlign w:val="bottom"/>
            <w:shd w:val="clear" w:color="auto" w:fill="CCEEFF"/>
          </w:tcPr>
          <w:p>
            <w:pPr>
              <w:jc w:val="right"/>
              <w:ind w:right="252"/>
              <w:spacing w:after="0" w:line="205" w:lineRule="exact"/>
              <w:rPr>
                <w:sz w:val="20"/>
                <w:szCs w:val="20"/>
                <w:color w:val="auto"/>
              </w:rPr>
            </w:pPr>
            <w:r>
              <w:rPr>
                <w:rFonts w:ascii="Times New Roman" w:cs="Times New Roman" w:eastAsia="Times New Roman" w:hAnsi="Times New Roman"/>
                <w:sz w:val="18"/>
                <w:szCs w:val="18"/>
                <w:color w:val="auto"/>
              </w:rPr>
              <w:t>Foreign transaction gain (loss)</w:t>
            </w:r>
          </w:p>
        </w:tc>
        <w:tc>
          <w:tcPr>
            <w:tcW w:w="1220" w:type="dxa"/>
            <w:vAlign w:val="bottom"/>
            <w:shd w:val="clear" w:color="auto" w:fill="CCEEFF"/>
          </w:tcPr>
          <w:p>
            <w:pPr>
              <w:jc w:val="right"/>
              <w:ind w:right="812"/>
              <w:spacing w:after="0" w:line="205"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4,471</w:t>
            </w:r>
          </w:p>
        </w:tc>
        <w:tc>
          <w:tcPr>
            <w:tcW w:w="320" w:type="dxa"/>
            <w:vAlign w:val="bottom"/>
            <w:shd w:val="clear" w:color="auto" w:fill="CCEEFF"/>
          </w:tcPr>
          <w:p>
            <w:pPr>
              <w:jc w:val="right"/>
              <w:ind w:right="32"/>
              <w:spacing w:after="0" w:line="205"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(7,542)</w:t>
            </w:r>
          </w:p>
        </w:tc>
        <w:tc>
          <w:tcPr>
            <w:tcW w:w="400" w:type="dxa"/>
            <w:vAlign w:val="bottom"/>
            <w:shd w:val="clear" w:color="auto" w:fill="CCEEFF"/>
          </w:tcPr>
          <w:p>
            <w:pPr>
              <w:jc w:val="right"/>
              <w:ind w:right="152"/>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(2,127)</w:t>
            </w:r>
          </w:p>
        </w:tc>
        <w:tc>
          <w:tcPr>
            <w:tcW w:w="100" w:type="dxa"/>
            <w:vAlign w:val="bottom"/>
            <w:shd w:val="clear" w:color="auto" w:fill="CCEEFF"/>
          </w:tcPr>
          <w:p>
            <w:pPr>
              <w:spacing w:after="0"/>
              <w:rPr>
                <w:sz w:val="17"/>
                <w:szCs w:val="17"/>
                <w:color w:val="auto"/>
              </w:rPr>
            </w:pPr>
          </w:p>
        </w:tc>
      </w:tr>
    </w:tbl>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Net Investment Hedges</w:t>
      </w:r>
    </w:p>
    <w:p>
      <w:pPr>
        <w:spacing w:after="0" w:line="221" w:lineRule="exact"/>
        <w:rPr>
          <w:sz w:val="20"/>
          <w:szCs w:val="20"/>
          <w:color w:val="auto"/>
        </w:rPr>
      </w:pPr>
    </w:p>
    <w:p>
      <w:pPr>
        <w:ind w:left="320" w:right="200"/>
        <w:spacing w:after="0" w:line="304" w:lineRule="auto"/>
        <w:rPr>
          <w:sz w:val="20"/>
          <w:szCs w:val="20"/>
          <w:color w:val="auto"/>
        </w:rPr>
      </w:pPr>
      <w:r>
        <w:rPr>
          <w:rFonts w:ascii="Times New Roman" w:cs="Times New Roman" w:eastAsia="Times New Roman" w:hAnsi="Times New Roman"/>
          <w:sz w:val="17"/>
          <w:szCs w:val="17"/>
          <w:color w:val="auto"/>
        </w:rPr>
        <w:t>In the third quarter of fiscal 2024, we initiated a program to hedge foreign currency risk associated with our net investment positions in certain foreign subsidiaries. These exposures are managed through the use of foreign currency forward contracts, which are designated as net investment hedges.</w:t>
      </w:r>
    </w:p>
    <w:p>
      <w:pPr>
        <w:spacing w:after="0" w:line="141" w:lineRule="exact"/>
        <w:rPr>
          <w:sz w:val="20"/>
          <w:szCs w:val="20"/>
          <w:color w:val="auto"/>
        </w:rPr>
      </w:pPr>
    </w:p>
    <w:p>
      <w:pPr>
        <w:ind w:left="320" w:right="80"/>
        <w:spacing w:after="0" w:line="274" w:lineRule="auto"/>
        <w:rPr>
          <w:sz w:val="20"/>
          <w:szCs w:val="20"/>
          <w:color w:val="auto"/>
        </w:rPr>
      </w:pPr>
      <w:r>
        <w:rPr>
          <w:rFonts w:ascii="Times New Roman" w:cs="Times New Roman" w:eastAsia="Times New Roman" w:hAnsi="Times New Roman"/>
          <w:sz w:val="18"/>
          <w:szCs w:val="18"/>
          <w:color w:val="auto"/>
        </w:rPr>
        <w:t xml:space="preserve">The location and amount of gains (losses) from net investment hedges recorded in the foreign currency translation component of AOCL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63" w:lineRule="exact"/>
        <w:rPr>
          <w:sz w:val="20"/>
          <w:szCs w:val="20"/>
          <w:color w:val="auto"/>
        </w:rPr>
      </w:pPr>
    </w:p>
    <w:tbl>
      <w:tblPr>
        <w:tblLayout w:type="fixed"/>
        <w:tblInd w:w="480" w:type="dxa"/>
        <w:tblCellMar>
          <w:top w:w="0" w:type="dxa"/>
          <w:left w:w="0" w:type="dxa"/>
          <w:bottom w:w="0" w:type="dxa"/>
          <w:right w:w="0" w:type="dxa"/>
        </w:tblCellMar>
      </w:tblPr>
      <w:tr>
        <w:trPr>
          <w:trHeight w:val="225"/>
        </w:trPr>
        <w:tc>
          <w:tcPr>
            <w:tcW w:w="2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Derivatives Designated</w:t>
            </w:r>
          </w:p>
        </w:tc>
        <w:tc>
          <w:tcPr>
            <w:tcW w:w="232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7"/>
              </w:rPr>
              <w:t>Location of Gain (Loss)</w:t>
            </w:r>
          </w:p>
        </w:tc>
        <w:tc>
          <w:tcPr>
            <w:tcW w:w="5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jc w:val="right"/>
              <w:ind w:right="692"/>
              <w:spacing w:after="0"/>
              <w:rPr>
                <w:sz w:val="20"/>
                <w:szCs w:val="20"/>
                <w:color w:val="auto"/>
              </w:rPr>
            </w:pPr>
            <w:r>
              <w:rPr>
                <w:rFonts w:ascii="Times New Roman" w:cs="Times New Roman" w:eastAsia="Times New Roman" w:hAnsi="Times New Roman"/>
                <w:sz w:val="18"/>
                <w:szCs w:val="18"/>
                <w:color w:val="auto"/>
              </w:rPr>
              <w:t>Fiscal Year</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6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as Hedging Instruments</w:t>
            </w:r>
          </w:p>
        </w:tc>
        <w:tc>
          <w:tcPr>
            <w:tcW w:w="2320" w:type="dxa"/>
            <w:vAlign w:val="bottom"/>
            <w:tcBorders>
              <w:bottom w:val="single" w:sz="8" w:color="auto"/>
            </w:tcBorders>
          </w:tcPr>
          <w:p>
            <w:pPr>
              <w:jc w:val="center"/>
              <w:ind w:left="12"/>
              <w:spacing w:after="0"/>
              <w:rPr>
                <w:sz w:val="20"/>
                <w:szCs w:val="20"/>
                <w:color w:val="auto"/>
              </w:rPr>
            </w:pPr>
            <w:r>
              <w:rPr>
                <w:rFonts w:ascii="Times New Roman" w:cs="Times New Roman" w:eastAsia="Times New Roman" w:hAnsi="Times New Roman"/>
                <w:sz w:val="18"/>
                <w:szCs w:val="18"/>
                <w:color w:val="auto"/>
                <w:w w:val="97"/>
              </w:rPr>
              <w:t>Recognized on Derivatives</w:t>
            </w:r>
          </w:p>
        </w:tc>
        <w:tc>
          <w:tcPr>
            <w:tcW w:w="5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872"/>
              <w:spacing w:after="0"/>
              <w:rPr>
                <w:sz w:val="20"/>
                <w:szCs w:val="20"/>
                <w:color w:val="auto"/>
              </w:rPr>
            </w:pPr>
            <w:r>
              <w:rPr>
                <w:rFonts w:ascii="Times New Roman" w:cs="Times New Roman" w:eastAsia="Times New Roman" w:hAnsi="Times New Roman"/>
                <w:sz w:val="18"/>
                <w:szCs w:val="18"/>
                <w:color w:val="auto"/>
              </w:rPr>
              <w:t>2024</w:t>
            </w:r>
          </w:p>
        </w:tc>
        <w:tc>
          <w:tcPr>
            <w:tcW w:w="13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r>
      <w:tr>
        <w:trPr>
          <w:trHeight w:val="205"/>
        </w:trPr>
        <w:tc>
          <w:tcPr>
            <w:tcW w:w="260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w w:val="99"/>
              </w:rPr>
              <w:t>Foreign exchange forward contracts</w:t>
            </w:r>
          </w:p>
        </w:tc>
        <w:tc>
          <w:tcPr>
            <w:tcW w:w="2320" w:type="dxa"/>
            <w:vAlign w:val="bottom"/>
            <w:shd w:val="clear" w:color="auto" w:fill="CCEEFF"/>
          </w:tcPr>
          <w:p>
            <w:pPr>
              <w:ind w:left="60"/>
              <w:spacing w:after="0" w:line="205" w:lineRule="exact"/>
              <w:rPr>
                <w:sz w:val="20"/>
                <w:szCs w:val="20"/>
                <w:color w:val="auto"/>
              </w:rPr>
            </w:pPr>
            <w:r>
              <w:rPr>
                <w:rFonts w:ascii="Times New Roman" w:cs="Times New Roman" w:eastAsia="Times New Roman" w:hAnsi="Times New Roman"/>
                <w:sz w:val="18"/>
                <w:szCs w:val="18"/>
                <w:color w:val="auto"/>
              </w:rPr>
              <w:t>AOCL</w:t>
            </w:r>
          </w:p>
        </w:tc>
        <w:tc>
          <w:tcPr>
            <w:tcW w:w="500" w:type="dxa"/>
            <w:vAlign w:val="bottom"/>
            <w:shd w:val="clear" w:color="auto" w:fill="CCEEFF"/>
          </w:tcPr>
          <w:p>
            <w:pPr>
              <w:jc w:val="right"/>
              <w:ind w:right="172"/>
              <w:spacing w:after="0" w:line="205"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(8,501)</w:t>
            </w:r>
          </w:p>
        </w:tc>
        <w:tc>
          <w:tcPr>
            <w:tcW w:w="280" w:type="dxa"/>
            <w:vAlign w:val="bottom"/>
            <w:shd w:val="clear" w:color="auto" w:fill="CCEEFF"/>
          </w:tcPr>
          <w:p>
            <w:pPr>
              <w:jc w:val="right"/>
              <w:ind w:right="32"/>
              <w:spacing w:after="0" w:line="205" w:lineRule="exact"/>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ind w:right="292"/>
              <w:spacing w:after="0" w:line="205" w:lineRule="exact"/>
              <w:rPr>
                <w:sz w:val="20"/>
                <w:szCs w:val="20"/>
                <w:color w:val="auto"/>
              </w:rPr>
            </w:pPr>
            <w:r>
              <w:rPr>
                <w:rFonts w:ascii="Times New Roman" w:cs="Times New Roman" w:eastAsia="Times New Roman" w:hAnsi="Times New Roman"/>
                <w:sz w:val="18"/>
                <w:szCs w:val="18"/>
                <w:color w:val="auto"/>
              </w:rPr>
              <w:t>964</w:t>
            </w:r>
          </w:p>
        </w:tc>
        <w:tc>
          <w:tcPr>
            <w:tcW w:w="130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N/A</w:t>
            </w:r>
          </w:p>
        </w:tc>
        <w:tc>
          <w:tcPr>
            <w:tcW w:w="100" w:type="dxa"/>
            <w:vAlign w:val="bottom"/>
            <w:shd w:val="clear" w:color="auto" w:fill="CCEEFF"/>
          </w:tcPr>
          <w:p>
            <w:pPr>
              <w:spacing w:after="0"/>
              <w:rPr>
                <w:sz w:val="17"/>
                <w:szCs w:val="17"/>
                <w:color w:val="auto"/>
              </w:rPr>
            </w:pPr>
          </w:p>
        </w:tc>
      </w:tr>
    </w:tbl>
    <w:p>
      <w:pPr>
        <w:spacing w:after="0" w:line="194" w:lineRule="exact"/>
        <w:rPr>
          <w:sz w:val="20"/>
          <w:szCs w:val="20"/>
          <w:color w:val="auto"/>
        </w:rPr>
      </w:pPr>
    </w:p>
    <w:p>
      <w:pPr>
        <w:ind w:left="320" w:right="160"/>
        <w:spacing w:after="0" w:line="259" w:lineRule="auto"/>
        <w:rPr>
          <w:sz w:val="20"/>
          <w:szCs w:val="20"/>
          <w:color w:val="auto"/>
        </w:rPr>
      </w:pPr>
      <w:r>
        <w:rPr>
          <w:rFonts w:ascii="Times New Roman" w:cs="Times New Roman" w:eastAsia="Times New Roman" w:hAnsi="Times New Roman"/>
          <w:sz w:val="18"/>
          <w:szCs w:val="18"/>
          <w:color w:val="auto"/>
        </w:rPr>
        <w:t>Gains (losses) recognized in foreign transaction loss, in the consolidated statements of operations for the portion of the net investment hedges excluded from the assessment of hedge effectiveness was $1.5 million and $0.7 million for fiscal 2025 and 2024, respectively. Since our net investment hedge program started in fiscal 2024 there were no amounts recorded in fiscal 2023 or fiscal 2022.</w:t>
      </w:r>
    </w:p>
    <w:p>
      <w:pPr>
        <w:spacing w:after="0" w:line="178" w:lineRule="exact"/>
        <w:rPr>
          <w:sz w:val="20"/>
          <w:szCs w:val="20"/>
          <w:color w:val="auto"/>
        </w:rPr>
      </w:pPr>
    </w:p>
    <w:p>
      <w:pPr>
        <w:ind w:left="320"/>
        <w:spacing w:after="0" w:line="274" w:lineRule="auto"/>
        <w:rPr>
          <w:sz w:val="20"/>
          <w:szCs w:val="20"/>
          <w:color w:val="auto"/>
        </w:rPr>
      </w:pPr>
      <w:r>
        <w:rPr>
          <w:rFonts w:ascii="Times New Roman" w:cs="Times New Roman" w:eastAsia="Times New Roman" w:hAnsi="Times New Roman"/>
          <w:sz w:val="18"/>
          <w:szCs w:val="18"/>
          <w:color w:val="auto"/>
        </w:rPr>
        <w:t>Cash flows associated with settlements of our non-designated foreign currency forward contracts are reported in net cash provided by operating activities and our net investment hedges are included in investing activities in our consolidated statements of cash flows.</w:t>
      </w:r>
    </w:p>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221" w:lineRule="exact"/>
        <w:rPr>
          <w:sz w:val="20"/>
          <w:szCs w:val="20"/>
          <w:color w:val="auto"/>
        </w:rPr>
      </w:pPr>
    </w:p>
    <w:p>
      <w:pPr>
        <w:ind w:left="320" w:right="220"/>
        <w:spacing w:after="0" w:line="274" w:lineRule="auto"/>
        <w:rPr>
          <w:sz w:val="20"/>
          <w:szCs w:val="20"/>
          <w:color w:val="auto"/>
        </w:rPr>
      </w:pPr>
      <w:r>
        <w:rPr>
          <w:rFonts w:ascii="Times New Roman" w:cs="Times New Roman" w:eastAsia="Times New Roman" w:hAnsi="Times New Roman"/>
          <w:sz w:val="18"/>
          <w:szCs w:val="18"/>
          <w:color w:val="auto"/>
        </w:rPr>
        <w:t>The fair value of our foreign currency forward contracts was determined based on current foreign currency exchange rates and forward points. All our foreign currency forward contracts outstanding on December 27, 2025 will mature during the first quarter of fiscal 2026.</w:t>
      </w:r>
    </w:p>
    <w:p>
      <w:pPr>
        <w:spacing w:after="0" w:line="1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The following table provides information about our foreign currency forward contracts outstanding as of December 27, 2025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19" w:lineRule="exact"/>
        <w:rPr>
          <w:sz w:val="20"/>
          <w:szCs w:val="20"/>
          <w:color w:val="auto"/>
        </w:rPr>
      </w:pPr>
    </w:p>
    <w:tbl>
      <w:tblPr>
        <w:tblLayout w:type="fixed"/>
        <w:tblInd w:w="480" w:type="dxa"/>
        <w:tblCellMar>
          <w:top w:w="0" w:type="dxa"/>
          <w:left w:w="0" w:type="dxa"/>
          <w:bottom w:w="0" w:type="dxa"/>
          <w:right w:w="0" w:type="dxa"/>
        </w:tblCellMar>
      </w:tblPr>
      <w:tr>
        <w:trPr>
          <w:trHeight w:val="212"/>
        </w:trPr>
        <w:tc>
          <w:tcPr>
            <w:tcW w:w="2740" w:type="dxa"/>
            <w:vAlign w:val="bottom"/>
          </w:tcPr>
          <w:p>
            <w:pPr>
              <w:spacing w:after="0"/>
              <w:rPr>
                <w:sz w:val="18"/>
                <w:szCs w:val="18"/>
                <w:color w:val="auto"/>
              </w:rPr>
            </w:pPr>
          </w:p>
        </w:tc>
        <w:tc>
          <w:tcPr>
            <w:tcW w:w="2540" w:type="dxa"/>
            <w:vAlign w:val="bottom"/>
          </w:tcPr>
          <w:p>
            <w:pPr>
              <w:jc w:val="center"/>
              <w:ind w:left="732"/>
              <w:spacing w:after="0"/>
              <w:rPr>
                <w:sz w:val="20"/>
                <w:szCs w:val="20"/>
                <w:color w:val="auto"/>
              </w:rPr>
            </w:pPr>
            <w:r>
              <w:rPr>
                <w:rFonts w:ascii="Times New Roman" w:cs="Times New Roman" w:eastAsia="Times New Roman" w:hAnsi="Times New Roman"/>
                <w:sz w:val="18"/>
                <w:szCs w:val="18"/>
                <w:color w:val="auto"/>
                <w:w w:val="96"/>
              </w:rPr>
              <w:t>Contract</w:t>
            </w:r>
          </w:p>
        </w:tc>
        <w:tc>
          <w:tcPr>
            <w:tcW w:w="21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Contract Amount</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Contract Amount</w:t>
            </w:r>
          </w:p>
        </w:tc>
      </w:tr>
      <w:tr>
        <w:trPr>
          <w:trHeight w:val="230"/>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Currency</w:t>
            </w:r>
          </w:p>
        </w:tc>
        <w:tc>
          <w:tcPr>
            <w:tcW w:w="2540" w:type="dxa"/>
            <w:vAlign w:val="bottom"/>
          </w:tcPr>
          <w:p>
            <w:pPr>
              <w:jc w:val="center"/>
              <w:ind w:left="752"/>
              <w:spacing w:after="0"/>
              <w:rPr>
                <w:sz w:val="20"/>
                <w:szCs w:val="20"/>
                <w:color w:val="auto"/>
              </w:rPr>
            </w:pPr>
            <w:r>
              <w:rPr>
                <w:rFonts w:ascii="Times New Roman" w:cs="Times New Roman" w:eastAsia="Times New Roman" w:hAnsi="Times New Roman"/>
                <w:sz w:val="18"/>
                <w:szCs w:val="18"/>
                <w:color w:val="auto"/>
                <w:w w:val="98"/>
              </w:rPr>
              <w:t>Position</w:t>
            </w:r>
          </w:p>
        </w:tc>
        <w:tc>
          <w:tcPr>
            <w:tcW w:w="21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(Local Currency)</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(U.S. Dollars)</w:t>
            </w:r>
          </w:p>
        </w:tc>
      </w:tr>
      <w:tr>
        <w:trPr>
          <w:trHeight w:val="205"/>
        </w:trPr>
        <w:tc>
          <w:tcPr>
            <w:tcW w:w="2740" w:type="dxa"/>
            <w:vAlign w:val="bottom"/>
            <w:tcBorders>
              <w:top w:val="single" w:sz="8" w:color="auto"/>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Euro</w:t>
            </w:r>
          </w:p>
        </w:tc>
        <w:tc>
          <w:tcPr>
            <w:tcW w:w="2540" w:type="dxa"/>
            <w:vAlign w:val="bottom"/>
            <w:tcBorders>
              <w:top w:val="single" w:sz="8" w:color="auto"/>
            </w:tcBorders>
            <w:shd w:val="clear" w:color="auto" w:fill="CCEEFF"/>
          </w:tcPr>
          <w:p>
            <w:pPr>
              <w:jc w:val="center"/>
              <w:ind w:left="732"/>
              <w:spacing w:after="0" w:line="205" w:lineRule="exact"/>
              <w:rPr>
                <w:sz w:val="20"/>
                <w:szCs w:val="20"/>
                <w:color w:val="auto"/>
              </w:rPr>
            </w:pPr>
            <w:r>
              <w:rPr>
                <w:rFonts w:ascii="Times New Roman" w:cs="Times New Roman" w:eastAsia="Times New Roman" w:hAnsi="Times New Roman"/>
                <w:sz w:val="18"/>
                <w:szCs w:val="18"/>
                <w:color w:val="auto"/>
                <w:w w:val="93"/>
              </w:rPr>
              <w:t>Buy</w:t>
            </w:r>
          </w:p>
        </w:tc>
        <w:tc>
          <w:tcPr>
            <w:tcW w:w="2100" w:type="dxa"/>
            <w:vAlign w:val="bottom"/>
            <w:tcBorders>
              <w:top w:val="single" w:sz="8" w:color="auto"/>
            </w:tcBorders>
            <w:shd w:val="clear" w:color="auto" w:fill="CCEEFF"/>
          </w:tcPr>
          <w:p>
            <w:pPr>
              <w:jc w:val="right"/>
              <w:ind w:right="72"/>
              <w:spacing w:after="0" w:line="205" w:lineRule="exact"/>
              <w:rPr>
                <w:sz w:val="20"/>
                <w:szCs w:val="20"/>
                <w:color w:val="auto"/>
              </w:rPr>
            </w:pPr>
            <w:r>
              <w:rPr>
                <w:rFonts w:ascii="Times New Roman" w:cs="Times New Roman" w:eastAsia="Times New Roman" w:hAnsi="Times New Roman"/>
                <w:sz w:val="18"/>
                <w:szCs w:val="18"/>
                <w:color w:val="auto"/>
              </w:rPr>
              <w:t>40,292</w:t>
            </w:r>
          </w:p>
        </w:tc>
        <w:tc>
          <w:tcPr>
            <w:tcW w:w="152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47,500</w:t>
            </w:r>
          </w:p>
        </w:tc>
        <w:tc>
          <w:tcPr>
            <w:tcW w:w="80" w:type="dxa"/>
            <w:vAlign w:val="bottom"/>
            <w:tcBorders>
              <w:top w:val="single" w:sz="8" w:color="CCEEFF"/>
            </w:tcBorders>
            <w:shd w:val="clear" w:color="auto" w:fill="CCEEFF"/>
          </w:tcPr>
          <w:p>
            <w:pPr>
              <w:spacing w:after="0"/>
              <w:rPr>
                <w:sz w:val="17"/>
                <w:szCs w:val="17"/>
                <w:color w:val="auto"/>
              </w:rPr>
            </w:pPr>
          </w:p>
        </w:tc>
      </w:tr>
      <w:tr>
        <w:trPr>
          <w:trHeight w:val="212"/>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Swiss Franc</w:t>
            </w:r>
          </w:p>
        </w:tc>
        <w:tc>
          <w:tcPr>
            <w:tcW w:w="2540" w:type="dxa"/>
            <w:vAlign w:val="bottom"/>
          </w:tcPr>
          <w:p>
            <w:pPr>
              <w:jc w:val="center"/>
              <w:ind w:left="732"/>
              <w:spacing w:after="0"/>
              <w:rPr>
                <w:sz w:val="20"/>
                <w:szCs w:val="20"/>
                <w:color w:val="auto"/>
              </w:rPr>
            </w:pPr>
            <w:r>
              <w:rPr>
                <w:rFonts w:ascii="Times New Roman" w:cs="Times New Roman" w:eastAsia="Times New Roman" w:hAnsi="Times New Roman"/>
                <w:sz w:val="18"/>
                <w:szCs w:val="18"/>
                <w:color w:val="auto"/>
                <w:w w:val="93"/>
              </w:rPr>
              <w:t>Buy</w:t>
            </w:r>
          </w:p>
        </w:tc>
        <w:tc>
          <w:tcPr>
            <w:tcW w:w="2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10,858</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13,800</w:t>
            </w:r>
          </w:p>
        </w:tc>
      </w:tr>
      <w:tr>
        <w:trPr>
          <w:trHeight w:val="212"/>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Korean Won</w:t>
            </w:r>
          </w:p>
        </w:tc>
        <w:tc>
          <w:tcPr>
            <w:tcW w:w="2540" w:type="dxa"/>
            <w:vAlign w:val="bottom"/>
            <w:shd w:val="clear" w:color="auto" w:fill="CCEEFF"/>
          </w:tcPr>
          <w:p>
            <w:pPr>
              <w:jc w:val="center"/>
              <w:ind w:left="732"/>
              <w:spacing w:after="0"/>
              <w:rPr>
                <w:sz w:val="20"/>
                <w:szCs w:val="20"/>
                <w:color w:val="auto"/>
              </w:rPr>
            </w:pPr>
            <w:r>
              <w:rPr>
                <w:rFonts w:ascii="Times New Roman" w:cs="Times New Roman" w:eastAsia="Times New Roman" w:hAnsi="Times New Roman"/>
                <w:sz w:val="18"/>
                <w:szCs w:val="18"/>
                <w:color w:val="auto"/>
                <w:w w:val="93"/>
              </w:rPr>
              <w:t>Buy</w:t>
            </w:r>
          </w:p>
        </w:tc>
        <w:tc>
          <w:tcPr>
            <w:tcW w:w="21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3,571,944</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2,480</w:t>
            </w:r>
          </w:p>
        </w:tc>
      </w:tr>
      <w:tr>
        <w:trPr>
          <w:trHeight w:val="212"/>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Japanese Yen</w:t>
            </w:r>
          </w:p>
        </w:tc>
        <w:tc>
          <w:tcPr>
            <w:tcW w:w="2540" w:type="dxa"/>
            <w:vAlign w:val="bottom"/>
          </w:tcPr>
          <w:p>
            <w:pPr>
              <w:jc w:val="center"/>
              <w:ind w:left="732"/>
              <w:spacing w:after="0"/>
              <w:rPr>
                <w:sz w:val="20"/>
                <w:szCs w:val="20"/>
                <w:color w:val="auto"/>
              </w:rPr>
            </w:pPr>
            <w:r>
              <w:rPr>
                <w:rFonts w:ascii="Times New Roman" w:cs="Times New Roman" w:eastAsia="Times New Roman" w:hAnsi="Times New Roman"/>
                <w:sz w:val="18"/>
                <w:szCs w:val="18"/>
                <w:color w:val="auto"/>
                <w:w w:val="93"/>
              </w:rPr>
              <w:t>Buy</w:t>
            </w:r>
          </w:p>
        </w:tc>
        <w:tc>
          <w:tcPr>
            <w:tcW w:w="2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541,841</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3,470</w:t>
            </w:r>
          </w:p>
        </w:tc>
      </w:tr>
      <w:tr>
        <w:trPr>
          <w:trHeight w:val="212"/>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w:t>
            </w:r>
          </w:p>
        </w:tc>
        <w:tc>
          <w:tcPr>
            <w:tcW w:w="2540" w:type="dxa"/>
            <w:vAlign w:val="bottom"/>
            <w:shd w:val="clear" w:color="auto" w:fill="CCEEFF"/>
          </w:tcPr>
          <w:p>
            <w:pPr>
              <w:jc w:val="center"/>
              <w:ind w:left="732"/>
              <w:spacing w:after="0"/>
              <w:rPr>
                <w:sz w:val="20"/>
                <w:szCs w:val="20"/>
                <w:color w:val="auto"/>
              </w:rPr>
            </w:pPr>
            <w:r>
              <w:rPr>
                <w:rFonts w:ascii="Times New Roman" w:cs="Times New Roman" w:eastAsia="Times New Roman" w:hAnsi="Times New Roman"/>
                <w:sz w:val="18"/>
                <w:szCs w:val="18"/>
                <w:color w:val="auto"/>
                <w:w w:val="99"/>
              </w:rPr>
              <w:t>Sell</w:t>
            </w:r>
          </w:p>
        </w:tc>
        <w:tc>
          <w:tcPr>
            <w:tcW w:w="21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35,100</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41,353</w:t>
            </w:r>
          </w:p>
        </w:tc>
      </w:tr>
      <w:tr>
        <w:trPr>
          <w:trHeight w:val="231"/>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Swiss Franc</w:t>
            </w:r>
          </w:p>
        </w:tc>
        <w:tc>
          <w:tcPr>
            <w:tcW w:w="2540" w:type="dxa"/>
            <w:vAlign w:val="bottom"/>
          </w:tcPr>
          <w:p>
            <w:pPr>
              <w:jc w:val="center"/>
              <w:ind w:left="732"/>
              <w:spacing w:after="0"/>
              <w:rPr>
                <w:sz w:val="20"/>
                <w:szCs w:val="20"/>
                <w:color w:val="auto"/>
              </w:rPr>
            </w:pPr>
            <w:r>
              <w:rPr>
                <w:rFonts w:ascii="Times New Roman" w:cs="Times New Roman" w:eastAsia="Times New Roman" w:hAnsi="Times New Roman"/>
                <w:sz w:val="18"/>
                <w:szCs w:val="18"/>
                <w:color w:val="auto"/>
                <w:w w:val="99"/>
              </w:rPr>
              <w:t>Sell</w:t>
            </w:r>
          </w:p>
        </w:tc>
        <w:tc>
          <w:tcPr>
            <w:tcW w:w="2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9,900</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12,535</w:t>
            </w:r>
          </w:p>
        </w:tc>
      </w:tr>
    </w:tbl>
    <w:p>
      <w:pPr>
        <w:spacing w:after="0" w:line="174" w:lineRule="exact"/>
        <w:rPr>
          <w:sz w:val="20"/>
          <w:szCs w:val="20"/>
          <w:color w:val="auto"/>
        </w:rPr>
      </w:pPr>
    </w:p>
    <w:p>
      <w:pPr>
        <w:ind w:left="320" w:right="300"/>
        <w:spacing w:after="0" w:line="274" w:lineRule="auto"/>
        <w:rPr>
          <w:sz w:val="20"/>
          <w:szCs w:val="20"/>
          <w:color w:val="auto"/>
        </w:rPr>
      </w:pPr>
      <w:r>
        <w:rPr>
          <w:rFonts w:ascii="Times New Roman" w:cs="Times New Roman" w:eastAsia="Times New Roman" w:hAnsi="Times New Roman"/>
          <w:sz w:val="18"/>
          <w:szCs w:val="18"/>
          <w:color w:val="auto"/>
        </w:rPr>
        <w:t>Our foreign currency contracts are classified within Level 2 of the fair value hierarchy as they are valued using pricing models that utilize observable market inputs. The fair value of our foreign currency contracts as of December 27, 2025, and December 28, 2024, was immaterial.</w:t>
      </w:r>
    </w:p>
    <w:p>
      <w:pPr>
        <w:spacing w:after="0" w:line="1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36195</wp:posOffset>
            </wp:positionV>
            <wp:extent cx="71348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320" w:hanging="314"/>
        <w:spacing w:after="0"/>
        <w:tabs>
          <w:tab w:leader="none" w:pos="32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w:t>
      </w:r>
    </w:p>
    <w:p>
      <w:pPr>
        <w:spacing w:after="0" w:line="217"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u w:val="single" w:color="auto"/>
          <w:color w:val="auto"/>
        </w:rPr>
        <w:t>Capped Call Transactions</w:t>
      </w:r>
    </w:p>
    <w:p>
      <w:pPr>
        <w:spacing w:after="0" w:line="219" w:lineRule="exact"/>
        <w:rPr>
          <w:rFonts w:ascii="Times New Roman" w:cs="Times New Roman" w:eastAsia="Times New Roman" w:hAnsi="Times New Roman"/>
          <w:sz w:val="18"/>
          <w:szCs w:val="18"/>
          <w:b w:val="1"/>
          <w:bCs w:val="1"/>
          <w:color w:val="auto"/>
        </w:rPr>
      </w:pPr>
    </w:p>
    <w:p>
      <w:pPr>
        <w:ind w:left="320"/>
        <w:spacing w:after="0" w:line="24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connection with the Notes offering described in Note 3, “Borrowings and Credit Agreements”, on September 24, 2025, we entered into privately negotiated capped call transactions (the “Base Capped Call Transactions”) with an affiliate of one or more of the initial purchasers of the Notes and certain other financial institutions (the “Option Counterparties”). In addition, on September 25, 2025, in connection with the initial purchasers’ exercise in full of their option to purchase additional Notes, we entered into additional capped call transactions (the “Additional Capped Call Transactions,” and, together with the Base Capped Call Transactions, the “Capped Call Transactions”) with each of the Option Counterparties. The Capped Call Transactions are separate from the Notes and do not change the holders' rights under the Notes. Holders of the Notes do not have any rights with respect to the Capped Call Transactions. The Capped Call Transactions are generally expected to reduce the potential dilution to our common stock upon any conversion of the Notes and/or offset any potential cash payments we are required to make in excess of the principal amount of converted Notes, with such reduction and/or offset subject to a cap.</w:t>
      </w:r>
    </w:p>
    <w:p>
      <w:pPr>
        <w:spacing w:after="0" w:line="187" w:lineRule="exact"/>
        <w:rPr>
          <w:rFonts w:ascii="Times New Roman" w:cs="Times New Roman" w:eastAsia="Times New Roman" w:hAnsi="Times New Roman"/>
          <w:sz w:val="18"/>
          <w:szCs w:val="18"/>
          <w:b w:val="1"/>
          <w:bCs w:val="1"/>
          <w:color w:val="auto"/>
        </w:rPr>
      </w:pPr>
    </w:p>
    <w:p>
      <w:pPr>
        <w:ind w:left="320"/>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Capped Call Transactions are for an aggregate of 10.58 million shares of our common stock, subject to certain anti-dilution adjustments. Each capped call option has an initial strike price of approximately $27.18 per share, which corresponds to the initial conversion price of the Notes, and an initial cap price of approximately $41.02 per share, representing a premium of approximately 100% above the Reference Price. The strike and cap prices are subject to certain adjustments. The Capped Call Transactions are intended to offset some or all of the potential dilution to our common stock caused by any conversion of the Notes up to the cap price. The capped call options can be settled in either net shares or cash at our option in components commencing October 15, 2030, and ending January 15, 2031, which could be extended under certain circumstances.</w:t>
      </w:r>
    </w:p>
    <w:p>
      <w:pPr>
        <w:spacing w:after="0" w:line="185" w:lineRule="exact"/>
        <w:rPr>
          <w:rFonts w:ascii="Times New Roman" w:cs="Times New Roman" w:eastAsia="Times New Roman" w:hAnsi="Times New Roman"/>
          <w:sz w:val="18"/>
          <w:szCs w:val="18"/>
          <w:b w:val="1"/>
          <w:bCs w:val="1"/>
          <w:color w:val="auto"/>
        </w:rPr>
      </w:pPr>
    </w:p>
    <w:p>
      <w:pPr>
        <w:ind w:left="320" w:right="18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capped call options are subject to either adjustment or termination upon the occurrence of specified extraordinary events affecting us, including a merger, tender offer, nationalization, insolvency or delisting. In addition, certain events may result in a termination of the capped call options, including changes in law and hedging disruptions. The Capped Call Transactions are recorded at their aggregate cost of $31.4 million as a reduction to paid-in capital stock in the shareholders’ equity section of our consolidated balance sheet.</w:t>
      </w:r>
    </w:p>
    <w:p>
      <w:pPr>
        <w:spacing w:after="0" w:line="178"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u w:val="single" w:color="auto"/>
          <w:color w:val="auto"/>
        </w:rPr>
        <w:t>Share Repurchase Program</w:t>
      </w:r>
    </w:p>
    <w:p>
      <w:pPr>
        <w:spacing w:after="0" w:line="219" w:lineRule="exact"/>
        <w:rPr>
          <w:rFonts w:ascii="Times New Roman" w:cs="Times New Roman" w:eastAsia="Times New Roman" w:hAnsi="Times New Roman"/>
          <w:sz w:val="18"/>
          <w:szCs w:val="18"/>
          <w:b w:val="1"/>
          <w:bCs w:val="1"/>
          <w:color w:val="auto"/>
        </w:rPr>
      </w:pPr>
    </w:p>
    <w:p>
      <w:pPr>
        <w:ind w:left="320"/>
        <w:spacing w:after="0" w:line="24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October 28, 2021, we announced that our Board of Directors authorized a $70 million share repurchase program. This share repurchase program was effective as of November 2, 2021, and has no expiration date. On October 25, 2022, our Board of Directors authorized an additional $70 million under the share repurchase program. The timing of share repurchases and the number of shares of common stock to be repurchased will depend upon prevailing market conditions and other factors. Repurchases under this program will be made using our existing cash resources and may be commenced or suspended from time to time at our discretion without prior notice. Repurchases may be made in the open market, through 10b5-1 programs, or in privately negotiated transactions at prevailing market rates in accordance with federal securities laws. For the year ended December 27, 2025, we repurchased 432,288 shares of our common stock for $8.6 million to be held as treasury stock. For the year ended December 28, 2024, we repurchased 915,504 shares of our common stock for $27.0 million. For the year ended December 30, 2023, we repurchased 700,270 shares of our common stock for $23.6 million. As of December 27, 2025, $22.8 million remained available for us to repurchase shares of our common stock under our share repurchase program.</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36195</wp:posOffset>
            </wp:positionV>
            <wp:extent cx="71348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10. Income Taxes</w:t>
            </w: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4"/>
        </w:trPr>
        <w:tc>
          <w:tcPr>
            <w:tcW w:w="5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income tax expense (benefit) was allocated as follows:</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640" w:type="dxa"/>
            <w:vAlign w:val="bottom"/>
          </w:tcPr>
          <w:p>
            <w:pPr>
              <w:spacing w:after="0"/>
              <w:rPr>
                <w:sz w:val="24"/>
                <w:szCs w:val="24"/>
                <w:color w:val="auto"/>
              </w:rPr>
            </w:pPr>
          </w:p>
        </w:tc>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color w:val="auto"/>
              </w:rPr>
              <w:t>2023</w:t>
            </w: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480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Income from operations</w:t>
            </w: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11,866</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72"/>
              <w:spacing w:after="0" w:line="205"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4,872</w:t>
            </w:r>
          </w:p>
        </w:tc>
        <w:tc>
          <w:tcPr>
            <w:tcW w:w="80" w:type="dxa"/>
            <w:vAlign w:val="bottom"/>
            <w:tcBorders>
              <w:right w:val="single" w:sz="8" w:color="CCEEFF"/>
            </w:tcBorders>
            <w:shd w:val="clear" w:color="auto" w:fill="CCEEFF"/>
          </w:tcPr>
          <w:p>
            <w:pPr>
              <w:spacing w:after="0"/>
              <w:rPr>
                <w:sz w:val="17"/>
                <w:szCs w:val="17"/>
                <w:color w:val="auto"/>
              </w:rPr>
            </w:pPr>
          </w:p>
        </w:tc>
        <w:tc>
          <w:tcPr>
            <w:tcW w:w="400" w:type="dxa"/>
            <w:vAlign w:val="bottom"/>
            <w:gridSpan w:val="2"/>
            <w:shd w:val="clear" w:color="auto" w:fill="CCEEFF"/>
          </w:tcPr>
          <w:p>
            <w:pPr>
              <w:jc w:val="right"/>
              <w:ind w:right="137"/>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17,660</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4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(984)</w:t>
            </w:r>
          </w:p>
        </w:tc>
        <w:tc>
          <w:tcPr>
            <w:tcW w:w="0" w:type="dxa"/>
            <w:vAlign w:val="bottom"/>
          </w:tcPr>
          <w:p>
            <w:pPr>
              <w:spacing w:after="0"/>
              <w:rPr>
                <w:sz w:val="1"/>
                <w:szCs w:val="1"/>
                <w:color w:val="auto"/>
              </w:rPr>
            </w:pPr>
          </w:p>
        </w:tc>
      </w:tr>
      <w:tr>
        <w:trPr>
          <w:trHeight w:val="218"/>
        </w:trPr>
        <w:tc>
          <w:tcPr>
            <w:tcW w:w="640" w:type="dxa"/>
            <w:vAlign w:val="bottom"/>
          </w:tcPr>
          <w:p>
            <w:pPr>
              <w:spacing w:after="0"/>
              <w:rPr>
                <w:sz w:val="19"/>
                <w:szCs w:val="19"/>
                <w:color w:val="auto"/>
              </w:rPr>
            </w:pPr>
          </w:p>
        </w:tc>
        <w:tc>
          <w:tcPr>
            <w:tcW w:w="4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5,268</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16,676</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color w:val="auto"/>
                <w:w w:val="99"/>
              </w:rPr>
              <w:t>Significant components of income tax expense (benefit) are as follows:</w:t>
            </w: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544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640" w:type="dxa"/>
            <w:vAlign w:val="bottom"/>
          </w:tcPr>
          <w:p>
            <w:pPr>
              <w:spacing w:after="0"/>
              <w:rPr>
                <w:sz w:val="24"/>
                <w:szCs w:val="24"/>
                <w:color w:val="auto"/>
              </w:rPr>
            </w:pPr>
          </w:p>
        </w:tc>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color w:val="auto"/>
              </w:rPr>
              <w:t>2023</w:t>
            </w: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480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Current:</w:t>
            </w: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4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 Federal</w:t>
            </w:r>
          </w:p>
        </w:tc>
        <w:tc>
          <w:tcPr>
            <w:tcW w:w="88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60" w:type="dxa"/>
            <w:vAlign w:val="bottom"/>
            <w:gridSpan w:val="2"/>
          </w:tcPr>
          <w:p>
            <w:pPr>
              <w:jc w:val="right"/>
              <w:ind w:right="23"/>
              <w:spacing w:after="0"/>
              <w:rPr>
                <w:sz w:val="20"/>
                <w:szCs w:val="20"/>
                <w:color w:val="auto"/>
              </w:rPr>
            </w:pPr>
            <w:r>
              <w:rPr>
                <w:rFonts w:ascii="Times New Roman" w:cs="Times New Roman" w:eastAsia="Times New Roman" w:hAnsi="Times New Roman"/>
                <w:sz w:val="18"/>
                <w:szCs w:val="18"/>
                <w:color w:val="auto"/>
              </w:rPr>
              <w:t>(1,725)</w:t>
            </w:r>
          </w:p>
        </w:tc>
        <w:tc>
          <w:tcPr>
            <w:tcW w:w="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3"/>
              <w:spacing w:after="0"/>
              <w:rPr>
                <w:sz w:val="20"/>
                <w:szCs w:val="20"/>
                <w:color w:val="auto"/>
              </w:rPr>
            </w:pPr>
            <w:r>
              <w:rPr>
                <w:rFonts w:ascii="Times New Roman" w:cs="Times New Roman" w:eastAsia="Times New Roman" w:hAnsi="Times New Roman"/>
                <w:sz w:val="18"/>
                <w:szCs w:val="18"/>
                <w:color w:val="auto"/>
              </w:rPr>
              <w:t>717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4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U.S. State</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36</w:t>
            </w:r>
          </w:p>
        </w:tc>
        <w:tc>
          <w:tcPr>
            <w:tcW w:w="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40" w:type="dxa"/>
            <w:vAlign w:val="bottom"/>
          </w:tcPr>
          <w:p>
            <w:pPr>
              <w:spacing w:after="0"/>
              <w:rPr>
                <w:sz w:val="19"/>
                <w:szCs w:val="19"/>
                <w:color w:val="auto"/>
              </w:rPr>
            </w:pPr>
          </w:p>
        </w:tc>
        <w:tc>
          <w:tcPr>
            <w:tcW w:w="4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Foreign</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83"/>
              <w:spacing w:after="0"/>
              <w:rPr>
                <w:sz w:val="20"/>
                <w:szCs w:val="20"/>
                <w:color w:val="auto"/>
              </w:rPr>
            </w:pPr>
            <w:r>
              <w:rPr>
                <w:rFonts w:ascii="Times New Roman" w:cs="Times New Roman" w:eastAsia="Times New Roman" w:hAnsi="Times New Roman"/>
                <w:sz w:val="18"/>
                <w:szCs w:val="18"/>
                <w:color w:val="auto"/>
              </w:rPr>
              <w:t>15,346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3"/>
              <w:spacing w:after="0"/>
              <w:rPr>
                <w:sz w:val="20"/>
                <w:szCs w:val="20"/>
                <w:color w:val="auto"/>
              </w:rPr>
            </w:pPr>
            <w:r>
              <w:rPr>
                <w:rFonts w:ascii="Times New Roman" w:cs="Times New Roman" w:eastAsia="Times New Roman" w:hAnsi="Times New Roman"/>
                <w:sz w:val="18"/>
                <w:szCs w:val="18"/>
                <w:color w:val="auto"/>
              </w:rPr>
              <w:t>7,841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4800" w:type="dxa"/>
            <w:vAlign w:val="bottom"/>
            <w:tcBorders>
              <w:top w:val="single" w:sz="8" w:color="CCEEFF"/>
            </w:tcBorders>
            <w:shd w:val="clear" w:color="auto" w:fill="CCEEFF"/>
          </w:tcPr>
          <w:p>
            <w:pPr>
              <w:ind w:left="320"/>
              <w:spacing w:after="0" w:line="205" w:lineRule="exact"/>
              <w:rPr>
                <w:sz w:val="20"/>
                <w:szCs w:val="20"/>
                <w:color w:val="auto"/>
              </w:rPr>
            </w:pPr>
            <w:r>
              <w:rPr>
                <w:rFonts w:ascii="Times New Roman" w:cs="Times New Roman" w:eastAsia="Times New Roman" w:hAnsi="Times New Roman"/>
                <w:sz w:val="18"/>
                <w:szCs w:val="18"/>
                <w:color w:val="auto"/>
              </w:rPr>
              <w:t>Total current</w:t>
            </w:r>
          </w:p>
        </w:tc>
        <w:tc>
          <w:tcPr>
            <w:tcW w:w="6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13,668</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8,594</w:t>
            </w: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22,434</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4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4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U.S. Federal</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8"/>
                <w:szCs w:val="18"/>
                <w:color w:val="auto"/>
              </w:rPr>
              <w:t>(150)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40" w:type="dxa"/>
            <w:vAlign w:val="bottom"/>
          </w:tcPr>
          <w:p>
            <w:pPr>
              <w:spacing w:after="0"/>
              <w:rPr>
                <w:sz w:val="19"/>
                <w:szCs w:val="19"/>
                <w:color w:val="auto"/>
              </w:rPr>
            </w:pPr>
          </w:p>
        </w:tc>
        <w:tc>
          <w:tcPr>
            <w:tcW w:w="4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Foreign</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23"/>
              <w:spacing w:after="0"/>
              <w:rPr>
                <w:sz w:val="20"/>
                <w:szCs w:val="20"/>
                <w:color w:val="auto"/>
              </w:rPr>
            </w:pPr>
            <w:r>
              <w:rPr>
                <w:rFonts w:ascii="Times New Roman" w:cs="Times New Roman" w:eastAsia="Times New Roman" w:hAnsi="Times New Roman"/>
                <w:sz w:val="18"/>
                <w:szCs w:val="18"/>
                <w:color w:val="auto"/>
              </w:rPr>
              <w:t>(1,652)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(3,709)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(4,835)</w:t>
            </w: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4800" w:type="dxa"/>
            <w:vAlign w:val="bottom"/>
            <w:tcBorders>
              <w:top w:val="single" w:sz="8" w:color="CCEEFF"/>
            </w:tcBorders>
            <w:shd w:val="clear" w:color="auto" w:fill="CCEEFF"/>
          </w:tcPr>
          <w:p>
            <w:pPr>
              <w:ind w:left="320"/>
              <w:spacing w:after="0" w:line="205" w:lineRule="exact"/>
              <w:rPr>
                <w:sz w:val="20"/>
                <w:szCs w:val="20"/>
                <w:color w:val="auto"/>
              </w:rPr>
            </w:pPr>
            <w:r>
              <w:rPr>
                <w:rFonts w:ascii="Times New Roman" w:cs="Times New Roman" w:eastAsia="Times New Roman" w:hAnsi="Times New Roman"/>
                <w:sz w:val="18"/>
                <w:szCs w:val="18"/>
                <w:color w:val="auto"/>
              </w:rPr>
              <w:t>Total deferred</w:t>
            </w:r>
          </w:p>
        </w:tc>
        <w:tc>
          <w:tcPr>
            <w:tcW w:w="6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(1,802</w:t>
            </w:r>
          </w:p>
        </w:tc>
        <w:tc>
          <w:tcPr>
            <w:tcW w:w="160" w:type="dxa"/>
            <w:vAlign w:val="bottom"/>
            <w:tcBorders>
              <w:top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(3,722</w:t>
            </w: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(4,774</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218"/>
        </w:trPr>
        <w:tc>
          <w:tcPr>
            <w:tcW w:w="64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color w:val="auto"/>
              </w:rPr>
              <w:t>Income (loss) before income taxes consisted of the following:</w:t>
            </w:r>
          </w:p>
        </w:tc>
        <w:tc>
          <w:tcPr>
            <w:tcW w:w="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544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640" w:type="dxa"/>
            <w:vAlign w:val="bottom"/>
          </w:tcPr>
          <w:p>
            <w:pPr>
              <w:spacing w:after="0"/>
              <w:rPr>
                <w:sz w:val="24"/>
                <w:szCs w:val="24"/>
                <w:color w:val="auto"/>
              </w:rPr>
            </w:pPr>
          </w:p>
        </w:tc>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color w:val="auto"/>
              </w:rPr>
              <w:t>2023</w:t>
            </w: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480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U.S.</w:t>
            </w: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5"/>
            <w:shd w:val="clear" w:color="auto" w:fill="CCEEFF"/>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(95,310)</w:t>
            </w:r>
          </w:p>
        </w:tc>
        <w:tc>
          <w:tcPr>
            <w:tcW w:w="320" w:type="dxa"/>
            <w:vAlign w:val="bottom"/>
            <w:gridSpan w:val="2"/>
            <w:shd w:val="clear" w:color="auto" w:fill="CCEEFF"/>
          </w:tcPr>
          <w:p>
            <w:pPr>
              <w:jc w:val="right"/>
              <w:ind w:right="72"/>
              <w:spacing w:after="0" w:line="205"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right w:val="single" w:sz="8" w:color="CCEEFF"/>
            </w:tcBorders>
            <w:gridSpan w:val="4"/>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(85,450)</w:t>
            </w:r>
          </w:p>
        </w:tc>
        <w:tc>
          <w:tcPr>
            <w:tcW w:w="400" w:type="dxa"/>
            <w:vAlign w:val="bottom"/>
            <w:gridSpan w:val="2"/>
            <w:shd w:val="clear" w:color="auto" w:fill="CCEEFF"/>
          </w:tcPr>
          <w:p>
            <w:pPr>
              <w:jc w:val="right"/>
              <w:ind w:right="137"/>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(37,799)</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4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32,903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20,504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83,615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40" w:type="dxa"/>
            <w:vAlign w:val="bottom"/>
          </w:tcPr>
          <w:p>
            <w:pPr>
              <w:spacing w:after="0"/>
              <w:rPr>
                <w:sz w:val="19"/>
                <w:szCs w:val="19"/>
                <w:color w:val="auto"/>
              </w:rPr>
            </w:pPr>
          </w:p>
        </w:tc>
        <w:tc>
          <w:tcPr>
            <w:tcW w:w="4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(62,407</w:t>
            </w:r>
          </w:p>
        </w:tc>
        <w:tc>
          <w:tcPr>
            <w:tcW w:w="140" w:type="dxa"/>
            <w:vAlign w:val="bottom"/>
            <w:tcBorders>
              <w:top w:val="single" w:sz="8" w:color="CCEEFF"/>
              <w:bottom w:val="single" w:sz="8" w:color="CCEEFF"/>
            </w:tcBorders>
            <w:gridSpan w:val="3"/>
            <w:shd w:val="clear" w:color="auto" w:fill="CCEEFF"/>
          </w:tcPr>
          <w:p>
            <w:pPr>
              <w:jc w:val="right"/>
              <w:ind w:right="12"/>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(64,946</w:t>
            </w:r>
          </w:p>
        </w:tc>
        <w:tc>
          <w:tcPr>
            <w:tcW w:w="120" w:type="dxa"/>
            <w:vAlign w:val="bottom"/>
            <w:tcBorders>
              <w:top w:val="single" w:sz="8" w:color="CCEEFF"/>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45,816</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color w:val="auto"/>
              </w:rPr>
              <w:t>Income tax payments, net of refunds, in fiscal 2025 were as follows:</w:t>
            </w: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544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640" w:type="dxa"/>
            <w:vAlign w:val="bottom"/>
          </w:tcPr>
          <w:p>
            <w:pPr>
              <w:spacing w:after="0"/>
              <w:rPr>
                <w:sz w:val="24"/>
                <w:szCs w:val="24"/>
                <w:color w:val="auto"/>
              </w:rPr>
            </w:pPr>
          </w:p>
        </w:tc>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480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U.S. State</w:t>
            </w: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3"/>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48</w:t>
            </w:r>
          </w:p>
        </w:tc>
        <w:tc>
          <w:tcPr>
            <w:tcW w:w="80" w:type="dxa"/>
            <w:vAlign w:val="bottom"/>
            <w:tcBorders>
              <w:right w:val="single" w:sz="8" w:color="CCEEFF"/>
            </w:tcBorders>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4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Non-U.S.</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4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4"/>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4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Germany</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(8,436)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4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Japan</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4"/>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1,093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4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Malaysia</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4"/>
          </w:tcPr>
          <w:p>
            <w:pPr>
              <w:jc w:val="right"/>
              <w:ind w:right="3"/>
              <w:spacing w:after="0"/>
              <w:rPr>
                <w:sz w:val="20"/>
                <w:szCs w:val="20"/>
                <w:color w:val="auto"/>
              </w:rPr>
            </w:pPr>
            <w:r>
              <w:rPr>
                <w:rFonts w:ascii="Times New Roman" w:cs="Times New Roman" w:eastAsia="Times New Roman" w:hAnsi="Times New Roman"/>
                <w:sz w:val="18"/>
                <w:szCs w:val="18"/>
                <w:color w:val="auto"/>
              </w:rPr>
              <w:t>2,474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4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Philippines</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4"/>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4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Singapore</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4"/>
          </w:tcPr>
          <w:p>
            <w:pPr>
              <w:jc w:val="right"/>
              <w:ind w:right="3"/>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4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Switzerland</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4"/>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40" w:type="dxa"/>
            <w:vAlign w:val="bottom"/>
          </w:tcPr>
          <w:p>
            <w:pPr>
              <w:spacing w:after="0"/>
              <w:rPr>
                <w:sz w:val="19"/>
                <w:szCs w:val="19"/>
                <w:color w:val="auto"/>
              </w:rPr>
            </w:pPr>
          </w:p>
        </w:tc>
        <w:tc>
          <w:tcPr>
            <w:tcW w:w="4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4"/>
          </w:tcPr>
          <w:p>
            <w:pPr>
              <w:jc w:val="right"/>
              <w:ind w:right="3"/>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480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Total Non-U.S.</w:t>
            </w:r>
          </w:p>
        </w:tc>
        <w:tc>
          <w:tcPr>
            <w:tcW w:w="6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gridSpan w:val="3"/>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(2,877</w:t>
            </w:r>
          </w:p>
        </w:tc>
        <w:tc>
          <w:tcPr>
            <w:tcW w:w="80" w:type="dxa"/>
            <w:vAlign w:val="bottom"/>
            <w:tcBorders>
              <w:top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4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Total net income tax payments</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52"/>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80" w:type="dxa"/>
            <w:vAlign w:val="bottom"/>
            <w:vMerge w:val="restart"/>
          </w:tcPr>
          <w:p>
            <w:pPr>
              <w:jc w:val="right"/>
              <w:ind w:right="312"/>
              <w:spacing w:after="0"/>
              <w:rPr>
                <w:sz w:val="20"/>
                <w:szCs w:val="20"/>
                <w:color w:val="auto"/>
              </w:rPr>
            </w:pPr>
            <w:r>
              <w:rPr>
                <w:rFonts w:ascii="Times New Roman" w:cs="Times New Roman" w:eastAsia="Times New Roman" w:hAnsi="Times New Roman"/>
                <w:sz w:val="18"/>
                <w:szCs w:val="18"/>
                <w:color w:val="auto"/>
              </w:rPr>
              <w:t>80</w:t>
            </w: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6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6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640" w:type="dxa"/>
            <w:vAlign w:val="bottom"/>
            <w:tcBorders>
              <w:bottom w:val="single" w:sz="8" w:color="auto"/>
            </w:tcBorders>
          </w:tcPr>
          <w:p>
            <w:pPr>
              <w:spacing w:after="0"/>
              <w:rPr>
                <w:sz w:val="9"/>
                <w:szCs w:val="9"/>
                <w:color w:val="auto"/>
              </w:rPr>
            </w:pPr>
          </w:p>
        </w:tc>
        <w:tc>
          <w:tcPr>
            <w:tcW w:w="48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20" w:top="121" w:right="2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36195</wp:posOffset>
            </wp:positionV>
            <wp:extent cx="71348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Deferred tax effects</w:t>
      </w:r>
    </w:p>
    <w:p>
      <w:pPr>
        <w:spacing w:after="0" w:line="219" w:lineRule="exact"/>
        <w:rPr>
          <w:sz w:val="20"/>
          <w:szCs w:val="20"/>
          <w:color w:val="auto"/>
        </w:rPr>
      </w:pPr>
    </w:p>
    <w:p>
      <w:pPr>
        <w:ind w:left="320" w:right="200"/>
        <w:spacing w:after="0" w:line="274" w:lineRule="auto"/>
        <w:rPr>
          <w:sz w:val="20"/>
          <w:szCs w:val="20"/>
          <w:color w:val="auto"/>
        </w:rPr>
      </w:pPr>
      <w:r>
        <w:rPr>
          <w:rFonts w:ascii="Times New Roman" w:cs="Times New Roman" w:eastAsia="Times New Roman" w:hAnsi="Times New Roman"/>
          <w:sz w:val="18"/>
          <w:szCs w:val="18"/>
          <w:color w:val="auto"/>
        </w:rPr>
        <w:t>Except for working capital requirements in certain foreign jurisdictions, we provide for substantially all taxes, including withholding and other residual taxes, related to unremitted earnings of our foreign subsidiaries.</w:t>
      </w:r>
    </w:p>
    <w:p>
      <w:pPr>
        <w:spacing w:after="0" w:line="163" w:lineRule="exact"/>
        <w:rPr>
          <w:sz w:val="20"/>
          <w:szCs w:val="20"/>
          <w:color w:val="auto"/>
        </w:rPr>
      </w:pPr>
    </w:p>
    <w:p>
      <w:pPr>
        <w:ind w:left="320"/>
        <w:spacing w:after="0" w:line="274"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and tax purposes.</w:t>
      </w:r>
    </w:p>
    <w:p>
      <w:pPr>
        <w:spacing w:after="0" w:line="163" w:lineRule="exact"/>
        <w:rPr>
          <w:sz w:val="20"/>
          <w:szCs w:val="20"/>
          <w:color w:val="auto"/>
        </w:rPr>
      </w:pPr>
    </w:p>
    <w:tbl>
      <w:tblPr>
        <w:tblLayout w:type="fixed"/>
        <w:tblInd w:w="320" w:type="dxa"/>
        <w:tblCellMar>
          <w:top w:w="0" w:type="dxa"/>
          <w:left w:w="0" w:type="dxa"/>
          <w:bottom w:w="0" w:type="dxa"/>
          <w:right w:w="0" w:type="dxa"/>
        </w:tblCellMar>
      </w:tblPr>
      <w:tr>
        <w:trPr>
          <w:trHeight w:val="231"/>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Significant components of our deferred tax assets and liabilities were as follows:</w:t>
            </w: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6"/>
        </w:trPr>
        <w:tc>
          <w:tcPr>
            <w:tcW w:w="160" w:type="dxa"/>
            <w:vAlign w:val="bottom"/>
          </w:tcPr>
          <w:p>
            <w:pPr>
              <w:spacing w:after="0"/>
              <w:rPr>
                <w:sz w:val="24"/>
                <w:szCs w:val="24"/>
                <w:color w:val="auto"/>
              </w:rPr>
            </w:pPr>
          </w:p>
        </w:tc>
        <w:tc>
          <w:tcPr>
            <w:tcW w:w="6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8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r>
      <w:tr>
        <w:trPr>
          <w:trHeight w:val="205"/>
        </w:trPr>
        <w:tc>
          <w:tcPr>
            <w:tcW w:w="160" w:type="dxa"/>
            <w:vAlign w:val="bottom"/>
          </w:tcPr>
          <w:p>
            <w:pPr>
              <w:spacing w:after="0"/>
              <w:rPr>
                <w:sz w:val="17"/>
                <w:szCs w:val="17"/>
                <w:color w:val="auto"/>
              </w:rPr>
            </w:pPr>
          </w:p>
        </w:tc>
        <w:tc>
          <w:tcPr>
            <w:tcW w:w="638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Deferred tax assets:</w:t>
            </w: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2"/>
        </w:trPr>
        <w:tc>
          <w:tcPr>
            <w:tcW w:w="16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Inventory, receivable and warranty reserves</w:t>
            </w:r>
          </w:p>
        </w:tc>
        <w:tc>
          <w:tcPr>
            <w:tcW w:w="1200" w:type="dxa"/>
            <w:vAlign w:val="bottom"/>
            <w:gridSpan w:val="2"/>
          </w:tcPr>
          <w:p>
            <w:pPr>
              <w:jc w:val="right"/>
              <w:ind w:right="177"/>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23"/>
              <w:spacing w:after="0"/>
              <w:rPr>
                <w:sz w:val="20"/>
                <w:szCs w:val="20"/>
                <w:color w:val="auto"/>
              </w:rPr>
            </w:pPr>
            <w:r>
              <w:rPr>
                <w:rFonts w:ascii="Times New Roman" w:cs="Times New Roman" w:eastAsia="Times New Roman" w:hAnsi="Times New Roman"/>
                <w:sz w:val="18"/>
                <w:szCs w:val="18"/>
                <w:color w:val="auto"/>
              </w:rPr>
              <w:t>10,802</w:t>
            </w:r>
          </w:p>
        </w:tc>
        <w:tc>
          <w:tcPr>
            <w:tcW w:w="360" w:type="dxa"/>
            <w:vAlign w:val="bottom"/>
            <w:gridSpan w:val="2"/>
          </w:tcPr>
          <w:p>
            <w:pPr>
              <w:jc w:val="right"/>
              <w:ind w:right="177"/>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11,034</w:t>
            </w:r>
          </w:p>
        </w:tc>
        <w:tc>
          <w:tcPr>
            <w:tcW w:w="100" w:type="dxa"/>
            <w:vAlign w:val="bottom"/>
          </w:tcPr>
          <w:p>
            <w:pPr>
              <w:spacing w:after="0"/>
              <w:rPr>
                <w:sz w:val="18"/>
                <w:szCs w:val="18"/>
                <w:color w:val="auto"/>
              </w:rPr>
            </w:pPr>
          </w:p>
        </w:tc>
      </w:tr>
      <w:tr>
        <w:trPr>
          <w:trHeight w:val="212"/>
        </w:trPr>
        <w:tc>
          <w:tcPr>
            <w:tcW w:w="16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8"/>
                <w:szCs w:val="18"/>
                <w:color w:val="auto"/>
              </w:rPr>
              <w:t>63,339</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39,572</w:t>
            </w:r>
          </w:p>
        </w:tc>
        <w:tc>
          <w:tcPr>
            <w:tcW w:w="100" w:type="dxa"/>
            <w:vAlign w:val="bottom"/>
            <w:shd w:val="clear" w:color="auto" w:fill="CCEEFF"/>
          </w:tcPr>
          <w:p>
            <w:pPr>
              <w:spacing w:after="0"/>
              <w:rPr>
                <w:sz w:val="18"/>
                <w:szCs w:val="18"/>
                <w:color w:val="auto"/>
              </w:rPr>
            </w:pPr>
          </w:p>
        </w:tc>
      </w:tr>
      <w:tr>
        <w:trPr>
          <w:trHeight w:val="212"/>
        </w:trPr>
        <w:tc>
          <w:tcPr>
            <w:tcW w:w="16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 credit carryforwards</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23"/>
              <w:spacing w:after="0"/>
              <w:rPr>
                <w:sz w:val="20"/>
                <w:szCs w:val="20"/>
                <w:color w:val="auto"/>
              </w:rPr>
            </w:pPr>
            <w:r>
              <w:rPr>
                <w:rFonts w:ascii="Times New Roman" w:cs="Times New Roman" w:eastAsia="Times New Roman" w:hAnsi="Times New Roman"/>
                <w:sz w:val="18"/>
                <w:szCs w:val="18"/>
                <w:color w:val="auto"/>
              </w:rPr>
              <w:t>34,738</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35,788</w:t>
            </w:r>
          </w:p>
        </w:tc>
        <w:tc>
          <w:tcPr>
            <w:tcW w:w="100" w:type="dxa"/>
            <w:vAlign w:val="bottom"/>
          </w:tcPr>
          <w:p>
            <w:pPr>
              <w:spacing w:after="0"/>
              <w:rPr>
                <w:sz w:val="18"/>
                <w:szCs w:val="18"/>
                <w:color w:val="auto"/>
              </w:rPr>
            </w:pPr>
          </w:p>
        </w:tc>
      </w:tr>
      <w:tr>
        <w:trPr>
          <w:trHeight w:val="212"/>
        </w:trPr>
        <w:tc>
          <w:tcPr>
            <w:tcW w:w="16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Capitalized R&amp;D</w:t>
            </w: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8"/>
                <w:szCs w:val="18"/>
                <w:color w:val="auto"/>
              </w:rPr>
              <w:t>27,117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35,348</w:t>
            </w:r>
          </w:p>
        </w:tc>
        <w:tc>
          <w:tcPr>
            <w:tcW w:w="100" w:type="dxa"/>
            <w:vAlign w:val="bottom"/>
            <w:shd w:val="clear" w:color="auto" w:fill="CCEEFF"/>
          </w:tcPr>
          <w:p>
            <w:pPr>
              <w:spacing w:after="0"/>
              <w:rPr>
                <w:sz w:val="18"/>
                <w:szCs w:val="18"/>
                <w:color w:val="auto"/>
              </w:rPr>
            </w:pPr>
          </w:p>
        </w:tc>
      </w:tr>
      <w:tr>
        <w:trPr>
          <w:trHeight w:val="212"/>
        </w:trPr>
        <w:tc>
          <w:tcPr>
            <w:tcW w:w="16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employee benefits</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23"/>
              <w:spacing w:after="0"/>
              <w:rPr>
                <w:sz w:val="20"/>
                <w:szCs w:val="20"/>
                <w:color w:val="auto"/>
              </w:rPr>
            </w:pPr>
            <w:r>
              <w:rPr>
                <w:rFonts w:ascii="Times New Roman" w:cs="Times New Roman" w:eastAsia="Times New Roman" w:hAnsi="Times New Roman"/>
                <w:sz w:val="18"/>
                <w:szCs w:val="18"/>
                <w:color w:val="auto"/>
              </w:rPr>
              <w:t>2,783</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3,742</w:t>
            </w:r>
          </w:p>
        </w:tc>
        <w:tc>
          <w:tcPr>
            <w:tcW w:w="100" w:type="dxa"/>
            <w:vAlign w:val="bottom"/>
          </w:tcPr>
          <w:p>
            <w:pPr>
              <w:spacing w:after="0"/>
              <w:rPr>
                <w:sz w:val="18"/>
                <w:szCs w:val="18"/>
                <w:color w:val="auto"/>
              </w:rPr>
            </w:pPr>
          </w:p>
        </w:tc>
      </w:tr>
      <w:tr>
        <w:trPr>
          <w:trHeight w:val="212"/>
        </w:trPr>
        <w:tc>
          <w:tcPr>
            <w:tcW w:w="16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Stock-based compensation</w:t>
            </w: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8"/>
                <w:szCs w:val="18"/>
                <w:color w:val="auto"/>
              </w:rPr>
              <w:t>4,855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4,511</w:t>
            </w:r>
          </w:p>
        </w:tc>
        <w:tc>
          <w:tcPr>
            <w:tcW w:w="100" w:type="dxa"/>
            <w:vAlign w:val="bottom"/>
            <w:shd w:val="clear" w:color="auto" w:fill="CCEEFF"/>
          </w:tcPr>
          <w:p>
            <w:pPr>
              <w:spacing w:after="0"/>
              <w:rPr>
                <w:sz w:val="18"/>
                <w:szCs w:val="18"/>
                <w:color w:val="auto"/>
              </w:rPr>
            </w:pPr>
          </w:p>
        </w:tc>
      </w:tr>
      <w:tr>
        <w:trPr>
          <w:trHeight w:val="212"/>
        </w:trPr>
        <w:tc>
          <w:tcPr>
            <w:tcW w:w="16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Lease liabilities</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23"/>
              <w:spacing w:after="0"/>
              <w:rPr>
                <w:sz w:val="20"/>
                <w:szCs w:val="20"/>
                <w:color w:val="auto"/>
              </w:rPr>
            </w:pPr>
            <w:r>
              <w:rPr>
                <w:rFonts w:ascii="Times New Roman" w:cs="Times New Roman" w:eastAsia="Times New Roman" w:hAnsi="Times New Roman"/>
                <w:sz w:val="18"/>
                <w:szCs w:val="18"/>
                <w:color w:val="auto"/>
              </w:rPr>
              <w:t>6,831</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100" w:type="dxa"/>
            <w:vAlign w:val="bottom"/>
          </w:tcPr>
          <w:p>
            <w:pPr>
              <w:spacing w:after="0"/>
              <w:rPr>
                <w:sz w:val="18"/>
                <w:szCs w:val="18"/>
                <w:color w:val="auto"/>
              </w:rPr>
            </w:pPr>
          </w:p>
        </w:tc>
      </w:tr>
      <w:tr>
        <w:trPr>
          <w:trHeight w:val="212"/>
        </w:trPr>
        <w:tc>
          <w:tcPr>
            <w:tcW w:w="16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Uniform capitalization</w:t>
            </w: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8"/>
                <w:szCs w:val="18"/>
                <w:color w:val="auto"/>
              </w:rPr>
              <w:t>243</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w:t>
            </w:r>
          </w:p>
        </w:tc>
        <w:tc>
          <w:tcPr>
            <w:tcW w:w="100" w:type="dxa"/>
            <w:vAlign w:val="bottom"/>
            <w:shd w:val="clear" w:color="auto" w:fill="CCEEFF"/>
          </w:tcPr>
          <w:p>
            <w:pPr>
              <w:spacing w:after="0"/>
              <w:rPr>
                <w:sz w:val="18"/>
                <w:szCs w:val="18"/>
                <w:color w:val="auto"/>
              </w:rPr>
            </w:pPr>
          </w:p>
        </w:tc>
      </w:tr>
      <w:tr>
        <w:trPr>
          <w:trHeight w:val="225"/>
        </w:trPr>
        <w:tc>
          <w:tcPr>
            <w:tcW w:w="160" w:type="dxa"/>
            <w:vAlign w:val="bottom"/>
          </w:tcPr>
          <w:p>
            <w:pPr>
              <w:spacing w:after="0"/>
              <w:rPr>
                <w:sz w:val="19"/>
                <w:szCs w:val="19"/>
                <w:color w:val="auto"/>
              </w:rPr>
            </w:pP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gridSpan w:val="2"/>
          </w:tcPr>
          <w:p>
            <w:pPr>
              <w:jc w:val="right"/>
              <w:ind w:right="123"/>
              <w:spacing w:after="0"/>
              <w:rPr>
                <w:sz w:val="20"/>
                <w:szCs w:val="20"/>
                <w:color w:val="auto"/>
              </w:rPr>
            </w:pPr>
            <w:r>
              <w:rPr>
                <w:rFonts w:ascii="Times New Roman" w:cs="Times New Roman" w:eastAsia="Times New Roman" w:hAnsi="Times New Roman"/>
                <w:sz w:val="18"/>
                <w:szCs w:val="18"/>
                <w:color w:val="auto"/>
              </w:rPr>
              <w:t>13,701</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3,064</w:t>
            </w:r>
          </w:p>
        </w:tc>
        <w:tc>
          <w:tcPr>
            <w:tcW w:w="100" w:type="dxa"/>
            <w:vAlign w:val="bottom"/>
          </w:tcPr>
          <w:p>
            <w:pPr>
              <w:spacing w:after="0"/>
              <w:rPr>
                <w:sz w:val="19"/>
                <w:szCs w:val="19"/>
                <w:color w:val="auto"/>
              </w:rPr>
            </w:pPr>
          </w:p>
        </w:tc>
      </w:tr>
      <w:tr>
        <w:trPr>
          <w:trHeight w:val="205"/>
        </w:trPr>
        <w:tc>
          <w:tcPr>
            <w:tcW w:w="160" w:type="dxa"/>
            <w:vAlign w:val="bottom"/>
          </w:tcPr>
          <w:p>
            <w:pPr>
              <w:spacing w:after="0"/>
              <w:rPr>
                <w:sz w:val="17"/>
                <w:szCs w:val="17"/>
                <w:color w:val="auto"/>
              </w:rPr>
            </w:pPr>
          </w:p>
        </w:tc>
        <w:tc>
          <w:tcPr>
            <w:tcW w:w="6380" w:type="dxa"/>
            <w:vAlign w:val="bottom"/>
            <w:tcBorders>
              <w:top w:val="single" w:sz="8" w:color="CCEEFF"/>
            </w:tcBorders>
            <w:shd w:val="clear" w:color="auto" w:fill="CCEEFF"/>
          </w:tcPr>
          <w:p>
            <w:pPr>
              <w:ind w:left="480"/>
              <w:spacing w:after="0" w:line="205" w:lineRule="exact"/>
              <w:rPr>
                <w:sz w:val="20"/>
                <w:szCs w:val="20"/>
                <w:color w:val="auto"/>
              </w:rPr>
            </w:pPr>
            <w:r>
              <w:rPr>
                <w:rFonts w:ascii="Times New Roman" w:cs="Times New Roman" w:eastAsia="Times New Roman" w:hAnsi="Times New Roman"/>
                <w:sz w:val="18"/>
                <w:szCs w:val="18"/>
                <w:color w:val="auto"/>
              </w:rPr>
              <w:t>Gross deferred tax assets</w:t>
            </w:r>
          </w:p>
        </w:tc>
        <w:tc>
          <w:tcPr>
            <w:tcW w:w="8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164,409</w:t>
            </w: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138,156</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25"/>
        </w:trPr>
        <w:tc>
          <w:tcPr>
            <w:tcW w:w="160" w:type="dxa"/>
            <w:vAlign w:val="bottom"/>
          </w:tcPr>
          <w:p>
            <w:pPr>
              <w:spacing w:after="0"/>
              <w:rPr>
                <w:sz w:val="19"/>
                <w:szCs w:val="19"/>
                <w:color w:val="auto"/>
              </w:rPr>
            </w:pP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valuation allowance</w:t>
            </w: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gridSpan w:val="2"/>
          </w:tcPr>
          <w:p>
            <w:pPr>
              <w:jc w:val="right"/>
              <w:ind w:right="63"/>
              <w:spacing w:after="0"/>
              <w:rPr>
                <w:sz w:val="20"/>
                <w:szCs w:val="20"/>
                <w:color w:val="auto"/>
              </w:rPr>
            </w:pPr>
            <w:r>
              <w:rPr>
                <w:rFonts w:ascii="Times New Roman" w:cs="Times New Roman" w:eastAsia="Times New Roman" w:hAnsi="Times New Roman"/>
                <w:sz w:val="18"/>
                <w:szCs w:val="18"/>
                <w:color w:val="auto"/>
              </w:rPr>
              <w:t>(143,482)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(114,517)</w:t>
            </w:r>
          </w:p>
        </w:tc>
      </w:tr>
      <w:tr>
        <w:trPr>
          <w:trHeight w:val="205"/>
        </w:trPr>
        <w:tc>
          <w:tcPr>
            <w:tcW w:w="160" w:type="dxa"/>
            <w:vAlign w:val="bottom"/>
          </w:tcPr>
          <w:p>
            <w:pPr>
              <w:spacing w:after="0"/>
              <w:rPr>
                <w:sz w:val="17"/>
                <w:szCs w:val="17"/>
                <w:color w:val="auto"/>
              </w:rPr>
            </w:pPr>
          </w:p>
        </w:tc>
        <w:tc>
          <w:tcPr>
            <w:tcW w:w="6380" w:type="dxa"/>
            <w:vAlign w:val="bottom"/>
            <w:tcBorders>
              <w:top w:val="single" w:sz="8" w:color="CCEEFF"/>
            </w:tcBorders>
            <w:shd w:val="clear" w:color="auto" w:fill="CCEEFF"/>
          </w:tcPr>
          <w:p>
            <w:pPr>
              <w:ind w:left="480"/>
              <w:spacing w:after="0" w:line="205" w:lineRule="exact"/>
              <w:rPr>
                <w:sz w:val="20"/>
                <w:szCs w:val="20"/>
                <w:color w:val="auto"/>
              </w:rPr>
            </w:pPr>
            <w:r>
              <w:rPr>
                <w:rFonts w:ascii="Times New Roman" w:cs="Times New Roman" w:eastAsia="Times New Roman" w:hAnsi="Times New Roman"/>
                <w:sz w:val="18"/>
                <w:szCs w:val="18"/>
                <w:color w:val="auto"/>
              </w:rPr>
              <w:t>Total deferred tax assets</w:t>
            </w:r>
          </w:p>
        </w:tc>
        <w:tc>
          <w:tcPr>
            <w:tcW w:w="8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20,927</w:t>
            </w: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23,639</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2"/>
        </w:trPr>
        <w:tc>
          <w:tcPr>
            <w:tcW w:w="16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16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Intangible assets and other acquisition basis differences</w:t>
            </w: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8"/>
                <w:szCs w:val="18"/>
                <w:color w:val="auto"/>
              </w:rPr>
              <w:t>18,330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25,848</w:t>
            </w:r>
          </w:p>
        </w:tc>
        <w:tc>
          <w:tcPr>
            <w:tcW w:w="100" w:type="dxa"/>
            <w:vAlign w:val="bottom"/>
            <w:shd w:val="clear" w:color="auto" w:fill="CCEEFF"/>
          </w:tcPr>
          <w:p>
            <w:pPr>
              <w:spacing w:after="0"/>
              <w:rPr>
                <w:sz w:val="18"/>
                <w:szCs w:val="18"/>
                <w:color w:val="auto"/>
              </w:rPr>
            </w:pPr>
          </w:p>
        </w:tc>
      </w:tr>
      <w:tr>
        <w:trPr>
          <w:trHeight w:val="212"/>
        </w:trPr>
        <w:tc>
          <w:tcPr>
            <w:tcW w:w="16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23"/>
              <w:spacing w:after="0"/>
              <w:rPr>
                <w:sz w:val="20"/>
                <w:szCs w:val="20"/>
                <w:color w:val="auto"/>
              </w:rPr>
            </w:pPr>
            <w:r>
              <w:rPr>
                <w:rFonts w:ascii="Times New Roman" w:cs="Times New Roman" w:eastAsia="Times New Roman" w:hAnsi="Times New Roman"/>
                <w:sz w:val="18"/>
                <w:szCs w:val="18"/>
                <w:color w:val="auto"/>
              </w:rPr>
              <w:t>5,534</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100" w:type="dxa"/>
            <w:vAlign w:val="bottom"/>
          </w:tcPr>
          <w:p>
            <w:pPr>
              <w:spacing w:after="0"/>
              <w:rPr>
                <w:sz w:val="18"/>
                <w:szCs w:val="18"/>
                <w:color w:val="auto"/>
              </w:rPr>
            </w:pPr>
          </w:p>
        </w:tc>
      </w:tr>
      <w:tr>
        <w:trPr>
          <w:trHeight w:val="212"/>
        </w:trPr>
        <w:tc>
          <w:tcPr>
            <w:tcW w:w="16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Unremitted earnings of foreign subsidiaries</w:t>
            </w: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8"/>
                <w:szCs w:val="18"/>
                <w:color w:val="auto"/>
              </w:rPr>
              <w:t>6,583</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4,898</w:t>
            </w:r>
          </w:p>
        </w:tc>
        <w:tc>
          <w:tcPr>
            <w:tcW w:w="100" w:type="dxa"/>
            <w:vAlign w:val="bottom"/>
            <w:shd w:val="clear" w:color="auto" w:fill="CCEEFF"/>
          </w:tcPr>
          <w:p>
            <w:pPr>
              <w:spacing w:after="0"/>
              <w:rPr>
                <w:sz w:val="18"/>
                <w:szCs w:val="18"/>
                <w:color w:val="auto"/>
              </w:rPr>
            </w:pPr>
          </w:p>
        </w:tc>
      </w:tr>
      <w:tr>
        <w:trPr>
          <w:trHeight w:val="225"/>
        </w:trPr>
        <w:tc>
          <w:tcPr>
            <w:tcW w:w="160" w:type="dxa"/>
            <w:vAlign w:val="bottom"/>
          </w:tcPr>
          <w:p>
            <w:pPr>
              <w:spacing w:after="0"/>
              <w:rPr>
                <w:sz w:val="19"/>
                <w:szCs w:val="19"/>
                <w:color w:val="auto"/>
              </w:rPr>
            </w:pP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gridSpan w:val="2"/>
          </w:tcPr>
          <w:p>
            <w:pPr>
              <w:jc w:val="right"/>
              <w:ind w:right="123"/>
              <w:spacing w:after="0"/>
              <w:rPr>
                <w:sz w:val="20"/>
                <w:szCs w:val="20"/>
                <w:color w:val="auto"/>
              </w:rPr>
            </w:pPr>
            <w:r>
              <w:rPr>
                <w:rFonts w:ascii="Times New Roman" w:cs="Times New Roman" w:eastAsia="Times New Roman" w:hAnsi="Times New Roman"/>
                <w:sz w:val="18"/>
                <w:szCs w:val="18"/>
                <w:color w:val="auto"/>
              </w:rPr>
              <w:t>3,837</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4,986</w:t>
            </w:r>
          </w:p>
        </w:tc>
        <w:tc>
          <w:tcPr>
            <w:tcW w:w="100" w:type="dxa"/>
            <w:vAlign w:val="bottom"/>
          </w:tcPr>
          <w:p>
            <w:pPr>
              <w:spacing w:after="0"/>
              <w:rPr>
                <w:sz w:val="19"/>
                <w:szCs w:val="19"/>
                <w:color w:val="auto"/>
              </w:rPr>
            </w:pPr>
          </w:p>
        </w:tc>
      </w:tr>
      <w:tr>
        <w:trPr>
          <w:trHeight w:val="205"/>
        </w:trPr>
        <w:tc>
          <w:tcPr>
            <w:tcW w:w="160" w:type="dxa"/>
            <w:vAlign w:val="bottom"/>
          </w:tcPr>
          <w:p>
            <w:pPr>
              <w:spacing w:after="0"/>
              <w:rPr>
                <w:sz w:val="17"/>
                <w:szCs w:val="17"/>
                <w:color w:val="auto"/>
              </w:rPr>
            </w:pPr>
          </w:p>
        </w:tc>
        <w:tc>
          <w:tcPr>
            <w:tcW w:w="6380" w:type="dxa"/>
            <w:vAlign w:val="bottom"/>
            <w:tcBorders>
              <w:top w:val="single" w:sz="8" w:color="CCEEFF"/>
            </w:tcBorders>
            <w:shd w:val="clear" w:color="auto" w:fill="CCEEFF"/>
          </w:tcPr>
          <w:p>
            <w:pPr>
              <w:ind w:left="480"/>
              <w:spacing w:after="0" w:line="205" w:lineRule="exact"/>
              <w:rPr>
                <w:sz w:val="20"/>
                <w:szCs w:val="20"/>
                <w:color w:val="auto"/>
              </w:rPr>
            </w:pPr>
            <w:r>
              <w:rPr>
                <w:rFonts w:ascii="Times New Roman" w:cs="Times New Roman" w:eastAsia="Times New Roman" w:hAnsi="Times New Roman"/>
                <w:sz w:val="18"/>
                <w:szCs w:val="18"/>
                <w:color w:val="auto"/>
              </w:rPr>
              <w:t>Total deferred tax liabilities</w:t>
            </w:r>
          </w:p>
        </w:tc>
        <w:tc>
          <w:tcPr>
            <w:tcW w:w="8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34,284</w:t>
            </w: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37,958</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8"/>
        </w:trPr>
        <w:tc>
          <w:tcPr>
            <w:tcW w:w="160" w:type="dxa"/>
            <w:vAlign w:val="bottom"/>
          </w:tcPr>
          <w:p>
            <w:pPr>
              <w:spacing w:after="0"/>
              <w:rPr>
                <w:sz w:val="19"/>
                <w:szCs w:val="19"/>
                <w:color w:val="auto"/>
              </w:rPr>
            </w:pPr>
          </w:p>
        </w:tc>
        <w:tc>
          <w:tcPr>
            <w:tcW w:w="6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860" w:type="dxa"/>
            <w:vAlign w:val="bottom"/>
          </w:tcPr>
          <w:p>
            <w:pPr>
              <w:spacing w:after="0"/>
              <w:rPr>
                <w:sz w:val="19"/>
                <w:szCs w:val="19"/>
                <w:color w:val="auto"/>
              </w:rPr>
            </w:pPr>
          </w:p>
        </w:tc>
        <w:tc>
          <w:tcPr>
            <w:tcW w:w="34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(13,357</w:t>
            </w:r>
          </w:p>
        </w:tc>
        <w:tc>
          <w:tcPr>
            <w:tcW w:w="20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20" w:type="dxa"/>
            <w:vAlign w:val="bottom"/>
          </w:tcPr>
          <w:p>
            <w:pPr>
              <w:spacing w:after="0"/>
              <w:rPr>
                <w:sz w:val="19"/>
                <w:szCs w:val="19"/>
                <w:color w:val="auto"/>
              </w:rPr>
            </w:pPr>
          </w:p>
        </w:tc>
        <w:tc>
          <w:tcPr>
            <w:tcW w:w="34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(14,319</w:t>
            </w:r>
          </w:p>
        </w:tc>
        <w:tc>
          <w:tcPr>
            <w:tcW w:w="1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w w:val="79"/>
              </w:rPr>
              <w:t>)</w:t>
            </w:r>
          </w:p>
        </w:tc>
      </w:tr>
      <w:tr>
        <w:trPr>
          <w:trHeight w:val="20"/>
        </w:trPr>
        <w:tc>
          <w:tcPr>
            <w:tcW w:w="16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total net deferred tax assets (liabilities), net of valuation allowances, as shown in our consolidated balance sheets are as follows:</w:t>
      </w:r>
    </w:p>
    <w:p>
      <w:pPr>
        <w:spacing w:after="0" w:line="228" w:lineRule="exact"/>
        <w:rPr>
          <w:sz w:val="20"/>
          <w:szCs w:val="20"/>
          <w:color w:val="auto"/>
        </w:rPr>
      </w:pPr>
    </w:p>
    <w:tbl>
      <w:tblPr>
        <w:tblLayout w:type="fixed"/>
        <w:tblInd w:w="480" w:type="dxa"/>
        <w:tblCellMar>
          <w:top w:w="0" w:type="dxa"/>
          <w:left w:w="0" w:type="dxa"/>
          <w:bottom w:w="0" w:type="dxa"/>
          <w:right w:w="0" w:type="dxa"/>
        </w:tblCellMar>
      </w:tblPr>
      <w:tr>
        <w:trPr>
          <w:trHeight w:val="232"/>
        </w:trPr>
        <w:tc>
          <w:tcPr>
            <w:tcW w:w="7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20"/>
                <w:szCs w:val="20"/>
                <w:color w:val="auto"/>
              </w:rPr>
            </w:pPr>
          </w:p>
        </w:tc>
      </w:tr>
      <w:tr>
        <w:trPr>
          <w:trHeight w:val="205"/>
        </w:trPr>
        <w:tc>
          <w:tcPr>
            <w:tcW w:w="730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Other assets (long-term)</w:t>
            </w:r>
          </w:p>
        </w:tc>
        <w:tc>
          <w:tcPr>
            <w:tcW w:w="340" w:type="dxa"/>
            <w:vAlign w:val="bottom"/>
            <w:shd w:val="clear" w:color="auto" w:fill="CCEEFF"/>
          </w:tcPr>
          <w:p>
            <w:pPr>
              <w:jc w:val="right"/>
              <w:ind w:right="152"/>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43"/>
              <w:spacing w:after="0" w:line="205" w:lineRule="exact"/>
              <w:rPr>
                <w:sz w:val="20"/>
                <w:szCs w:val="20"/>
                <w:color w:val="auto"/>
              </w:rPr>
            </w:pPr>
            <w:r>
              <w:rPr>
                <w:rFonts w:ascii="Times New Roman" w:cs="Times New Roman" w:eastAsia="Times New Roman" w:hAnsi="Times New Roman"/>
                <w:sz w:val="18"/>
                <w:szCs w:val="18"/>
                <w:color w:val="auto"/>
              </w:rPr>
              <w:t>2,112</w:t>
            </w:r>
          </w:p>
        </w:tc>
        <w:tc>
          <w:tcPr>
            <w:tcW w:w="420" w:type="dxa"/>
            <w:vAlign w:val="bottom"/>
            <w:gridSpan w:val="2"/>
            <w:shd w:val="clear" w:color="auto" w:fill="CCEEFF"/>
          </w:tcPr>
          <w:p>
            <w:pPr>
              <w:jc w:val="right"/>
              <w:ind w:right="152"/>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5,083</w:t>
            </w:r>
          </w:p>
        </w:tc>
        <w:tc>
          <w:tcPr>
            <w:tcW w:w="120" w:type="dxa"/>
            <w:vAlign w:val="bottom"/>
            <w:shd w:val="clear" w:color="auto" w:fill="CCEEFF"/>
          </w:tcPr>
          <w:p>
            <w:pPr>
              <w:spacing w:after="0"/>
              <w:rPr>
                <w:sz w:val="17"/>
                <w:szCs w:val="17"/>
                <w:color w:val="auto"/>
              </w:rPr>
            </w:pPr>
          </w:p>
        </w:tc>
      </w:tr>
      <w:tr>
        <w:trPr>
          <w:trHeight w:val="225"/>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Long-term deferred income tax liabilities</w:t>
            </w:r>
          </w:p>
        </w:tc>
        <w:tc>
          <w:tcPr>
            <w:tcW w:w="34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(15,469)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(19,402)</w:t>
            </w:r>
          </w:p>
        </w:tc>
      </w:tr>
      <w:tr>
        <w:trPr>
          <w:trHeight w:val="218"/>
        </w:trPr>
        <w:tc>
          <w:tcPr>
            <w:tcW w:w="73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(13,357</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(14,319</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20"/>
        </w:trPr>
        <w:tc>
          <w:tcPr>
            <w:tcW w:w="7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4" w:lineRule="exact"/>
        <w:rPr>
          <w:sz w:val="20"/>
          <w:szCs w:val="20"/>
          <w:color w:val="auto"/>
        </w:rPr>
      </w:pPr>
    </w:p>
    <w:p>
      <w:pPr>
        <w:ind w:left="320" w:right="40"/>
        <w:spacing w:after="0" w:line="252" w:lineRule="auto"/>
        <w:rPr>
          <w:sz w:val="20"/>
          <w:szCs w:val="20"/>
          <w:color w:val="auto"/>
        </w:rPr>
      </w:pPr>
      <w:r>
        <w:rPr>
          <w:rFonts w:ascii="Times New Roman" w:cs="Times New Roman" w:eastAsia="Times New Roman" w:hAnsi="Times New Roman"/>
          <w:sz w:val="18"/>
          <w:szCs w:val="18"/>
          <w:color w:val="auto"/>
        </w:rPr>
        <w:t>Companies are required to assess whether a valuation allowance should be recorded against their deferred tax assets (“DTAs”) based on the consideration of all available evidence, using a “more likely than not” realization standard. The four sources of taxable income that must be considered in determining whether DTAs will be realized are, (1) future reversals of existing taxable temporary differences (i.e. offset of gross deferred tax assets against gross deferred tax liabilities); (2) taxable income in prior carryback years, if carryback is permitted under the tax law; (3) tax planning strategies and (4) future taxable income exclusive of reversing temporary differences and carryforwards.</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20"/>
          </w:cols>
          <w:pgMar w:left="320" w:top="570"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36195</wp:posOffset>
            </wp:positionV>
            <wp:extent cx="71348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97" w:lineRule="exact"/>
        <w:rPr>
          <w:sz w:val="20"/>
          <w:szCs w:val="20"/>
          <w:color w:val="auto"/>
        </w:rPr>
      </w:pPr>
    </w:p>
    <w:p>
      <w:pPr>
        <w:ind w:left="320" w:right="140"/>
        <w:spacing w:after="0" w:line="255" w:lineRule="auto"/>
        <w:rPr>
          <w:sz w:val="20"/>
          <w:szCs w:val="20"/>
          <w:color w:val="auto"/>
        </w:rPr>
      </w:pPr>
      <w:r>
        <w:rPr>
          <w:rFonts w:ascii="Times New Roman" w:cs="Times New Roman" w:eastAsia="Times New Roman" w:hAnsi="Times New Roman"/>
          <w:sz w:val="18"/>
          <w:szCs w:val="18"/>
          <w:color w:val="auto"/>
        </w:rPr>
        <w:t>In assessing whether a valuation allowance is required, significant weight is to be given to evidence that can be objectively verified. We have evaluated our DTAs each reporting period, including an assessment of taxable income in prior carryback years, future reversals of existing taxable temporary differences, future taxable income exclusive of reversing temporary differences and carryforwards, and prudent and feasible tax planning strategies that we would be willing to undertake to prevent a deferred tax asset from otherwise expiring.</w:t>
      </w:r>
    </w:p>
    <w:p>
      <w:pPr>
        <w:spacing w:after="0" w:line="180" w:lineRule="exact"/>
        <w:rPr>
          <w:sz w:val="20"/>
          <w:szCs w:val="20"/>
          <w:color w:val="auto"/>
        </w:rPr>
      </w:pPr>
    </w:p>
    <w:p>
      <w:pPr>
        <w:ind w:left="320" w:right="200"/>
        <w:spacing w:after="0" w:line="274" w:lineRule="auto"/>
        <w:rPr>
          <w:sz w:val="20"/>
          <w:szCs w:val="20"/>
          <w:color w:val="auto"/>
        </w:rPr>
      </w:pPr>
      <w:r>
        <w:rPr>
          <w:rFonts w:ascii="Times New Roman" w:cs="Times New Roman" w:eastAsia="Times New Roman" w:hAnsi="Times New Roman"/>
          <w:sz w:val="18"/>
          <w:szCs w:val="18"/>
          <w:color w:val="auto"/>
        </w:rPr>
        <w:t>The assessment regarding whether a valuation allowance is required or whether a change in judgement regarding the valuation allowance has occurred also considers all available positive and negative evidence, including but not limited to:</w:t>
      </w:r>
    </w:p>
    <w:p>
      <w:pPr>
        <w:spacing w:after="0" w:line="163" w:lineRule="exact"/>
        <w:rPr>
          <w:sz w:val="20"/>
          <w:szCs w:val="20"/>
          <w:color w:val="auto"/>
        </w:rPr>
      </w:pP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Nature, frequency, and severity of cumulative losses in recent years</w:t>
      </w:r>
    </w:p>
    <w:p>
      <w:pPr>
        <w:spacing w:after="0" w:line="3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Duration of statutory carryforward and carryback periods</w:t>
      </w:r>
    </w:p>
    <w:p>
      <w:pPr>
        <w:spacing w:after="0" w:line="3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limitations against utilization of tax attribute carryforwards against taxable income</w:t>
      </w:r>
    </w:p>
    <w:p>
      <w:pPr>
        <w:spacing w:after="0" w:line="3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experience with tax attributes expiring unused</w:t>
      </w:r>
    </w:p>
    <w:p>
      <w:pPr>
        <w:spacing w:after="0" w:line="3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Near- and medium-term financial outlook</w:t>
      </w:r>
    </w:p>
    <w:p>
      <w:pPr>
        <w:spacing w:after="0" w:line="244" w:lineRule="exact"/>
        <w:rPr>
          <w:sz w:val="20"/>
          <w:szCs w:val="20"/>
          <w:color w:val="auto"/>
        </w:rPr>
      </w:pPr>
    </w:p>
    <w:p>
      <w:pPr>
        <w:ind w:left="320" w:right="40"/>
        <w:spacing w:after="0" w:line="255" w:lineRule="auto"/>
        <w:rPr>
          <w:sz w:val="20"/>
          <w:szCs w:val="20"/>
          <w:color w:val="auto"/>
        </w:rPr>
      </w:pPr>
      <w:r>
        <w:rPr>
          <w:rFonts w:ascii="Times New Roman" w:cs="Times New Roman" w:eastAsia="Times New Roman" w:hAnsi="Times New Roman"/>
          <w:sz w:val="18"/>
          <w:szCs w:val="18"/>
          <w:color w:val="auto"/>
        </w:rPr>
        <w:t>The weight given to the positive and negative evidence is commensurate with the extent to which the evidence may be objectively verified. Accordingly, it is generally difficult to conclude a valuation allowance is not required when there is significant objective and verifiable negative evidence, such as cumulative losses in recent years. We use the actual results for the last two years and current year results as the primary measure of cumulative losses in recent years.</w:t>
      </w:r>
    </w:p>
    <w:p>
      <w:pPr>
        <w:spacing w:after="0" w:line="180" w:lineRule="exact"/>
        <w:rPr>
          <w:sz w:val="20"/>
          <w:szCs w:val="20"/>
          <w:color w:val="auto"/>
        </w:rPr>
      </w:pPr>
    </w:p>
    <w:p>
      <w:pPr>
        <w:ind w:left="320"/>
        <w:spacing w:after="0" w:line="259" w:lineRule="auto"/>
        <w:rPr>
          <w:sz w:val="20"/>
          <w:szCs w:val="20"/>
          <w:color w:val="auto"/>
        </w:rPr>
      </w:pPr>
      <w:r>
        <w:rPr>
          <w:rFonts w:ascii="Times New Roman" w:cs="Times New Roman" w:eastAsia="Times New Roman" w:hAnsi="Times New Roman"/>
          <w:sz w:val="18"/>
          <w:szCs w:val="18"/>
          <w:color w:val="auto"/>
        </w:rPr>
        <w:t>The evaluation of deferred tax assets requires judgment in assessing the likely future tax consequences of events recognized in the financial statements or tax returns and future profitability. The recognition of deferred tax assets represents our best estimate of those future events. Changes in the current estimates, due to unanticipated events or otherwise, could have a material effect on our results of operations and financial condition.</w:t>
      </w:r>
    </w:p>
    <w:p>
      <w:pPr>
        <w:spacing w:after="0" w:line="178" w:lineRule="exact"/>
        <w:rPr>
          <w:sz w:val="20"/>
          <w:szCs w:val="20"/>
          <w:color w:val="auto"/>
        </w:rPr>
      </w:pPr>
    </w:p>
    <w:p>
      <w:pPr>
        <w:ind w:left="320" w:right="80"/>
        <w:spacing w:after="0" w:line="249" w:lineRule="auto"/>
        <w:rPr>
          <w:sz w:val="20"/>
          <w:szCs w:val="20"/>
          <w:color w:val="auto"/>
        </w:rPr>
      </w:pPr>
      <w:r>
        <w:rPr>
          <w:rFonts w:ascii="Times New Roman" w:cs="Times New Roman" w:eastAsia="Times New Roman" w:hAnsi="Times New Roman"/>
          <w:sz w:val="18"/>
          <w:szCs w:val="18"/>
          <w:color w:val="auto"/>
        </w:rPr>
        <w:t>In certain tax jurisdictions, our analysis indicates that it has cumulative losses in recent years. This is considered significant negative evidence, which is objective and veritable and, therefore, difficult to overcome. However, the cumulative loss position is not solely determinative and, accordingly, we consider all other positive and negative evidence available in this analysis. Based on the evidence available, including a lack of sustainable earnings and history of expiring unused net operating losses and tax credits, we continue to maintain the judgement that a previously recorded valuation allowance against substantially all net deferred tax assets in the U.S. is required. In addition, due to the cumulative loss position in Switzerland and the worldwide consolidated cumulative loss, we recorded valuation allowances against the net deferred tax assets in Switzerland and Malaysia during fiscal 2025. If a change in judgement regarding these valuation allowances were to occur in the future, we will record a potentially material deferred tax benefit, which could result in a favorable impact on the effective tax rate in that period.</w:t>
      </w:r>
    </w:p>
    <w:p>
      <w:pPr>
        <w:spacing w:after="0" w:line="190" w:lineRule="exact"/>
        <w:rPr>
          <w:sz w:val="20"/>
          <w:szCs w:val="20"/>
          <w:color w:val="auto"/>
        </w:rPr>
      </w:pPr>
    </w:p>
    <w:p>
      <w:pPr>
        <w:ind w:left="320" w:right="220"/>
        <w:spacing w:after="0" w:line="255" w:lineRule="auto"/>
        <w:rPr>
          <w:sz w:val="20"/>
          <w:szCs w:val="20"/>
          <w:color w:val="auto"/>
        </w:rPr>
      </w:pPr>
      <w:r>
        <w:rPr>
          <w:rFonts w:ascii="Times New Roman" w:cs="Times New Roman" w:eastAsia="Times New Roman" w:hAnsi="Times New Roman"/>
          <w:sz w:val="18"/>
          <w:szCs w:val="18"/>
          <w:color w:val="auto"/>
        </w:rPr>
        <w:t>Our valuation allowance on our DTAs at December 27, 2025, and December 28, 2024, was approximately $143.5 million and $114.5 million, respectively. The remaining gross DTAs for which a valuation allowance was not recorded are realizable primarily through future reversals of existing taxable temporary differences and to a lesser extent future taxable income in certain jurisdictions exclusive of reversing temporary differences and carryforwards.</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160"/>
          </w:cols>
          <w:pgMar w:left="320" w:top="570" w:right="4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36195</wp:posOffset>
            </wp:positionV>
            <wp:extent cx="71348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97" w:lineRule="exact"/>
        <w:rPr>
          <w:sz w:val="20"/>
          <w:szCs w:val="20"/>
          <w:color w:val="auto"/>
        </w:rPr>
      </w:pPr>
    </w:p>
    <w:p>
      <w:pPr>
        <w:ind w:left="320" w:right="20"/>
        <w:spacing w:after="0" w:line="274" w:lineRule="auto"/>
        <w:rPr>
          <w:sz w:val="20"/>
          <w:szCs w:val="20"/>
          <w:color w:val="auto"/>
        </w:rPr>
      </w:pPr>
      <w:r>
        <w:rPr>
          <w:rFonts w:ascii="Times New Roman" w:cs="Times New Roman" w:eastAsia="Times New Roman" w:hAnsi="Times New Roman"/>
          <w:sz w:val="18"/>
          <w:szCs w:val="18"/>
          <w:color w:val="auto"/>
        </w:rPr>
        <w:t>The reconciliation of income tax computed at the U.S. federal statutory tax rate to the provision for income taxes, applying ASU 2023-09 prospectively, is as follows:</w:t>
      </w:r>
    </w:p>
    <w:p>
      <w:pPr>
        <w:spacing w:after="0" w:line="163" w:lineRule="exact"/>
        <w:rPr>
          <w:sz w:val="20"/>
          <w:szCs w:val="20"/>
          <w:color w:val="auto"/>
        </w:rPr>
      </w:pPr>
    </w:p>
    <w:tbl>
      <w:tblPr>
        <w:tblLayout w:type="fixed"/>
        <w:tblInd w:w="480" w:type="dxa"/>
        <w:tblCellMar>
          <w:top w:w="0" w:type="dxa"/>
          <w:left w:w="0" w:type="dxa"/>
          <w:bottom w:w="0" w:type="dxa"/>
          <w:right w:w="0" w:type="dxa"/>
        </w:tblCellMar>
      </w:tblPr>
      <w:tr>
        <w:trPr>
          <w:trHeight w:val="225"/>
        </w:trPr>
        <w:tc>
          <w:tcPr>
            <w:tcW w:w="74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Amount</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Percent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748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Tax provision at U.S. Federal statutory rate</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140"/>
              <w:spacing w:after="0" w:line="205" w:lineRule="exact"/>
              <w:rPr>
                <w:sz w:val="20"/>
                <w:szCs w:val="20"/>
                <w:color w:val="auto"/>
              </w:rPr>
            </w:pPr>
            <w:r>
              <w:rPr>
                <w:rFonts w:ascii="Times New Roman" w:cs="Times New Roman" w:eastAsia="Times New Roman" w:hAnsi="Times New Roman"/>
                <w:sz w:val="18"/>
                <w:szCs w:val="18"/>
                <w:color w:val="auto"/>
              </w:rPr>
              <w:t>(13,105)</w:t>
            </w:r>
          </w:p>
        </w:tc>
        <w:tc>
          <w:tcPr>
            <w:tcW w:w="1600" w:type="dxa"/>
            <w:vAlign w:val="bottom"/>
            <w:gridSpan w:val="2"/>
            <w:shd w:val="clear" w:color="auto" w:fill="CCEEFF"/>
          </w:tcPr>
          <w:p>
            <w:pPr>
              <w:jc w:val="right"/>
              <w:ind w:right="60"/>
              <w:spacing w:after="0" w:line="205" w:lineRule="exact"/>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2"/>
        </w:trPr>
        <w:tc>
          <w:tcPr>
            <w:tcW w:w="7480" w:type="dxa"/>
            <w:vAlign w:val="bottom"/>
          </w:tcPr>
          <w:p>
            <w:pPr>
              <w:spacing w:after="0" w:line="212" w:lineRule="exact"/>
              <w:rPr>
                <w:sz w:val="20"/>
                <w:szCs w:val="20"/>
                <w:color w:val="auto"/>
              </w:rPr>
            </w:pPr>
            <w:r>
              <w:rPr>
                <w:rFonts w:ascii="Times New Roman" w:cs="Times New Roman" w:eastAsia="Times New Roman" w:hAnsi="Times New Roman"/>
                <w:sz w:val="15"/>
                <w:szCs w:val="15"/>
                <w:color w:val="auto"/>
              </w:rPr>
              <w:t xml:space="preserve">State and local income taxes, net of federal income tax effect </w:t>
            </w:r>
            <w:r>
              <w:rPr>
                <w:rFonts w:ascii="Times New Roman" w:cs="Times New Roman" w:eastAsia="Times New Roman" w:hAnsi="Times New Roman"/>
                <w:sz w:val="24"/>
                <w:szCs w:val="24"/>
                <w:color w:val="auto"/>
                <w:vertAlign w:val="superscript"/>
              </w:rPr>
              <w:t>(1)</w:t>
            </w:r>
          </w:p>
        </w:tc>
        <w:tc>
          <w:tcPr>
            <w:tcW w:w="2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902</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2"/>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Effects of cross-border tax laws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 on Global Intangible Low-Taxed Income (GILTI)</w:t>
            </w:r>
          </w:p>
        </w:tc>
        <w:tc>
          <w:tcPr>
            <w:tcW w:w="2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2,543</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2"/>
        </w:trPr>
        <w:tc>
          <w:tcPr>
            <w:tcW w:w="7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Tax on Subpart F Income</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1,031</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2"/>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Tax credits</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Reversal of previously recognized unborn foreign tax credits</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4,853</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2"/>
        </w:trPr>
        <w:tc>
          <w:tcPr>
            <w:tcW w:w="7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2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(2,002)</w:t>
            </w: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2"/>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12,918</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12"/>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Equity based employee compensation</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1,886</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2"/>
        </w:trPr>
        <w:tc>
          <w:tcPr>
            <w:tcW w:w="7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(232)</w:t>
            </w: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2"/>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(3,164)</w:t>
            </w:r>
          </w:p>
        </w:tc>
        <w:tc>
          <w:tcPr>
            <w:tcW w:w="1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2"/>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Foreign tax effects</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i w:val="1"/>
                <w:iCs w:val="1"/>
                <w:color w:val="auto"/>
              </w:rPr>
              <w:t>Germany</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2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646</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2"/>
        </w:trPr>
        <w:tc>
          <w:tcPr>
            <w:tcW w:w="7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Local income taxes</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1,460</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2"/>
        </w:trPr>
        <w:tc>
          <w:tcPr>
            <w:tcW w:w="7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(269)</w:t>
            </w: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2"/>
        </w:trPr>
        <w:tc>
          <w:tcPr>
            <w:tcW w:w="7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i w:val="1"/>
                <w:iCs w:val="1"/>
                <w:color w:val="auto"/>
              </w:rPr>
              <w:t>Philippines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Local country tax holiday</w:t>
            </w:r>
          </w:p>
        </w:tc>
        <w:tc>
          <w:tcPr>
            <w:tcW w:w="2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(756)</w:t>
            </w: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2"/>
        </w:trPr>
        <w:tc>
          <w:tcPr>
            <w:tcW w:w="7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313</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2"/>
        </w:trPr>
        <w:tc>
          <w:tcPr>
            <w:tcW w:w="748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Switzerland</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Withholding taxes</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1,326</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2"/>
        </w:trPr>
        <w:tc>
          <w:tcPr>
            <w:tcW w:w="7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683</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2"/>
        </w:trPr>
        <w:tc>
          <w:tcPr>
            <w:tcW w:w="7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i w:val="1"/>
                <w:iCs w:val="1"/>
                <w:color w:val="auto"/>
              </w:rPr>
              <w:t>Malaysia</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2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3,490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2"/>
        </w:trPr>
        <w:tc>
          <w:tcPr>
            <w:tcW w:w="7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2"/>
        </w:trPr>
        <w:tc>
          <w:tcPr>
            <w:tcW w:w="7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jurisdictions</w:t>
            </w:r>
          </w:p>
        </w:tc>
        <w:tc>
          <w:tcPr>
            <w:tcW w:w="2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(255)</w:t>
            </w: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2"/>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FX of net investment hedge</w:t>
            </w:r>
          </w:p>
        </w:tc>
        <w:tc>
          <w:tcPr>
            <w:tcW w:w="2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(745)</w:t>
            </w: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2"/>
        </w:trPr>
        <w:tc>
          <w:tcPr>
            <w:tcW w:w="7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0"/>
        </w:trPr>
        <w:tc>
          <w:tcPr>
            <w:tcW w:w="74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11,866</w:t>
            </w:r>
          </w:p>
        </w:tc>
        <w:tc>
          <w:tcPr>
            <w:tcW w:w="200" w:type="dxa"/>
            <w:vAlign w:val="bottom"/>
          </w:tcPr>
          <w:p>
            <w:pPr>
              <w:spacing w:after="0"/>
              <w:rPr>
                <w:sz w:val="17"/>
                <w:szCs w:val="17"/>
                <w:color w:val="auto"/>
              </w:rPr>
            </w:pPr>
          </w:p>
        </w:tc>
        <w:tc>
          <w:tcPr>
            <w:tcW w:w="160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0"/>
        </w:trPr>
        <w:tc>
          <w:tcPr>
            <w:tcW w:w="7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 State and local taxes in CA and TX comprise the majority of this category.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4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20" w:right="40"/>
        <w:spacing w:after="0" w:line="274" w:lineRule="auto"/>
        <w:rPr>
          <w:sz w:val="20"/>
          <w:szCs w:val="20"/>
          <w:color w:val="auto"/>
        </w:rPr>
      </w:pPr>
      <w:r>
        <w:rPr>
          <w:rFonts w:ascii="Times New Roman" w:cs="Times New Roman" w:eastAsia="Times New Roman" w:hAnsi="Times New Roman"/>
          <w:sz w:val="18"/>
          <w:szCs w:val="18"/>
          <w:color w:val="auto"/>
        </w:rPr>
        <w:t>The reconciliation of income tax computed at the U.S. federal statutory tax rate to the provision for income taxes, applying ASC 740 prior to the adoption of ASU 2023-09, is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80" w:type="dxa"/>
            <w:vAlign w:val="bottom"/>
          </w:tcPr>
          <w:p>
            <w:pPr>
              <w:spacing w:after="0"/>
              <w:rPr>
                <w:sz w:val="20"/>
                <w:szCs w:val="20"/>
                <w:color w:val="auto"/>
              </w:rPr>
            </w:pPr>
          </w:p>
        </w:tc>
        <w:tc>
          <w:tcPr>
            <w:tcW w:w="4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640" w:type="dxa"/>
            <w:vAlign w:val="bottom"/>
          </w:tcPr>
          <w:p>
            <w:pPr>
              <w:spacing w:after="0"/>
              <w:rPr>
                <w:sz w:val="20"/>
                <w:szCs w:val="20"/>
                <w:color w:val="auto"/>
              </w:rPr>
            </w:pPr>
          </w:p>
        </w:tc>
      </w:tr>
      <w:tr>
        <w:trPr>
          <w:trHeight w:val="205"/>
        </w:trPr>
        <w:tc>
          <w:tcPr>
            <w:tcW w:w="480" w:type="dxa"/>
            <w:vAlign w:val="bottom"/>
          </w:tcPr>
          <w:p>
            <w:pPr>
              <w:spacing w:after="0"/>
              <w:rPr>
                <w:sz w:val="17"/>
                <w:szCs w:val="17"/>
                <w:color w:val="auto"/>
              </w:rPr>
            </w:pPr>
          </w:p>
        </w:tc>
        <w:tc>
          <w:tcPr>
            <w:tcW w:w="468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Tax provision at U.S. 21% statutory rate</w:t>
            </w:r>
          </w:p>
        </w:tc>
        <w:tc>
          <w:tcPr>
            <w:tcW w:w="2440" w:type="dxa"/>
            <w:vAlign w:val="bottom"/>
            <w:gridSpan w:val="2"/>
            <w:shd w:val="clear" w:color="auto" w:fill="CCEEFF"/>
          </w:tcPr>
          <w:p>
            <w:pPr>
              <w:jc w:val="right"/>
              <w:ind w:right="152"/>
              <w:spacing w:after="0" w:line="205"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60"/>
              <w:spacing w:after="0" w:line="205" w:lineRule="exact"/>
              <w:rPr>
                <w:sz w:val="20"/>
                <w:szCs w:val="20"/>
                <w:color w:val="auto"/>
              </w:rPr>
            </w:pPr>
            <w:r>
              <w:rPr>
                <w:rFonts w:ascii="Times New Roman" w:cs="Times New Roman" w:eastAsia="Times New Roman" w:hAnsi="Times New Roman"/>
                <w:sz w:val="18"/>
                <w:szCs w:val="18"/>
                <w:color w:val="auto"/>
              </w:rPr>
              <w:t>(13,638)</w:t>
            </w:r>
          </w:p>
        </w:tc>
        <w:tc>
          <w:tcPr>
            <w:tcW w:w="340" w:type="dxa"/>
            <w:vAlign w:val="bottom"/>
            <w:shd w:val="clear" w:color="auto" w:fill="CCEEFF"/>
          </w:tcPr>
          <w:p>
            <w:pPr>
              <w:jc w:val="right"/>
              <w:ind w:right="152"/>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9,470</w:t>
            </w:r>
          </w:p>
        </w:tc>
        <w:tc>
          <w:tcPr>
            <w:tcW w:w="100" w:type="dxa"/>
            <w:vAlign w:val="bottom"/>
            <w:shd w:val="clear" w:color="auto" w:fill="CCEEFF"/>
          </w:tcPr>
          <w:p>
            <w:pPr>
              <w:spacing w:after="0"/>
              <w:rPr>
                <w:sz w:val="17"/>
                <w:szCs w:val="17"/>
                <w:color w:val="auto"/>
              </w:rPr>
            </w:pPr>
          </w:p>
        </w:tc>
        <w:tc>
          <w:tcPr>
            <w:tcW w:w="640" w:type="dxa"/>
            <w:vAlign w:val="bottom"/>
          </w:tcPr>
          <w:p>
            <w:pPr>
              <w:spacing w:after="0"/>
              <w:rPr>
                <w:sz w:val="17"/>
                <w:szCs w:val="17"/>
                <w:color w:val="auto"/>
              </w:rPr>
            </w:pPr>
          </w:p>
        </w:tc>
      </w:tr>
      <w:tr>
        <w:trPr>
          <w:trHeight w:val="212"/>
        </w:trPr>
        <w:tc>
          <w:tcPr>
            <w:tcW w:w="48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tax benefit</w:t>
            </w:r>
          </w:p>
        </w:tc>
        <w:tc>
          <w:tcPr>
            <w:tcW w:w="2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(2,126)</w:t>
            </w:r>
          </w:p>
        </w:tc>
        <w:tc>
          <w:tcPr>
            <w:tcW w:w="3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(633)</w:t>
            </w:r>
          </w:p>
        </w:tc>
        <w:tc>
          <w:tcPr>
            <w:tcW w:w="640" w:type="dxa"/>
            <w:vAlign w:val="bottom"/>
          </w:tcPr>
          <w:p>
            <w:pPr>
              <w:spacing w:after="0"/>
              <w:rPr>
                <w:sz w:val="18"/>
                <w:szCs w:val="18"/>
                <w:color w:val="auto"/>
              </w:rPr>
            </w:pPr>
          </w:p>
        </w:tc>
      </w:tr>
      <w:tr>
        <w:trPr>
          <w:trHeight w:val="212"/>
        </w:trPr>
        <w:tc>
          <w:tcPr>
            <w:tcW w:w="48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Accruals, adjustments and releases from statute expirations</w:t>
            </w:r>
          </w:p>
        </w:tc>
        <w:tc>
          <w:tcPr>
            <w:tcW w:w="2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(2,372)</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579</w:t>
            </w:r>
          </w:p>
        </w:tc>
        <w:tc>
          <w:tcPr>
            <w:tcW w:w="640" w:type="dxa"/>
            <w:vAlign w:val="bottom"/>
          </w:tcPr>
          <w:p>
            <w:pPr>
              <w:spacing w:after="0"/>
              <w:rPr>
                <w:sz w:val="18"/>
                <w:szCs w:val="18"/>
                <w:color w:val="auto"/>
              </w:rPr>
            </w:pPr>
          </w:p>
        </w:tc>
      </w:tr>
      <w:tr>
        <w:trPr>
          <w:trHeight w:val="212"/>
        </w:trPr>
        <w:tc>
          <w:tcPr>
            <w:tcW w:w="48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Federal R&amp;D credits</w:t>
            </w:r>
          </w:p>
        </w:tc>
        <w:tc>
          <w:tcPr>
            <w:tcW w:w="2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(1,103)</w:t>
            </w:r>
          </w:p>
        </w:tc>
        <w:tc>
          <w:tcPr>
            <w:tcW w:w="3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(1,360)</w:t>
            </w:r>
          </w:p>
        </w:tc>
        <w:tc>
          <w:tcPr>
            <w:tcW w:w="640" w:type="dxa"/>
            <w:vAlign w:val="bottom"/>
          </w:tcPr>
          <w:p>
            <w:pPr>
              <w:spacing w:after="0"/>
              <w:rPr>
                <w:sz w:val="18"/>
                <w:szCs w:val="18"/>
                <w:color w:val="auto"/>
              </w:rPr>
            </w:pPr>
          </w:p>
        </w:tc>
      </w:tr>
      <w:tr>
        <w:trPr>
          <w:trHeight w:val="212"/>
        </w:trPr>
        <w:tc>
          <w:tcPr>
            <w:tcW w:w="48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502</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(1,504)</w:t>
            </w:r>
          </w:p>
        </w:tc>
        <w:tc>
          <w:tcPr>
            <w:tcW w:w="640" w:type="dxa"/>
            <w:vAlign w:val="bottom"/>
          </w:tcPr>
          <w:p>
            <w:pPr>
              <w:spacing w:after="0"/>
              <w:rPr>
                <w:sz w:val="18"/>
                <w:szCs w:val="18"/>
                <w:color w:val="auto"/>
              </w:rPr>
            </w:pPr>
          </w:p>
        </w:tc>
      </w:tr>
      <w:tr>
        <w:trPr>
          <w:trHeight w:val="212"/>
        </w:trPr>
        <w:tc>
          <w:tcPr>
            <w:tcW w:w="48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Excess executive compensation</w:t>
            </w:r>
          </w:p>
        </w:tc>
        <w:tc>
          <w:tcPr>
            <w:tcW w:w="2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715</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1,375</w:t>
            </w:r>
          </w:p>
        </w:tc>
        <w:tc>
          <w:tcPr>
            <w:tcW w:w="640" w:type="dxa"/>
            <w:vAlign w:val="bottom"/>
          </w:tcPr>
          <w:p>
            <w:pPr>
              <w:spacing w:after="0"/>
              <w:rPr>
                <w:sz w:val="18"/>
                <w:szCs w:val="18"/>
                <w:color w:val="auto"/>
              </w:rPr>
            </w:pPr>
          </w:p>
        </w:tc>
      </w:tr>
      <w:tr>
        <w:trPr>
          <w:trHeight w:val="212"/>
        </w:trPr>
        <w:tc>
          <w:tcPr>
            <w:tcW w:w="48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14,844</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10,654</w:t>
            </w:r>
          </w:p>
        </w:tc>
        <w:tc>
          <w:tcPr>
            <w:tcW w:w="640" w:type="dxa"/>
            <w:vAlign w:val="bottom"/>
          </w:tcPr>
          <w:p>
            <w:pPr>
              <w:spacing w:after="0"/>
              <w:rPr>
                <w:sz w:val="18"/>
                <w:szCs w:val="18"/>
                <w:color w:val="auto"/>
              </w:rPr>
            </w:pPr>
          </w:p>
        </w:tc>
      </w:tr>
      <w:tr>
        <w:trPr>
          <w:trHeight w:val="212"/>
        </w:trPr>
        <w:tc>
          <w:tcPr>
            <w:tcW w:w="48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GILTI, net of foreign tax credits</w:t>
            </w:r>
          </w:p>
        </w:tc>
        <w:tc>
          <w:tcPr>
            <w:tcW w:w="2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2,613</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1,735</w:t>
            </w:r>
          </w:p>
        </w:tc>
        <w:tc>
          <w:tcPr>
            <w:tcW w:w="640" w:type="dxa"/>
            <w:vAlign w:val="bottom"/>
          </w:tcPr>
          <w:p>
            <w:pPr>
              <w:spacing w:after="0"/>
              <w:rPr>
                <w:sz w:val="18"/>
                <w:szCs w:val="18"/>
                <w:color w:val="auto"/>
              </w:rPr>
            </w:pPr>
          </w:p>
        </w:tc>
      </w:tr>
      <w:tr>
        <w:trPr>
          <w:trHeight w:val="212"/>
        </w:trPr>
        <w:tc>
          <w:tcPr>
            <w:tcW w:w="48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rate differential</w:t>
            </w:r>
          </w:p>
        </w:tc>
        <w:tc>
          <w:tcPr>
            <w:tcW w:w="2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146</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2,093</w:t>
            </w:r>
          </w:p>
        </w:tc>
        <w:tc>
          <w:tcPr>
            <w:tcW w:w="640" w:type="dxa"/>
            <w:vAlign w:val="bottom"/>
          </w:tcPr>
          <w:p>
            <w:pPr>
              <w:spacing w:after="0"/>
              <w:rPr>
                <w:sz w:val="18"/>
                <w:szCs w:val="18"/>
                <w:color w:val="auto"/>
              </w:rPr>
            </w:pPr>
          </w:p>
        </w:tc>
      </w:tr>
      <w:tr>
        <w:trPr>
          <w:trHeight w:val="212"/>
        </w:trPr>
        <w:tc>
          <w:tcPr>
            <w:tcW w:w="48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Withholding and other foreign taxes, net of foreign tax credit</w:t>
            </w:r>
          </w:p>
        </w:tc>
        <w:tc>
          <w:tcPr>
            <w:tcW w:w="2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1,206</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w:t>
            </w:r>
          </w:p>
        </w:tc>
        <w:tc>
          <w:tcPr>
            <w:tcW w:w="640" w:type="dxa"/>
            <w:vAlign w:val="bottom"/>
          </w:tcPr>
          <w:p>
            <w:pPr>
              <w:spacing w:after="0"/>
              <w:rPr>
                <w:sz w:val="18"/>
                <w:szCs w:val="18"/>
                <w:color w:val="auto"/>
              </w:rPr>
            </w:pPr>
          </w:p>
        </w:tc>
      </w:tr>
      <w:tr>
        <w:trPr>
          <w:trHeight w:val="225"/>
        </w:trPr>
        <w:tc>
          <w:tcPr>
            <w:tcW w:w="480" w:type="dxa"/>
            <w:vAlign w:val="bottom"/>
          </w:tcPr>
          <w:p>
            <w:pPr>
              <w:spacing w:after="0"/>
              <w:rPr>
                <w:sz w:val="19"/>
                <w:szCs w:val="19"/>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net</w:t>
            </w:r>
          </w:p>
        </w:tc>
        <w:tc>
          <w:tcPr>
            <w:tcW w:w="2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4,085</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(5,003)</w:t>
            </w:r>
          </w:p>
        </w:tc>
        <w:tc>
          <w:tcPr>
            <w:tcW w:w="640" w:type="dxa"/>
            <w:vAlign w:val="bottom"/>
          </w:tcPr>
          <w:p>
            <w:pPr>
              <w:spacing w:after="0"/>
              <w:rPr>
                <w:sz w:val="19"/>
                <w:szCs w:val="19"/>
                <w:color w:val="auto"/>
              </w:rPr>
            </w:pPr>
          </w:p>
        </w:tc>
      </w:tr>
      <w:tr>
        <w:trPr>
          <w:trHeight w:val="205"/>
        </w:trPr>
        <w:tc>
          <w:tcPr>
            <w:tcW w:w="48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2"/>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4,872</w:t>
            </w:r>
          </w:p>
        </w:tc>
        <w:tc>
          <w:tcPr>
            <w:tcW w:w="2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2"/>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17,660</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418"/>
        </w:trPr>
        <w:tc>
          <w:tcPr>
            <w:tcW w:w="4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100" w:type="dxa"/>
            <w:vAlign w:val="bottom"/>
          </w:tcPr>
          <w:p>
            <w:pPr>
              <w:jc w:val="right"/>
              <w:ind w:right="1452"/>
              <w:spacing w:after="0"/>
              <w:rPr>
                <w:sz w:val="20"/>
                <w:szCs w:val="20"/>
                <w:color w:val="auto"/>
              </w:rPr>
            </w:pPr>
            <w:r>
              <w:rPr>
                <w:rFonts w:ascii="Times New Roman" w:cs="Times New Roman" w:eastAsia="Times New Roman" w:hAnsi="Times New Roman"/>
                <w:sz w:val="18"/>
                <w:szCs w:val="18"/>
                <w:color w:val="auto"/>
              </w:rPr>
              <w:t>83</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11"/>
        </w:trPr>
        <w:tc>
          <w:tcPr>
            <w:tcW w:w="480" w:type="dxa"/>
            <w:vAlign w:val="bottom"/>
            <w:tcBorders>
              <w:bottom w:val="single" w:sz="8" w:color="auto"/>
            </w:tcBorders>
          </w:tcPr>
          <w:p>
            <w:pPr>
              <w:spacing w:after="0"/>
              <w:rPr>
                <w:sz w:val="9"/>
                <w:szCs w:val="9"/>
                <w:color w:val="auto"/>
              </w:rPr>
            </w:pPr>
          </w:p>
        </w:tc>
        <w:tc>
          <w:tcPr>
            <w:tcW w:w="4680" w:type="dxa"/>
            <w:vAlign w:val="bottom"/>
            <w:tcBorders>
              <w:bottom w:val="single" w:sz="8" w:color="auto"/>
            </w:tcBorders>
          </w:tcPr>
          <w:p>
            <w:pPr>
              <w:spacing w:after="0"/>
              <w:rPr>
                <w:sz w:val="9"/>
                <w:szCs w:val="9"/>
                <w:color w:val="auto"/>
              </w:rPr>
            </w:pPr>
          </w:p>
        </w:tc>
        <w:tc>
          <w:tcPr>
            <w:tcW w:w="2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70"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36195</wp:posOffset>
            </wp:positionV>
            <wp:extent cx="71348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97" w:lineRule="exact"/>
        <w:rPr>
          <w:sz w:val="20"/>
          <w:szCs w:val="20"/>
          <w:color w:val="auto"/>
        </w:rPr>
      </w:pPr>
    </w:p>
    <w:p>
      <w:pPr>
        <w:ind w:left="320" w:right="220"/>
        <w:spacing w:after="0" w:line="259" w:lineRule="auto"/>
        <w:rPr>
          <w:sz w:val="20"/>
          <w:szCs w:val="20"/>
          <w:color w:val="auto"/>
        </w:rPr>
      </w:pPr>
      <w:r>
        <w:rPr>
          <w:rFonts w:ascii="Times New Roman" w:cs="Times New Roman" w:eastAsia="Times New Roman" w:hAnsi="Times New Roman"/>
          <w:sz w:val="18"/>
          <w:szCs w:val="18"/>
          <w:color w:val="auto"/>
        </w:rPr>
        <w:t>An accounting policy may be selected to either (i) treat taxes due on future U.S. inclusions in taxable income related to global intangible low-taxed income (“GILTI”) as a current-period expense when incurred or (ii) factor such amounts into a company’s measurement of its deferred taxes. We have elected to account for GILTI as a period cost.</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At December 27, 2025, we had federal, state and foreign net operating loss carryforwards of approximately $244.8 million, $132.3 million and</w:t>
      </w:r>
    </w:p>
    <w:p>
      <w:pPr>
        <w:spacing w:after="0" w:line="24" w:lineRule="exact"/>
        <w:rPr>
          <w:sz w:val="20"/>
          <w:szCs w:val="20"/>
          <w:color w:val="auto"/>
        </w:rPr>
      </w:pPr>
    </w:p>
    <w:p>
      <w:pPr>
        <w:ind w:left="320"/>
        <w:spacing w:after="0" w:line="246" w:lineRule="auto"/>
        <w:rPr>
          <w:sz w:val="20"/>
          <w:szCs w:val="20"/>
          <w:color w:val="auto"/>
        </w:rPr>
      </w:pPr>
      <w:r>
        <w:rPr>
          <w:rFonts w:ascii="Times New Roman" w:cs="Times New Roman" w:eastAsia="Times New Roman" w:hAnsi="Times New Roman"/>
          <w:sz w:val="18"/>
          <w:szCs w:val="18"/>
          <w:color w:val="auto"/>
        </w:rPr>
        <w:t>$17.4 million, respectively, that expire in various tax years beginning in 2026 through 2044 or have no expiration date. We also have federal and state tax credit carryforwards at December 27, 2025, of approximately $6.1 million and $28.9 million, respectively, certain of which expire in various tax years beginning in 2026 through 2044 or have no expiration date. The federal and state loss and credit carryforwards are subject to annual limitations under Sections 382 and 383 of the Internal Revenue Code and applicable state tax laws. We analyzed and determined that there were no ownership changes during the three-year period ending December 27, 2025. We will continue to assess the realizability of these carryforwards in subsequent periods. Future changes in the ownership of Cohu could further limit the utilization of these carryforwards.</w:t>
      </w:r>
    </w:p>
    <w:p>
      <w:pPr>
        <w:spacing w:after="0" w:line="192" w:lineRule="exact"/>
        <w:rPr>
          <w:sz w:val="20"/>
          <w:szCs w:val="20"/>
          <w:color w:val="auto"/>
        </w:rPr>
      </w:pPr>
    </w:p>
    <w:p>
      <w:pPr>
        <w:ind w:left="320" w:right="20"/>
        <w:spacing w:after="0" w:line="259" w:lineRule="auto"/>
        <w:rPr>
          <w:sz w:val="20"/>
          <w:szCs w:val="20"/>
          <w:color w:val="auto"/>
        </w:rPr>
      </w:pPr>
      <w:r>
        <w:rPr>
          <w:rFonts w:ascii="Times New Roman" w:cs="Times New Roman" w:eastAsia="Times New Roman" w:hAnsi="Times New Roman"/>
          <w:sz w:val="18"/>
          <w:szCs w:val="18"/>
          <w:color w:val="auto"/>
        </w:rPr>
        <w:t>We have certain tax holidays with respect to our operations in Malaysia and the Philippines. These holidays require compliance with certain conditions and expire at various dates through 2038. The impact of these holidays was an increase in net income of approximately $0.8 million or $0.02 per share in 2025, $1.0 million or $0.02 per share in 2024, and $3.8 million or $0.08 per share in fiscal 2023.</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reconciliation of our gross unrecognized tax benefits, excluding accrued interest and penalties, is as follows:</w:t>
      </w:r>
    </w:p>
    <w:p>
      <w:pPr>
        <w:spacing w:after="0" w:line="228" w:lineRule="exact"/>
        <w:rPr>
          <w:sz w:val="20"/>
          <w:szCs w:val="20"/>
          <w:color w:val="auto"/>
        </w:rPr>
      </w:pPr>
    </w:p>
    <w:tbl>
      <w:tblPr>
        <w:tblLayout w:type="fixed"/>
        <w:tblInd w:w="480" w:type="dxa"/>
        <w:tblCellMar>
          <w:top w:w="0" w:type="dxa"/>
          <w:left w:w="0" w:type="dxa"/>
          <w:bottom w:w="0" w:type="dxa"/>
          <w:right w:w="0" w:type="dxa"/>
        </w:tblCellMar>
      </w:tblPr>
      <w:tr>
        <w:trPr>
          <w:trHeight w:val="232"/>
        </w:trPr>
        <w:tc>
          <w:tcPr>
            <w:tcW w:w="5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r>
      <w:tr>
        <w:trPr>
          <w:trHeight w:val="205"/>
        </w:trPr>
        <w:tc>
          <w:tcPr>
            <w:tcW w:w="568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Balance at beginning of year</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20"/>
              <w:spacing w:after="0" w:line="205" w:lineRule="exact"/>
              <w:rPr>
                <w:sz w:val="20"/>
                <w:szCs w:val="20"/>
                <w:color w:val="auto"/>
              </w:rPr>
            </w:pPr>
            <w:r>
              <w:rPr>
                <w:rFonts w:ascii="Times New Roman" w:cs="Times New Roman" w:eastAsia="Times New Roman" w:hAnsi="Times New Roman"/>
                <w:sz w:val="18"/>
                <w:szCs w:val="18"/>
                <w:color w:val="auto"/>
              </w:rPr>
              <w:t>33,765</w:t>
            </w:r>
          </w:p>
        </w:tc>
        <w:tc>
          <w:tcPr>
            <w:tcW w:w="420" w:type="dxa"/>
            <w:vAlign w:val="bottom"/>
            <w:gridSpan w:val="2"/>
            <w:shd w:val="clear" w:color="auto" w:fill="CCEEFF"/>
          </w:tcPr>
          <w:p>
            <w:pPr>
              <w:jc w:val="right"/>
              <w:ind w:right="152"/>
              <w:spacing w:after="0" w:line="205"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40"/>
              <w:spacing w:after="0" w:line="205" w:lineRule="exact"/>
              <w:rPr>
                <w:sz w:val="20"/>
                <w:szCs w:val="20"/>
                <w:color w:val="auto"/>
              </w:rPr>
            </w:pPr>
            <w:r>
              <w:rPr>
                <w:rFonts w:ascii="Times New Roman" w:cs="Times New Roman" w:eastAsia="Times New Roman" w:hAnsi="Times New Roman"/>
                <w:sz w:val="18"/>
                <w:szCs w:val="18"/>
                <w:color w:val="auto"/>
              </w:rPr>
              <w:t>35,900</w:t>
            </w:r>
          </w:p>
        </w:tc>
        <w:tc>
          <w:tcPr>
            <w:tcW w:w="400" w:type="dxa"/>
            <w:vAlign w:val="bottom"/>
            <w:gridSpan w:val="2"/>
            <w:shd w:val="clear" w:color="auto" w:fill="CCEEFF"/>
          </w:tcPr>
          <w:p>
            <w:pPr>
              <w:jc w:val="right"/>
              <w:ind w:right="157"/>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33,368</w:t>
            </w:r>
          </w:p>
        </w:tc>
        <w:tc>
          <w:tcPr>
            <w:tcW w:w="100" w:type="dxa"/>
            <w:vAlign w:val="bottom"/>
            <w:shd w:val="clear" w:color="auto" w:fill="CCEEFF"/>
          </w:tcPr>
          <w:p>
            <w:pPr>
              <w:spacing w:after="0"/>
              <w:rPr>
                <w:sz w:val="17"/>
                <w:szCs w:val="17"/>
                <w:color w:val="auto"/>
              </w:rPr>
            </w:pPr>
          </w:p>
        </w:tc>
      </w:tr>
      <w:tr>
        <w:trPr>
          <w:trHeight w:val="212"/>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Additions for tax positions of current year</w:t>
            </w:r>
          </w:p>
        </w:tc>
        <w:tc>
          <w:tcPr>
            <w:tcW w:w="3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899</w:t>
            </w:r>
          </w:p>
        </w:tc>
      </w:tr>
      <w:tr>
        <w:trPr>
          <w:trHeight w:val="212"/>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Additions/(Reductions) for tax positions of prior years</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(1,096)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1,802</w:t>
            </w:r>
          </w:p>
        </w:tc>
      </w:tr>
      <w:tr>
        <w:trPr>
          <w:trHeight w:val="212"/>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Reductions due to lapse of the statute of limitations</w:t>
            </w:r>
          </w:p>
        </w:tc>
        <w:tc>
          <w:tcPr>
            <w:tcW w:w="32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(1,492)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(2,089)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(295)</w:t>
            </w:r>
          </w:p>
        </w:tc>
      </w:tr>
      <w:tr>
        <w:trPr>
          <w:trHeight w:val="212"/>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Reductions due to settlements</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(1,833)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25"/>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rate impact</w:t>
            </w:r>
          </w:p>
        </w:tc>
        <w:tc>
          <w:tcPr>
            <w:tcW w:w="32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w:t>
            </w:r>
          </w:p>
        </w:tc>
      </w:tr>
      <w:tr>
        <w:trPr>
          <w:trHeight w:val="219"/>
        </w:trPr>
        <w:tc>
          <w:tcPr>
            <w:tcW w:w="5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320" w:type="dxa"/>
            <w:vAlign w:val="bottom"/>
            <w:tcBorders>
              <w:top w:val="single" w:sz="8" w:color="auto"/>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left="320" w:right="20"/>
        <w:spacing w:after="0" w:line="259" w:lineRule="auto"/>
        <w:rPr>
          <w:sz w:val="20"/>
          <w:szCs w:val="20"/>
          <w:color w:val="auto"/>
        </w:rPr>
      </w:pPr>
      <w:r>
        <w:rPr>
          <w:rFonts w:ascii="Times New Roman" w:cs="Times New Roman" w:eastAsia="Times New Roman" w:hAnsi="Times New Roman"/>
          <w:sz w:val="18"/>
          <w:szCs w:val="18"/>
          <w:color w:val="auto"/>
        </w:rPr>
        <w:t>If the unrecognized tax benefits at December 27, 2025 are ultimately recognized, excluding the impact of U.S. tax benefits netted against deferred taxes that are subject to a valuation allowance, approximately $3.5 million ($5.2 million at December 28, 2024, and $7.5 million at December 30, 2023) would result in a reduction in our income tax expense and effective tax rate.</w:t>
      </w:r>
    </w:p>
    <w:p>
      <w:pPr>
        <w:spacing w:after="0" w:line="178" w:lineRule="exact"/>
        <w:rPr>
          <w:sz w:val="20"/>
          <w:szCs w:val="20"/>
          <w:color w:val="auto"/>
        </w:rPr>
      </w:pPr>
    </w:p>
    <w:p>
      <w:pPr>
        <w:jc w:val="both"/>
        <w:ind w:left="320" w:right="200"/>
        <w:spacing w:after="0" w:line="259" w:lineRule="auto"/>
        <w:rPr>
          <w:sz w:val="20"/>
          <w:szCs w:val="20"/>
          <w:color w:val="auto"/>
        </w:rPr>
      </w:pPr>
      <w:r>
        <w:rPr>
          <w:rFonts w:ascii="Times New Roman" w:cs="Times New Roman" w:eastAsia="Times New Roman" w:hAnsi="Times New Roman"/>
          <w:sz w:val="18"/>
          <w:szCs w:val="18"/>
          <w:color w:val="auto"/>
        </w:rPr>
        <w:t>We recognize interest and penalties related to unrecognized tax benefits in income tax expense. Cohu had approximately $0.5 million and $0.5 million accrued for the payment of interest and penalties at December 27, 2025 and December 28, 2024, respectively. Interest expense, net of accrued interest reversed, was $(0.3) million in 2025, $(0.2) million in 2024, and $(0.1) million in 2023.</w:t>
      </w:r>
    </w:p>
    <w:p>
      <w:pPr>
        <w:spacing w:after="0" w:line="178" w:lineRule="exact"/>
        <w:rPr>
          <w:sz w:val="20"/>
          <w:szCs w:val="20"/>
          <w:color w:val="auto"/>
        </w:rPr>
      </w:pPr>
    </w:p>
    <w:p>
      <w:pPr>
        <w:ind w:left="320"/>
        <w:spacing w:after="0" w:line="252" w:lineRule="auto"/>
        <w:rPr>
          <w:sz w:val="20"/>
          <w:szCs w:val="20"/>
          <w:color w:val="auto"/>
        </w:rPr>
      </w:pPr>
      <w:r>
        <w:rPr>
          <w:rFonts w:ascii="Times New Roman" w:cs="Times New Roman" w:eastAsia="Times New Roman" w:hAnsi="Times New Roman"/>
          <w:sz w:val="18"/>
          <w:szCs w:val="18"/>
          <w:color w:val="auto"/>
        </w:rPr>
        <w:t>Our U.S. federal income tax returns for years after fiscal 2022 remain open to examination, subject to the statute of limitations. Our U.S. state income tax returns for years after fiscal 2020 remain open to examination, subject to the statute of limitations. Net operating loss and credit carryforwards arising prior to these years are also open to examination if and when utilized. The statute of limitations for the assessment and collection of income taxes related to our foreign tax returns varies by country. In the foreign countries where we have significant operations these time periods generally range from four to ten years after the year for which the tax return is due or the tax is assessed.</w:t>
      </w:r>
    </w:p>
    <w:p>
      <w:pPr>
        <w:spacing w:after="0" w:line="185" w:lineRule="exact"/>
        <w:rPr>
          <w:sz w:val="20"/>
          <w:szCs w:val="20"/>
          <w:color w:val="auto"/>
        </w:rPr>
      </w:pPr>
    </w:p>
    <w:p>
      <w:pPr>
        <w:ind w:left="320" w:right="260"/>
        <w:spacing w:after="0" w:line="255" w:lineRule="auto"/>
        <w:rPr>
          <w:sz w:val="20"/>
          <w:szCs w:val="20"/>
          <w:color w:val="auto"/>
        </w:rPr>
      </w:pPr>
      <w:r>
        <w:rPr>
          <w:rFonts w:ascii="Times New Roman" w:cs="Times New Roman" w:eastAsia="Times New Roman" w:hAnsi="Times New Roman"/>
          <w:sz w:val="18"/>
          <w:szCs w:val="18"/>
          <w:color w:val="auto"/>
        </w:rPr>
        <w:t>We conduct business globally and as a result, Cohu or one or more of its subsidiaries files income tax returns in the U.S. and various state and foreign jurisdictions. In the normal course of business, we are subject to examinations by taxing authorities throughout the world and are currently under examination in Germany, Maylasia, the Philippines and the state of California. We believe our financial statement accruals for income taxes are appropriate.</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36195</wp:posOffset>
            </wp:positionV>
            <wp:extent cx="71348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95" w:lineRule="exact"/>
        <w:rPr>
          <w:sz w:val="20"/>
          <w:szCs w:val="20"/>
          <w:color w:val="auto"/>
        </w:rPr>
      </w:pPr>
    </w:p>
    <w:p>
      <w:pPr>
        <w:ind w:left="320" w:right="40"/>
        <w:spacing w:after="0" w:line="269" w:lineRule="auto"/>
        <w:rPr>
          <w:sz w:val="20"/>
          <w:szCs w:val="20"/>
          <w:color w:val="auto"/>
        </w:rPr>
      </w:pPr>
      <w:r>
        <w:rPr>
          <w:rFonts w:ascii="Times New Roman" w:cs="Times New Roman" w:eastAsia="Times New Roman" w:hAnsi="Times New Roman"/>
          <w:sz w:val="17"/>
          <w:szCs w:val="17"/>
          <w:color w:val="auto"/>
        </w:rPr>
        <w:t xml:space="preserve">Tax positions have been reflected in the consolidated financial statements in accordance ASC Topic 740,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xml:space="preserve"> (“ASC 740”), Income Taxes. Such tax positions are, based solely on their technical merits, more likely than not to be sustained upon examination by taxing authorities and reflect the largest amount of benefit, determined on a cumulative probability basis, that is more likely than not to be realized upon settlement with the applicable taxing authority with full knowledge of all relevant information. We have both intent and ability to initiate a claim pursuant to the competent authority (e.g., Mutual Agreement Procedure) for reasonable and prudent situations such as, for example, when the resulting tax benefit exceeds the costs involved to obtain such tax benefit, and the success of prevailing upon pursuing the competent authority is more-likely-than-not achievable.</w:t>
      </w:r>
    </w:p>
    <w:p>
      <w:pPr>
        <w:spacing w:after="0" w:line="200" w:lineRule="exact"/>
        <w:rPr>
          <w:sz w:val="20"/>
          <w:szCs w:val="20"/>
          <w:color w:val="auto"/>
        </w:rPr>
      </w:pPr>
    </w:p>
    <w:p>
      <w:pPr>
        <w:spacing w:after="0" w:line="208" w:lineRule="exact"/>
        <w:rPr>
          <w:sz w:val="20"/>
          <w:szCs w:val="20"/>
          <w:color w:val="auto"/>
        </w:rPr>
      </w:pPr>
    </w:p>
    <w:p>
      <w:pPr>
        <w:ind w:left="320" w:hanging="314"/>
        <w:spacing w:after="0"/>
        <w:tabs>
          <w:tab w:leader="none" w:pos="32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and Geographic Information</w:t>
      </w:r>
    </w:p>
    <w:p>
      <w:pPr>
        <w:spacing w:after="0" w:line="219" w:lineRule="exact"/>
        <w:rPr>
          <w:rFonts w:ascii="Times New Roman" w:cs="Times New Roman" w:eastAsia="Times New Roman" w:hAnsi="Times New Roman"/>
          <w:sz w:val="18"/>
          <w:szCs w:val="18"/>
          <w:b w:val="1"/>
          <w:bCs w:val="1"/>
          <w:color w:val="auto"/>
        </w:rPr>
      </w:pPr>
    </w:p>
    <w:p>
      <w:pPr>
        <w:ind w:left="320" w:right="100"/>
        <w:spacing w:after="0" w:line="24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applied the provisions of ASC 280, which sets forth a management approach to segment reporting and establishes requirements to report selected segment information quarterly and to report annually entity-wide disclosures about products, major customers and the geographies in which the entity holds material assets and reports revenue. An operating segment is defined as a component that engages in business activities whose operating results are reviewed by the CODM, which is our Chief Executive Officer, Luis A. Müller and for which discrete financial information is available. We have determined that our three identified operating segments are: TH, ST and IS. Our three operating segments qualify for aggregation under ASC 280 due to similarities in their customers, their economic characteristics, and the nature of products and services provided. As a result, we report in one segment, Semiconductor Test &amp; Inspection, which derives revenue from the design and manufacture of equipment and components used in the testing of semiconductors.</w:t>
      </w:r>
    </w:p>
    <w:p>
      <w:pPr>
        <w:spacing w:after="0" w:line="190" w:lineRule="exact"/>
        <w:rPr>
          <w:rFonts w:ascii="Times New Roman" w:cs="Times New Roman" w:eastAsia="Times New Roman" w:hAnsi="Times New Roman"/>
          <w:sz w:val="18"/>
          <w:szCs w:val="18"/>
          <w:b w:val="1"/>
          <w:bCs w:val="1"/>
          <w:color w:val="auto"/>
        </w:rPr>
      </w:pPr>
    </w:p>
    <w:p>
      <w:pPr>
        <w:ind w:left="320" w:right="140"/>
        <w:spacing w:after="0" w:line="27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CODM assesses performance of the Semiconductor Test &amp; Inspection segment and decides how to allocate resources based on income (loss) before taxes. The table below summarizes selected financial information for our single reportable segment.</w:t>
      </w:r>
    </w:p>
    <w:p>
      <w:pPr>
        <w:spacing w:after="0" w:line="175" w:lineRule="exact"/>
        <w:rPr>
          <w:sz w:val="20"/>
          <w:szCs w:val="20"/>
          <w:color w:val="auto"/>
        </w:rPr>
      </w:pPr>
    </w:p>
    <w:tbl>
      <w:tblPr>
        <w:tblLayout w:type="fixed"/>
        <w:tblInd w:w="480" w:type="dxa"/>
        <w:tblCellMar>
          <w:top w:w="0" w:type="dxa"/>
          <w:left w:w="0" w:type="dxa"/>
          <w:bottom w:w="0" w:type="dxa"/>
          <w:right w:w="0" w:type="dxa"/>
        </w:tblCellMar>
      </w:tblPr>
      <w:tr>
        <w:trPr>
          <w:trHeight w:val="232"/>
        </w:trPr>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1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r>
        <w:trPr>
          <w:trHeight w:val="205"/>
        </w:trPr>
        <w:tc>
          <w:tcPr>
            <w:tcW w:w="442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Net sales</w:t>
            </w:r>
          </w:p>
        </w:tc>
        <w:tc>
          <w:tcPr>
            <w:tcW w:w="1500" w:type="dxa"/>
            <w:vAlign w:val="bottom"/>
            <w:gridSpan w:val="2"/>
            <w:shd w:val="clear" w:color="auto" w:fill="CCEEFF"/>
          </w:tcPr>
          <w:p>
            <w:pPr>
              <w:jc w:val="right"/>
              <w:ind w:right="177"/>
              <w:spacing w:after="0" w:line="205"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23"/>
              <w:spacing w:after="0" w:line="205" w:lineRule="exact"/>
              <w:rPr>
                <w:sz w:val="20"/>
                <w:szCs w:val="20"/>
                <w:color w:val="auto"/>
              </w:rPr>
            </w:pPr>
            <w:r>
              <w:rPr>
                <w:rFonts w:ascii="Times New Roman" w:cs="Times New Roman" w:eastAsia="Times New Roman" w:hAnsi="Times New Roman"/>
                <w:sz w:val="18"/>
                <w:szCs w:val="18"/>
                <w:color w:val="auto"/>
              </w:rPr>
              <w:t>452,956</w:t>
            </w:r>
          </w:p>
        </w:tc>
        <w:tc>
          <w:tcPr>
            <w:tcW w:w="340" w:type="dxa"/>
            <w:vAlign w:val="bottom"/>
            <w:shd w:val="clear" w:color="auto" w:fill="CCEEFF"/>
          </w:tcPr>
          <w:p>
            <w:pPr>
              <w:jc w:val="right"/>
              <w:ind w:right="152"/>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23"/>
              <w:spacing w:after="0" w:line="205" w:lineRule="exact"/>
              <w:rPr>
                <w:sz w:val="20"/>
                <w:szCs w:val="20"/>
                <w:color w:val="auto"/>
              </w:rPr>
            </w:pPr>
            <w:r>
              <w:rPr>
                <w:rFonts w:ascii="Times New Roman" w:cs="Times New Roman" w:eastAsia="Times New Roman" w:hAnsi="Times New Roman"/>
                <w:sz w:val="18"/>
                <w:szCs w:val="18"/>
                <w:color w:val="auto"/>
              </w:rPr>
              <w:t>401,779</w:t>
            </w:r>
          </w:p>
        </w:tc>
        <w:tc>
          <w:tcPr>
            <w:tcW w:w="340" w:type="dxa"/>
            <w:vAlign w:val="bottom"/>
            <w:gridSpan w:val="2"/>
            <w:shd w:val="clear" w:color="auto" w:fill="CCEEFF"/>
          </w:tcPr>
          <w:p>
            <w:pPr>
              <w:jc w:val="right"/>
              <w:ind w:right="157"/>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636,322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2"/>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Cost and expenses:</w:t>
            </w: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4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Cost of sales</w:t>
            </w: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8"/>
                <w:szCs w:val="18"/>
                <w:color w:val="auto"/>
              </w:rPr>
              <w:t>257,941</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8"/>
                <w:szCs w:val="18"/>
                <w:color w:val="auto"/>
              </w:rPr>
              <w:t>220,436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332,609</w:t>
            </w:r>
          </w:p>
        </w:tc>
        <w:tc>
          <w:tcPr>
            <w:tcW w:w="100" w:type="dxa"/>
            <w:vAlign w:val="bottom"/>
            <w:shd w:val="clear" w:color="auto" w:fill="CCEEFF"/>
          </w:tcPr>
          <w:p>
            <w:pPr>
              <w:spacing w:after="0"/>
              <w:rPr>
                <w:sz w:val="18"/>
                <w:szCs w:val="18"/>
                <w:color w:val="auto"/>
              </w:rPr>
            </w:pPr>
          </w:p>
        </w:tc>
      </w:tr>
      <w:tr>
        <w:trPr>
          <w:trHeight w:val="212"/>
        </w:trPr>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23"/>
              <w:spacing w:after="0"/>
              <w:rPr>
                <w:sz w:val="20"/>
                <w:szCs w:val="20"/>
                <w:color w:val="auto"/>
              </w:rPr>
            </w:pPr>
            <w:r>
              <w:rPr>
                <w:rFonts w:ascii="Times New Roman" w:cs="Times New Roman" w:eastAsia="Times New Roman" w:hAnsi="Times New Roman"/>
                <w:sz w:val="18"/>
                <w:szCs w:val="18"/>
                <w:color w:val="auto"/>
              </w:rPr>
              <w:t>86,756</w:t>
            </w:r>
          </w:p>
        </w:tc>
        <w:tc>
          <w:tcPr>
            <w:tcW w:w="340" w:type="dxa"/>
            <w:vAlign w:val="bottom"/>
          </w:tcPr>
          <w:p>
            <w:pPr>
              <w:spacing w:after="0"/>
              <w:rPr>
                <w:sz w:val="18"/>
                <w:szCs w:val="18"/>
                <w:color w:val="auto"/>
              </w:rPr>
            </w:pPr>
          </w:p>
        </w:tc>
        <w:tc>
          <w:tcPr>
            <w:tcW w:w="1380" w:type="dxa"/>
            <w:vAlign w:val="bottom"/>
            <w:gridSpan w:val="2"/>
          </w:tcPr>
          <w:p>
            <w:pPr>
              <w:jc w:val="right"/>
              <w:ind w:right="123"/>
              <w:spacing w:after="0"/>
              <w:rPr>
                <w:sz w:val="20"/>
                <w:szCs w:val="20"/>
                <w:color w:val="auto"/>
              </w:rPr>
            </w:pPr>
            <w:r>
              <w:rPr>
                <w:rFonts w:ascii="Times New Roman" w:cs="Times New Roman" w:eastAsia="Times New Roman" w:hAnsi="Times New Roman"/>
                <w:sz w:val="18"/>
                <w:szCs w:val="18"/>
                <w:color w:val="auto"/>
              </w:rPr>
              <w:t>81,231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85,178</w:t>
            </w:r>
          </w:p>
        </w:tc>
        <w:tc>
          <w:tcPr>
            <w:tcW w:w="100" w:type="dxa"/>
            <w:vAlign w:val="bottom"/>
          </w:tcPr>
          <w:p>
            <w:pPr>
              <w:spacing w:after="0"/>
              <w:rPr>
                <w:sz w:val="18"/>
                <w:szCs w:val="18"/>
                <w:color w:val="auto"/>
              </w:rPr>
            </w:pPr>
          </w:p>
        </w:tc>
      </w:tr>
      <w:tr>
        <w:trPr>
          <w:trHeight w:val="212"/>
        </w:trPr>
        <w:tc>
          <w:tcPr>
            <w:tcW w:w="4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Selling</w:t>
            </w: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8"/>
                <w:szCs w:val="18"/>
                <w:color w:val="auto"/>
              </w:rPr>
              <w:t>53,028</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8"/>
                <w:szCs w:val="18"/>
                <w:color w:val="auto"/>
              </w:rPr>
              <w:t>51,584</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61,056</w:t>
            </w:r>
          </w:p>
        </w:tc>
        <w:tc>
          <w:tcPr>
            <w:tcW w:w="100" w:type="dxa"/>
            <w:vAlign w:val="bottom"/>
            <w:shd w:val="clear" w:color="auto" w:fill="CCEEFF"/>
          </w:tcPr>
          <w:p>
            <w:pPr>
              <w:spacing w:after="0"/>
              <w:rPr>
                <w:sz w:val="18"/>
                <w:szCs w:val="18"/>
                <w:color w:val="auto"/>
              </w:rPr>
            </w:pPr>
          </w:p>
        </w:tc>
      </w:tr>
      <w:tr>
        <w:trPr>
          <w:trHeight w:val="212"/>
        </w:trPr>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23"/>
              <w:spacing w:after="0"/>
              <w:rPr>
                <w:sz w:val="20"/>
                <w:szCs w:val="20"/>
                <w:color w:val="auto"/>
              </w:rPr>
            </w:pPr>
            <w:r>
              <w:rPr>
                <w:rFonts w:ascii="Times New Roman" w:cs="Times New Roman" w:eastAsia="Times New Roman" w:hAnsi="Times New Roman"/>
                <w:sz w:val="18"/>
                <w:szCs w:val="18"/>
                <w:color w:val="auto"/>
              </w:rPr>
              <w:t>54,349</w:t>
            </w:r>
          </w:p>
        </w:tc>
        <w:tc>
          <w:tcPr>
            <w:tcW w:w="340" w:type="dxa"/>
            <w:vAlign w:val="bottom"/>
          </w:tcPr>
          <w:p>
            <w:pPr>
              <w:spacing w:after="0"/>
              <w:rPr>
                <w:sz w:val="18"/>
                <w:szCs w:val="18"/>
                <w:color w:val="auto"/>
              </w:rPr>
            </w:pPr>
          </w:p>
        </w:tc>
        <w:tc>
          <w:tcPr>
            <w:tcW w:w="1380" w:type="dxa"/>
            <w:vAlign w:val="bottom"/>
            <w:gridSpan w:val="2"/>
          </w:tcPr>
          <w:p>
            <w:pPr>
              <w:jc w:val="right"/>
              <w:ind w:right="123"/>
              <w:spacing w:after="0"/>
              <w:rPr>
                <w:sz w:val="20"/>
                <w:szCs w:val="20"/>
                <w:color w:val="auto"/>
              </w:rPr>
            </w:pPr>
            <w:r>
              <w:rPr>
                <w:rFonts w:ascii="Times New Roman" w:cs="Times New Roman" w:eastAsia="Times New Roman" w:hAnsi="Times New Roman"/>
                <w:sz w:val="18"/>
                <w:szCs w:val="18"/>
                <w:color w:val="auto"/>
              </w:rPr>
              <w:t>60,328</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58,196</w:t>
            </w:r>
          </w:p>
        </w:tc>
        <w:tc>
          <w:tcPr>
            <w:tcW w:w="100" w:type="dxa"/>
            <w:vAlign w:val="bottom"/>
          </w:tcPr>
          <w:p>
            <w:pPr>
              <w:spacing w:after="0"/>
              <w:rPr>
                <w:sz w:val="18"/>
                <w:szCs w:val="18"/>
                <w:color w:val="auto"/>
              </w:rPr>
            </w:pPr>
          </w:p>
        </w:tc>
      </w:tr>
      <w:tr>
        <w:trPr>
          <w:trHeight w:val="212"/>
        </w:trPr>
        <w:tc>
          <w:tcPr>
            <w:tcW w:w="4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Amortization of purchased intangible assets</w:t>
            </w: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8"/>
                <w:szCs w:val="18"/>
                <w:color w:val="auto"/>
              </w:rPr>
              <w:t>37,466</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8"/>
                <w:szCs w:val="18"/>
                <w:color w:val="auto"/>
              </w:rPr>
              <w:t>39,087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36,355</w:t>
            </w:r>
          </w:p>
        </w:tc>
        <w:tc>
          <w:tcPr>
            <w:tcW w:w="100" w:type="dxa"/>
            <w:vAlign w:val="bottom"/>
            <w:shd w:val="clear" w:color="auto" w:fill="CCEEFF"/>
          </w:tcPr>
          <w:p>
            <w:pPr>
              <w:spacing w:after="0"/>
              <w:rPr>
                <w:sz w:val="18"/>
                <w:szCs w:val="18"/>
                <w:color w:val="auto"/>
              </w:rPr>
            </w:pPr>
          </w:p>
        </w:tc>
      </w:tr>
      <w:tr>
        <w:trPr>
          <w:trHeight w:val="212"/>
        </w:trPr>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23"/>
              <w:spacing w:after="0"/>
              <w:rPr>
                <w:sz w:val="20"/>
                <w:szCs w:val="20"/>
                <w:color w:val="auto"/>
              </w:rPr>
            </w:pPr>
            <w:r>
              <w:rPr>
                <w:rFonts w:ascii="Times New Roman" w:cs="Times New Roman" w:eastAsia="Times New Roman" w:hAnsi="Times New Roman"/>
                <w:sz w:val="18"/>
                <w:szCs w:val="18"/>
                <w:color w:val="auto"/>
              </w:rPr>
              <w:t>23,042</w:t>
            </w:r>
          </w:p>
        </w:tc>
        <w:tc>
          <w:tcPr>
            <w:tcW w:w="340" w:type="dxa"/>
            <w:vAlign w:val="bottom"/>
          </w:tcPr>
          <w:p>
            <w:pPr>
              <w:spacing w:after="0"/>
              <w:rPr>
                <w:sz w:val="18"/>
                <w:szCs w:val="18"/>
                <w:color w:val="auto"/>
              </w:rPr>
            </w:pPr>
          </w:p>
        </w:tc>
        <w:tc>
          <w:tcPr>
            <w:tcW w:w="1380" w:type="dxa"/>
            <w:vAlign w:val="bottom"/>
            <w:gridSpan w:val="2"/>
          </w:tcPr>
          <w:p>
            <w:pPr>
              <w:jc w:val="right"/>
              <w:ind w:right="123"/>
              <w:spacing w:after="0"/>
              <w:rPr>
                <w:sz w:val="20"/>
                <w:szCs w:val="20"/>
                <w:color w:val="auto"/>
              </w:rPr>
            </w:pPr>
            <w:r>
              <w:rPr>
                <w:rFonts w:ascii="Times New Roman" w:cs="Times New Roman" w:eastAsia="Times New Roman" w:hAnsi="Times New Roman"/>
                <w:sz w:val="18"/>
                <w:szCs w:val="18"/>
                <w:color w:val="auto"/>
              </w:rPr>
              <w:t>20,740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17,237</w:t>
            </w:r>
          </w:p>
        </w:tc>
        <w:tc>
          <w:tcPr>
            <w:tcW w:w="100" w:type="dxa"/>
            <w:vAlign w:val="bottom"/>
          </w:tcPr>
          <w:p>
            <w:pPr>
              <w:spacing w:after="0"/>
              <w:rPr>
                <w:sz w:val="18"/>
                <w:szCs w:val="18"/>
                <w:color w:val="auto"/>
              </w:rPr>
            </w:pPr>
          </w:p>
        </w:tc>
      </w:tr>
      <w:tr>
        <w:trPr>
          <w:trHeight w:val="225"/>
        </w:trPr>
        <w:tc>
          <w:tcPr>
            <w:tcW w:w="4420" w:type="dxa"/>
            <w:vAlign w:val="bottom"/>
            <w:shd w:val="clear" w:color="auto" w:fill="CCEEFF"/>
          </w:tcPr>
          <w:p>
            <w:pPr>
              <w:ind w:left="160"/>
              <w:spacing w:after="0" w:line="225" w:lineRule="exact"/>
              <w:rPr>
                <w:sz w:val="20"/>
                <w:szCs w:val="20"/>
                <w:color w:val="auto"/>
              </w:rPr>
            </w:pPr>
            <w:r>
              <w:rPr>
                <w:rFonts w:ascii="Times New Roman" w:cs="Times New Roman" w:eastAsia="Times New Roman" w:hAnsi="Times New Roman"/>
                <w:sz w:val="16"/>
                <w:szCs w:val="16"/>
                <w:color w:val="auto"/>
              </w:rPr>
              <w:t xml:space="preserve">Other segment items </w:t>
            </w:r>
            <w:r>
              <w:rPr>
                <w:rFonts w:ascii="Times New Roman" w:cs="Times New Roman" w:eastAsia="Times New Roman" w:hAnsi="Times New Roman"/>
                <w:sz w:val="26"/>
                <w:szCs w:val="26"/>
                <w:color w:val="auto"/>
                <w:vertAlign w:val="superscript"/>
              </w:rPr>
              <w:t>(1)</w:t>
            </w: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8"/>
                <w:szCs w:val="18"/>
                <w:color w:val="auto"/>
              </w:rPr>
              <w:t>2,781</w:t>
            </w:r>
          </w:p>
        </w:tc>
        <w:tc>
          <w:tcPr>
            <w:tcW w:w="3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8"/>
                <w:szCs w:val="18"/>
                <w:color w:val="auto"/>
              </w:rPr>
              <w:t>(6,681)</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w:t>
            </w:r>
          </w:p>
        </w:tc>
      </w:tr>
      <w:tr>
        <w:trPr>
          <w:trHeight w:val="219"/>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taxes</w:t>
            </w:r>
          </w:p>
        </w:tc>
        <w:tc>
          <w:tcPr>
            <w:tcW w:w="11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(62,407</w:t>
            </w:r>
          </w:p>
        </w:tc>
        <w:tc>
          <w:tcPr>
            <w:tcW w:w="20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(64,946</w:t>
            </w:r>
          </w:p>
        </w:tc>
        <w:tc>
          <w:tcPr>
            <w:tcW w:w="20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45,816</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(1) Other segment items include restructuring charges as well as miscellaneous non-operating items.</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During the last three years, the following customers comprised 10% or greater of our consolidated net sales:</w:t>
      </w:r>
    </w:p>
    <w:p>
      <w:pPr>
        <w:spacing w:after="0" w:line="230" w:lineRule="exact"/>
        <w:rPr>
          <w:sz w:val="20"/>
          <w:szCs w:val="20"/>
          <w:color w:val="auto"/>
        </w:rPr>
      </w:pPr>
    </w:p>
    <w:tbl>
      <w:tblPr>
        <w:tblLayout w:type="fixed"/>
        <w:tblInd w:w="480" w:type="dxa"/>
        <w:tblCellMar>
          <w:top w:w="0" w:type="dxa"/>
          <w:left w:w="0" w:type="dxa"/>
          <w:bottom w:w="0" w:type="dxa"/>
          <w:right w:w="0" w:type="dxa"/>
        </w:tblCellMar>
      </w:tblPr>
      <w:tr>
        <w:trPr>
          <w:trHeight w:val="230"/>
        </w:trPr>
        <w:tc>
          <w:tcPr>
            <w:tcW w:w="4440" w:type="dxa"/>
            <w:vAlign w:val="bottom"/>
          </w:tcPr>
          <w:p>
            <w:pPr>
              <w:spacing w:after="0"/>
              <w:rPr>
                <w:sz w:val="20"/>
                <w:szCs w:val="20"/>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2025</w:t>
            </w: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2024</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0"/>
        </w:trPr>
        <w:tc>
          <w:tcPr>
            <w:tcW w:w="44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STMicroelectronics</w:t>
            </w:r>
          </w:p>
        </w:tc>
        <w:tc>
          <w:tcPr>
            <w:tcW w:w="15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440" w:type="dxa"/>
            <w:vAlign w:val="bottom"/>
            <w:vMerge w:val="continue"/>
            <w:shd w:val="clear" w:color="auto" w:fill="CCEEFF"/>
          </w:tcPr>
          <w:p>
            <w:pPr>
              <w:spacing w:after="0"/>
              <w:rPr>
                <w:sz w:val="17"/>
                <w:szCs w:val="17"/>
                <w:color w:val="auto"/>
              </w:rPr>
            </w:pPr>
          </w:p>
        </w:tc>
        <w:tc>
          <w:tcPr>
            <w:tcW w:w="152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continue"/>
            <w:shd w:val="clear" w:color="auto" w:fill="CCEEFF"/>
          </w:tcPr>
          <w:p>
            <w:pPr>
              <w:spacing w:after="0"/>
              <w:rPr>
                <w:sz w:val="17"/>
                <w:szCs w:val="17"/>
                <w:color w:val="auto"/>
              </w:rPr>
            </w:pPr>
          </w:p>
        </w:tc>
        <w:tc>
          <w:tcPr>
            <w:tcW w:w="152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continue"/>
            <w:shd w:val="clear" w:color="auto" w:fill="CCEEFF"/>
          </w:tcPr>
          <w:p>
            <w:pPr>
              <w:spacing w:after="0"/>
              <w:rPr>
                <w:sz w:val="17"/>
                <w:szCs w:val="17"/>
                <w:color w:val="auto"/>
              </w:rPr>
            </w:pPr>
          </w:p>
        </w:tc>
        <w:tc>
          <w:tcPr>
            <w:tcW w:w="1680" w:type="dxa"/>
            <w:vAlign w:val="bottom"/>
            <w:gridSpan w:val="2"/>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0</wp:posOffset>
            </wp:positionV>
            <wp:extent cx="66300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630035" cy="8255"/>
                    </a:xfrm>
                    <a:prstGeom prst="rect">
                      <a:avLst/>
                    </a:prstGeom>
                    <a:noFill/>
                  </pic:spPr>
                </pic:pic>
              </a:graphicData>
            </a:graphic>
          </wp:anchor>
        </w:drawing>
      </w:r>
    </w:p>
    <w:p>
      <w:pPr>
        <w:ind w:left="800"/>
        <w:spacing w:after="0"/>
        <w:rPr>
          <w:sz w:val="20"/>
          <w:szCs w:val="20"/>
          <w:color w:val="auto"/>
        </w:rPr>
      </w:pPr>
      <w:r>
        <w:rPr>
          <w:rFonts w:ascii="Times New Roman" w:cs="Times New Roman" w:eastAsia="Times New Roman" w:hAnsi="Times New Roman"/>
          <w:sz w:val="14"/>
          <w:szCs w:val="14"/>
          <w:color w:val="auto"/>
        </w:rPr>
        <w:t>* Less than 10% of consolidated net sales.</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Net sales to customers, attributed to countries based on product shipment destination, were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80" w:type="dxa"/>
            <w:vAlign w:val="bottom"/>
          </w:tcPr>
          <w:p>
            <w:pPr>
              <w:spacing w:after="0"/>
              <w:rPr>
                <w:sz w:val="20"/>
                <w:szCs w:val="20"/>
                <w:color w:val="auto"/>
              </w:rPr>
            </w:pPr>
          </w:p>
        </w:tc>
        <w:tc>
          <w:tcPr>
            <w:tcW w:w="3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5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80" w:type="dxa"/>
            <w:vAlign w:val="bottom"/>
          </w:tcPr>
          <w:p>
            <w:pPr>
              <w:spacing w:after="0"/>
              <w:rPr>
                <w:sz w:val="17"/>
                <w:szCs w:val="17"/>
                <w:color w:val="auto"/>
              </w:rPr>
            </w:pPr>
          </w:p>
        </w:tc>
        <w:tc>
          <w:tcPr>
            <w:tcW w:w="314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Philippines</w:t>
            </w:r>
          </w:p>
        </w:tc>
        <w:tc>
          <w:tcPr>
            <w:tcW w:w="2860" w:type="dxa"/>
            <w:vAlign w:val="bottom"/>
            <w:gridSpan w:val="2"/>
            <w:shd w:val="clear" w:color="auto" w:fill="CCEEFF"/>
          </w:tcPr>
          <w:p>
            <w:pPr>
              <w:jc w:val="right"/>
              <w:ind w:right="157"/>
              <w:spacing w:after="0" w:line="205"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line="205" w:lineRule="exact"/>
              <w:rPr>
                <w:sz w:val="20"/>
                <w:szCs w:val="20"/>
                <w:color w:val="auto"/>
              </w:rPr>
            </w:pPr>
            <w:r>
              <w:rPr>
                <w:rFonts w:ascii="Times New Roman" w:cs="Times New Roman" w:eastAsia="Times New Roman" w:hAnsi="Times New Roman"/>
                <w:sz w:val="18"/>
                <w:szCs w:val="18"/>
                <w:color w:val="auto"/>
              </w:rPr>
              <w:t>68,936</w:t>
            </w:r>
          </w:p>
        </w:tc>
        <w:tc>
          <w:tcPr>
            <w:tcW w:w="440" w:type="dxa"/>
            <w:vAlign w:val="bottom"/>
            <w:gridSpan w:val="2"/>
            <w:shd w:val="clear" w:color="auto" w:fill="CCEEFF"/>
          </w:tcPr>
          <w:p>
            <w:pPr>
              <w:jc w:val="right"/>
              <w:ind w:right="152"/>
              <w:spacing w:after="0" w:line="205"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20"/>
              <w:spacing w:after="0" w:line="205" w:lineRule="exact"/>
              <w:rPr>
                <w:sz w:val="20"/>
                <w:szCs w:val="20"/>
                <w:color w:val="auto"/>
              </w:rPr>
            </w:pPr>
            <w:r>
              <w:rPr>
                <w:rFonts w:ascii="Times New Roman" w:cs="Times New Roman" w:eastAsia="Times New Roman" w:hAnsi="Times New Roman"/>
                <w:sz w:val="18"/>
                <w:szCs w:val="18"/>
                <w:color w:val="auto"/>
              </w:rPr>
              <w:t>51,310</w:t>
            </w:r>
          </w:p>
        </w:tc>
        <w:tc>
          <w:tcPr>
            <w:tcW w:w="420" w:type="dxa"/>
            <w:vAlign w:val="bottom"/>
            <w:gridSpan w:val="2"/>
            <w:shd w:val="clear" w:color="auto" w:fill="CCEEFF"/>
          </w:tcPr>
          <w:p>
            <w:pPr>
              <w:jc w:val="right"/>
              <w:ind w:right="157"/>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92,529</w:t>
            </w:r>
          </w:p>
        </w:tc>
        <w:tc>
          <w:tcPr>
            <w:tcW w:w="10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8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Taiwan</w:t>
            </w:r>
          </w:p>
        </w:tc>
        <w:tc>
          <w:tcPr>
            <w:tcW w:w="2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64,667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22,562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60,654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59,491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92,408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Malaysia</w:t>
            </w:r>
          </w:p>
        </w:tc>
        <w:tc>
          <w:tcPr>
            <w:tcW w:w="2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57,263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54,016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100,949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46,957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56,663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76,995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c>
          <w:tcPr>
            <w:tcW w:w="2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26,176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40,827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53,518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80" w:type="dxa"/>
            <w:vAlign w:val="bottom"/>
          </w:tcPr>
          <w:p>
            <w:pPr>
              <w:spacing w:after="0"/>
              <w:rPr>
                <w:sz w:val="19"/>
                <w:szCs w:val="19"/>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 of the world</w:t>
            </w:r>
          </w:p>
        </w:tc>
        <w:tc>
          <w:tcPr>
            <w:tcW w:w="25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128,303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116,910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0" w:type="dxa"/>
            <w:vAlign w:val="bottom"/>
          </w:tcPr>
          <w:p>
            <w:pPr>
              <w:spacing w:after="0"/>
              <w:rPr>
                <w:sz w:val="19"/>
                <w:szCs w:val="19"/>
                <w:color w:val="auto"/>
              </w:rPr>
            </w:pPr>
          </w:p>
        </w:tc>
        <w:tc>
          <w:tcPr>
            <w:tcW w:w="3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net</w:t>
            </w:r>
          </w:p>
        </w:tc>
        <w:tc>
          <w:tcPr>
            <w:tcW w:w="25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452,956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401,779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636,322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540" w:type="dxa"/>
            <w:vAlign w:val="bottom"/>
            <w:vMerge w:val="restart"/>
          </w:tcPr>
          <w:p>
            <w:pPr>
              <w:jc w:val="right"/>
              <w:ind w:right="352"/>
              <w:spacing w:after="0"/>
              <w:rPr>
                <w:sz w:val="20"/>
                <w:szCs w:val="20"/>
                <w:color w:val="auto"/>
              </w:rPr>
            </w:pPr>
            <w:r>
              <w:rPr>
                <w:rFonts w:ascii="Times New Roman" w:cs="Times New Roman" w:eastAsia="Times New Roman" w:hAnsi="Times New Roman"/>
                <w:sz w:val="18"/>
                <w:szCs w:val="18"/>
                <w:color w:val="auto"/>
              </w:rPr>
              <w:t>85</w:t>
            </w: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4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80" w:type="dxa"/>
            <w:vAlign w:val="bottom"/>
            <w:tcBorders>
              <w:bottom w:val="single" w:sz="8" w:color="auto"/>
            </w:tcBorders>
          </w:tcPr>
          <w:p>
            <w:pPr>
              <w:spacing w:after="0"/>
              <w:rPr>
                <w:sz w:val="9"/>
                <w:szCs w:val="9"/>
                <w:color w:val="auto"/>
              </w:rPr>
            </w:pPr>
          </w:p>
        </w:tc>
        <w:tc>
          <w:tcPr>
            <w:tcW w:w="3140" w:type="dxa"/>
            <w:vAlign w:val="bottom"/>
            <w:tcBorders>
              <w:bottom w:val="single" w:sz="8" w:color="auto"/>
            </w:tcBorders>
          </w:tcPr>
          <w:p>
            <w:pPr>
              <w:spacing w:after="0"/>
              <w:rPr>
                <w:sz w:val="9"/>
                <w:szCs w:val="9"/>
                <w:color w:val="auto"/>
              </w:rPr>
            </w:pPr>
          </w:p>
        </w:tc>
        <w:tc>
          <w:tcPr>
            <w:tcW w:w="25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36195</wp:posOffset>
            </wp:positionV>
            <wp:extent cx="71348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97" w:lineRule="exact"/>
        <w:rPr>
          <w:sz w:val="20"/>
          <w:szCs w:val="20"/>
          <w:color w:val="auto"/>
        </w:rPr>
      </w:pPr>
    </w:p>
    <w:p>
      <w:pPr>
        <w:ind w:left="320" w:right="120"/>
        <w:spacing w:after="0" w:line="274" w:lineRule="auto"/>
        <w:rPr>
          <w:sz w:val="20"/>
          <w:szCs w:val="20"/>
          <w:color w:val="auto"/>
        </w:rPr>
      </w:pPr>
      <w:r>
        <w:rPr>
          <w:rFonts w:ascii="Times New Roman" w:cs="Times New Roman" w:eastAsia="Times New Roman" w:hAnsi="Times New Roman"/>
          <w:sz w:val="18"/>
          <w:szCs w:val="18"/>
          <w:color w:val="auto"/>
        </w:rPr>
        <w:t>The measure of segment assets is reported on the consolidated balance sheets as total consolidated assets. Geographic location of our property, plant and equipment and other long-lived assets was as follows:</w:t>
      </w:r>
    </w:p>
    <w:p>
      <w:pPr>
        <w:spacing w:after="0" w:line="175" w:lineRule="exact"/>
        <w:rPr>
          <w:sz w:val="20"/>
          <w:szCs w:val="20"/>
          <w:color w:val="auto"/>
        </w:rPr>
      </w:pPr>
    </w:p>
    <w:tbl>
      <w:tblPr>
        <w:tblLayout w:type="fixed"/>
        <w:tblInd w:w="480" w:type="dxa"/>
        <w:tblCellMar>
          <w:top w:w="0" w:type="dxa"/>
          <w:left w:w="0" w:type="dxa"/>
          <w:bottom w:w="0" w:type="dxa"/>
          <w:right w:w="0" w:type="dxa"/>
        </w:tblCellMar>
      </w:tblPr>
      <w:tr>
        <w:trPr>
          <w:trHeight w:val="232"/>
        </w:trPr>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3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5"/>
        </w:trPr>
        <w:tc>
          <w:tcPr>
            <w:tcW w:w="500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Property, plant and equipment:</w:t>
            </w:r>
          </w:p>
        </w:tc>
        <w:tc>
          <w:tcPr>
            <w:tcW w:w="2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2"/>
        </w:trPr>
        <w:tc>
          <w:tcPr>
            <w:tcW w:w="5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Philippines</w:t>
            </w:r>
          </w:p>
        </w:tc>
        <w:tc>
          <w:tcPr>
            <w:tcW w:w="272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21,021</w:t>
            </w:r>
          </w:p>
        </w:tc>
        <w:tc>
          <w:tcPr>
            <w:tcW w:w="320" w:type="dxa"/>
            <w:vAlign w:val="bottom"/>
            <w:gridSpan w:val="2"/>
          </w:tcPr>
          <w:p>
            <w:pPr>
              <w:jc w:val="right"/>
              <w:ind w:right="18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23,072</w:t>
            </w:r>
          </w:p>
        </w:tc>
        <w:tc>
          <w:tcPr>
            <w:tcW w:w="80" w:type="dxa"/>
            <w:vAlign w:val="bottom"/>
          </w:tcPr>
          <w:p>
            <w:pPr>
              <w:spacing w:after="0"/>
              <w:rPr>
                <w:sz w:val="18"/>
                <w:szCs w:val="18"/>
                <w:color w:val="auto"/>
              </w:rPr>
            </w:pPr>
          </w:p>
        </w:tc>
      </w:tr>
      <w:tr>
        <w:trPr>
          <w:trHeight w:val="212"/>
        </w:trPr>
        <w:tc>
          <w:tcPr>
            <w:tcW w:w="5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Germany</w:t>
            </w:r>
          </w:p>
        </w:tc>
        <w:tc>
          <w:tcPr>
            <w:tcW w:w="2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18,705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15,705</w:t>
            </w:r>
          </w:p>
        </w:tc>
        <w:tc>
          <w:tcPr>
            <w:tcW w:w="80" w:type="dxa"/>
            <w:vAlign w:val="bottom"/>
            <w:shd w:val="clear" w:color="auto" w:fill="CCEEFF"/>
          </w:tcPr>
          <w:p>
            <w:pPr>
              <w:spacing w:after="0"/>
              <w:rPr>
                <w:sz w:val="18"/>
                <w:szCs w:val="18"/>
                <w:color w:val="auto"/>
              </w:rPr>
            </w:pPr>
          </w:p>
        </w:tc>
      </w:tr>
      <w:tr>
        <w:trPr>
          <w:trHeight w:val="212"/>
        </w:trPr>
        <w:tc>
          <w:tcPr>
            <w:tcW w:w="5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Malaysia</w:t>
            </w:r>
          </w:p>
        </w:tc>
        <w:tc>
          <w:tcPr>
            <w:tcW w:w="2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15,826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15,264</w:t>
            </w:r>
          </w:p>
        </w:tc>
        <w:tc>
          <w:tcPr>
            <w:tcW w:w="80" w:type="dxa"/>
            <w:vAlign w:val="bottom"/>
          </w:tcPr>
          <w:p>
            <w:pPr>
              <w:spacing w:after="0"/>
              <w:rPr>
                <w:sz w:val="18"/>
                <w:szCs w:val="18"/>
                <w:color w:val="auto"/>
              </w:rPr>
            </w:pPr>
          </w:p>
        </w:tc>
      </w:tr>
      <w:tr>
        <w:trPr>
          <w:trHeight w:val="212"/>
        </w:trPr>
        <w:tc>
          <w:tcPr>
            <w:tcW w:w="5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United States</w:t>
            </w:r>
          </w:p>
        </w:tc>
        <w:tc>
          <w:tcPr>
            <w:tcW w:w="2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13,902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13,601</w:t>
            </w:r>
          </w:p>
        </w:tc>
        <w:tc>
          <w:tcPr>
            <w:tcW w:w="80" w:type="dxa"/>
            <w:vAlign w:val="bottom"/>
            <w:shd w:val="clear" w:color="auto" w:fill="CCEEFF"/>
          </w:tcPr>
          <w:p>
            <w:pPr>
              <w:spacing w:after="0"/>
              <w:rPr>
                <w:sz w:val="18"/>
                <w:szCs w:val="18"/>
                <w:color w:val="auto"/>
              </w:rPr>
            </w:pPr>
          </w:p>
        </w:tc>
      </w:tr>
      <w:tr>
        <w:trPr>
          <w:trHeight w:val="212"/>
        </w:trPr>
        <w:tc>
          <w:tcPr>
            <w:tcW w:w="5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Japan</w:t>
            </w:r>
          </w:p>
        </w:tc>
        <w:tc>
          <w:tcPr>
            <w:tcW w:w="2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5,778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6,051</w:t>
            </w:r>
          </w:p>
        </w:tc>
        <w:tc>
          <w:tcPr>
            <w:tcW w:w="80" w:type="dxa"/>
            <w:vAlign w:val="bottom"/>
          </w:tcPr>
          <w:p>
            <w:pPr>
              <w:spacing w:after="0"/>
              <w:rPr>
                <w:sz w:val="18"/>
                <w:szCs w:val="18"/>
                <w:color w:val="auto"/>
              </w:rPr>
            </w:pPr>
          </w:p>
        </w:tc>
      </w:tr>
      <w:tr>
        <w:trPr>
          <w:trHeight w:val="225"/>
        </w:trPr>
        <w:tc>
          <w:tcPr>
            <w:tcW w:w="5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 of the world</w:t>
            </w:r>
          </w:p>
        </w:tc>
        <w:tc>
          <w:tcPr>
            <w:tcW w:w="2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1,755</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1,093</w:t>
            </w:r>
          </w:p>
        </w:tc>
        <w:tc>
          <w:tcPr>
            <w:tcW w:w="80" w:type="dxa"/>
            <w:vAlign w:val="bottom"/>
            <w:shd w:val="clear" w:color="auto" w:fill="CCEEFF"/>
          </w:tcPr>
          <w:p>
            <w:pPr>
              <w:spacing w:after="0"/>
              <w:rPr>
                <w:sz w:val="19"/>
                <w:szCs w:val="19"/>
                <w:color w:val="auto"/>
              </w:rPr>
            </w:pPr>
          </w:p>
        </w:tc>
      </w:tr>
      <w:tr>
        <w:trPr>
          <w:trHeight w:val="259"/>
        </w:trPr>
        <w:tc>
          <w:tcPr>
            <w:tcW w:w="50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net</w:t>
            </w:r>
          </w:p>
        </w:tc>
        <w:tc>
          <w:tcPr>
            <w:tcW w:w="238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76,987</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74,786</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2"/>
        </w:trPr>
        <w:tc>
          <w:tcPr>
            <w:tcW w:w="5000" w:type="dxa"/>
            <w:vAlign w:val="bottom"/>
            <w:shd w:val="clear" w:color="auto" w:fill="CCEEFF"/>
          </w:tcPr>
          <w:p>
            <w:pPr>
              <w:spacing w:after="0"/>
              <w:rPr>
                <w:sz w:val="16"/>
                <w:szCs w:val="16"/>
                <w:color w:val="auto"/>
              </w:rPr>
            </w:pPr>
          </w:p>
        </w:tc>
        <w:tc>
          <w:tcPr>
            <w:tcW w:w="23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2"/>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Goodwill and other intangible assets:</w:t>
            </w:r>
          </w:p>
        </w:tc>
        <w:tc>
          <w:tcPr>
            <w:tcW w:w="2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5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Germany</w:t>
            </w:r>
          </w:p>
        </w:tc>
        <w:tc>
          <w:tcPr>
            <w:tcW w:w="272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132,356</w:t>
            </w:r>
          </w:p>
        </w:tc>
        <w:tc>
          <w:tcPr>
            <w:tcW w:w="320" w:type="dxa"/>
            <w:vAlign w:val="bottom"/>
            <w:gridSpan w:val="2"/>
            <w:shd w:val="clear" w:color="auto" w:fill="CCEEFF"/>
          </w:tcPr>
          <w:p>
            <w:pPr>
              <w:jc w:val="right"/>
              <w:ind w:right="18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128,513</w:t>
            </w:r>
          </w:p>
        </w:tc>
        <w:tc>
          <w:tcPr>
            <w:tcW w:w="80" w:type="dxa"/>
            <w:vAlign w:val="bottom"/>
            <w:shd w:val="clear" w:color="auto" w:fill="CCEEFF"/>
          </w:tcPr>
          <w:p>
            <w:pPr>
              <w:spacing w:after="0"/>
              <w:rPr>
                <w:sz w:val="18"/>
                <w:szCs w:val="18"/>
                <w:color w:val="auto"/>
              </w:rPr>
            </w:pPr>
          </w:p>
        </w:tc>
      </w:tr>
      <w:tr>
        <w:trPr>
          <w:trHeight w:val="212"/>
        </w:trPr>
        <w:tc>
          <w:tcPr>
            <w:tcW w:w="5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United States</w:t>
            </w:r>
          </w:p>
        </w:tc>
        <w:tc>
          <w:tcPr>
            <w:tcW w:w="2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109,815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92,251</w:t>
            </w:r>
          </w:p>
        </w:tc>
        <w:tc>
          <w:tcPr>
            <w:tcW w:w="80" w:type="dxa"/>
            <w:vAlign w:val="bottom"/>
          </w:tcPr>
          <w:p>
            <w:pPr>
              <w:spacing w:after="0"/>
              <w:rPr>
                <w:sz w:val="18"/>
                <w:szCs w:val="18"/>
                <w:color w:val="auto"/>
              </w:rPr>
            </w:pPr>
          </w:p>
        </w:tc>
      </w:tr>
      <w:tr>
        <w:trPr>
          <w:trHeight w:val="212"/>
        </w:trPr>
        <w:tc>
          <w:tcPr>
            <w:tcW w:w="5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Malaysia</w:t>
            </w:r>
          </w:p>
        </w:tc>
        <w:tc>
          <w:tcPr>
            <w:tcW w:w="2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60,913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61,252</w:t>
            </w:r>
          </w:p>
        </w:tc>
        <w:tc>
          <w:tcPr>
            <w:tcW w:w="80" w:type="dxa"/>
            <w:vAlign w:val="bottom"/>
            <w:shd w:val="clear" w:color="auto" w:fill="CCEEFF"/>
          </w:tcPr>
          <w:p>
            <w:pPr>
              <w:spacing w:after="0"/>
              <w:rPr>
                <w:sz w:val="18"/>
                <w:szCs w:val="18"/>
                <w:color w:val="auto"/>
              </w:rPr>
            </w:pPr>
          </w:p>
        </w:tc>
      </w:tr>
      <w:tr>
        <w:trPr>
          <w:trHeight w:val="212"/>
        </w:trPr>
        <w:tc>
          <w:tcPr>
            <w:tcW w:w="5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Singapore</w:t>
            </w:r>
          </w:p>
        </w:tc>
        <w:tc>
          <w:tcPr>
            <w:tcW w:w="2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51,753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56,276</w:t>
            </w:r>
          </w:p>
        </w:tc>
        <w:tc>
          <w:tcPr>
            <w:tcW w:w="80" w:type="dxa"/>
            <w:vAlign w:val="bottom"/>
          </w:tcPr>
          <w:p>
            <w:pPr>
              <w:spacing w:after="0"/>
              <w:rPr>
                <w:sz w:val="18"/>
                <w:szCs w:val="18"/>
                <w:color w:val="auto"/>
              </w:rPr>
            </w:pPr>
          </w:p>
        </w:tc>
      </w:tr>
      <w:tr>
        <w:trPr>
          <w:trHeight w:val="225"/>
        </w:trPr>
        <w:tc>
          <w:tcPr>
            <w:tcW w:w="5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 of the world</w:t>
            </w:r>
          </w:p>
        </w:tc>
        <w:tc>
          <w:tcPr>
            <w:tcW w:w="2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7,462</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7,064</w:t>
            </w:r>
          </w:p>
        </w:tc>
        <w:tc>
          <w:tcPr>
            <w:tcW w:w="80" w:type="dxa"/>
            <w:vAlign w:val="bottom"/>
            <w:shd w:val="clear" w:color="auto" w:fill="CCEEFF"/>
          </w:tcPr>
          <w:p>
            <w:pPr>
              <w:spacing w:after="0"/>
              <w:rPr>
                <w:sz w:val="19"/>
                <w:szCs w:val="19"/>
                <w:color w:val="auto"/>
              </w:rPr>
            </w:pPr>
          </w:p>
        </w:tc>
      </w:tr>
      <w:tr>
        <w:trPr>
          <w:trHeight w:val="218"/>
        </w:trPr>
        <w:tc>
          <w:tcPr>
            <w:tcW w:w="5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net</w:t>
            </w:r>
          </w:p>
        </w:tc>
        <w:tc>
          <w:tcPr>
            <w:tcW w:w="23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362,299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345,356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0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0" w:lineRule="exact"/>
        <w:rPr>
          <w:sz w:val="20"/>
          <w:szCs w:val="20"/>
          <w:color w:val="auto"/>
        </w:rPr>
      </w:pPr>
    </w:p>
    <w:p>
      <w:pPr>
        <w:ind w:left="320" w:hanging="314"/>
        <w:spacing w:after="0"/>
        <w:tabs>
          <w:tab w:leader="none" w:pos="3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19" w:lineRule="exact"/>
        <w:rPr>
          <w:rFonts w:ascii="Times New Roman" w:cs="Times New Roman" w:eastAsia="Times New Roman" w:hAnsi="Times New Roman"/>
          <w:sz w:val="18"/>
          <w:szCs w:val="18"/>
          <w:b w:val="1"/>
          <w:bCs w:val="1"/>
          <w:color w:val="auto"/>
        </w:rPr>
      </w:pPr>
    </w:p>
    <w:p>
      <w:pPr>
        <w:ind w:left="320" w:right="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We lease certain of our facilities, equipment and vehicles under non-cancelable operating and finance leases. Leases with initial terms with 12 months or less are not recorded in the consolidated balance sheet, but we recognized those lease payments in the consolidated statements of operations on a straight-line basis over the lease term. Lease and non-lease components are included in the calculation of the right of use asset (“ROU”) asset and lease liabilities.</w:t>
      </w:r>
    </w:p>
    <w:p>
      <w:pPr>
        <w:spacing w:after="0" w:line="158" w:lineRule="exact"/>
        <w:rPr>
          <w:rFonts w:ascii="Times New Roman" w:cs="Times New Roman" w:eastAsia="Times New Roman" w:hAnsi="Times New Roman"/>
          <w:sz w:val="18"/>
          <w:szCs w:val="18"/>
          <w:b w:val="1"/>
          <w:bCs w:val="1"/>
          <w:color w:val="auto"/>
        </w:rPr>
      </w:pPr>
    </w:p>
    <w:p>
      <w:pPr>
        <w:ind w:left="32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leases have remaining lease terms ranging from 1 year to 32 years, some of which include one or more options to extend the lease for up to 25 years. Our lease term includes renewal terms when we are reasonably certain that we will exercise the renewal options. We sublease certain leased assets to third parties, mainly as a result of unused space in our facilities.</w:t>
      </w:r>
    </w:p>
    <w:p>
      <w:pPr>
        <w:spacing w:after="0" w:line="177"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Future minimum lease payments at December 27, 2025, are as follows:</w:t>
      </w:r>
    </w:p>
    <w:p>
      <w:pPr>
        <w:spacing w:after="0" w:line="217" w:lineRule="exact"/>
        <w:rPr>
          <w:sz w:val="20"/>
          <w:szCs w:val="20"/>
          <w:color w:val="auto"/>
        </w:rPr>
      </w:pPr>
    </w:p>
    <w:tbl>
      <w:tblPr>
        <w:tblLayout w:type="fixed"/>
        <w:tblInd w:w="640" w:type="dxa"/>
        <w:tblCellMar>
          <w:top w:w="0" w:type="dxa"/>
          <w:left w:w="0" w:type="dxa"/>
          <w:bottom w:w="0" w:type="dxa"/>
          <w:right w:w="0" w:type="dxa"/>
        </w:tblCellMar>
      </w:tblPr>
      <w:tr>
        <w:trPr>
          <w:trHeight w:val="225"/>
        </w:trPr>
        <w:tc>
          <w:tcPr>
            <w:tcW w:w="56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19"/>
                <w:szCs w:val="19"/>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Operating</w:t>
            </w:r>
          </w:p>
        </w:tc>
        <w:tc>
          <w:tcPr>
            <w:tcW w:w="200" w:type="dxa"/>
            <w:vAlign w:val="bottom"/>
          </w:tcPr>
          <w:p>
            <w:pPr>
              <w:spacing w:after="0"/>
              <w:rPr>
                <w:sz w:val="19"/>
                <w:szCs w:val="19"/>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Finance</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leases</w:t>
            </w:r>
          </w:p>
        </w:tc>
        <w:tc>
          <w:tcPr>
            <w:tcW w:w="200" w:type="dxa"/>
            <w:vAlign w:val="bottom"/>
          </w:tcPr>
          <w:p>
            <w:pPr>
              <w:spacing w:after="0"/>
              <w:rPr>
                <w:sz w:val="20"/>
                <w:szCs w:val="20"/>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7"/>
              </w:rPr>
              <w:t>leases</w:t>
            </w:r>
          </w:p>
        </w:tc>
        <w:tc>
          <w:tcPr>
            <w:tcW w:w="240" w:type="dxa"/>
            <w:vAlign w:val="bottom"/>
          </w:tcPr>
          <w:p>
            <w:pPr>
              <w:spacing w:after="0"/>
              <w:rPr>
                <w:sz w:val="20"/>
                <w:szCs w:val="20"/>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5"/>
        </w:trPr>
        <w:tc>
          <w:tcPr>
            <w:tcW w:w="5640" w:type="dxa"/>
            <w:vAlign w:val="bottom"/>
            <w:tcBorders>
              <w:top w:val="single" w:sz="8" w:color="auto"/>
            </w:tcBorders>
            <w:shd w:val="clear" w:color="auto" w:fill="CCEEFF"/>
          </w:tcPr>
          <w:p>
            <w:pPr>
              <w:spacing w:after="0" w:line="205" w:lineRule="exact"/>
              <w:rPr>
                <w:sz w:val="20"/>
                <w:szCs w:val="20"/>
                <w:color w:val="auto"/>
              </w:rPr>
            </w:pPr>
            <w:r>
              <w:rPr>
                <w:rFonts w:ascii="Times New Roman" w:cs="Times New Roman" w:eastAsia="Times New Roman" w:hAnsi="Times New Roman"/>
                <w:sz w:val="15"/>
                <w:szCs w:val="15"/>
                <w:color w:val="auto"/>
              </w:rPr>
              <w:t>2026</w:t>
            </w:r>
            <w:r>
              <w:rPr>
                <w:rFonts w:ascii="Times New Roman" w:cs="Times New Roman" w:eastAsia="Times New Roman" w:hAnsi="Times New Roman"/>
                <w:sz w:val="23"/>
                <w:szCs w:val="23"/>
                <w:color w:val="auto"/>
                <w:vertAlign w:val="superscript"/>
              </w:rPr>
              <w:t>(1)</w:t>
            </w:r>
          </w:p>
        </w:tc>
        <w:tc>
          <w:tcPr>
            <w:tcW w:w="16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gridSpan w:val="2"/>
            <w:shd w:val="clear" w:color="auto" w:fill="CCEEFF"/>
          </w:tcPr>
          <w:p>
            <w:pPr>
              <w:jc w:val="right"/>
              <w:ind w:right="180"/>
              <w:spacing w:after="0" w:line="205" w:lineRule="exact"/>
              <w:rPr>
                <w:sz w:val="20"/>
                <w:szCs w:val="20"/>
                <w:color w:val="auto"/>
              </w:rPr>
            </w:pPr>
            <w:r>
              <w:rPr>
                <w:rFonts w:ascii="Times New Roman" w:cs="Times New Roman" w:eastAsia="Times New Roman" w:hAnsi="Times New Roman"/>
                <w:sz w:val="18"/>
                <w:szCs w:val="18"/>
                <w:color w:val="auto"/>
              </w:rPr>
              <w:t>6,126</w:t>
            </w:r>
          </w:p>
        </w:tc>
        <w:tc>
          <w:tcPr>
            <w:tcW w:w="200" w:type="dxa"/>
            <w:vAlign w:val="bottom"/>
            <w:tcBorders>
              <w:top w:val="single" w:sz="8" w:color="auto"/>
            </w:tcBorders>
            <w:shd w:val="clear" w:color="auto" w:fill="CCEEFF"/>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2"/>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6,126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640" w:type="dxa"/>
            <w:vAlign w:val="bottom"/>
          </w:tcPr>
          <w:p>
            <w:pPr>
              <w:spacing w:after="0" w:line="212" w:lineRule="exact"/>
              <w:rPr>
                <w:sz w:val="20"/>
                <w:szCs w:val="20"/>
                <w:color w:val="auto"/>
              </w:rPr>
            </w:pPr>
            <w:r>
              <w:rPr>
                <w:rFonts w:ascii="Times New Roman" w:cs="Times New Roman" w:eastAsia="Times New Roman" w:hAnsi="Times New Roman"/>
                <w:sz w:val="15"/>
                <w:szCs w:val="15"/>
                <w:color w:val="auto"/>
              </w:rPr>
              <w:t>2027</w:t>
            </w:r>
            <w:r>
              <w:rPr>
                <w:rFonts w:ascii="Times New Roman" w:cs="Times New Roman" w:eastAsia="Times New Roman" w:hAnsi="Times New Roman"/>
                <w:sz w:val="24"/>
                <w:szCs w:val="24"/>
                <w:color w:val="auto"/>
                <w:vertAlign w:val="superscript"/>
              </w:rPr>
              <w:t>(1)</w:t>
            </w:r>
          </w:p>
        </w:tc>
        <w:tc>
          <w:tcPr>
            <w:tcW w:w="1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5,201</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5,201</w:t>
            </w:r>
          </w:p>
        </w:tc>
        <w:tc>
          <w:tcPr>
            <w:tcW w:w="0" w:type="dxa"/>
            <w:vAlign w:val="bottom"/>
          </w:tcPr>
          <w:p>
            <w:pPr>
              <w:spacing w:after="0"/>
              <w:rPr>
                <w:sz w:val="1"/>
                <w:szCs w:val="1"/>
                <w:color w:val="auto"/>
              </w:rPr>
            </w:pPr>
          </w:p>
        </w:tc>
      </w:tr>
      <w:tr>
        <w:trPr>
          <w:trHeight w:val="212"/>
        </w:trPr>
        <w:tc>
          <w:tcPr>
            <w:tcW w:w="5640" w:type="dxa"/>
            <w:vAlign w:val="bottom"/>
            <w:shd w:val="clear" w:color="auto" w:fill="CCEEFF"/>
          </w:tcPr>
          <w:p>
            <w:pPr>
              <w:spacing w:after="0" w:line="212" w:lineRule="exact"/>
              <w:rPr>
                <w:sz w:val="20"/>
                <w:szCs w:val="20"/>
                <w:color w:val="auto"/>
              </w:rPr>
            </w:pPr>
            <w:r>
              <w:rPr>
                <w:rFonts w:ascii="Times New Roman" w:cs="Times New Roman" w:eastAsia="Times New Roman" w:hAnsi="Times New Roman"/>
                <w:sz w:val="15"/>
                <w:szCs w:val="15"/>
                <w:color w:val="auto"/>
              </w:rPr>
              <w:t>2028</w:t>
            </w:r>
            <w:r>
              <w:rPr>
                <w:rFonts w:ascii="Times New Roman" w:cs="Times New Roman" w:eastAsia="Times New Roman" w:hAnsi="Times New Roman"/>
                <w:sz w:val="24"/>
                <w:szCs w:val="24"/>
                <w:color w:val="auto"/>
                <w:vertAlign w:val="superscript"/>
              </w:rPr>
              <w:t>(1)</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4,310</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4,310</w:t>
            </w:r>
          </w:p>
        </w:tc>
        <w:tc>
          <w:tcPr>
            <w:tcW w:w="0" w:type="dxa"/>
            <w:vAlign w:val="bottom"/>
          </w:tcPr>
          <w:p>
            <w:pPr>
              <w:spacing w:after="0"/>
              <w:rPr>
                <w:sz w:val="1"/>
                <w:szCs w:val="1"/>
                <w:color w:val="auto"/>
              </w:rPr>
            </w:pPr>
          </w:p>
        </w:tc>
      </w:tr>
      <w:tr>
        <w:trPr>
          <w:trHeight w:val="212"/>
        </w:trPr>
        <w:tc>
          <w:tcPr>
            <w:tcW w:w="5640" w:type="dxa"/>
            <w:vAlign w:val="bottom"/>
          </w:tcPr>
          <w:p>
            <w:pPr>
              <w:spacing w:after="0" w:line="212" w:lineRule="exact"/>
              <w:rPr>
                <w:sz w:val="20"/>
                <w:szCs w:val="20"/>
                <w:color w:val="auto"/>
              </w:rPr>
            </w:pPr>
            <w:r>
              <w:rPr>
                <w:rFonts w:ascii="Times New Roman" w:cs="Times New Roman" w:eastAsia="Times New Roman" w:hAnsi="Times New Roman"/>
                <w:sz w:val="15"/>
                <w:szCs w:val="15"/>
                <w:color w:val="auto"/>
              </w:rPr>
              <w:t>2029</w:t>
            </w:r>
            <w:r>
              <w:rPr>
                <w:rFonts w:ascii="Times New Roman" w:cs="Times New Roman" w:eastAsia="Times New Roman" w:hAnsi="Times New Roman"/>
                <w:sz w:val="24"/>
                <w:szCs w:val="24"/>
                <w:color w:val="auto"/>
                <w:vertAlign w:val="superscript"/>
              </w:rPr>
              <w:t>(1)</w:t>
            </w:r>
          </w:p>
        </w:tc>
        <w:tc>
          <w:tcPr>
            <w:tcW w:w="1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4,646</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4,646</w:t>
            </w:r>
          </w:p>
        </w:tc>
        <w:tc>
          <w:tcPr>
            <w:tcW w:w="0" w:type="dxa"/>
            <w:vAlign w:val="bottom"/>
          </w:tcPr>
          <w:p>
            <w:pPr>
              <w:spacing w:after="0"/>
              <w:rPr>
                <w:sz w:val="1"/>
                <w:szCs w:val="1"/>
                <w:color w:val="auto"/>
              </w:rPr>
            </w:pPr>
          </w:p>
        </w:tc>
      </w:tr>
      <w:tr>
        <w:trPr>
          <w:trHeight w:val="212"/>
        </w:trPr>
        <w:tc>
          <w:tcPr>
            <w:tcW w:w="5640" w:type="dxa"/>
            <w:vAlign w:val="bottom"/>
            <w:shd w:val="clear" w:color="auto" w:fill="CCEEFF"/>
          </w:tcPr>
          <w:p>
            <w:pPr>
              <w:spacing w:after="0" w:line="212" w:lineRule="exact"/>
              <w:rPr>
                <w:sz w:val="20"/>
                <w:szCs w:val="20"/>
                <w:color w:val="auto"/>
              </w:rPr>
            </w:pPr>
            <w:r>
              <w:rPr>
                <w:rFonts w:ascii="Times New Roman" w:cs="Times New Roman" w:eastAsia="Times New Roman" w:hAnsi="Times New Roman"/>
                <w:sz w:val="15"/>
                <w:szCs w:val="15"/>
                <w:color w:val="auto"/>
              </w:rPr>
              <w:t>2030</w:t>
            </w:r>
            <w:r>
              <w:rPr>
                <w:rFonts w:ascii="Times New Roman" w:cs="Times New Roman" w:eastAsia="Times New Roman" w:hAnsi="Times New Roman"/>
                <w:sz w:val="24"/>
                <w:szCs w:val="24"/>
                <w:color w:val="auto"/>
                <w:vertAlign w:val="superscript"/>
              </w:rPr>
              <w:t>(1)</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4,884</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4,884</w:t>
            </w:r>
          </w:p>
        </w:tc>
        <w:tc>
          <w:tcPr>
            <w:tcW w:w="0" w:type="dxa"/>
            <w:vAlign w:val="bottom"/>
          </w:tcPr>
          <w:p>
            <w:pPr>
              <w:spacing w:after="0"/>
              <w:rPr>
                <w:sz w:val="1"/>
                <w:szCs w:val="1"/>
                <w:color w:val="auto"/>
              </w:rPr>
            </w:pPr>
          </w:p>
        </w:tc>
      </w:tr>
      <w:tr>
        <w:trPr>
          <w:trHeight w:val="225"/>
        </w:trPr>
        <w:tc>
          <w:tcPr>
            <w:tcW w:w="5640" w:type="dxa"/>
            <w:vAlign w:val="bottom"/>
          </w:tcPr>
          <w:p>
            <w:pPr>
              <w:spacing w:after="0" w:line="225" w:lineRule="exact"/>
              <w:rPr>
                <w:sz w:val="20"/>
                <w:szCs w:val="20"/>
                <w:color w:val="auto"/>
              </w:rPr>
            </w:pPr>
            <w:r>
              <w:rPr>
                <w:rFonts w:ascii="Times New Roman" w:cs="Times New Roman" w:eastAsia="Times New Roman" w:hAnsi="Times New Roman"/>
                <w:sz w:val="16"/>
                <w:szCs w:val="16"/>
                <w:color w:val="auto"/>
              </w:rPr>
              <w:t>Thereafter</w:t>
            </w:r>
            <w:r>
              <w:rPr>
                <w:rFonts w:ascii="Times New Roman" w:cs="Times New Roman" w:eastAsia="Times New Roman" w:hAnsi="Times New Roman"/>
                <w:sz w:val="26"/>
                <w:szCs w:val="26"/>
                <w:color w:val="auto"/>
                <w:vertAlign w:val="superscript"/>
              </w:rPr>
              <w:t>(1)</w:t>
            </w:r>
          </w:p>
        </w:tc>
        <w:tc>
          <w:tcPr>
            <w:tcW w:w="1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22,399</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22,399</w:t>
            </w:r>
          </w:p>
        </w:tc>
        <w:tc>
          <w:tcPr>
            <w:tcW w:w="0" w:type="dxa"/>
            <w:vAlign w:val="bottom"/>
          </w:tcPr>
          <w:p>
            <w:pPr>
              <w:spacing w:after="0"/>
              <w:rPr>
                <w:sz w:val="1"/>
                <w:szCs w:val="1"/>
                <w:color w:val="auto"/>
              </w:rPr>
            </w:pPr>
          </w:p>
        </w:tc>
      </w:tr>
      <w:tr>
        <w:trPr>
          <w:trHeight w:val="205"/>
        </w:trPr>
        <w:tc>
          <w:tcPr>
            <w:tcW w:w="5640" w:type="dxa"/>
            <w:vAlign w:val="bottom"/>
            <w:tcBorders>
              <w:top w:val="single" w:sz="8" w:color="CCEEFF"/>
            </w:tcBorders>
            <w:shd w:val="clear" w:color="auto" w:fill="CCEEFF"/>
          </w:tcPr>
          <w:p>
            <w:pPr>
              <w:ind w:left="160"/>
              <w:spacing w:after="0" w:line="205" w:lineRule="exact"/>
              <w:rPr>
                <w:sz w:val="20"/>
                <w:szCs w:val="20"/>
                <w:color w:val="auto"/>
              </w:rPr>
            </w:pPr>
            <w:r>
              <w:rPr>
                <w:rFonts w:ascii="Times New Roman" w:cs="Times New Roman" w:eastAsia="Times New Roman" w:hAnsi="Times New Roman"/>
                <w:sz w:val="18"/>
                <w:szCs w:val="18"/>
                <w:color w:val="auto"/>
              </w:rPr>
              <w:t>Total lease payments</w:t>
            </w: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47,566</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47,566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1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(12,773)</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(12,773)</w:t>
            </w:r>
          </w:p>
        </w:tc>
        <w:tc>
          <w:tcPr>
            <w:tcW w:w="0" w:type="dxa"/>
            <w:vAlign w:val="bottom"/>
          </w:tcPr>
          <w:p>
            <w:pPr>
              <w:spacing w:after="0"/>
              <w:rPr>
                <w:sz w:val="1"/>
                <w:szCs w:val="1"/>
                <w:color w:val="auto"/>
              </w:rPr>
            </w:pPr>
          </w:p>
        </w:tc>
      </w:tr>
      <w:tr>
        <w:trPr>
          <w:trHeight w:val="219"/>
        </w:trPr>
        <w:tc>
          <w:tcPr>
            <w:tcW w:w="564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34,793</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940" w:right="1140" w:hanging="298"/>
        <w:spacing w:after="0" w:line="274" w:lineRule="auto"/>
        <w:tabs>
          <w:tab w:leader="none" w:pos="9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June 2025, we gained access to our new corporate headquarters located in San Diego, California enabling us to make certain preparations for our relocation on December 1, 2025. The new lease results in cash outflows totaling $34.9 million expected to be paid as follows: $2.5 million, $3.0 million, $2.6 million, $3.0 million and $20.8 million for 2026, 2027, 2028, 2029 and thereafter, respectively.</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36195</wp:posOffset>
            </wp:positionV>
            <wp:extent cx="71348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w:t>
      </w:r>
    </w:p>
    <w:p>
      <w:pPr>
        <w:spacing w:after="0" w:line="217" w:lineRule="exact"/>
        <w:rPr>
          <w:sz w:val="20"/>
          <w:szCs w:val="20"/>
          <w:color w:val="auto"/>
        </w:rPr>
      </w:pPr>
    </w:p>
    <w:tbl>
      <w:tblPr>
        <w:tblLayout w:type="fixed"/>
        <w:tblInd w:w="480" w:type="dxa"/>
        <w:tblCellMar>
          <w:top w:w="0" w:type="dxa"/>
          <w:left w:w="0" w:type="dxa"/>
          <w:bottom w:w="0" w:type="dxa"/>
          <w:right w:w="0" w:type="dxa"/>
        </w:tblCellMar>
      </w:tblPr>
      <w:tr>
        <w:trPr>
          <w:trHeight w:val="225"/>
        </w:trPr>
        <w:tc>
          <w:tcPr>
            <w:tcW w:w="27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December 28,</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December 28,</w:t>
            </w:r>
          </w:p>
        </w:tc>
        <w:tc>
          <w:tcPr>
            <w:tcW w:w="0" w:type="dxa"/>
            <w:vAlign w:val="bottom"/>
          </w:tcPr>
          <w:p>
            <w:pPr>
              <w:spacing w:after="0"/>
              <w:rPr>
                <w:sz w:val="1"/>
                <w:szCs w:val="1"/>
                <w:color w:val="auto"/>
              </w:rPr>
            </w:pPr>
          </w:p>
        </w:tc>
      </w:tr>
      <w:tr>
        <w:trPr>
          <w:trHeight w:val="230"/>
        </w:trPr>
        <w:tc>
          <w:tcPr>
            <w:tcW w:w="2740" w:type="dxa"/>
            <w:vAlign w:val="bottom"/>
            <w:tcBorders>
              <w:bottom w:val="single" w:sz="8" w:color="auto"/>
            </w:tcBorders>
            <w:vMerge w:val="continue"/>
          </w:tcPr>
          <w:p>
            <w:pPr>
              <w:spacing w:after="0"/>
              <w:rPr>
                <w:sz w:val="20"/>
                <w:szCs w:val="20"/>
                <w:color w:val="auto"/>
              </w:rPr>
            </w:pPr>
          </w:p>
        </w:tc>
        <w:tc>
          <w:tcPr>
            <w:tcW w:w="41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Classification</w:t>
            </w: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74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Assets:</w:t>
            </w:r>
          </w:p>
        </w:tc>
        <w:tc>
          <w:tcPr>
            <w:tcW w:w="4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 assets</w:t>
            </w:r>
          </w:p>
        </w:tc>
        <w:tc>
          <w:tcPr>
            <w:tcW w:w="4160" w:type="dxa"/>
            <w:vAlign w:val="bottom"/>
          </w:tcPr>
          <w:p>
            <w:pPr>
              <w:ind w:left="460"/>
              <w:spacing w:after="0" w:line="212" w:lineRule="exact"/>
              <w:rPr>
                <w:sz w:val="20"/>
                <w:szCs w:val="20"/>
                <w:color w:val="auto"/>
              </w:rPr>
            </w:pPr>
            <w:r>
              <w:rPr>
                <w:rFonts w:ascii="Times New Roman" w:cs="Times New Roman" w:eastAsia="Times New Roman" w:hAnsi="Times New Roman"/>
                <w:sz w:val="15"/>
                <w:szCs w:val="15"/>
                <w:color w:val="auto"/>
              </w:rPr>
              <w:t>Operating lease right-of-use assets</w:t>
            </w:r>
            <w:r>
              <w:rPr>
                <w:rFonts w:ascii="Times New Roman" w:cs="Times New Roman" w:eastAsia="Times New Roman" w:hAnsi="Times New Roman"/>
                <w:sz w:val="24"/>
                <w:szCs w:val="24"/>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29,271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13,908</w:t>
            </w:r>
          </w:p>
        </w:tc>
        <w:tc>
          <w:tcPr>
            <w:tcW w:w="0" w:type="dxa"/>
            <w:vAlign w:val="bottom"/>
          </w:tcPr>
          <w:p>
            <w:pPr>
              <w:spacing w:after="0"/>
              <w:rPr>
                <w:sz w:val="1"/>
                <w:szCs w:val="1"/>
                <w:color w:val="auto"/>
              </w:rPr>
            </w:pPr>
          </w:p>
        </w:tc>
      </w:tr>
      <w:tr>
        <w:trPr>
          <w:trHeight w:val="225"/>
        </w:trPr>
        <w:tc>
          <w:tcPr>
            <w:tcW w:w="2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Finance lease assets</w:t>
            </w:r>
          </w:p>
        </w:tc>
        <w:tc>
          <w:tcPr>
            <w:tcW w:w="4160" w:type="dxa"/>
            <w:vAlign w:val="bottom"/>
            <w:shd w:val="clear" w:color="auto" w:fill="CCEEFF"/>
          </w:tcPr>
          <w:p>
            <w:pPr>
              <w:ind w:left="460"/>
              <w:spacing w:after="0" w:line="225" w:lineRule="exact"/>
              <w:rPr>
                <w:sz w:val="20"/>
                <w:szCs w:val="20"/>
                <w:color w:val="auto"/>
              </w:rPr>
            </w:pPr>
            <w:r>
              <w:rPr>
                <w:rFonts w:ascii="Times New Roman" w:cs="Times New Roman" w:eastAsia="Times New Roman" w:hAnsi="Times New Roman"/>
                <w:sz w:val="16"/>
                <w:szCs w:val="16"/>
                <w:color w:val="auto"/>
              </w:rPr>
              <w:t xml:space="preserve">Property, plant and equipment, net </w:t>
            </w:r>
            <w:r>
              <w:rPr>
                <w:rFonts w:ascii="Times New Roman" w:cs="Times New Roman" w:eastAsia="Times New Roman" w:hAnsi="Times New Roman"/>
                <w:sz w:val="26"/>
                <w:szCs w:val="26"/>
                <w:color w:val="auto"/>
                <w:vertAlign w:val="superscript"/>
              </w:rPr>
              <w:t>(2)</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9,676</w:t>
            </w:r>
          </w:p>
        </w:tc>
        <w:tc>
          <w:tcPr>
            <w:tcW w:w="0" w:type="dxa"/>
            <w:vAlign w:val="bottom"/>
          </w:tcPr>
          <w:p>
            <w:pPr>
              <w:spacing w:after="0"/>
              <w:rPr>
                <w:sz w:val="1"/>
                <w:szCs w:val="1"/>
                <w:color w:val="auto"/>
              </w:rPr>
            </w:pPr>
          </w:p>
        </w:tc>
      </w:tr>
      <w:tr>
        <w:trPr>
          <w:trHeight w:val="258"/>
        </w:trPr>
        <w:tc>
          <w:tcPr>
            <w:tcW w:w="27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lease assets</w:t>
            </w:r>
          </w:p>
        </w:tc>
        <w:tc>
          <w:tcPr>
            <w:tcW w:w="416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29,339</w:t>
            </w:r>
          </w:p>
        </w:tc>
        <w:tc>
          <w:tcPr>
            <w:tcW w:w="20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23,584</w:t>
            </w:r>
          </w:p>
        </w:tc>
        <w:tc>
          <w:tcPr>
            <w:tcW w:w="1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274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Liabilities:</w:t>
            </w:r>
          </w:p>
        </w:tc>
        <w:tc>
          <w:tcPr>
            <w:tcW w:w="4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w:t>
            </w:r>
          </w:p>
        </w:tc>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Operating</w:t>
            </w:r>
          </w:p>
        </w:tc>
        <w:tc>
          <w:tcPr>
            <w:tcW w:w="4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5,296</w:t>
            </w:r>
          </w:p>
        </w:tc>
        <w:tc>
          <w:tcPr>
            <w:tcW w:w="0" w:type="dxa"/>
            <w:vAlign w:val="bottom"/>
          </w:tcPr>
          <w:p>
            <w:pPr>
              <w:spacing w:after="0"/>
              <w:rPr>
                <w:sz w:val="1"/>
                <w:szCs w:val="1"/>
                <w:color w:val="auto"/>
              </w:rPr>
            </w:pPr>
          </w:p>
        </w:tc>
      </w:tr>
      <w:tr>
        <w:trPr>
          <w:trHeight w:val="212"/>
        </w:trPr>
        <w:tc>
          <w:tcPr>
            <w:tcW w:w="2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Finance</w:t>
            </w:r>
          </w:p>
        </w:tc>
        <w:tc>
          <w:tcPr>
            <w:tcW w:w="4160" w:type="dxa"/>
            <w:vAlign w:val="bottom"/>
          </w:tcPr>
          <w:p>
            <w:pPr>
              <w:ind w:left="460"/>
              <w:spacing w:after="0" w:line="212" w:lineRule="exact"/>
              <w:rPr>
                <w:sz w:val="20"/>
                <w:szCs w:val="20"/>
                <w:color w:val="auto"/>
              </w:rPr>
            </w:pPr>
            <w:r>
              <w:rPr>
                <w:rFonts w:ascii="Times New Roman" w:cs="Times New Roman" w:eastAsia="Times New Roman" w:hAnsi="Times New Roman"/>
                <w:sz w:val="15"/>
                <w:szCs w:val="15"/>
                <w:color w:val="auto"/>
              </w:rPr>
              <w:t>Other accrued liabilities</w:t>
            </w:r>
            <w:r>
              <w:rPr>
                <w:rFonts w:ascii="Times New Roman" w:cs="Times New Roman" w:eastAsia="Times New Roman" w:hAnsi="Times New Roman"/>
                <w:sz w:val="24"/>
                <w:szCs w:val="24"/>
                <w:color w:val="auto"/>
                <w:vertAlign w:val="superscript"/>
              </w:rPr>
              <w:t>(2)</w:t>
            </w:r>
          </w:p>
        </w:tc>
        <w:tc>
          <w:tcPr>
            <w:tcW w:w="14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8,418</w:t>
            </w:r>
          </w:p>
        </w:tc>
        <w:tc>
          <w:tcPr>
            <w:tcW w:w="0" w:type="dxa"/>
            <w:vAlign w:val="bottom"/>
          </w:tcPr>
          <w:p>
            <w:pPr>
              <w:spacing w:after="0"/>
              <w:rPr>
                <w:sz w:val="1"/>
                <w:szCs w:val="1"/>
                <w:color w:val="auto"/>
              </w:rPr>
            </w:pPr>
          </w:p>
        </w:tc>
      </w:tr>
      <w:tr>
        <w:trPr>
          <w:trHeight w:val="212"/>
        </w:trPr>
        <w:tc>
          <w:tcPr>
            <w:tcW w:w="2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Noncurrent:</w:t>
            </w:r>
          </w:p>
        </w:tc>
        <w:tc>
          <w:tcPr>
            <w:tcW w:w="4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Operating</w:t>
            </w:r>
          </w:p>
        </w:tc>
        <w:tc>
          <w:tcPr>
            <w:tcW w:w="4160" w:type="dxa"/>
            <w:vAlign w:val="bottom"/>
          </w:tcPr>
          <w:p>
            <w:pPr>
              <w:ind w:left="460"/>
              <w:spacing w:after="0" w:line="212" w:lineRule="exact"/>
              <w:rPr>
                <w:sz w:val="20"/>
                <w:szCs w:val="20"/>
                <w:color w:val="auto"/>
              </w:rPr>
            </w:pPr>
            <w:r>
              <w:rPr>
                <w:rFonts w:ascii="Times New Roman" w:cs="Times New Roman" w:eastAsia="Times New Roman" w:hAnsi="Times New Roman"/>
                <w:sz w:val="15"/>
                <w:szCs w:val="15"/>
                <w:color w:val="auto"/>
              </w:rPr>
              <w:t xml:space="preserve">Long-term lease liabilities </w:t>
            </w:r>
            <w:r>
              <w:rPr>
                <w:rFonts w:ascii="Times New Roman" w:cs="Times New Roman" w:eastAsia="Times New Roman" w:hAnsi="Times New Roman"/>
                <w:sz w:val="24"/>
                <w:szCs w:val="24"/>
                <w:color w:val="auto"/>
                <w:vertAlign w:val="superscript"/>
              </w:rPr>
              <w:t>(1)</w:t>
            </w:r>
          </w:p>
        </w:tc>
        <w:tc>
          <w:tcPr>
            <w:tcW w:w="14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31,693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9,890</w:t>
            </w:r>
          </w:p>
        </w:tc>
        <w:tc>
          <w:tcPr>
            <w:tcW w:w="0" w:type="dxa"/>
            <w:vAlign w:val="bottom"/>
          </w:tcPr>
          <w:p>
            <w:pPr>
              <w:spacing w:after="0"/>
              <w:rPr>
                <w:sz w:val="1"/>
                <w:szCs w:val="1"/>
                <w:color w:val="auto"/>
              </w:rPr>
            </w:pPr>
          </w:p>
        </w:tc>
      </w:tr>
      <w:tr>
        <w:trPr>
          <w:trHeight w:val="225"/>
        </w:trPr>
        <w:tc>
          <w:tcPr>
            <w:tcW w:w="2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Finance</w:t>
            </w:r>
          </w:p>
        </w:tc>
        <w:tc>
          <w:tcPr>
            <w:tcW w:w="4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59"/>
        </w:trPr>
        <w:tc>
          <w:tcPr>
            <w:tcW w:w="27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lease liabilities</w:t>
            </w:r>
          </w:p>
        </w:tc>
        <w:tc>
          <w:tcPr>
            <w:tcW w:w="416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34,793</w:t>
            </w:r>
          </w:p>
        </w:tc>
        <w:tc>
          <w:tcPr>
            <w:tcW w:w="20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23,607</w:t>
            </w:r>
          </w:p>
        </w:tc>
        <w:tc>
          <w:tcPr>
            <w:tcW w:w="1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2740" w:type="dxa"/>
            <w:vAlign w:val="bottom"/>
            <w:shd w:val="clear" w:color="auto" w:fill="CCEEFF"/>
          </w:tcPr>
          <w:p>
            <w:pPr>
              <w:spacing w:after="0"/>
              <w:rPr>
                <w:sz w:val="16"/>
                <w:szCs w:val="16"/>
                <w:color w:val="auto"/>
              </w:rPr>
            </w:pPr>
          </w:p>
        </w:tc>
        <w:tc>
          <w:tcPr>
            <w:tcW w:w="4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leases</w:t>
            </w:r>
          </w:p>
        </w:tc>
        <w:tc>
          <w:tcPr>
            <w:tcW w:w="4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2"/>
        </w:trPr>
        <w:tc>
          <w:tcPr>
            <w:tcW w:w="274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4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leases</w:t>
            </w:r>
          </w:p>
        </w:tc>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2"/>
        </w:trPr>
        <w:tc>
          <w:tcPr>
            <w:tcW w:w="2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Finance leases</w:t>
            </w:r>
          </w:p>
        </w:tc>
        <w:tc>
          <w:tcPr>
            <w:tcW w:w="4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920" w:right="820" w:hanging="437"/>
        <w:spacing w:after="0" w:line="290" w:lineRule="auto"/>
        <w:tabs>
          <w:tab w:leader="none" w:pos="9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June 2025, we gained access to our new corporate headquarters located in San Diego, California enabling us to make certain preparations for our planned relocation on December 1, 2025, resulting in an increase to our operating lease asset and long term operating lease liability.</w:t>
      </w:r>
    </w:p>
    <w:p>
      <w:pPr>
        <w:spacing w:after="0" w:line="164" w:lineRule="exact"/>
        <w:rPr>
          <w:rFonts w:ascii="Times New Roman" w:cs="Times New Roman" w:eastAsia="Times New Roman" w:hAnsi="Times New Roman"/>
          <w:sz w:val="16"/>
          <w:szCs w:val="16"/>
          <w:color w:val="auto"/>
        </w:rPr>
      </w:pPr>
    </w:p>
    <w:p>
      <w:pPr>
        <w:ind w:left="920" w:right="660" w:hanging="437"/>
        <w:spacing w:after="0" w:line="290" w:lineRule="auto"/>
        <w:tabs>
          <w:tab w:leader="none" w:pos="9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Finance lease assets are recorded net of accumulated amortization of $0.4 million in both fiscal 2025 and 2024. On December 30, 2024, we completed the purchase of our leased facility in Melaka, Malaysia resulting in a decrease to our finance lease asset and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-668020</wp:posOffset>
            </wp:positionV>
            <wp:extent cx="641985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419850" cy="8255"/>
                    </a:xfrm>
                    <a:prstGeom prst="rect">
                      <a:avLst/>
                    </a:prstGeom>
                    <a:noFill/>
                  </pic:spPr>
                </pic:pic>
              </a:graphicData>
            </a:graphic>
          </wp:anchor>
        </w:drawing>
      </w:r>
    </w:p>
    <w:p>
      <w:pPr>
        <w:spacing w:after="0" w:line="140" w:lineRule="exact"/>
        <w:rPr>
          <w:sz w:val="20"/>
          <w:szCs w:val="20"/>
          <w:color w:val="auto"/>
        </w:rPr>
      </w:pPr>
    </w:p>
    <w:tbl>
      <w:tblPr>
        <w:tblLayout w:type="fixed"/>
        <w:tblInd w:w="320" w:type="dxa"/>
        <w:tblCellMar>
          <w:top w:w="0" w:type="dxa"/>
          <w:left w:w="0" w:type="dxa"/>
          <w:bottom w:w="0" w:type="dxa"/>
          <w:right w:w="0" w:type="dxa"/>
        </w:tblCellMar>
      </w:tblPr>
      <w:tr>
        <w:trPr>
          <w:trHeight w:val="231"/>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60" w:type="dxa"/>
            <w:vAlign w:val="bottom"/>
          </w:tcPr>
          <w:p>
            <w:pPr>
              <w:spacing w:after="0"/>
              <w:rPr>
                <w:sz w:val="24"/>
                <w:szCs w:val="24"/>
                <w:color w:val="auto"/>
              </w:rPr>
            </w:pPr>
          </w:p>
        </w:tc>
        <w:tc>
          <w:tcPr>
            <w:tcW w:w="56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24"/>
                <w:szCs w:val="24"/>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December 27,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December 28,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December 30,</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568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8"/>
                <w:szCs w:val="18"/>
                <w:color w:val="auto"/>
                <w:w w:val="99"/>
              </w:rPr>
              <w:t>2024</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568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Operating leases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100"/>
              <w:spacing w:after="0" w:line="205" w:lineRule="exact"/>
              <w:rPr>
                <w:sz w:val="20"/>
                <w:szCs w:val="20"/>
                <w:color w:val="auto"/>
              </w:rPr>
            </w:pPr>
            <w:r>
              <w:rPr>
                <w:rFonts w:ascii="Times New Roman" w:cs="Times New Roman" w:eastAsia="Times New Roman" w:hAnsi="Times New Roman"/>
                <w:sz w:val="18"/>
                <w:szCs w:val="18"/>
                <w:color w:val="auto"/>
              </w:rPr>
              <w:t>7,698</w:t>
            </w:r>
          </w:p>
        </w:tc>
        <w:tc>
          <w:tcPr>
            <w:tcW w:w="280" w:type="dxa"/>
            <w:vAlign w:val="bottom"/>
            <w:gridSpan w:val="2"/>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40"/>
              <w:spacing w:after="0" w:line="205" w:lineRule="exact"/>
              <w:rPr>
                <w:sz w:val="20"/>
                <w:szCs w:val="20"/>
                <w:color w:val="auto"/>
              </w:rPr>
            </w:pPr>
            <w:r>
              <w:rPr>
                <w:rFonts w:ascii="Times New Roman" w:cs="Times New Roman" w:eastAsia="Times New Roman" w:hAnsi="Times New Roman"/>
                <w:sz w:val="18"/>
                <w:szCs w:val="18"/>
                <w:color w:val="auto"/>
              </w:rPr>
              <w:t>6,247</w:t>
            </w:r>
          </w:p>
        </w:tc>
        <w:tc>
          <w:tcPr>
            <w:tcW w:w="240" w:type="dxa"/>
            <w:vAlign w:val="bottom"/>
            <w:gridSpan w:val="2"/>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6,691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6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expense</w:t>
            </w:r>
          </w:p>
        </w:tc>
        <w:tc>
          <w:tcPr>
            <w:tcW w:w="1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2,542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2,389</w:t>
            </w:r>
          </w:p>
        </w:tc>
        <w:tc>
          <w:tcPr>
            <w:tcW w:w="0" w:type="dxa"/>
            <w:vAlign w:val="bottom"/>
          </w:tcPr>
          <w:p>
            <w:pPr>
              <w:spacing w:after="0"/>
              <w:rPr>
                <w:sz w:val="1"/>
                <w:szCs w:val="1"/>
                <w:color w:val="auto"/>
              </w:rPr>
            </w:pPr>
          </w:p>
        </w:tc>
      </w:tr>
      <w:tr>
        <w:trPr>
          <w:trHeight w:val="212"/>
        </w:trPr>
        <w:tc>
          <w:tcPr>
            <w:tcW w:w="16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operating leases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6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60" w:type="dxa"/>
            <w:vAlign w:val="bottom"/>
          </w:tcPr>
          <w:p>
            <w:pPr>
              <w:spacing w:after="0"/>
              <w:rPr>
                <w:sz w:val="18"/>
                <w:szCs w:val="18"/>
                <w:color w:val="auto"/>
              </w:rPr>
            </w:pPr>
          </w:p>
        </w:tc>
        <w:tc>
          <w:tcPr>
            <w:tcW w:w="5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Amortization of leased assets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60" w:type="dxa"/>
            <w:vAlign w:val="bottom"/>
          </w:tcPr>
          <w:p>
            <w:pPr>
              <w:spacing w:after="0"/>
              <w:rPr>
                <w:sz w:val="18"/>
                <w:szCs w:val="18"/>
                <w:color w:val="auto"/>
              </w:rPr>
            </w:pPr>
          </w:p>
        </w:tc>
        <w:tc>
          <w:tcPr>
            <w:tcW w:w="5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5"/>
        </w:trPr>
        <w:tc>
          <w:tcPr>
            <w:tcW w:w="160" w:type="dxa"/>
            <w:vAlign w:val="bottom"/>
          </w:tcPr>
          <w:p>
            <w:pPr>
              <w:spacing w:after="0"/>
              <w:rPr>
                <w:sz w:val="19"/>
                <w:szCs w:val="19"/>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8"/>
        </w:trPr>
        <w:tc>
          <w:tcPr>
            <w:tcW w:w="160" w:type="dxa"/>
            <w:vAlign w:val="bottom"/>
          </w:tcPr>
          <w:p>
            <w:pPr>
              <w:spacing w:after="0"/>
              <w:rPr>
                <w:sz w:val="19"/>
                <w:szCs w:val="19"/>
                <w:color w:val="auto"/>
              </w:rPr>
            </w:pPr>
          </w:p>
        </w:tc>
        <w:tc>
          <w:tcPr>
            <w:tcW w:w="56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lease cost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58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60" w:type="dxa"/>
            <w:vAlign w:val="bottom"/>
          </w:tcPr>
          <w:p>
            <w:pPr>
              <w:spacing w:after="0"/>
              <w:rPr>
                <w:sz w:val="24"/>
                <w:szCs w:val="24"/>
                <w:color w:val="auto"/>
              </w:rPr>
            </w:pPr>
          </w:p>
        </w:tc>
        <w:tc>
          <w:tcPr>
            <w:tcW w:w="56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24"/>
                <w:szCs w:val="24"/>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December 27,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December 28,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December 30,</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568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8"/>
                <w:szCs w:val="18"/>
                <w:color w:val="auto"/>
                <w:w w:val="99"/>
              </w:rPr>
              <w:t>2024</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568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60" w:type="dxa"/>
            <w:vAlign w:val="bottom"/>
          </w:tcPr>
          <w:p>
            <w:pPr>
              <w:spacing w:after="0"/>
              <w:rPr>
                <w:sz w:val="18"/>
                <w:szCs w:val="18"/>
                <w:color w:val="auto"/>
              </w:rPr>
            </w:pPr>
          </w:p>
        </w:tc>
        <w:tc>
          <w:tcPr>
            <w:tcW w:w="5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6,383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6,448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6,756</w:t>
            </w:r>
          </w:p>
        </w:tc>
        <w:tc>
          <w:tcPr>
            <w:tcW w:w="0" w:type="dxa"/>
            <w:vAlign w:val="bottom"/>
          </w:tcPr>
          <w:p>
            <w:pPr>
              <w:spacing w:after="0"/>
              <w:rPr>
                <w:sz w:val="1"/>
                <w:szCs w:val="1"/>
                <w:color w:val="auto"/>
              </w:rPr>
            </w:pPr>
          </w:p>
        </w:tc>
      </w:tr>
      <w:tr>
        <w:trPr>
          <w:trHeight w:val="212"/>
        </w:trPr>
        <w:tc>
          <w:tcPr>
            <w:tcW w:w="160" w:type="dxa"/>
            <w:vAlign w:val="bottom"/>
          </w:tcPr>
          <w:p>
            <w:pPr>
              <w:spacing w:after="0"/>
              <w:rPr>
                <w:sz w:val="18"/>
                <w:szCs w:val="18"/>
                <w:color w:val="auto"/>
              </w:rPr>
            </w:pPr>
          </w:p>
        </w:tc>
        <w:tc>
          <w:tcPr>
            <w:tcW w:w="5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2"/>
        </w:trPr>
        <w:tc>
          <w:tcPr>
            <w:tcW w:w="160" w:type="dxa"/>
            <w:vAlign w:val="bottom"/>
          </w:tcPr>
          <w:p>
            <w:pPr>
              <w:spacing w:after="0"/>
              <w:rPr>
                <w:sz w:val="18"/>
                <w:szCs w:val="18"/>
                <w:color w:val="auto"/>
              </w:rPr>
            </w:pPr>
          </w:p>
        </w:tc>
        <w:tc>
          <w:tcPr>
            <w:tcW w:w="5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6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 assets exchanged for finance lease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9,543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6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Leased assets exchanged for operating lease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22,141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2,987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1,415</w:t>
            </w:r>
          </w:p>
        </w:tc>
        <w:tc>
          <w:tcPr>
            <w:tcW w:w="0" w:type="dxa"/>
            <w:vAlign w:val="bottom"/>
          </w:tcPr>
          <w:p>
            <w:pPr>
              <w:spacing w:after="0"/>
              <w:rPr>
                <w:sz w:val="1"/>
                <w:szCs w:val="1"/>
                <w:color w:val="auto"/>
              </w:rPr>
            </w:pPr>
          </w:p>
        </w:tc>
      </w:tr>
      <w:tr>
        <w:trPr>
          <w:trHeight w:val="212"/>
        </w:trPr>
        <w:tc>
          <w:tcPr>
            <w:tcW w:w="16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lease assets acquired from MCT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60" w:type="dxa"/>
            <w:vAlign w:val="bottom"/>
          </w:tcPr>
          <w:p>
            <w:pPr>
              <w:spacing w:after="0"/>
              <w:rPr>
                <w:sz w:val="20"/>
                <w:szCs w:val="20"/>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assets acquired from MCT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bl>
    <w:p>
      <w:pPr>
        <w:spacing w:after="0" w:line="174" w:lineRule="exact"/>
        <w:rPr>
          <w:sz w:val="20"/>
          <w:szCs w:val="20"/>
          <w:color w:val="auto"/>
        </w:rPr>
      </w:pPr>
    </w:p>
    <w:p>
      <w:pPr>
        <w:sectPr>
          <w:pgSz w:w="11900" w:h="16838" w:orient="portrait"/>
          <w:cols w:equalWidth="0" w:num="1">
            <w:col w:w="11140"/>
          </w:cols>
          <w:pgMar w:left="320" w:top="121" w:right="439" w:bottom="1440" w:gutter="0" w:footer="0" w:header="0"/>
        </w:sectPr>
      </w:pPr>
    </w:p>
    <w:p>
      <w:pPr>
        <w:jc w:val="center"/>
        <w:ind w:right="-1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36195</wp:posOffset>
            </wp:positionV>
            <wp:extent cx="71348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320" w:hanging="314"/>
        <w:spacing w:after="0"/>
        <w:tabs>
          <w:tab w:leader="none" w:pos="3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19" w:lineRule="exact"/>
        <w:rPr>
          <w:rFonts w:ascii="Times New Roman" w:cs="Times New Roman" w:eastAsia="Times New Roman" w:hAnsi="Times New Roman"/>
          <w:sz w:val="18"/>
          <w:szCs w:val="18"/>
          <w:b w:val="1"/>
          <w:bCs w:val="1"/>
          <w:color w:val="auto"/>
        </w:rPr>
      </w:pPr>
    </w:p>
    <w:p>
      <w:pPr>
        <w:ind w:left="32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From time to time we are involved in various legal proceedings, examinations by various tax authorities and claims that have arisen in the ordinary course of our business. The outcome of any litigation is inherently uncertain. While there can be no assurance, we do not believe at the present time that the resolution of these matters will have a material adverse effect on our assets, financial position or results of operations.</w:t>
      </w:r>
    </w:p>
    <w:p>
      <w:pPr>
        <w:spacing w:after="0" w:line="200" w:lineRule="exact"/>
        <w:rPr>
          <w:rFonts w:ascii="Times New Roman" w:cs="Times New Roman" w:eastAsia="Times New Roman" w:hAnsi="Times New Roman"/>
          <w:sz w:val="18"/>
          <w:szCs w:val="18"/>
          <w:b w:val="1"/>
          <w:bCs w:val="1"/>
          <w:color w:val="auto"/>
        </w:rPr>
      </w:pPr>
    </w:p>
    <w:p>
      <w:pPr>
        <w:spacing w:after="0" w:line="214" w:lineRule="exact"/>
        <w:rPr>
          <w:rFonts w:ascii="Times New Roman" w:cs="Times New Roman" w:eastAsia="Times New Roman" w:hAnsi="Times New Roman"/>
          <w:sz w:val="18"/>
          <w:szCs w:val="18"/>
          <w:b w:val="1"/>
          <w:bCs w:val="1"/>
          <w:color w:val="auto"/>
        </w:rPr>
      </w:pPr>
    </w:p>
    <w:p>
      <w:pPr>
        <w:ind w:left="320" w:right="9600" w:hanging="314"/>
        <w:spacing w:after="0" w:line="521" w:lineRule="auto"/>
        <w:tabs>
          <w:tab w:leader="none" w:pos="320" w:val="left"/>
        </w:tabs>
        <w:numPr>
          <w:ilvl w:val="0"/>
          <w:numId w:val="2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Guarantees </w:t>
      </w:r>
      <w:r>
        <w:rPr>
          <w:rFonts w:ascii="Times New Roman" w:cs="Times New Roman" w:eastAsia="Times New Roman" w:hAnsi="Times New Roman"/>
          <w:sz w:val="17"/>
          <w:szCs w:val="17"/>
          <w:i w:val="1"/>
          <w:iCs w:val="1"/>
          <w:u w:val="single" w:color="auto"/>
          <w:color w:val="auto"/>
        </w:rPr>
        <w:t>Accrued Warranty</w:t>
      </w:r>
    </w:p>
    <w:p>
      <w:pPr>
        <w:spacing w:after="0" w:line="1" w:lineRule="exact"/>
        <w:rPr>
          <w:rFonts w:ascii="Times New Roman" w:cs="Times New Roman" w:eastAsia="Times New Roman" w:hAnsi="Times New Roman"/>
          <w:sz w:val="17"/>
          <w:szCs w:val="17"/>
          <w:b w:val="1"/>
          <w:bCs w:val="1"/>
          <w:color w:val="auto"/>
        </w:rPr>
      </w:pPr>
    </w:p>
    <w:p>
      <w:pPr>
        <w:ind w:left="3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Changes in accrued warranty during the three-year period ended December 27, 2025, was as follows:</w:t>
      </w:r>
    </w:p>
    <w:p>
      <w:pPr>
        <w:spacing w:after="0" w:line="228" w:lineRule="exact"/>
        <w:rPr>
          <w:sz w:val="20"/>
          <w:szCs w:val="20"/>
          <w:color w:val="auto"/>
        </w:rPr>
      </w:pPr>
    </w:p>
    <w:tbl>
      <w:tblPr>
        <w:tblLayout w:type="fixed"/>
        <w:tblInd w:w="480" w:type="dxa"/>
        <w:tblCellMar>
          <w:top w:w="0" w:type="dxa"/>
          <w:left w:w="0" w:type="dxa"/>
          <w:bottom w:w="0" w:type="dxa"/>
          <w:right w:w="0" w:type="dxa"/>
        </w:tblCellMar>
      </w:tblPr>
      <w:tr>
        <w:trPr>
          <w:trHeight w:val="232"/>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7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r>
      <w:tr>
        <w:trPr>
          <w:trHeight w:val="205"/>
        </w:trPr>
        <w:tc>
          <w:tcPr>
            <w:tcW w:w="396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Beginning balance</w:t>
            </w:r>
          </w:p>
        </w:tc>
        <w:tc>
          <w:tcPr>
            <w:tcW w:w="2060" w:type="dxa"/>
            <w:vAlign w:val="bottom"/>
            <w:gridSpan w:val="2"/>
            <w:shd w:val="clear" w:color="auto" w:fill="CCEEFF"/>
          </w:tcPr>
          <w:p>
            <w:pPr>
              <w:jc w:val="right"/>
              <w:ind w:right="152"/>
              <w:spacing w:after="0" w:line="205"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20"/>
              <w:spacing w:after="0" w:line="205" w:lineRule="exact"/>
              <w:rPr>
                <w:sz w:val="20"/>
                <w:szCs w:val="20"/>
                <w:color w:val="auto"/>
              </w:rPr>
            </w:pPr>
            <w:r>
              <w:rPr>
                <w:rFonts w:ascii="Times New Roman" w:cs="Times New Roman" w:eastAsia="Times New Roman" w:hAnsi="Times New Roman"/>
                <w:sz w:val="18"/>
                <w:szCs w:val="18"/>
                <w:color w:val="auto"/>
              </w:rPr>
              <w:t>3,093</w:t>
            </w:r>
          </w:p>
        </w:tc>
        <w:tc>
          <w:tcPr>
            <w:tcW w:w="420" w:type="dxa"/>
            <w:vAlign w:val="bottom"/>
            <w:gridSpan w:val="2"/>
            <w:shd w:val="clear" w:color="auto" w:fill="CCEEFF"/>
          </w:tcPr>
          <w:p>
            <w:pPr>
              <w:jc w:val="right"/>
              <w:ind w:right="152"/>
              <w:spacing w:after="0" w:line="205"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40"/>
              <w:spacing w:after="0" w:line="205" w:lineRule="exact"/>
              <w:rPr>
                <w:sz w:val="20"/>
                <w:szCs w:val="20"/>
                <w:color w:val="auto"/>
              </w:rPr>
            </w:pPr>
            <w:r>
              <w:rPr>
                <w:rFonts w:ascii="Times New Roman" w:cs="Times New Roman" w:eastAsia="Times New Roman" w:hAnsi="Times New Roman"/>
                <w:sz w:val="18"/>
                <w:szCs w:val="18"/>
                <w:color w:val="auto"/>
              </w:rPr>
              <w:t>5,017</w:t>
            </w:r>
          </w:p>
        </w:tc>
        <w:tc>
          <w:tcPr>
            <w:tcW w:w="400" w:type="dxa"/>
            <w:vAlign w:val="bottom"/>
            <w:gridSpan w:val="2"/>
            <w:shd w:val="clear" w:color="auto" w:fill="CCEEFF"/>
          </w:tcPr>
          <w:p>
            <w:pPr>
              <w:jc w:val="right"/>
              <w:ind w:right="157"/>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6,214</w:t>
            </w:r>
          </w:p>
        </w:tc>
        <w:tc>
          <w:tcPr>
            <w:tcW w:w="100" w:type="dxa"/>
            <w:vAlign w:val="bottom"/>
            <w:shd w:val="clear" w:color="auto" w:fill="CCEEFF"/>
          </w:tcPr>
          <w:p>
            <w:pPr>
              <w:spacing w:after="0"/>
              <w:rPr>
                <w:sz w:val="17"/>
                <w:szCs w:val="17"/>
                <w:color w:val="auto"/>
              </w:rPr>
            </w:pPr>
          </w:p>
        </w:tc>
      </w:tr>
      <w:tr>
        <w:trPr>
          <w:trHeight w:val="212"/>
        </w:trPr>
        <w:tc>
          <w:tcPr>
            <w:tcW w:w="3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Warranty accruals</w:t>
            </w: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5,812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3,480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6,555</w:t>
            </w:r>
          </w:p>
        </w:tc>
      </w:tr>
      <w:tr>
        <w:trPr>
          <w:trHeight w:val="212"/>
        </w:trPr>
        <w:tc>
          <w:tcPr>
            <w:tcW w:w="3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Warranty payments</w:t>
            </w:r>
          </w:p>
        </w:tc>
        <w:tc>
          <w:tcPr>
            <w:tcW w:w="1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(4,503)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(5,404)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(7,862)</w:t>
            </w:r>
          </w:p>
        </w:tc>
      </w:tr>
      <w:tr>
        <w:trPr>
          <w:trHeight w:val="225"/>
        </w:trPr>
        <w:tc>
          <w:tcPr>
            <w:tcW w:w="3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Warranty liability transferred</w:t>
            </w:r>
          </w:p>
        </w:tc>
        <w:tc>
          <w:tcPr>
            <w:tcW w:w="1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r>
      <w:tr>
        <w:trPr>
          <w:trHeight w:val="218"/>
        </w:trPr>
        <w:tc>
          <w:tcPr>
            <w:tcW w:w="3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7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9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Accrued warranty amounts expected to be incurred after one year are included in noncurrent other accrued liabilities in the consolidated balance sheet.</w:t>
      </w:r>
    </w:p>
    <w:p>
      <w:pPr>
        <w:spacing w:after="0" w:line="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These amounts totaled $0.2 million and $0.1 million at December 27, 2025 and December 28, 2024, respectively.</w:t>
      </w:r>
    </w:p>
    <w:p>
      <w:pPr>
        <w:spacing w:after="0" w:line="200" w:lineRule="exact"/>
        <w:rPr>
          <w:sz w:val="20"/>
          <w:szCs w:val="20"/>
          <w:color w:val="auto"/>
        </w:rPr>
      </w:pPr>
    </w:p>
    <w:p>
      <w:pPr>
        <w:spacing w:after="0" w:line="234" w:lineRule="exact"/>
        <w:rPr>
          <w:sz w:val="20"/>
          <w:szCs w:val="20"/>
          <w:color w:val="auto"/>
        </w:rPr>
      </w:pPr>
    </w:p>
    <w:p>
      <w:pPr>
        <w:ind w:left="320" w:hanging="314"/>
        <w:spacing w:after="0"/>
        <w:tabs>
          <w:tab w:leader="none" w:pos="32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Accumulated Other Comprehensive Loss</w:t>
      </w:r>
    </w:p>
    <w:p>
      <w:pPr>
        <w:spacing w:after="0" w:line="219"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Components of other comprehensive loss, on an after-tax basis, were as follows:</w:t>
      </w:r>
    </w:p>
    <w:p>
      <w:pPr>
        <w:spacing w:after="0" w:line="217" w:lineRule="exact"/>
        <w:rPr>
          <w:sz w:val="20"/>
          <w:szCs w:val="20"/>
          <w:color w:val="auto"/>
        </w:rPr>
      </w:pPr>
    </w:p>
    <w:tbl>
      <w:tblPr>
        <w:tblLayout w:type="fixed"/>
        <w:tblInd w:w="480" w:type="dxa"/>
        <w:tblCellMar>
          <w:top w:w="0" w:type="dxa"/>
          <w:left w:w="0" w:type="dxa"/>
          <w:bottom w:w="0" w:type="dxa"/>
          <w:right w:w="0" w:type="dxa"/>
        </w:tblCellMar>
      </w:tblPr>
      <w:tr>
        <w:trPr>
          <w:trHeight w:val="212"/>
        </w:trPr>
        <w:tc>
          <w:tcPr>
            <w:tcW w:w="4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43"/>
              <w:spacing w:after="0"/>
              <w:rPr>
                <w:sz w:val="20"/>
                <w:szCs w:val="20"/>
                <w:color w:val="auto"/>
              </w:rPr>
            </w:pPr>
            <w:r>
              <w:rPr>
                <w:rFonts w:ascii="Times New Roman" w:cs="Times New Roman" w:eastAsia="Times New Roman" w:hAnsi="Times New Roman"/>
                <w:sz w:val="18"/>
                <w:szCs w:val="18"/>
                <w:color w:val="auto"/>
                <w:w w:val="92"/>
              </w:rPr>
              <w:t>Tax</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423"/>
              <w:spacing w:after="0"/>
              <w:rPr>
                <w:sz w:val="20"/>
                <w:szCs w:val="20"/>
                <w:color w:val="auto"/>
              </w:rPr>
            </w:pPr>
            <w:r>
              <w:rPr>
                <w:rFonts w:ascii="Times New Roman" w:cs="Times New Roman" w:eastAsia="Times New Roman" w:hAnsi="Times New Roman"/>
                <w:sz w:val="18"/>
                <w:szCs w:val="18"/>
                <w:color w:val="auto"/>
              </w:rPr>
              <w:t>Before Tax</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63"/>
              <w:spacing w:after="0"/>
              <w:rPr>
                <w:sz w:val="20"/>
                <w:szCs w:val="20"/>
                <w:color w:val="auto"/>
              </w:rPr>
            </w:pPr>
            <w:r>
              <w:rPr>
                <w:rFonts w:ascii="Times New Roman" w:cs="Times New Roman" w:eastAsia="Times New Roman" w:hAnsi="Times New Roman"/>
                <w:sz w:val="18"/>
                <w:szCs w:val="18"/>
                <w:color w:val="auto"/>
                <w:w w:val="98"/>
              </w:rPr>
              <w:t>(Expense)</w:t>
            </w:r>
          </w:p>
        </w:tc>
        <w:tc>
          <w:tcPr>
            <w:tcW w:w="240" w:type="dxa"/>
            <w:vAlign w:val="bottom"/>
          </w:tcPr>
          <w:p>
            <w:pPr>
              <w:spacing w:after="0"/>
              <w:rPr>
                <w:sz w:val="18"/>
                <w:szCs w:val="18"/>
                <w:color w:val="auto"/>
              </w:rPr>
            </w:pPr>
          </w:p>
        </w:tc>
        <w:tc>
          <w:tcPr>
            <w:tcW w:w="1360" w:type="dxa"/>
            <w:vAlign w:val="bottom"/>
            <w:gridSpan w:val="2"/>
          </w:tcPr>
          <w:p>
            <w:pPr>
              <w:jc w:val="right"/>
              <w:ind w:right="403"/>
              <w:spacing w:after="0"/>
              <w:rPr>
                <w:sz w:val="20"/>
                <w:szCs w:val="20"/>
                <w:color w:val="auto"/>
              </w:rPr>
            </w:pPr>
            <w:r>
              <w:rPr>
                <w:rFonts w:ascii="Times New Roman" w:cs="Times New Roman" w:eastAsia="Times New Roman" w:hAnsi="Times New Roman"/>
                <w:sz w:val="18"/>
                <w:szCs w:val="18"/>
                <w:color w:val="auto"/>
              </w:rPr>
              <w:t>Net of Tax</w:t>
            </w:r>
          </w:p>
        </w:tc>
        <w:tc>
          <w:tcPr>
            <w:tcW w:w="0" w:type="dxa"/>
            <w:vAlign w:val="bottom"/>
          </w:tcPr>
          <w:p>
            <w:pPr>
              <w:spacing w:after="0"/>
              <w:rPr>
                <w:sz w:val="1"/>
                <w:szCs w:val="1"/>
                <w:color w:val="auto"/>
              </w:rPr>
            </w:pPr>
          </w:p>
        </w:tc>
      </w:tr>
      <w:tr>
        <w:trPr>
          <w:trHeight w:val="230"/>
        </w:trPr>
        <w:tc>
          <w:tcPr>
            <w:tcW w:w="4260" w:type="dxa"/>
            <w:vAlign w:val="bottom"/>
            <w:vMerge w:val="continue"/>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jc w:val="right"/>
              <w:ind w:right="543"/>
              <w:spacing w:after="0"/>
              <w:rPr>
                <w:sz w:val="20"/>
                <w:szCs w:val="20"/>
                <w:color w:val="auto"/>
              </w:rPr>
            </w:pPr>
            <w:r>
              <w:rPr>
                <w:rFonts w:ascii="Times New Roman" w:cs="Times New Roman" w:eastAsia="Times New Roman" w:hAnsi="Times New Roman"/>
                <w:sz w:val="18"/>
                <w:szCs w:val="18"/>
                <w:color w:val="auto"/>
              </w:rPr>
              <w:t>amount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2"/>
          </w:tcPr>
          <w:p>
            <w:pPr>
              <w:jc w:val="center"/>
              <w:ind w:right="363"/>
              <w:spacing w:after="0"/>
              <w:rPr>
                <w:sz w:val="20"/>
                <w:szCs w:val="20"/>
                <w:color w:val="auto"/>
              </w:rPr>
            </w:pPr>
            <w:r>
              <w:rPr>
                <w:rFonts w:ascii="Times New Roman" w:cs="Times New Roman" w:eastAsia="Times New Roman" w:hAnsi="Times New Roman"/>
                <w:sz w:val="18"/>
                <w:szCs w:val="18"/>
                <w:color w:val="auto"/>
                <w:w w:val="98"/>
              </w:rPr>
              <w:t>Benefit</w:t>
            </w:r>
          </w:p>
        </w:tc>
        <w:tc>
          <w:tcPr>
            <w:tcW w:w="240" w:type="dxa"/>
            <w:vAlign w:val="bottom"/>
          </w:tcPr>
          <w:p>
            <w:pPr>
              <w:spacing w:after="0"/>
              <w:rPr>
                <w:sz w:val="20"/>
                <w:szCs w:val="20"/>
                <w:color w:val="auto"/>
              </w:rPr>
            </w:pPr>
          </w:p>
        </w:tc>
        <w:tc>
          <w:tcPr>
            <w:tcW w:w="1360" w:type="dxa"/>
            <w:vAlign w:val="bottom"/>
            <w:gridSpan w:val="2"/>
          </w:tcPr>
          <w:p>
            <w:pPr>
              <w:jc w:val="right"/>
              <w:ind w:right="483"/>
              <w:spacing w:after="0"/>
              <w:rPr>
                <w:sz w:val="20"/>
                <w:szCs w:val="20"/>
                <w:color w:val="auto"/>
              </w:rPr>
            </w:pPr>
            <w:r>
              <w:rPr>
                <w:rFonts w:ascii="Times New Roman" w:cs="Times New Roman" w:eastAsia="Times New Roman" w:hAnsi="Times New Roman"/>
                <w:sz w:val="18"/>
                <w:szCs w:val="18"/>
                <w:color w:val="auto"/>
              </w:rPr>
              <w:t>Amount</w:t>
            </w:r>
          </w:p>
        </w:tc>
        <w:tc>
          <w:tcPr>
            <w:tcW w:w="0" w:type="dxa"/>
            <w:vAlign w:val="bottom"/>
          </w:tcPr>
          <w:p>
            <w:pPr>
              <w:spacing w:after="0"/>
              <w:rPr>
                <w:sz w:val="1"/>
                <w:szCs w:val="1"/>
                <w:color w:val="auto"/>
              </w:rPr>
            </w:pPr>
          </w:p>
        </w:tc>
      </w:tr>
      <w:tr>
        <w:trPr>
          <w:trHeight w:val="205"/>
        </w:trPr>
        <w:tc>
          <w:tcPr>
            <w:tcW w:w="4260" w:type="dxa"/>
            <w:vAlign w:val="bottom"/>
            <w:tcBorders>
              <w:top w:val="single" w:sz="8" w:color="auto"/>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Year ended December 30, 2023</w:t>
            </w:r>
          </w:p>
        </w:tc>
        <w:tc>
          <w:tcPr>
            <w:tcW w:w="8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4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63"/>
              <w:spacing w:after="0"/>
              <w:rPr>
                <w:sz w:val="20"/>
                <w:szCs w:val="20"/>
                <w:color w:val="auto"/>
              </w:rPr>
            </w:pPr>
            <w:r>
              <w:rPr>
                <w:rFonts w:ascii="Times New Roman" w:cs="Times New Roman" w:eastAsia="Times New Roman" w:hAnsi="Times New Roman"/>
                <w:sz w:val="18"/>
                <w:szCs w:val="18"/>
                <w:color w:val="auto"/>
              </w:rPr>
              <w:t>6,256</w:t>
            </w:r>
          </w:p>
        </w:tc>
        <w:tc>
          <w:tcPr>
            <w:tcW w:w="320" w:type="dxa"/>
            <w:vAlign w:val="bottom"/>
            <w:gridSpan w:val="2"/>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23"/>
              <w:spacing w:after="0"/>
              <w:rPr>
                <w:sz w:val="20"/>
                <w:szCs w:val="20"/>
                <w:color w:val="auto"/>
              </w:rPr>
            </w:pPr>
            <w:r>
              <w:rPr>
                <w:rFonts w:ascii="Times New Roman" w:cs="Times New Roman" w:eastAsia="Times New Roman" w:hAnsi="Times New Roman"/>
                <w:sz w:val="18"/>
                <w:szCs w:val="18"/>
                <w:color w:val="auto"/>
              </w:rPr>
              <w:t>559</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3"/>
              <w:spacing w:after="0"/>
              <w:rPr>
                <w:sz w:val="20"/>
                <w:szCs w:val="20"/>
                <w:color w:val="auto"/>
              </w:rPr>
            </w:pPr>
            <w:r>
              <w:rPr>
                <w:rFonts w:ascii="Times New Roman" w:cs="Times New Roman" w:eastAsia="Times New Roman" w:hAnsi="Times New Roman"/>
                <w:sz w:val="18"/>
                <w:szCs w:val="18"/>
                <w:color w:val="auto"/>
              </w:rPr>
              <w:t>6,815</w:t>
            </w:r>
          </w:p>
        </w:tc>
        <w:tc>
          <w:tcPr>
            <w:tcW w:w="0" w:type="dxa"/>
            <w:vAlign w:val="bottom"/>
          </w:tcPr>
          <w:p>
            <w:pPr>
              <w:spacing w:after="0"/>
              <w:rPr>
                <w:sz w:val="1"/>
                <w:szCs w:val="1"/>
                <w:color w:val="auto"/>
              </w:rPr>
            </w:pPr>
          </w:p>
        </w:tc>
      </w:tr>
      <w:tr>
        <w:trPr>
          <w:trHeight w:val="212"/>
        </w:trPr>
        <w:tc>
          <w:tcPr>
            <w:tcW w:w="4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Adjustments related to postretirement benefits</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(2,800)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8"/>
                <w:szCs w:val="18"/>
                <w:color w:val="auto"/>
              </w:rPr>
              <w:t>425</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0" w:type="dxa"/>
            <w:vAlign w:val="bottom"/>
          </w:tcPr>
          <w:p>
            <w:pPr>
              <w:spacing w:after="0"/>
              <w:rPr>
                <w:sz w:val="1"/>
                <w:szCs w:val="1"/>
                <w:color w:val="auto"/>
              </w:rPr>
            </w:pPr>
          </w:p>
        </w:tc>
      </w:tr>
      <w:tr>
        <w:trPr>
          <w:trHeight w:val="225"/>
        </w:trPr>
        <w:tc>
          <w:tcPr>
            <w:tcW w:w="4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 in unrealized gain/loss on investments</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right"/>
              <w:ind w:right="63"/>
              <w:spacing w:after="0"/>
              <w:rPr>
                <w:sz w:val="20"/>
                <w:szCs w:val="20"/>
                <w:color w:val="auto"/>
              </w:rPr>
            </w:pPr>
            <w:r>
              <w:rPr>
                <w:rFonts w:ascii="Times New Roman" w:cs="Times New Roman" w:eastAsia="Times New Roman" w:hAnsi="Times New Roman"/>
                <w:sz w:val="18"/>
                <w:szCs w:val="18"/>
                <w:color w:val="auto"/>
              </w:rPr>
              <w:t>793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2"/>
          </w:tcPr>
          <w:p>
            <w:pPr>
              <w:jc w:val="right"/>
              <w:ind w:right="12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60" w:type="dxa"/>
            <w:vAlign w:val="bottom"/>
            <w:gridSpan w:val="2"/>
          </w:tcPr>
          <w:p>
            <w:pPr>
              <w:jc w:val="right"/>
              <w:ind w:right="23"/>
              <w:spacing w:after="0"/>
              <w:rPr>
                <w:sz w:val="20"/>
                <w:szCs w:val="20"/>
                <w:color w:val="auto"/>
              </w:rPr>
            </w:pPr>
            <w:r>
              <w:rPr>
                <w:rFonts w:ascii="Times New Roman" w:cs="Times New Roman" w:eastAsia="Times New Roman" w:hAnsi="Times New Roman"/>
                <w:sz w:val="18"/>
                <w:szCs w:val="18"/>
                <w:color w:val="auto"/>
              </w:rPr>
              <w:t>793</w:t>
            </w:r>
          </w:p>
        </w:tc>
        <w:tc>
          <w:tcPr>
            <w:tcW w:w="0" w:type="dxa"/>
            <w:vAlign w:val="bottom"/>
          </w:tcPr>
          <w:p>
            <w:pPr>
              <w:spacing w:after="0"/>
              <w:rPr>
                <w:sz w:val="1"/>
                <w:szCs w:val="1"/>
                <w:color w:val="auto"/>
              </w:rPr>
            </w:pPr>
          </w:p>
        </w:tc>
      </w:tr>
      <w:tr>
        <w:trPr>
          <w:trHeight w:val="218"/>
        </w:trPr>
        <w:tc>
          <w:tcPr>
            <w:tcW w:w="426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8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Year ended December 28, 2024</w:t>
            </w:r>
          </w:p>
        </w:tc>
        <w:tc>
          <w:tcPr>
            <w:tcW w:w="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260" w:type="dxa"/>
            <w:vAlign w:val="bottom"/>
            <w:vMerge w:val="continue"/>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4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(16,540)</w:t>
            </w:r>
          </w:p>
        </w:tc>
        <w:tc>
          <w:tcPr>
            <w:tcW w:w="32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8"/>
                <w:szCs w:val="18"/>
                <w:color w:val="auto"/>
              </w:rPr>
              <w:t>(299)</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(16,839)</w:t>
            </w:r>
          </w:p>
        </w:tc>
        <w:tc>
          <w:tcPr>
            <w:tcW w:w="0" w:type="dxa"/>
            <w:vAlign w:val="bottom"/>
          </w:tcPr>
          <w:p>
            <w:pPr>
              <w:spacing w:after="0"/>
              <w:rPr>
                <w:sz w:val="1"/>
                <w:szCs w:val="1"/>
                <w:color w:val="auto"/>
              </w:rPr>
            </w:pPr>
          </w:p>
        </w:tc>
      </w:tr>
      <w:tr>
        <w:trPr>
          <w:trHeight w:val="212"/>
        </w:trPr>
        <w:tc>
          <w:tcPr>
            <w:tcW w:w="4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Adjustments related to postretirement benefits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63"/>
              <w:spacing w:after="0"/>
              <w:rPr>
                <w:sz w:val="20"/>
                <w:szCs w:val="20"/>
                <w:color w:val="auto"/>
              </w:rPr>
            </w:pPr>
            <w:r>
              <w:rPr>
                <w:rFonts w:ascii="Times New Roman" w:cs="Times New Roman" w:eastAsia="Times New Roman" w:hAnsi="Times New Roman"/>
                <w:sz w:val="18"/>
                <w:szCs w:val="18"/>
                <w:color w:val="auto"/>
              </w:rPr>
              <w:t>615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63"/>
              <w:spacing w:after="0"/>
              <w:rPr>
                <w:sz w:val="20"/>
                <w:szCs w:val="20"/>
                <w:color w:val="auto"/>
              </w:rPr>
            </w:pPr>
            <w:r>
              <w:rPr>
                <w:rFonts w:ascii="Times New Roman" w:cs="Times New Roman" w:eastAsia="Times New Roman" w:hAnsi="Times New Roman"/>
                <w:sz w:val="18"/>
                <w:szCs w:val="18"/>
                <w:color w:val="auto"/>
              </w:rPr>
              <w:t>(97)</w:t>
            </w:r>
          </w:p>
        </w:tc>
        <w:tc>
          <w:tcPr>
            <w:tcW w:w="240" w:type="dxa"/>
            <w:vAlign w:val="bottom"/>
          </w:tcPr>
          <w:p>
            <w:pPr>
              <w:spacing w:after="0"/>
              <w:rPr>
                <w:sz w:val="18"/>
                <w:szCs w:val="18"/>
                <w:color w:val="auto"/>
              </w:rPr>
            </w:pPr>
          </w:p>
        </w:tc>
        <w:tc>
          <w:tcPr>
            <w:tcW w:w="1360" w:type="dxa"/>
            <w:vAlign w:val="bottom"/>
            <w:gridSpan w:val="2"/>
          </w:tcPr>
          <w:p>
            <w:pPr>
              <w:jc w:val="right"/>
              <w:ind w:right="23"/>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25"/>
        </w:trPr>
        <w:tc>
          <w:tcPr>
            <w:tcW w:w="4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 in unrealized gain/loss on investments</w:t>
            </w: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59"/>
        </w:trPr>
        <w:tc>
          <w:tcPr>
            <w:tcW w:w="42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8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(15,980</w:t>
            </w:r>
          </w:p>
        </w:tc>
        <w:tc>
          <w:tcPr>
            <w:tcW w:w="140" w:type="dxa"/>
            <w:vAlign w:val="bottom"/>
            <w:tcBorders>
              <w:bottom w:val="single" w:sz="8" w:color="CCEEFF"/>
            </w:tcBorders>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8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00" w:type="dxa"/>
            <w:vAlign w:val="bottom"/>
            <w:tcBorders>
              <w:bottom w:val="single" w:sz="8" w:color="CCEEFF"/>
            </w:tcBorders>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(16,376</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192"/>
        </w:trPr>
        <w:tc>
          <w:tcPr>
            <w:tcW w:w="426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Year ended December 27, 2025</w:t>
            </w: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4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63"/>
              <w:spacing w:after="0"/>
              <w:rPr>
                <w:sz w:val="20"/>
                <w:szCs w:val="20"/>
                <w:color w:val="auto"/>
              </w:rPr>
            </w:pPr>
            <w:r>
              <w:rPr>
                <w:rFonts w:ascii="Times New Roman" w:cs="Times New Roman" w:eastAsia="Times New Roman" w:hAnsi="Times New Roman"/>
                <w:sz w:val="18"/>
                <w:szCs w:val="18"/>
                <w:color w:val="auto"/>
              </w:rPr>
              <w:t>19,433</w:t>
            </w:r>
          </w:p>
        </w:tc>
        <w:tc>
          <w:tcPr>
            <w:tcW w:w="320" w:type="dxa"/>
            <w:vAlign w:val="bottom"/>
            <w:gridSpan w:val="2"/>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23"/>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3"/>
              <w:spacing w:after="0"/>
              <w:rPr>
                <w:sz w:val="20"/>
                <w:szCs w:val="20"/>
                <w:color w:val="auto"/>
              </w:rPr>
            </w:pPr>
            <w:r>
              <w:rPr>
                <w:rFonts w:ascii="Times New Roman" w:cs="Times New Roman" w:eastAsia="Times New Roman" w:hAnsi="Times New Roman"/>
                <w:sz w:val="18"/>
                <w:szCs w:val="18"/>
                <w:color w:val="auto"/>
              </w:rPr>
              <w:t>19,436</w:t>
            </w:r>
          </w:p>
        </w:tc>
        <w:tc>
          <w:tcPr>
            <w:tcW w:w="0" w:type="dxa"/>
            <w:vAlign w:val="bottom"/>
          </w:tcPr>
          <w:p>
            <w:pPr>
              <w:spacing w:after="0"/>
              <w:rPr>
                <w:sz w:val="1"/>
                <w:szCs w:val="1"/>
                <w:color w:val="auto"/>
              </w:rPr>
            </w:pPr>
          </w:p>
        </w:tc>
      </w:tr>
      <w:tr>
        <w:trPr>
          <w:trHeight w:val="212"/>
        </w:trPr>
        <w:tc>
          <w:tcPr>
            <w:tcW w:w="4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Adjustments related to postretirement benefits</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(820)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0" w:type="dxa"/>
            <w:vAlign w:val="bottom"/>
          </w:tcPr>
          <w:p>
            <w:pPr>
              <w:spacing w:after="0"/>
              <w:rPr>
                <w:sz w:val="1"/>
                <w:szCs w:val="1"/>
                <w:color w:val="auto"/>
              </w:rPr>
            </w:pPr>
          </w:p>
        </w:tc>
      </w:tr>
      <w:tr>
        <w:trPr>
          <w:trHeight w:val="225"/>
        </w:trPr>
        <w:tc>
          <w:tcPr>
            <w:tcW w:w="4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 in unrealized gain/loss on investments</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right"/>
              <w:ind w:right="63"/>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2"/>
          </w:tcPr>
          <w:p>
            <w:pPr>
              <w:jc w:val="right"/>
              <w:ind w:right="12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60" w:type="dxa"/>
            <w:vAlign w:val="bottom"/>
            <w:gridSpan w:val="2"/>
          </w:tcPr>
          <w:p>
            <w:pPr>
              <w:jc w:val="right"/>
              <w:ind w:right="23"/>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8"/>
        </w:trPr>
        <w:tc>
          <w:tcPr>
            <w:tcW w:w="426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8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tcBorders>
              <w:top w:val="single" w:sz="8" w:color="CCEEFF"/>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Components of accumulated other comprehensive loss, net of tax, at the end of each period are as follows:</w:t>
      </w:r>
    </w:p>
    <w:p>
      <w:pPr>
        <w:spacing w:after="0" w:line="228" w:lineRule="exact"/>
        <w:rPr>
          <w:sz w:val="20"/>
          <w:szCs w:val="20"/>
          <w:color w:val="auto"/>
        </w:rPr>
      </w:pPr>
    </w:p>
    <w:tbl>
      <w:tblPr>
        <w:tblLayout w:type="fixed"/>
        <w:tblInd w:w="480" w:type="dxa"/>
        <w:tblCellMar>
          <w:top w:w="0" w:type="dxa"/>
          <w:left w:w="0" w:type="dxa"/>
          <w:bottom w:w="0" w:type="dxa"/>
          <w:right w:w="0" w:type="dxa"/>
        </w:tblCellMar>
      </w:tblPr>
      <w:tr>
        <w:trPr>
          <w:trHeight w:val="232"/>
        </w:trPr>
        <w:tc>
          <w:tcPr>
            <w:tcW w:w="5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8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05"/>
        </w:trPr>
        <w:tc>
          <w:tcPr>
            <w:tcW w:w="534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5"/>
                <w:szCs w:val="15"/>
                <w:color w:val="auto"/>
              </w:rPr>
              <w:t xml:space="preserve">Accumulated net currency translation adjustments </w:t>
            </w:r>
            <w:r>
              <w:rPr>
                <w:rFonts w:ascii="Times New Roman" w:cs="Times New Roman" w:eastAsia="Times New Roman" w:hAnsi="Times New Roman"/>
                <w:sz w:val="23"/>
                <w:szCs w:val="23"/>
                <w:color w:val="auto"/>
                <w:vertAlign w:val="superscript"/>
              </w:rPr>
              <w:t>(1)</w:t>
            </w:r>
          </w:p>
        </w:tc>
        <w:tc>
          <w:tcPr>
            <w:tcW w:w="1220" w:type="dxa"/>
            <w:vAlign w:val="bottom"/>
            <w:gridSpan w:val="2"/>
            <w:shd w:val="clear" w:color="auto" w:fill="CCEEFF"/>
          </w:tcPr>
          <w:p>
            <w:pPr>
              <w:jc w:val="right"/>
              <w:ind w:right="177"/>
              <w:spacing w:after="0" w:line="205"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43"/>
              <w:spacing w:after="0" w:line="205" w:lineRule="exact"/>
              <w:rPr>
                <w:sz w:val="20"/>
                <w:szCs w:val="20"/>
                <w:color w:val="auto"/>
              </w:rPr>
            </w:pPr>
            <w:r>
              <w:rPr>
                <w:rFonts w:ascii="Times New Roman" w:cs="Times New Roman" w:eastAsia="Times New Roman" w:hAnsi="Times New Roman"/>
                <w:sz w:val="18"/>
                <w:szCs w:val="18"/>
                <w:color w:val="auto"/>
              </w:rPr>
              <w:t>(36,896)</w:t>
            </w:r>
          </w:p>
        </w:tc>
        <w:tc>
          <w:tcPr>
            <w:tcW w:w="340" w:type="dxa"/>
            <w:vAlign w:val="bottom"/>
            <w:gridSpan w:val="2"/>
            <w:shd w:val="clear" w:color="auto" w:fill="CCEEFF"/>
          </w:tcPr>
          <w:p>
            <w:pPr>
              <w:jc w:val="right"/>
              <w:ind w:right="157"/>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(56,332)</w:t>
            </w:r>
          </w:p>
        </w:tc>
        <w:tc>
          <w:tcPr>
            <w:tcW w:w="80" w:type="dxa"/>
            <w:vAlign w:val="bottom"/>
            <w:gridSpan w:val="2"/>
            <w:shd w:val="clear" w:color="auto" w:fill="CCEEFF"/>
          </w:tcPr>
          <w:p>
            <w:pPr>
              <w:spacing w:after="0"/>
              <w:rPr>
                <w:sz w:val="17"/>
                <w:szCs w:val="17"/>
                <w:color w:val="auto"/>
              </w:rPr>
            </w:pPr>
          </w:p>
        </w:tc>
      </w:tr>
      <w:tr>
        <w:trPr>
          <w:trHeight w:val="212"/>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net adjustments related to postretirement benefits</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03"/>
              <w:spacing w:after="0"/>
              <w:rPr>
                <w:sz w:val="20"/>
                <w:szCs w:val="20"/>
                <w:color w:val="auto"/>
              </w:rPr>
            </w:pPr>
            <w:r>
              <w:rPr>
                <w:rFonts w:ascii="Times New Roman" w:cs="Times New Roman" w:eastAsia="Times New Roman" w:hAnsi="Times New Roman"/>
                <w:sz w:val="18"/>
                <w:szCs w:val="18"/>
                <w:color w:val="auto"/>
              </w:rPr>
              <w:t>4,287</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5,174</w:t>
            </w:r>
          </w:p>
        </w:tc>
        <w:tc>
          <w:tcPr>
            <w:tcW w:w="60" w:type="dxa"/>
            <w:vAlign w:val="bottom"/>
          </w:tcPr>
          <w:p>
            <w:pPr>
              <w:spacing w:after="0"/>
              <w:rPr>
                <w:sz w:val="18"/>
                <w:szCs w:val="18"/>
                <w:color w:val="auto"/>
              </w:rPr>
            </w:pPr>
          </w:p>
        </w:tc>
      </w:tr>
      <w:tr>
        <w:trPr>
          <w:trHeight w:val="225"/>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net unrealized gain/loss on investments</w:t>
            </w: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8"/>
                <w:szCs w:val="18"/>
                <w:color w:val="auto"/>
              </w:rPr>
              <w:t>139</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CEEFF"/>
          </w:tcPr>
          <w:p>
            <w:pPr>
              <w:spacing w:after="0"/>
              <w:rPr>
                <w:sz w:val="19"/>
                <w:szCs w:val="19"/>
                <w:color w:val="auto"/>
              </w:rPr>
            </w:pPr>
          </w:p>
        </w:tc>
      </w:tr>
      <w:tr>
        <w:trPr>
          <w:trHeight w:val="219"/>
        </w:trPr>
        <w:tc>
          <w:tcPr>
            <w:tcW w:w="5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accumulated other comprehensive loss</w:t>
            </w:r>
          </w:p>
        </w:tc>
        <w:tc>
          <w:tcPr>
            <w:tcW w:w="880" w:type="dxa"/>
            <w:vAlign w:val="bottom"/>
          </w:tcPr>
          <w:p>
            <w:pPr>
              <w:spacing w:after="0"/>
              <w:rPr>
                <w:sz w:val="19"/>
                <w:szCs w:val="19"/>
                <w:color w:val="auto"/>
              </w:rPr>
            </w:pPr>
          </w:p>
        </w:tc>
        <w:tc>
          <w:tcPr>
            <w:tcW w:w="340" w:type="dxa"/>
            <w:vAlign w:val="bottom"/>
            <w:tcBorders>
              <w:top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(32,470</w:t>
            </w: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20" w:type="dxa"/>
            <w:vAlign w:val="bottom"/>
          </w:tcPr>
          <w:p>
            <w:pPr>
              <w:spacing w:after="0"/>
              <w:rPr>
                <w:sz w:val="19"/>
                <w:szCs w:val="19"/>
                <w:color w:val="auto"/>
              </w:rPr>
            </w:pPr>
          </w:p>
        </w:tc>
        <w:tc>
          <w:tcPr>
            <w:tcW w:w="320" w:type="dxa"/>
            <w:vAlign w:val="bottom"/>
            <w:tcBorders>
              <w:top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(51,155</w:t>
            </w:r>
          </w:p>
        </w:tc>
        <w:tc>
          <w:tcPr>
            <w:tcW w:w="80" w:type="dxa"/>
            <w:vAlign w:val="bottom"/>
            <w:gridSpan w:val="2"/>
          </w:tcPr>
          <w:p>
            <w:pPr>
              <w:jc w:val="right"/>
              <w:ind w:right="40"/>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5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left="480"/>
        <w:spacing w:after="0"/>
        <w:tabs>
          <w:tab w:leader="none" w:pos="800" w:val="left"/>
        </w:tabs>
        <w:rPr>
          <w:sz w:val="20"/>
          <w:szCs w:val="20"/>
          <w:color w:val="auto"/>
        </w:rPr>
      </w:pPr>
      <w:r>
        <w:rPr>
          <w:rFonts w:ascii="Times New Roman" w:cs="Times New Roman" w:eastAsia="Times New Roman" w:hAnsi="Times New Roman"/>
          <w:sz w:val="16"/>
          <w:szCs w:val="16"/>
          <w:color w:val="auto"/>
        </w:rPr>
        <w:t>(1)</w:t>
      </w:r>
      <w:r>
        <w:rPr>
          <w:sz w:val="20"/>
          <w:szCs w:val="20"/>
          <w:color w:val="auto"/>
        </w:rPr>
        <w:tab/>
      </w:r>
      <w:r>
        <w:rPr>
          <w:rFonts w:ascii="Times New Roman" w:cs="Times New Roman" w:eastAsia="Times New Roman" w:hAnsi="Times New Roman"/>
          <w:sz w:val="15"/>
          <w:szCs w:val="15"/>
          <w:color w:val="auto"/>
        </w:rPr>
        <w:t>Includes $8.5 million loss and $1.0 million gain from the settlement of net investment hedges in fiscal 2025 and 2024, respectively.</w:t>
      </w:r>
    </w:p>
    <w:p>
      <w:pPr>
        <w:sectPr>
          <w:pgSz w:w="11900" w:h="16838" w:orient="portrait"/>
          <w:cols w:equalWidth="0" w:num="1">
            <w:col w:w="11220"/>
          </w:cols>
          <w:pgMar w:left="320" w:top="121" w:right="359" w:bottom="1440" w:gutter="0" w:footer="0" w:header="0"/>
        </w:sect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36195</wp:posOffset>
            </wp:positionV>
            <wp:extent cx="71348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320" w:hanging="314"/>
        <w:spacing w:after="0"/>
        <w:tabs>
          <w:tab w:leader="none" w:pos="3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19" w:lineRule="exact"/>
        <w:rPr>
          <w:rFonts w:ascii="Times New Roman" w:cs="Times New Roman" w:eastAsia="Times New Roman" w:hAnsi="Times New Roman"/>
          <w:sz w:val="18"/>
          <w:szCs w:val="18"/>
          <w:b w:val="1"/>
          <w:bCs w:val="1"/>
          <w:color w:val="auto"/>
        </w:rPr>
      </w:pPr>
    </w:p>
    <w:p>
      <w:pPr>
        <w:ind w:left="320"/>
        <w:spacing w:after="0" w:line="27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December 27, 2025, certain of our cash and short-term investments were held and managed by BlackRock, Inc. which owns 14.7% of our outstanding common stock as reported in its Form 13-G/A filing made with the Securities and Exchange Commission on July 17, 2025.</w:t>
      </w:r>
    </w:p>
    <w:p>
      <w:pPr>
        <w:spacing w:after="0" w:line="163" w:lineRule="exact"/>
        <w:rPr>
          <w:rFonts w:ascii="Times New Roman" w:cs="Times New Roman" w:eastAsia="Times New Roman" w:hAnsi="Times New Roman"/>
          <w:sz w:val="18"/>
          <w:szCs w:val="18"/>
          <w:b w:val="1"/>
          <w:bCs w:val="1"/>
          <w:color w:val="auto"/>
        </w:rPr>
      </w:pPr>
    </w:p>
    <w:p>
      <w:pPr>
        <w:ind w:left="32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previously had an ownership interest in Fraes-und Technologiezentrum GmbH Frasdorf (“FTZ”), a company based in Germany that provides milling services to our wholly owned subsidiaries. This investment was accounted for under the equity method and was not material to our consolidated balance sheet in fiscal 2023. In fiscal 2024, due to the current business conditions, we impaired the full value of our investment in FTZ and recorded a charge $0.9 million in SG&amp;A. In fiscal 2025, we sold our ownership interest in FTZ and recorded a gain of $0.4 million in SG&amp;A. During fiscal 2025, 2024 and 2023, purchases of products from FTZ were not material.</w:t>
      </w:r>
    </w:p>
    <w:p>
      <w:pPr>
        <w:spacing w:after="0" w:line="18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5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Cohu, Inc.</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19"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Cohu, Inc. (the Company) as of December 27, 2025 and December 28, 2024, the related consolidated statements of operations, comprehensive income (loss), stockholders’ equity and cash flows for each of the three years in the period ended December 27, 2025, and the related notes and financial statement schedule listed in the Index at Item 15(a) (collectively referred to as the “consolidated financial statements”). In our opinion, the consolidated financial statements present fairly, in all material respects, the financial position of the Company at December 27, 2025 and December 28, 2024, and the results of its operations and its cash flows for each of the three years in the period ended December 27, 2025, in conformity with U.S. generally accepted accounting principles.</w:t>
      </w:r>
    </w:p>
    <w:p>
      <w:pPr>
        <w:spacing w:after="0" w:line="18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27, 2025, based on criteria established in Internal Control—Integrated Framework issued by the Committee of Sponsoring Organizations of the Treadway Commission (2013 framework), and our report dated February 17, 2026 expressed an unqualified opinion thereon.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1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07"/>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280" w:type="dxa"/>
            <w:vAlign w:val="bottom"/>
          </w:tcPr>
          <w:p>
            <w:pPr>
              <w:spacing w:after="0"/>
              <w:rPr>
                <w:sz w:val="17"/>
                <w:szCs w:val="17"/>
                <w:color w:val="auto"/>
              </w:rPr>
            </w:pPr>
          </w:p>
        </w:tc>
      </w:tr>
      <w:tr>
        <w:trPr>
          <w:trHeight w:val="445"/>
        </w:trPr>
        <w:tc>
          <w:tcPr>
            <w:tcW w:w="126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92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Valuation of inventories</w:t>
            </w:r>
          </w:p>
        </w:tc>
      </w:tr>
      <w:tr>
        <w:trPr>
          <w:trHeight w:val="403"/>
        </w:trPr>
        <w:tc>
          <w:tcPr>
            <w:tcW w:w="1940" w:type="dxa"/>
            <w:vAlign w:val="bottom"/>
            <w:gridSpan w:val="2"/>
          </w:tcPr>
          <w:p>
            <w:pPr>
              <w:ind w:left="100"/>
              <w:spacing w:after="0"/>
              <w:rPr>
                <w:sz w:val="20"/>
                <w:szCs w:val="20"/>
                <w:color w:val="auto"/>
              </w:rPr>
            </w:pPr>
            <w:r>
              <w:rPr>
                <w:rFonts w:ascii="Times New Roman" w:cs="Times New Roman" w:eastAsia="Times New Roman" w:hAnsi="Times New Roman"/>
                <w:sz w:val="18"/>
                <w:szCs w:val="18"/>
                <w:i w:val="1"/>
                <w:iCs w:val="1"/>
                <w:color w:val="auto"/>
              </w:rPr>
              <w:t>Description of the</w:t>
            </w:r>
          </w:p>
        </w:tc>
        <w:tc>
          <w:tcPr>
            <w:tcW w:w="92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8"/>
              </w:rPr>
              <w:t>As of December 27, 2025, the Company’s consolidated inventories balance was $129.0 million. As described in Note 1 to the</w:t>
            </w:r>
          </w:p>
        </w:tc>
      </w:tr>
      <w:tr>
        <w:trPr>
          <w:trHeight w:val="214"/>
        </w:trPr>
        <w:tc>
          <w:tcPr>
            <w:tcW w:w="1940" w:type="dxa"/>
            <w:vAlign w:val="bottom"/>
            <w:gridSpan w:val="2"/>
          </w:tcPr>
          <w:p>
            <w:pPr>
              <w:ind w:left="100"/>
              <w:spacing w:after="0"/>
              <w:rPr>
                <w:sz w:val="20"/>
                <w:szCs w:val="20"/>
                <w:color w:val="auto"/>
              </w:rPr>
            </w:pPr>
            <w:r>
              <w:rPr>
                <w:rFonts w:ascii="Times New Roman" w:cs="Times New Roman" w:eastAsia="Times New Roman" w:hAnsi="Times New Roman"/>
                <w:sz w:val="18"/>
                <w:szCs w:val="18"/>
                <w:i w:val="1"/>
                <w:iCs w:val="1"/>
                <w:color w:val="auto"/>
              </w:rPr>
              <w:t>Matter</w:t>
            </w:r>
          </w:p>
        </w:tc>
        <w:tc>
          <w:tcPr>
            <w:tcW w:w="92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8"/>
              </w:rPr>
              <w:t>consolidated financial statements, the Company values its inventories at lower of cost, determined on a first-in, first-out basis,</w:t>
            </w:r>
          </w:p>
        </w:tc>
      </w:tr>
      <w:tr>
        <w:trPr>
          <w:trHeight w:val="212"/>
        </w:trPr>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or net realizable value. Obsolete inventory or inventory in excess of management's estimated usage requirement is written</w:t>
            </w:r>
          </w:p>
        </w:tc>
      </w:tr>
      <w:tr>
        <w:trPr>
          <w:trHeight w:val="231"/>
        </w:trPr>
        <w:tc>
          <w:tcPr>
            <w:tcW w:w="1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down to its estimated net realizable value.</w:t>
            </w:r>
          </w:p>
        </w:tc>
      </w:tr>
      <w:tr>
        <w:trPr>
          <w:trHeight w:val="405"/>
        </w:trPr>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Auditing management’s estimates for excess and obsolete inventory involved subjective auditor judgment because the</w:t>
            </w:r>
          </w:p>
        </w:tc>
      </w:tr>
      <w:tr>
        <w:trPr>
          <w:trHeight w:val="212"/>
        </w:trPr>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estimates rely on a number of factors that are affected by market and economic conditions outside the Company’s control. In</w:t>
            </w:r>
          </w:p>
        </w:tc>
      </w:tr>
      <w:tr>
        <w:trPr>
          <w:trHeight w:val="231"/>
        </w:trPr>
        <w:tc>
          <w:tcPr>
            <w:tcW w:w="1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7"/>
              </w:rPr>
              <w:t>particular, the excess and obsolete inventory calculations are sensitive to the determination of expected future product demand.</w:t>
            </w:r>
          </w:p>
        </w:tc>
      </w:tr>
      <w:tr>
        <w:trPr>
          <w:trHeight w:val="403"/>
        </w:trPr>
        <w:tc>
          <w:tcPr>
            <w:tcW w:w="1940" w:type="dxa"/>
            <w:vAlign w:val="bottom"/>
            <w:gridSpan w:val="2"/>
          </w:tcPr>
          <w:p>
            <w:pPr>
              <w:ind w:left="100"/>
              <w:spacing w:after="0"/>
              <w:rPr>
                <w:sz w:val="20"/>
                <w:szCs w:val="20"/>
                <w:color w:val="auto"/>
              </w:rPr>
            </w:pPr>
            <w:r>
              <w:rPr>
                <w:rFonts w:ascii="Times New Roman" w:cs="Times New Roman" w:eastAsia="Times New Roman" w:hAnsi="Times New Roman"/>
                <w:sz w:val="18"/>
                <w:szCs w:val="18"/>
                <w:i w:val="1"/>
                <w:iCs w:val="1"/>
                <w:color w:val="auto"/>
              </w:rPr>
              <w:t>How We Addressed</w:t>
            </w:r>
          </w:p>
        </w:tc>
        <w:tc>
          <w:tcPr>
            <w:tcW w:w="9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internal controls over the</w:t>
            </w:r>
          </w:p>
        </w:tc>
      </w:tr>
      <w:tr>
        <w:trPr>
          <w:trHeight w:val="212"/>
        </w:trPr>
        <w:tc>
          <w:tcPr>
            <w:tcW w:w="1940" w:type="dxa"/>
            <w:vAlign w:val="bottom"/>
            <w:gridSpan w:val="2"/>
          </w:tcPr>
          <w:p>
            <w:pPr>
              <w:ind w:left="100"/>
              <w:spacing w:after="0"/>
              <w:rPr>
                <w:sz w:val="20"/>
                <w:szCs w:val="20"/>
                <w:color w:val="auto"/>
              </w:rPr>
            </w:pPr>
            <w:r>
              <w:rPr>
                <w:rFonts w:ascii="Times New Roman" w:cs="Times New Roman" w:eastAsia="Times New Roman" w:hAnsi="Times New Roman"/>
                <w:sz w:val="18"/>
                <w:szCs w:val="18"/>
                <w:i w:val="1"/>
                <w:iCs w:val="1"/>
                <w:color w:val="auto"/>
              </w:rPr>
              <w:t>the Matter in Our</w:t>
            </w:r>
          </w:p>
        </w:tc>
        <w:tc>
          <w:tcPr>
            <w:tcW w:w="9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Company’s excess and obsolete inventory valuation process, including management's assessment of the expected future</w:t>
            </w:r>
          </w:p>
        </w:tc>
      </w:tr>
      <w:tr>
        <w:trPr>
          <w:trHeight w:val="233"/>
        </w:trPr>
        <w:tc>
          <w:tcPr>
            <w:tcW w:w="1940" w:type="dxa"/>
            <w:vAlign w:val="bottom"/>
            <w:gridSpan w:val="2"/>
          </w:tcPr>
          <w:p>
            <w:pPr>
              <w:ind w:left="100"/>
              <w:spacing w:after="0"/>
              <w:rPr>
                <w:sz w:val="20"/>
                <w:szCs w:val="20"/>
                <w:color w:val="auto"/>
              </w:rPr>
            </w:pPr>
            <w:r>
              <w:rPr>
                <w:rFonts w:ascii="Times New Roman" w:cs="Times New Roman" w:eastAsia="Times New Roman" w:hAnsi="Times New Roman"/>
                <w:sz w:val="18"/>
                <w:szCs w:val="18"/>
                <w:i w:val="1"/>
                <w:iCs w:val="1"/>
                <w:color w:val="auto"/>
              </w:rPr>
              <w:t>Audit</w:t>
            </w:r>
          </w:p>
        </w:tc>
        <w:tc>
          <w:tcPr>
            <w:tcW w:w="9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product demand and data underlying the excess and obsolete inventory valuation.</w:t>
            </w:r>
          </w:p>
        </w:tc>
      </w:tr>
      <w:tr>
        <w:trPr>
          <w:trHeight w:val="405"/>
        </w:trPr>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To test the valuation of inventories, our audit procedures included, among others, evaluating expected future product demand</w:t>
            </w:r>
          </w:p>
        </w:tc>
      </w:tr>
      <w:tr>
        <w:trPr>
          <w:trHeight w:val="212"/>
        </w:trPr>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and testing the completeness and accuracy of the underlying data used by management in the analysis of excess and obsolete</w:t>
            </w:r>
          </w:p>
        </w:tc>
      </w:tr>
      <w:tr>
        <w:trPr>
          <w:trHeight w:val="212"/>
        </w:trPr>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8"/>
              </w:rPr>
              <w:t>inventory. We evaluated adjustments to inventory reserves for specific product expectations, compared the balance of on-hand</w:t>
            </w:r>
          </w:p>
        </w:tc>
      </w:tr>
      <w:tr>
        <w:trPr>
          <w:trHeight w:val="212"/>
        </w:trPr>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7"/>
              </w:rPr>
              <w:t>inventories to demand assumptions, and assessed the historical accuracy of management’s estimates by comparing prior period</w:t>
            </w:r>
          </w:p>
        </w:tc>
      </w:tr>
      <w:tr>
        <w:trPr>
          <w:trHeight w:val="231"/>
        </w:trPr>
        <w:tc>
          <w:tcPr>
            <w:tcW w:w="1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expected demand to actual consumption.</w:t>
            </w:r>
          </w:p>
        </w:tc>
      </w:tr>
      <w:tr>
        <w:trPr>
          <w:trHeight w:val="424"/>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Ernst &amp; Young LLP</w:t>
            </w:r>
          </w:p>
        </w:tc>
        <w:tc>
          <w:tcPr>
            <w:tcW w:w="9280" w:type="dxa"/>
            <w:vAlign w:val="bottom"/>
          </w:tcPr>
          <w:p>
            <w:pPr>
              <w:spacing w:after="0"/>
              <w:rPr>
                <w:sz w:val="24"/>
                <w:szCs w:val="24"/>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1956.</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17, 2026</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20"/>
          </w:cols>
          <w:pgMar w:left="320" w:top="105" w:right="3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19" w:lineRule="exact"/>
        <w:rPr>
          <w:sz w:val="20"/>
          <w:szCs w:val="20"/>
          <w:color w:val="auto"/>
        </w:rPr>
      </w:pPr>
    </w:p>
    <w:p>
      <w:pPr>
        <w:ind w:left="160"/>
        <w:spacing w:after="0"/>
        <w:tabs>
          <w:tab w:leader="none" w:pos="780" w:val="left"/>
        </w:tabs>
        <w:rPr>
          <w:sz w:val="20"/>
          <w:szCs w:val="20"/>
          <w:color w:val="auto"/>
        </w:rPr>
      </w:pPr>
      <w:r>
        <w:rPr>
          <w:rFonts w:ascii="Times New Roman" w:cs="Times New Roman" w:eastAsia="Times New Roman" w:hAnsi="Times New Roman"/>
          <w:sz w:val="18"/>
          <w:szCs w:val="18"/>
          <w:color w:val="auto"/>
        </w:rPr>
        <w:t>15. (b)</w:t>
      </w:r>
      <w:r>
        <w:rPr>
          <w:sz w:val="20"/>
          <w:szCs w:val="20"/>
          <w:color w:val="auto"/>
        </w:rPr>
        <w:tab/>
      </w:r>
      <w:r>
        <w:rPr>
          <w:rFonts w:ascii="Times New Roman" w:cs="Times New Roman" w:eastAsia="Times New Roman" w:hAnsi="Times New Roman"/>
          <w:sz w:val="17"/>
          <w:szCs w:val="17"/>
          <w:color w:val="auto"/>
        </w:rPr>
        <w:t>The following exhibits are filed as part of, or incorporated into, the 2025 Cohu, Inc. Annual Report on Form 10-K:</w:t>
      </w:r>
    </w:p>
    <w:p>
      <w:pPr>
        <w:spacing w:after="0" w:line="21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r>
      <w:r>
        <w:rPr>
          <w:sz w:val="20"/>
          <w:szCs w:val="20"/>
          <w:color w:val="auto"/>
        </w:rPr>
        <w:tab/>
      </w:r>
      <w:r>
        <w:rPr>
          <w:rFonts w:ascii="Times New Roman" w:cs="Times New Roman" w:eastAsia="Times New Roman" w:hAnsi="Times New Roman"/>
          <w:sz w:val="17"/>
          <w:szCs w:val="17"/>
          <w:b w:val="1"/>
          <w:bCs w:val="1"/>
          <w:u w:val="single" w:color="auto"/>
          <w:color w:val="auto"/>
        </w:rPr>
        <w:t>Description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3.1</w:t>
            </w:r>
          </w:p>
        </w:tc>
        <w:tc>
          <w:tcPr>
            <w:tcW w:w="99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7"/>
              </w:rPr>
            </w:pPr>
            <w:hyperlink r:id="rId146">
              <w:r>
                <w:rPr>
                  <w:rFonts w:ascii="Times New Roman" w:cs="Times New Roman" w:eastAsia="Times New Roman" w:hAnsi="Times New Roman"/>
                  <w:sz w:val="18"/>
                  <w:szCs w:val="18"/>
                  <w:color w:val="0000EE"/>
                  <w:w w:val="97"/>
                </w:rPr>
                <w:t>Amended and Restated Certificate of Incorporation of Cohu, Inc. incorporated herein by reference to Exhibit 3.1 from the Cohu, Inc. Current</w:t>
              </w:r>
            </w:hyperlink>
          </w:p>
        </w:tc>
        <w:tc>
          <w:tcPr>
            <w:tcW w:w="240" w:type="dxa"/>
            <w:vAlign w:val="bottom"/>
            <w:gridSpan w:val="5"/>
          </w:tcPr>
          <w:p>
            <w:pPr>
              <w:spacing w:after="0"/>
              <w:rPr>
                <w:sz w:val="17"/>
                <w:szCs w:val="17"/>
                <w:color w:val="auto"/>
              </w:rPr>
            </w:pPr>
          </w:p>
        </w:tc>
      </w:tr>
      <w:tr>
        <w:trPr>
          <w:trHeight w:val="192"/>
        </w:trPr>
        <w:tc>
          <w:tcPr>
            <w:tcW w:w="1020" w:type="dxa"/>
            <w:vAlign w:val="bottom"/>
          </w:tcPr>
          <w:p>
            <w:pPr>
              <w:spacing w:after="0"/>
              <w:rPr>
                <w:sz w:val="16"/>
                <w:szCs w:val="16"/>
                <w:color w:val="auto"/>
              </w:rPr>
            </w:pPr>
          </w:p>
        </w:tc>
        <w:tc>
          <w:tcPr>
            <w:tcW w:w="6320" w:type="dxa"/>
            <w:vAlign w:val="bottom"/>
            <w:tcBorders>
              <w:bottom w:val="single" w:sz="8" w:color="0000EE"/>
            </w:tcBorders>
            <w:gridSpan w:val="7"/>
          </w:tcPr>
          <w:p>
            <w:pPr>
              <w:spacing w:after="0" w:line="192" w:lineRule="exact"/>
              <w:rPr>
                <w:rFonts w:ascii="Times New Roman" w:cs="Times New Roman" w:eastAsia="Times New Roman" w:hAnsi="Times New Roman"/>
                <w:sz w:val="18"/>
                <w:szCs w:val="18"/>
                <w:color w:val="0000EE"/>
                <w:w w:val="97"/>
              </w:rPr>
            </w:pPr>
            <w:hyperlink r:id="rId146">
              <w:r>
                <w:rPr>
                  <w:rFonts w:ascii="Times New Roman" w:cs="Times New Roman" w:eastAsia="Times New Roman" w:hAnsi="Times New Roman"/>
                  <w:sz w:val="18"/>
                  <w:szCs w:val="18"/>
                  <w:color w:val="0000EE"/>
                  <w:w w:val="97"/>
                </w:rPr>
                <w:t>Report on Form 8-K filed with the Securities and Exchange Commission on June 6, 2024</w:t>
              </w:r>
            </w:hyperlink>
          </w:p>
        </w:tc>
        <w:tc>
          <w:tcPr>
            <w:tcW w:w="3900" w:type="dxa"/>
            <w:vAlign w:val="bottom"/>
            <w:gridSpan w:val="15"/>
          </w:tcPr>
          <w:p>
            <w:pPr>
              <w:spacing w:after="0"/>
              <w:rPr>
                <w:sz w:val="16"/>
                <w:szCs w:val="16"/>
                <w:color w:val="auto"/>
              </w:rPr>
            </w:pPr>
          </w:p>
        </w:tc>
      </w:tr>
      <w:tr>
        <w:trPr>
          <w:trHeight w:val="404"/>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3.2</w:t>
            </w:r>
          </w:p>
        </w:tc>
        <w:tc>
          <w:tcPr>
            <w:tcW w:w="95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7"/>
              </w:rPr>
            </w:pPr>
            <w:hyperlink r:id="rId147">
              <w:r>
                <w:rPr>
                  <w:rFonts w:ascii="Times New Roman" w:cs="Times New Roman" w:eastAsia="Times New Roman" w:hAnsi="Times New Roman"/>
                  <w:sz w:val="18"/>
                  <w:szCs w:val="18"/>
                  <w:color w:val="0000EE"/>
                  <w:w w:val="97"/>
                </w:rPr>
                <w:t>Certificate of Correction to Amended Restated Certificate of Incorporation of Cohu, Inc., filed on April 3, 2025, incorporated herein by</w:t>
              </w:r>
            </w:hyperlink>
          </w:p>
        </w:tc>
        <w:tc>
          <w:tcPr>
            <w:tcW w:w="640" w:type="dxa"/>
            <w:vAlign w:val="bottom"/>
            <w:gridSpan w:val="11"/>
          </w:tcPr>
          <w:p>
            <w:pPr>
              <w:spacing w:after="0"/>
              <w:rPr>
                <w:sz w:val="24"/>
                <w:szCs w:val="24"/>
                <w:color w:val="auto"/>
              </w:rPr>
            </w:pPr>
          </w:p>
        </w:tc>
      </w:tr>
      <w:tr>
        <w:trPr>
          <w:trHeight w:val="192"/>
        </w:trPr>
        <w:tc>
          <w:tcPr>
            <w:tcW w:w="1020" w:type="dxa"/>
            <w:vAlign w:val="bottom"/>
          </w:tcPr>
          <w:p>
            <w:pPr>
              <w:spacing w:after="0"/>
              <w:rPr>
                <w:sz w:val="16"/>
                <w:szCs w:val="16"/>
                <w:color w:val="auto"/>
              </w:rPr>
            </w:pPr>
          </w:p>
        </w:tc>
        <w:tc>
          <w:tcPr>
            <w:tcW w:w="10220" w:type="dxa"/>
            <w:vAlign w:val="bottom"/>
            <w:gridSpan w:val="22"/>
          </w:tcPr>
          <w:p>
            <w:pPr>
              <w:spacing w:after="0" w:line="192"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reference to Exhibit 3.1 from the Cohu, Inc. Quarterly Report on Form 10-Q filed with the Securities and Exchange Commission on May 2,</w:t>
              </w:r>
            </w:hyperlink>
          </w:p>
        </w:tc>
      </w:tr>
      <w:tr>
        <w:trPr>
          <w:trHeight w:val="192"/>
        </w:trPr>
        <w:tc>
          <w:tcPr>
            <w:tcW w:w="1020" w:type="dxa"/>
            <w:vAlign w:val="bottom"/>
          </w:tcPr>
          <w:p>
            <w:pPr>
              <w:spacing w:after="0"/>
              <w:rPr>
                <w:sz w:val="16"/>
                <w:szCs w:val="16"/>
                <w:color w:val="auto"/>
              </w:rPr>
            </w:pPr>
          </w:p>
        </w:tc>
        <w:tc>
          <w:tcPr>
            <w:tcW w:w="360" w:type="dxa"/>
            <w:vAlign w:val="bottom"/>
            <w:tcBorders>
              <w:top w:val="single" w:sz="8" w:color="0000EE"/>
              <w:bottom w:val="single" w:sz="8" w:color="0000EE"/>
            </w:tcBorders>
          </w:tcPr>
          <w:p>
            <w:pPr>
              <w:spacing w:after="0" w:line="192" w:lineRule="exact"/>
              <w:rPr>
                <w:rFonts w:ascii="Times New Roman" w:cs="Times New Roman" w:eastAsia="Times New Roman" w:hAnsi="Times New Roman"/>
                <w:sz w:val="18"/>
                <w:szCs w:val="18"/>
                <w:color w:val="0000EE"/>
                <w:w w:val="94"/>
              </w:rPr>
            </w:pPr>
            <w:hyperlink r:id="rId147">
              <w:r>
                <w:rPr>
                  <w:rFonts w:ascii="Times New Roman" w:cs="Times New Roman" w:eastAsia="Times New Roman" w:hAnsi="Times New Roman"/>
                  <w:sz w:val="18"/>
                  <w:szCs w:val="18"/>
                  <w:color w:val="0000EE"/>
                  <w:w w:val="94"/>
                </w:rPr>
                <w:t>2025</w:t>
              </w:r>
            </w:hyperlink>
          </w:p>
        </w:tc>
        <w:tc>
          <w:tcPr>
            <w:tcW w:w="2440" w:type="dxa"/>
            <w:vAlign w:val="bottom"/>
            <w:tcBorders>
              <w:top w:val="single" w:sz="8" w:color="0000EE"/>
            </w:tcBorders>
          </w:tcPr>
          <w:p>
            <w:pPr>
              <w:spacing w:after="0"/>
              <w:rPr>
                <w:sz w:val="16"/>
                <w:szCs w:val="16"/>
                <w:color w:val="auto"/>
              </w:rPr>
            </w:pPr>
          </w:p>
        </w:tc>
        <w:tc>
          <w:tcPr>
            <w:tcW w:w="14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60" w:type="dxa"/>
            <w:vAlign w:val="bottom"/>
            <w:tcBorders>
              <w:top w:val="single" w:sz="8" w:color="0000EE"/>
            </w:tcBorders>
          </w:tcPr>
          <w:p>
            <w:pPr>
              <w:spacing w:after="0"/>
              <w:rPr>
                <w:sz w:val="16"/>
                <w:szCs w:val="16"/>
                <w:color w:val="auto"/>
              </w:rPr>
            </w:pPr>
          </w:p>
        </w:tc>
        <w:tc>
          <w:tcPr>
            <w:tcW w:w="86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74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404"/>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3.3</w:t>
            </w:r>
          </w:p>
        </w:tc>
        <w:tc>
          <w:tcPr>
            <w:tcW w:w="1006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8"/>
              </w:rPr>
            </w:pPr>
            <w:hyperlink r:id="rId148">
              <w:r>
                <w:rPr>
                  <w:rFonts w:ascii="Times New Roman" w:cs="Times New Roman" w:eastAsia="Times New Roman" w:hAnsi="Times New Roman"/>
                  <w:sz w:val="18"/>
                  <w:szCs w:val="18"/>
                  <w:color w:val="0000EE"/>
                  <w:w w:val="98"/>
                </w:rPr>
                <w:t>Amended and Restated Bylaws of Cohu, Inc. incorporated herein by reference to Exhibit 3.1 from the Cohu, Inc. Current Report on Form 8-K</w:t>
              </w:r>
            </w:hyperlink>
          </w:p>
        </w:tc>
        <w:tc>
          <w:tcPr>
            <w:tcW w:w="160" w:type="dxa"/>
            <w:vAlign w:val="bottom"/>
            <w:gridSpan w:val="2"/>
          </w:tcPr>
          <w:p>
            <w:pPr>
              <w:spacing w:after="0"/>
              <w:rPr>
                <w:sz w:val="24"/>
                <w:szCs w:val="24"/>
                <w:color w:val="auto"/>
              </w:rPr>
            </w:pPr>
          </w:p>
        </w:tc>
      </w:tr>
      <w:tr>
        <w:trPr>
          <w:trHeight w:val="192"/>
        </w:trPr>
        <w:tc>
          <w:tcPr>
            <w:tcW w:w="1020" w:type="dxa"/>
            <w:vAlign w:val="bottom"/>
          </w:tcPr>
          <w:p>
            <w:pPr>
              <w:spacing w:after="0"/>
              <w:rPr>
                <w:sz w:val="16"/>
                <w:szCs w:val="16"/>
                <w:color w:val="auto"/>
              </w:rPr>
            </w:pPr>
          </w:p>
        </w:tc>
        <w:tc>
          <w:tcPr>
            <w:tcW w:w="4920" w:type="dxa"/>
            <w:vAlign w:val="bottom"/>
            <w:tcBorders>
              <w:bottom w:val="single" w:sz="8" w:color="0000EE"/>
            </w:tcBorders>
            <w:gridSpan w:val="5"/>
          </w:tcPr>
          <w:p>
            <w:pPr>
              <w:spacing w:after="0" w:line="192" w:lineRule="exact"/>
              <w:rPr>
                <w:rFonts w:ascii="Times New Roman" w:cs="Times New Roman" w:eastAsia="Times New Roman" w:hAnsi="Times New Roman"/>
                <w:sz w:val="18"/>
                <w:szCs w:val="18"/>
                <w:color w:val="0000EE"/>
                <w:w w:val="97"/>
              </w:rPr>
            </w:pPr>
            <w:hyperlink r:id="rId148">
              <w:r>
                <w:rPr>
                  <w:rFonts w:ascii="Times New Roman" w:cs="Times New Roman" w:eastAsia="Times New Roman" w:hAnsi="Times New Roman"/>
                  <w:sz w:val="18"/>
                  <w:szCs w:val="18"/>
                  <w:color w:val="0000EE"/>
                  <w:w w:val="97"/>
                </w:rPr>
                <w:t>filed with the Securities and Exchange Commission on May 12, 2023</w:t>
              </w:r>
            </w:hyperlink>
          </w:p>
        </w:tc>
        <w:tc>
          <w:tcPr>
            <w:tcW w:w="5300" w:type="dxa"/>
            <w:vAlign w:val="bottom"/>
            <w:gridSpan w:val="17"/>
          </w:tcPr>
          <w:p>
            <w:pPr>
              <w:spacing w:after="0"/>
              <w:rPr>
                <w:sz w:val="16"/>
                <w:szCs w:val="16"/>
                <w:color w:val="auto"/>
              </w:rPr>
            </w:pPr>
          </w:p>
        </w:tc>
      </w:tr>
      <w:tr>
        <w:trPr>
          <w:trHeight w:val="404"/>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4.1</w:t>
            </w:r>
          </w:p>
        </w:tc>
        <w:tc>
          <w:tcPr>
            <w:tcW w:w="99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7"/>
              </w:rPr>
            </w:pPr>
            <w:hyperlink r:id="rId149">
              <w:r>
                <w:rPr>
                  <w:rFonts w:ascii="Times New Roman" w:cs="Times New Roman" w:eastAsia="Times New Roman" w:hAnsi="Times New Roman"/>
                  <w:sz w:val="18"/>
                  <w:szCs w:val="18"/>
                  <w:color w:val="0000EE"/>
                  <w:w w:val="97"/>
                </w:rPr>
                <w:t>Description of Capital Stock incorporated herein by reference to Exhibit 4.1 from the Cohu, Inc. Annual Report on Form 10-K filed with the</w:t>
              </w:r>
            </w:hyperlink>
          </w:p>
        </w:tc>
        <w:tc>
          <w:tcPr>
            <w:tcW w:w="280" w:type="dxa"/>
            <w:vAlign w:val="bottom"/>
            <w:gridSpan w:val="6"/>
          </w:tcPr>
          <w:p>
            <w:pPr>
              <w:spacing w:after="0"/>
              <w:rPr>
                <w:sz w:val="24"/>
                <w:szCs w:val="24"/>
                <w:color w:val="auto"/>
              </w:rPr>
            </w:pPr>
          </w:p>
        </w:tc>
      </w:tr>
      <w:tr>
        <w:trPr>
          <w:trHeight w:val="192"/>
        </w:trPr>
        <w:tc>
          <w:tcPr>
            <w:tcW w:w="1020" w:type="dxa"/>
            <w:vAlign w:val="bottom"/>
          </w:tcPr>
          <w:p>
            <w:pPr>
              <w:spacing w:after="0"/>
              <w:rPr>
                <w:sz w:val="16"/>
                <w:szCs w:val="16"/>
                <w:color w:val="auto"/>
              </w:rPr>
            </w:pPr>
          </w:p>
        </w:tc>
        <w:tc>
          <w:tcPr>
            <w:tcW w:w="10220" w:type="dxa"/>
            <w:vAlign w:val="bottom"/>
            <w:gridSpan w:val="22"/>
          </w:tcPr>
          <w:p>
            <w:pPr>
              <w:spacing w:after="0" w:line="192"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Securities and Exchange Commission on February 17, 2023</w:t>
              </w:r>
            </w:hyperlink>
          </w:p>
        </w:tc>
      </w:tr>
      <w:tr>
        <w:trPr>
          <w:trHeight w:val="20"/>
        </w:trPr>
        <w:tc>
          <w:tcPr>
            <w:tcW w:w="1020" w:type="dxa"/>
            <w:vAlign w:val="bottom"/>
          </w:tcPr>
          <w:p>
            <w:pPr>
              <w:spacing w:after="0" w:line="20" w:lineRule="exact"/>
              <w:rPr>
                <w:sz w:val="1"/>
                <w:szCs w:val="1"/>
                <w:color w:val="auto"/>
              </w:rPr>
            </w:pPr>
          </w:p>
        </w:tc>
        <w:tc>
          <w:tcPr>
            <w:tcW w:w="2800" w:type="dxa"/>
            <w:vAlign w:val="bottom"/>
            <w:gridSpan w:val="2"/>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04"/>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4.2</w:t>
            </w:r>
          </w:p>
        </w:tc>
        <w:tc>
          <w:tcPr>
            <w:tcW w:w="98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7"/>
              </w:rPr>
            </w:pPr>
            <w:hyperlink r:id="rId150">
              <w:r>
                <w:rPr>
                  <w:rFonts w:ascii="Times New Roman" w:cs="Times New Roman" w:eastAsia="Times New Roman" w:hAnsi="Times New Roman"/>
                  <w:sz w:val="18"/>
                  <w:szCs w:val="18"/>
                  <w:color w:val="0000EE"/>
                  <w:w w:val="97"/>
                </w:rPr>
                <w:t>Indenture, dated as of September 29, 2025, between Cohu, Inc. and U.S. Bank Trust Company, National Association, as Trustee (including</w:t>
              </w:r>
            </w:hyperlink>
          </w:p>
        </w:tc>
        <w:tc>
          <w:tcPr>
            <w:tcW w:w="400" w:type="dxa"/>
            <w:vAlign w:val="bottom"/>
            <w:gridSpan w:val="9"/>
          </w:tcPr>
          <w:p>
            <w:pPr>
              <w:spacing w:after="0"/>
              <w:rPr>
                <w:sz w:val="24"/>
                <w:szCs w:val="24"/>
                <w:color w:val="auto"/>
              </w:rPr>
            </w:pPr>
          </w:p>
        </w:tc>
      </w:tr>
      <w:tr>
        <w:trPr>
          <w:trHeight w:val="192"/>
        </w:trPr>
        <w:tc>
          <w:tcPr>
            <w:tcW w:w="1020" w:type="dxa"/>
            <w:vAlign w:val="bottom"/>
          </w:tcPr>
          <w:p>
            <w:pPr>
              <w:spacing w:after="0"/>
              <w:rPr>
                <w:sz w:val="16"/>
                <w:szCs w:val="16"/>
                <w:color w:val="auto"/>
              </w:rPr>
            </w:pPr>
          </w:p>
        </w:tc>
        <w:tc>
          <w:tcPr>
            <w:tcW w:w="10220" w:type="dxa"/>
            <w:vAlign w:val="bottom"/>
            <w:gridSpan w:val="22"/>
          </w:tcPr>
          <w:p>
            <w:pPr>
              <w:spacing w:after="0" w:line="192"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Form of 1.5% Convertible Senior Notes due 2031 as Exhibit A) incorporated herein by reference to Exhibit 4.1 from the Cohu, Inc. Current</w:t>
              </w:r>
            </w:hyperlink>
          </w:p>
        </w:tc>
      </w:tr>
      <w:tr>
        <w:trPr>
          <w:trHeight w:val="192"/>
        </w:trPr>
        <w:tc>
          <w:tcPr>
            <w:tcW w:w="1020" w:type="dxa"/>
            <w:vAlign w:val="bottom"/>
          </w:tcPr>
          <w:p>
            <w:pPr>
              <w:spacing w:after="0"/>
              <w:rPr>
                <w:sz w:val="16"/>
                <w:szCs w:val="16"/>
                <w:color w:val="auto"/>
              </w:rPr>
            </w:pPr>
          </w:p>
        </w:tc>
        <w:tc>
          <w:tcPr>
            <w:tcW w:w="6840" w:type="dxa"/>
            <w:vAlign w:val="bottom"/>
            <w:tcBorders>
              <w:top w:val="single" w:sz="8" w:color="0000EE"/>
              <w:bottom w:val="single" w:sz="8" w:color="0000EE"/>
            </w:tcBorders>
            <w:gridSpan w:val="10"/>
          </w:tcPr>
          <w:p>
            <w:pPr>
              <w:spacing w:after="0" w:line="192" w:lineRule="exact"/>
              <w:rPr>
                <w:rFonts w:ascii="Times New Roman" w:cs="Times New Roman" w:eastAsia="Times New Roman" w:hAnsi="Times New Roman"/>
                <w:sz w:val="18"/>
                <w:szCs w:val="18"/>
                <w:color w:val="0000EE"/>
                <w:w w:val="97"/>
              </w:rPr>
            </w:pPr>
            <w:hyperlink r:id="rId150">
              <w:r>
                <w:rPr>
                  <w:rFonts w:ascii="Times New Roman" w:cs="Times New Roman" w:eastAsia="Times New Roman" w:hAnsi="Times New Roman"/>
                  <w:sz w:val="18"/>
                  <w:szCs w:val="18"/>
                  <w:color w:val="0000EE"/>
                  <w:w w:val="97"/>
                </w:rPr>
                <w:t>Report on Form 8-K filed with the Securities and Exchange Commission on September 29, 2025</w:t>
              </w:r>
            </w:hyperlink>
          </w:p>
        </w:tc>
        <w:tc>
          <w:tcPr>
            <w:tcW w:w="3040" w:type="dxa"/>
            <w:vAlign w:val="bottom"/>
            <w:tcBorders>
              <w:top w:val="single" w:sz="8" w:color="0000EE"/>
            </w:tcBorders>
            <w:gridSpan w:val="4"/>
          </w:tcPr>
          <w:p>
            <w:pPr>
              <w:spacing w:after="0"/>
              <w:rPr>
                <w:sz w:val="16"/>
                <w:szCs w:val="16"/>
                <w:color w:val="auto"/>
              </w:rPr>
            </w:pPr>
          </w:p>
        </w:tc>
        <w:tc>
          <w:tcPr>
            <w:tcW w:w="340" w:type="dxa"/>
            <w:vAlign w:val="bottom"/>
            <w:gridSpan w:val="8"/>
          </w:tcPr>
          <w:p>
            <w:pPr>
              <w:spacing w:after="0"/>
              <w:rPr>
                <w:sz w:val="16"/>
                <w:szCs w:val="16"/>
                <w:color w:val="auto"/>
              </w:rPr>
            </w:pPr>
          </w:p>
        </w:tc>
      </w:tr>
      <w:tr>
        <w:trPr>
          <w:trHeight w:val="404"/>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w:t>
            </w:r>
          </w:p>
        </w:tc>
        <w:tc>
          <w:tcPr>
            <w:tcW w:w="1006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8"/>
              </w:rPr>
            </w:pPr>
            <w:hyperlink r:id="rId151">
              <w:r>
                <w:rPr>
                  <w:rFonts w:ascii="Times New Roman" w:cs="Times New Roman" w:eastAsia="Times New Roman" w:hAnsi="Times New Roman"/>
                  <w:sz w:val="18"/>
                  <w:szCs w:val="18"/>
                  <w:color w:val="0000EE"/>
                  <w:w w:val="98"/>
                </w:rPr>
                <w:t>Credit and Guaranty Agreement dated as of October 1, 2018, by and among Cohu, Inc., Certain Subsidiaries of Cohu, Inc. and Deutsche Bank</w:t>
              </w:r>
            </w:hyperlink>
          </w:p>
        </w:tc>
        <w:tc>
          <w:tcPr>
            <w:tcW w:w="160" w:type="dxa"/>
            <w:vAlign w:val="bottom"/>
            <w:gridSpan w:val="2"/>
          </w:tcPr>
          <w:p>
            <w:pPr>
              <w:spacing w:after="0"/>
              <w:rPr>
                <w:sz w:val="24"/>
                <w:szCs w:val="24"/>
                <w:color w:val="auto"/>
              </w:rPr>
            </w:pPr>
          </w:p>
        </w:tc>
      </w:tr>
      <w:tr>
        <w:trPr>
          <w:trHeight w:val="192"/>
        </w:trPr>
        <w:tc>
          <w:tcPr>
            <w:tcW w:w="1020" w:type="dxa"/>
            <w:vAlign w:val="bottom"/>
          </w:tcPr>
          <w:p>
            <w:pPr>
              <w:spacing w:after="0"/>
              <w:rPr>
                <w:sz w:val="16"/>
                <w:szCs w:val="16"/>
                <w:color w:val="auto"/>
              </w:rPr>
            </w:pPr>
          </w:p>
        </w:tc>
        <w:tc>
          <w:tcPr>
            <w:tcW w:w="10220" w:type="dxa"/>
            <w:vAlign w:val="bottom"/>
            <w:gridSpan w:val="22"/>
          </w:tcPr>
          <w:p>
            <w:pPr>
              <w:spacing w:after="0" w:line="192"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AG New York Branch, incorporated herein by reference to Exhibit 10.1 from the Cohu, Inc. Quarterly Report on Form 10-Q filed with the</w:t>
              </w:r>
            </w:hyperlink>
          </w:p>
        </w:tc>
      </w:tr>
      <w:tr>
        <w:trPr>
          <w:trHeight w:val="192"/>
        </w:trPr>
        <w:tc>
          <w:tcPr>
            <w:tcW w:w="1020" w:type="dxa"/>
            <w:vAlign w:val="bottom"/>
          </w:tcPr>
          <w:p>
            <w:pPr>
              <w:spacing w:after="0"/>
              <w:rPr>
                <w:sz w:val="16"/>
                <w:szCs w:val="16"/>
                <w:color w:val="auto"/>
              </w:rPr>
            </w:pPr>
          </w:p>
        </w:tc>
        <w:tc>
          <w:tcPr>
            <w:tcW w:w="9780" w:type="dxa"/>
            <w:vAlign w:val="bottom"/>
            <w:tcBorders>
              <w:top w:val="single" w:sz="8" w:color="0000EE"/>
            </w:tcBorders>
            <w:gridSpan w:val="12"/>
          </w:tcPr>
          <w:p>
            <w:pPr>
              <w:spacing w:after="0" w:line="192"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Securities and Exchange Commission on November 7, 2018</w:t>
              </w:r>
            </w:hyperlink>
          </w:p>
        </w:tc>
        <w:tc>
          <w:tcPr>
            <w:tcW w:w="440" w:type="dxa"/>
            <w:vAlign w:val="bottom"/>
            <w:gridSpan w:val="10"/>
          </w:tcPr>
          <w:p>
            <w:pPr>
              <w:spacing w:after="0"/>
              <w:rPr>
                <w:sz w:val="16"/>
                <w:szCs w:val="16"/>
                <w:color w:val="auto"/>
              </w:rPr>
            </w:pPr>
          </w:p>
        </w:tc>
      </w:tr>
      <w:tr>
        <w:trPr>
          <w:trHeight w:val="20"/>
        </w:trPr>
        <w:tc>
          <w:tcPr>
            <w:tcW w:w="1020" w:type="dxa"/>
            <w:vAlign w:val="bottom"/>
          </w:tcPr>
          <w:p>
            <w:pPr>
              <w:spacing w:after="0" w:line="20" w:lineRule="exact"/>
              <w:rPr>
                <w:sz w:val="1"/>
                <w:szCs w:val="1"/>
                <w:color w:val="auto"/>
              </w:rPr>
            </w:pPr>
          </w:p>
        </w:tc>
        <w:tc>
          <w:tcPr>
            <w:tcW w:w="280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04"/>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10.2</w:t>
            </w:r>
          </w:p>
        </w:tc>
        <w:tc>
          <w:tcPr>
            <w:tcW w:w="10220" w:type="dxa"/>
            <w:vAlign w:val="bottom"/>
            <w:gridSpan w:val="22"/>
          </w:tcPr>
          <w:p>
            <w:pPr>
              <w:spacing w:after="0"/>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Pledge and Security Agreement dated as of October 1, 2018, by and among Cohu, Inc., Certain Subsidiaries of Cohu, Inc. and Deutsche Bank</w:t>
              </w:r>
            </w:hyperlink>
          </w:p>
        </w:tc>
      </w:tr>
      <w:tr>
        <w:trPr>
          <w:trHeight w:val="192"/>
        </w:trPr>
        <w:tc>
          <w:tcPr>
            <w:tcW w:w="1020" w:type="dxa"/>
            <w:vAlign w:val="bottom"/>
          </w:tcPr>
          <w:p>
            <w:pPr>
              <w:spacing w:after="0"/>
              <w:rPr>
                <w:sz w:val="16"/>
                <w:szCs w:val="16"/>
                <w:color w:val="auto"/>
              </w:rPr>
            </w:pPr>
          </w:p>
        </w:tc>
        <w:tc>
          <w:tcPr>
            <w:tcW w:w="10020" w:type="dxa"/>
            <w:vAlign w:val="bottom"/>
            <w:tcBorders>
              <w:top w:val="single" w:sz="8" w:color="0000EE"/>
            </w:tcBorders>
            <w:gridSpan w:val="19"/>
          </w:tcPr>
          <w:p>
            <w:pPr>
              <w:spacing w:after="0" w:line="192"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AG New York Branch, incorporated herein by reference to Exhibit 10.2 from the Cohu, Inc. Quarterly Report on Form 10-Q filed with the</w:t>
              </w:r>
            </w:hyperlink>
          </w:p>
        </w:tc>
        <w:tc>
          <w:tcPr>
            <w:tcW w:w="200" w:type="dxa"/>
            <w:vAlign w:val="bottom"/>
            <w:gridSpan w:val="3"/>
          </w:tcPr>
          <w:p>
            <w:pPr>
              <w:spacing w:after="0"/>
              <w:rPr>
                <w:sz w:val="16"/>
                <w:szCs w:val="16"/>
                <w:color w:val="auto"/>
              </w:rPr>
            </w:pPr>
          </w:p>
        </w:tc>
      </w:tr>
      <w:tr>
        <w:trPr>
          <w:trHeight w:val="192"/>
        </w:trPr>
        <w:tc>
          <w:tcPr>
            <w:tcW w:w="1020" w:type="dxa"/>
            <w:vAlign w:val="bottom"/>
          </w:tcPr>
          <w:p>
            <w:pPr>
              <w:spacing w:after="0"/>
              <w:rPr>
                <w:sz w:val="16"/>
                <w:szCs w:val="16"/>
                <w:color w:val="auto"/>
              </w:rPr>
            </w:pPr>
          </w:p>
        </w:tc>
        <w:tc>
          <w:tcPr>
            <w:tcW w:w="9780" w:type="dxa"/>
            <w:vAlign w:val="bottom"/>
            <w:tcBorders>
              <w:top w:val="single" w:sz="8" w:color="0000EE"/>
            </w:tcBorders>
            <w:gridSpan w:val="12"/>
          </w:tcPr>
          <w:p>
            <w:pPr>
              <w:spacing w:after="0" w:line="192"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Securities and Exchange Commission on November 7, 2018</w:t>
              </w:r>
            </w:hyperlink>
          </w:p>
        </w:tc>
        <w:tc>
          <w:tcPr>
            <w:tcW w:w="440" w:type="dxa"/>
            <w:vAlign w:val="bottom"/>
            <w:gridSpan w:val="10"/>
          </w:tcPr>
          <w:p>
            <w:pPr>
              <w:spacing w:after="0"/>
              <w:rPr>
                <w:sz w:val="16"/>
                <w:szCs w:val="16"/>
                <w:color w:val="auto"/>
              </w:rPr>
            </w:pPr>
          </w:p>
        </w:tc>
      </w:tr>
      <w:tr>
        <w:trPr>
          <w:trHeight w:val="20"/>
        </w:trPr>
        <w:tc>
          <w:tcPr>
            <w:tcW w:w="1020" w:type="dxa"/>
            <w:vAlign w:val="bottom"/>
          </w:tcPr>
          <w:p>
            <w:pPr>
              <w:spacing w:after="0" w:line="20" w:lineRule="exact"/>
              <w:rPr>
                <w:sz w:val="1"/>
                <w:szCs w:val="1"/>
                <w:color w:val="auto"/>
              </w:rPr>
            </w:pPr>
          </w:p>
        </w:tc>
        <w:tc>
          <w:tcPr>
            <w:tcW w:w="280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04"/>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10.3*</w:t>
            </w:r>
          </w:p>
        </w:tc>
        <w:tc>
          <w:tcPr>
            <w:tcW w:w="1000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7"/>
              </w:rPr>
            </w:pPr>
            <w:hyperlink r:id="rId153">
              <w:r>
                <w:rPr>
                  <w:rFonts w:ascii="Times New Roman" w:cs="Times New Roman" w:eastAsia="Times New Roman" w:hAnsi="Times New Roman"/>
                  <w:sz w:val="18"/>
                  <w:szCs w:val="18"/>
                  <w:color w:val="0000EE"/>
                  <w:w w:val="97"/>
                </w:rPr>
                <w:t>Cohu, Inc. 2005 Equity Incentive Plan, as amended May 10, 2023, incorporated herein by reference to Appendix B from the Cohu, Inc. Form</w:t>
              </w:r>
            </w:hyperlink>
          </w:p>
        </w:tc>
        <w:tc>
          <w:tcPr>
            <w:tcW w:w="220" w:type="dxa"/>
            <w:vAlign w:val="bottom"/>
            <w:gridSpan w:val="4"/>
          </w:tcPr>
          <w:p>
            <w:pPr>
              <w:spacing w:after="0"/>
              <w:rPr>
                <w:sz w:val="24"/>
                <w:szCs w:val="24"/>
                <w:color w:val="auto"/>
              </w:rPr>
            </w:pPr>
          </w:p>
        </w:tc>
      </w:tr>
      <w:tr>
        <w:trPr>
          <w:trHeight w:val="192"/>
        </w:trPr>
        <w:tc>
          <w:tcPr>
            <w:tcW w:w="1020" w:type="dxa"/>
            <w:vAlign w:val="bottom"/>
          </w:tcPr>
          <w:p>
            <w:pPr>
              <w:spacing w:after="0"/>
              <w:rPr>
                <w:sz w:val="16"/>
                <w:szCs w:val="16"/>
                <w:color w:val="auto"/>
              </w:rPr>
            </w:pPr>
          </w:p>
        </w:tc>
        <w:tc>
          <w:tcPr>
            <w:tcW w:w="5780" w:type="dxa"/>
            <w:vAlign w:val="bottom"/>
            <w:tcBorders>
              <w:bottom w:val="single" w:sz="8" w:color="0000EE"/>
            </w:tcBorders>
            <w:gridSpan w:val="6"/>
          </w:tcPr>
          <w:p>
            <w:pPr>
              <w:spacing w:after="0" w:line="192" w:lineRule="exact"/>
              <w:rPr>
                <w:rFonts w:ascii="Times New Roman" w:cs="Times New Roman" w:eastAsia="Times New Roman" w:hAnsi="Times New Roman"/>
                <w:sz w:val="18"/>
                <w:szCs w:val="18"/>
                <w:color w:val="0000EE"/>
                <w:w w:val="97"/>
              </w:rPr>
            </w:pPr>
            <w:hyperlink r:id="rId153">
              <w:r>
                <w:rPr>
                  <w:rFonts w:ascii="Times New Roman" w:cs="Times New Roman" w:eastAsia="Times New Roman" w:hAnsi="Times New Roman"/>
                  <w:sz w:val="18"/>
                  <w:szCs w:val="18"/>
                  <w:color w:val="0000EE"/>
                  <w:w w:val="97"/>
                </w:rPr>
                <w:t>DEF 14A filed with the Securities and Exchange Commission on March 28, 2023</w:t>
              </w:r>
            </w:hyperlink>
          </w:p>
        </w:tc>
        <w:tc>
          <w:tcPr>
            <w:tcW w:w="4440" w:type="dxa"/>
            <w:vAlign w:val="bottom"/>
            <w:gridSpan w:val="16"/>
          </w:tcPr>
          <w:p>
            <w:pPr>
              <w:spacing w:after="0"/>
              <w:rPr>
                <w:sz w:val="16"/>
                <w:szCs w:val="16"/>
                <w:color w:val="auto"/>
              </w:rPr>
            </w:pPr>
          </w:p>
        </w:tc>
      </w:tr>
      <w:tr>
        <w:trPr>
          <w:trHeight w:val="404"/>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10.4*</w:t>
            </w:r>
          </w:p>
        </w:tc>
        <w:tc>
          <w:tcPr>
            <w:tcW w:w="10220" w:type="dxa"/>
            <w:vAlign w:val="bottom"/>
            <w:gridSpan w:val="22"/>
          </w:tcPr>
          <w:p>
            <w:pPr>
              <w:spacing w:after="0"/>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Cohu, Inc. 1997 Employee Stock Purchase Plan, as amended May 10, 2023, incorporated herein by reference to Appendix C from the Cohu,</w:t>
              </w:r>
            </w:hyperlink>
          </w:p>
        </w:tc>
      </w:tr>
      <w:tr>
        <w:trPr>
          <w:trHeight w:val="192"/>
        </w:trPr>
        <w:tc>
          <w:tcPr>
            <w:tcW w:w="1020" w:type="dxa"/>
            <w:vAlign w:val="bottom"/>
          </w:tcPr>
          <w:p>
            <w:pPr>
              <w:spacing w:after="0"/>
              <w:rPr>
                <w:sz w:val="16"/>
                <w:szCs w:val="16"/>
                <w:color w:val="auto"/>
              </w:rPr>
            </w:pPr>
          </w:p>
        </w:tc>
        <w:tc>
          <w:tcPr>
            <w:tcW w:w="6520" w:type="dxa"/>
            <w:vAlign w:val="bottom"/>
            <w:tcBorders>
              <w:top w:val="single" w:sz="8" w:color="0000EE"/>
              <w:bottom w:val="single" w:sz="8" w:color="0000EE"/>
            </w:tcBorders>
            <w:gridSpan w:val="8"/>
          </w:tcPr>
          <w:p>
            <w:pPr>
              <w:spacing w:after="0" w:line="192" w:lineRule="exact"/>
              <w:rPr>
                <w:rFonts w:ascii="Times New Roman" w:cs="Times New Roman" w:eastAsia="Times New Roman" w:hAnsi="Times New Roman"/>
                <w:sz w:val="18"/>
                <w:szCs w:val="18"/>
                <w:color w:val="0000EE"/>
                <w:w w:val="97"/>
              </w:rPr>
            </w:pPr>
            <w:hyperlink r:id="rId153">
              <w:r>
                <w:rPr>
                  <w:rFonts w:ascii="Times New Roman" w:cs="Times New Roman" w:eastAsia="Times New Roman" w:hAnsi="Times New Roman"/>
                  <w:sz w:val="18"/>
                  <w:szCs w:val="18"/>
                  <w:color w:val="0000EE"/>
                  <w:w w:val="97"/>
                </w:rPr>
                <w:t>Inc. Form DEF 14A filed with the Securities and Exchange Commission on March 28, 2023</w:t>
              </w:r>
            </w:hyperlink>
          </w:p>
        </w:tc>
        <w:tc>
          <w:tcPr>
            <w:tcW w:w="3400" w:type="dxa"/>
            <w:vAlign w:val="bottom"/>
            <w:tcBorders>
              <w:top w:val="single" w:sz="8" w:color="0000EE"/>
            </w:tcBorders>
            <w:gridSpan w:val="7"/>
          </w:tcPr>
          <w:p>
            <w:pPr>
              <w:spacing w:after="0"/>
              <w:rPr>
                <w:sz w:val="16"/>
                <w:szCs w:val="16"/>
                <w:color w:val="auto"/>
              </w:rPr>
            </w:pPr>
          </w:p>
        </w:tc>
        <w:tc>
          <w:tcPr>
            <w:tcW w:w="300" w:type="dxa"/>
            <w:vAlign w:val="bottom"/>
            <w:gridSpan w:val="7"/>
          </w:tcPr>
          <w:p>
            <w:pPr>
              <w:spacing w:after="0"/>
              <w:rPr>
                <w:sz w:val="16"/>
                <w:szCs w:val="16"/>
                <w:color w:val="auto"/>
              </w:rPr>
            </w:pPr>
          </w:p>
        </w:tc>
      </w:tr>
      <w:tr>
        <w:trPr>
          <w:trHeight w:val="404"/>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10.5*</w:t>
            </w:r>
          </w:p>
        </w:tc>
        <w:tc>
          <w:tcPr>
            <w:tcW w:w="10220" w:type="dxa"/>
            <w:vAlign w:val="bottom"/>
            <w:gridSpan w:val="22"/>
          </w:tcPr>
          <w:p>
            <w:pPr>
              <w:spacing w:after="0"/>
              <w:rPr>
                <w:rFonts w:ascii="Times New Roman" w:cs="Times New Roman" w:eastAsia="Times New Roman" w:hAnsi="Times New Roman"/>
                <w:sz w:val="18"/>
                <w:szCs w:val="18"/>
                <w:color w:val="0000EE"/>
                <w:w w:val="98"/>
              </w:rPr>
            </w:pPr>
            <w:hyperlink r:id="rId154">
              <w:r>
                <w:rPr>
                  <w:rFonts w:ascii="Times New Roman" w:cs="Times New Roman" w:eastAsia="Times New Roman" w:hAnsi="Times New Roman"/>
                  <w:sz w:val="18"/>
                  <w:szCs w:val="18"/>
                  <w:color w:val="0000EE"/>
                  <w:w w:val="98"/>
                </w:rPr>
                <w:t>Cohu, Inc. Deferred Compensation Plan (as amended and restated) incorporated herein by reference to Exhibit 10.1 from the Cohu, Inc. Current</w:t>
              </w:r>
            </w:hyperlink>
          </w:p>
        </w:tc>
      </w:tr>
      <w:tr>
        <w:trPr>
          <w:trHeight w:val="192"/>
        </w:trPr>
        <w:tc>
          <w:tcPr>
            <w:tcW w:w="1020" w:type="dxa"/>
            <w:vAlign w:val="bottom"/>
          </w:tcPr>
          <w:p>
            <w:pPr>
              <w:spacing w:after="0"/>
              <w:rPr>
                <w:sz w:val="16"/>
                <w:szCs w:val="16"/>
                <w:color w:val="auto"/>
              </w:rPr>
            </w:pPr>
          </w:p>
        </w:tc>
        <w:tc>
          <w:tcPr>
            <w:tcW w:w="10180" w:type="dxa"/>
            <w:vAlign w:val="bottom"/>
            <w:tcBorders>
              <w:top w:val="single" w:sz="8" w:color="0000EE"/>
            </w:tcBorders>
            <w:gridSpan w:val="21"/>
          </w:tcPr>
          <w:p>
            <w:pPr>
              <w:spacing w:after="0" w:line="192"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Report on Form 8-K filed with the Securities and Exchange Commission on December 29, 2008</w:t>
              </w:r>
            </w:hyperlink>
          </w:p>
        </w:tc>
        <w:tc>
          <w:tcPr>
            <w:tcW w:w="40" w:type="dxa"/>
            <w:vAlign w:val="bottom"/>
          </w:tcPr>
          <w:p>
            <w:pPr>
              <w:spacing w:after="0"/>
              <w:rPr>
                <w:sz w:val="16"/>
                <w:szCs w:val="16"/>
                <w:color w:val="auto"/>
              </w:rPr>
            </w:pPr>
          </w:p>
        </w:tc>
      </w:tr>
      <w:tr>
        <w:trPr>
          <w:trHeight w:val="20"/>
        </w:trPr>
        <w:tc>
          <w:tcPr>
            <w:tcW w:w="1020" w:type="dxa"/>
            <w:vAlign w:val="bottom"/>
          </w:tcPr>
          <w:p>
            <w:pPr>
              <w:spacing w:after="0" w:line="20" w:lineRule="exact"/>
              <w:rPr>
                <w:sz w:val="1"/>
                <w:szCs w:val="1"/>
                <w:color w:val="auto"/>
              </w:rPr>
            </w:pPr>
          </w:p>
        </w:tc>
        <w:tc>
          <w:tcPr>
            <w:tcW w:w="2800" w:type="dxa"/>
            <w:vAlign w:val="bottom"/>
            <w:gridSpan w:val="2"/>
            <w:shd w:val="clear" w:color="auto" w:fill="0000EE"/>
          </w:tcPr>
          <w:p>
            <w:pPr>
              <w:spacing w:after="0" w:line="20" w:lineRule="exact"/>
              <w:rPr>
                <w:sz w:val="1"/>
                <w:szCs w:val="1"/>
                <w:color w:val="auto"/>
              </w:rPr>
            </w:pPr>
          </w:p>
        </w:tc>
        <w:tc>
          <w:tcPr>
            <w:tcW w:w="4000" w:type="dxa"/>
            <w:vAlign w:val="bottom"/>
            <w:gridSpan w:val="7"/>
            <w:shd w:val="clear" w:color="auto" w:fill="0000EE"/>
          </w:tcPr>
          <w:p>
            <w:pPr>
              <w:spacing w:after="0" w:line="20" w:lineRule="exact"/>
              <w:rPr>
                <w:sz w:val="1"/>
                <w:szCs w:val="1"/>
                <w:color w:val="auto"/>
              </w:rPr>
            </w:pPr>
          </w:p>
        </w:tc>
        <w:tc>
          <w:tcPr>
            <w:tcW w:w="3200" w:type="dxa"/>
            <w:vAlign w:val="bottom"/>
            <w:gridSpan w:val="9"/>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r>
      <w:tr>
        <w:trPr>
          <w:trHeight w:val="404"/>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10.6*</w:t>
            </w:r>
          </w:p>
        </w:tc>
        <w:tc>
          <w:tcPr>
            <w:tcW w:w="10220" w:type="dxa"/>
            <w:vAlign w:val="bottom"/>
            <w:gridSpan w:val="22"/>
          </w:tcPr>
          <w:p>
            <w:pPr>
              <w:spacing w:after="0"/>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Form of executive employee restricted stock unit agreement for use with restricted stock units granted pursuant to the Cohu, Inc. 2005 Equity</w:t>
              </w:r>
            </w:hyperlink>
          </w:p>
        </w:tc>
      </w:tr>
      <w:tr>
        <w:trPr>
          <w:trHeight w:val="20"/>
        </w:trPr>
        <w:tc>
          <w:tcPr>
            <w:tcW w:w="1020" w:type="dxa"/>
            <w:vAlign w:val="bottom"/>
          </w:tcPr>
          <w:p>
            <w:pPr>
              <w:spacing w:after="0" w:line="20" w:lineRule="exact"/>
              <w:rPr>
                <w:sz w:val="1"/>
                <w:szCs w:val="1"/>
                <w:color w:val="auto"/>
              </w:rPr>
            </w:pPr>
          </w:p>
        </w:tc>
        <w:tc>
          <w:tcPr>
            <w:tcW w:w="2800" w:type="dxa"/>
            <w:vAlign w:val="bottom"/>
            <w:gridSpan w:val="2"/>
            <w:shd w:val="clear" w:color="auto" w:fill="0000EE"/>
          </w:tcPr>
          <w:p>
            <w:pPr>
              <w:spacing w:after="0" w:line="20" w:lineRule="exact"/>
              <w:rPr>
                <w:sz w:val="1"/>
                <w:szCs w:val="1"/>
                <w:color w:val="auto"/>
              </w:rPr>
            </w:pPr>
          </w:p>
        </w:tc>
        <w:tc>
          <w:tcPr>
            <w:tcW w:w="7200" w:type="dxa"/>
            <w:vAlign w:val="bottom"/>
            <w:gridSpan w:val="16"/>
            <w:shd w:val="clear" w:color="auto" w:fill="0000EE"/>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r>
      <w:tr>
        <w:trPr>
          <w:trHeight w:val="192"/>
        </w:trPr>
        <w:tc>
          <w:tcPr>
            <w:tcW w:w="1020" w:type="dxa"/>
            <w:vAlign w:val="bottom"/>
          </w:tcPr>
          <w:p>
            <w:pPr>
              <w:spacing w:after="0"/>
              <w:rPr>
                <w:sz w:val="16"/>
                <w:szCs w:val="16"/>
                <w:color w:val="auto"/>
              </w:rPr>
            </w:pPr>
          </w:p>
        </w:tc>
        <w:tc>
          <w:tcPr>
            <w:tcW w:w="10220" w:type="dxa"/>
            <w:vAlign w:val="bottom"/>
            <w:tcBorders>
              <w:bottom w:val="single" w:sz="8" w:color="0000EE"/>
            </w:tcBorders>
            <w:gridSpan w:val="22"/>
          </w:tcPr>
          <w:p>
            <w:pPr>
              <w:spacing w:after="0" w:line="192" w:lineRule="exact"/>
              <w:rPr>
                <w:rFonts w:ascii="Times New Roman" w:cs="Times New Roman" w:eastAsia="Times New Roman" w:hAnsi="Times New Roman"/>
                <w:sz w:val="18"/>
                <w:szCs w:val="18"/>
                <w:color w:val="0000EE"/>
                <w:w w:val="97"/>
              </w:rPr>
            </w:pPr>
            <w:hyperlink r:id="rId155">
              <w:r>
                <w:rPr>
                  <w:rFonts w:ascii="Times New Roman" w:cs="Times New Roman" w:eastAsia="Times New Roman" w:hAnsi="Times New Roman"/>
                  <w:sz w:val="18"/>
                  <w:szCs w:val="18"/>
                  <w:color w:val="0000EE"/>
                  <w:w w:val="97"/>
                </w:rPr>
                <w:t>Incentive Plan incorporated herein by reference to Exhibit 10.1 from the Cohu, Inc. Quarterly Report on Form 10-Q filed with the Securities and</w:t>
              </w:r>
            </w:hyperlink>
          </w:p>
        </w:tc>
      </w:tr>
      <w:tr>
        <w:trPr>
          <w:trHeight w:val="192"/>
        </w:trPr>
        <w:tc>
          <w:tcPr>
            <w:tcW w:w="1020" w:type="dxa"/>
            <w:vAlign w:val="bottom"/>
          </w:tcPr>
          <w:p>
            <w:pPr>
              <w:spacing w:after="0"/>
              <w:rPr>
                <w:sz w:val="16"/>
                <w:szCs w:val="16"/>
                <w:color w:val="auto"/>
              </w:rPr>
            </w:pPr>
          </w:p>
        </w:tc>
        <w:tc>
          <w:tcPr>
            <w:tcW w:w="10220" w:type="dxa"/>
            <w:vAlign w:val="bottom"/>
            <w:gridSpan w:val="22"/>
          </w:tcPr>
          <w:p>
            <w:pPr>
              <w:spacing w:after="0" w:line="192"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Exchange Commission on May 5, 2023</w:t>
              </w:r>
            </w:hyperlink>
          </w:p>
        </w:tc>
      </w:tr>
      <w:tr>
        <w:trPr>
          <w:trHeight w:val="445"/>
        </w:trPr>
        <w:tc>
          <w:tcPr>
            <w:tcW w:w="1020" w:type="dxa"/>
            <w:vAlign w:val="bottom"/>
          </w:tcPr>
          <w:p>
            <w:pPr>
              <w:spacing w:after="0"/>
              <w:rPr>
                <w:sz w:val="24"/>
                <w:szCs w:val="24"/>
                <w:color w:val="auto"/>
              </w:rPr>
            </w:pPr>
          </w:p>
        </w:tc>
        <w:tc>
          <w:tcPr>
            <w:tcW w:w="2800" w:type="dxa"/>
            <w:vAlign w:val="bottom"/>
            <w:tcBorders>
              <w:top w:val="single" w:sz="8" w:color="0000EE"/>
            </w:tcBorders>
            <w:gridSpan w:val="2"/>
          </w:tcPr>
          <w:p>
            <w:pPr>
              <w:spacing w:after="0"/>
              <w:rPr>
                <w:sz w:val="24"/>
                <w:szCs w:val="24"/>
                <w:color w:val="auto"/>
              </w:rPr>
            </w:pPr>
          </w:p>
        </w:tc>
        <w:tc>
          <w:tcPr>
            <w:tcW w:w="21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92</w:t>
            </w: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1"/>
        </w:trPr>
        <w:tc>
          <w:tcPr>
            <w:tcW w:w="10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44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7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jc w:val="both"/>
        <w:ind w:left="1020" w:hanging="860"/>
        <w:spacing w:after="0" w:line="259" w:lineRule="auto"/>
        <w:tabs>
          <w:tab w:leader="none" w:pos="10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10.7*</w:t>
      </w:r>
      <w:r>
        <w:rPr>
          <w:sz w:val="20"/>
          <w:szCs w:val="20"/>
          <w:color w:val="auto"/>
        </w:rPr>
        <w:tab/>
      </w:r>
      <w:hyperlink r:id="rId156">
        <w:r>
          <w:rPr>
            <w:rFonts w:ascii="Times New Roman" w:cs="Times New Roman" w:eastAsia="Times New Roman" w:hAnsi="Times New Roman"/>
            <w:sz w:val="18"/>
            <w:szCs w:val="18"/>
            <w:u w:val="single" w:color="auto"/>
            <w:color w:val="0000EE"/>
          </w:rPr>
          <w:t>Form of non-employee director restricted stock unit agreement for use with restricted stock units granted pursuant to the Cohu, Inc. 2005 Equity</w:t>
        </w:r>
      </w:hyperlink>
      <w:r>
        <w:rPr>
          <w:rFonts w:ascii="Times New Roman" w:cs="Times New Roman" w:eastAsia="Times New Roman" w:hAnsi="Times New Roman"/>
          <w:sz w:val="18"/>
          <w:szCs w:val="18"/>
          <w:u w:val="single" w:color="auto"/>
          <w:color w:val="0000EE"/>
        </w:rPr>
        <w:t xml:space="preserve"> </w:t>
      </w:r>
      <w:hyperlink r:id="rId156">
        <w:r>
          <w:rPr>
            <w:rFonts w:ascii="Times New Roman" w:cs="Times New Roman" w:eastAsia="Times New Roman" w:hAnsi="Times New Roman"/>
            <w:sz w:val="18"/>
            <w:szCs w:val="18"/>
            <w:u w:val="single" w:color="auto"/>
            <w:color w:val="0000EE"/>
          </w:rPr>
          <w:t>Incentive Plan incorporated herein by reference to Exhibit 10.2 from the Cohu, Inc. Quarterly Report on Form 10-Q filed with the Securities and</w:t>
        </w:r>
      </w:hyperlink>
      <w:r>
        <w:rPr>
          <w:rFonts w:ascii="Times New Roman" w:cs="Times New Roman" w:eastAsia="Times New Roman" w:hAnsi="Times New Roman"/>
          <w:sz w:val="18"/>
          <w:szCs w:val="18"/>
          <w:u w:val="single" w:color="auto"/>
          <w:color w:val="0000EE"/>
        </w:rPr>
        <w:t xml:space="preserve"> </w:t>
      </w:r>
      <w:hyperlink r:id="rId156">
        <w:r>
          <w:rPr>
            <w:rFonts w:ascii="Times New Roman" w:cs="Times New Roman" w:eastAsia="Times New Roman" w:hAnsi="Times New Roman"/>
            <w:sz w:val="18"/>
            <w:szCs w:val="18"/>
            <w:u w:val="single" w:color="auto"/>
            <w:color w:val="0000EE"/>
          </w:rPr>
          <w:t>Exchange Commission on August 4, 2015</w:t>
        </w:r>
      </w:hyperlink>
    </w:p>
    <w:p>
      <w:pPr>
        <w:spacing w:after="0" w:line="178" w:lineRule="exact"/>
        <w:rPr>
          <w:rFonts w:ascii="Times New Roman" w:cs="Times New Roman" w:eastAsia="Times New Roman" w:hAnsi="Times New Roman"/>
          <w:sz w:val="18"/>
          <w:szCs w:val="18"/>
          <w:u w:val="single" w:color="auto"/>
          <w:color w:val="0000EE"/>
        </w:rPr>
      </w:pPr>
    </w:p>
    <w:p>
      <w:pPr>
        <w:jc w:val="both"/>
        <w:ind w:left="1020" w:right="120" w:hanging="860"/>
        <w:spacing w:after="0" w:line="259" w:lineRule="auto"/>
        <w:tabs>
          <w:tab w:leader="none" w:pos="10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10.8*</w:t>
      </w:r>
      <w:r>
        <w:rPr>
          <w:sz w:val="20"/>
          <w:szCs w:val="20"/>
          <w:color w:val="auto"/>
        </w:rPr>
        <w:tab/>
      </w:r>
      <w:hyperlink r:id="rId157">
        <w:r>
          <w:rPr>
            <w:rFonts w:ascii="Times New Roman" w:cs="Times New Roman" w:eastAsia="Times New Roman" w:hAnsi="Times New Roman"/>
            <w:sz w:val="18"/>
            <w:szCs w:val="18"/>
            <w:u w:val="single" w:color="auto"/>
            <w:color w:val="0000EE"/>
          </w:rPr>
          <w:t>Form of non-employee director restricted stock unit deferral election form for use with restricted stock units granted pursuant to the Cohu, Inc.</w:t>
        </w:r>
      </w:hyperlink>
      <w:r>
        <w:rPr>
          <w:rFonts w:ascii="Times New Roman" w:cs="Times New Roman" w:eastAsia="Times New Roman" w:hAnsi="Times New Roman"/>
          <w:sz w:val="18"/>
          <w:szCs w:val="18"/>
          <w:u w:val="single" w:color="auto"/>
          <w:color w:val="0000EE"/>
        </w:rPr>
        <w:t xml:space="preserve"> </w:t>
      </w:r>
      <w:hyperlink r:id="rId157">
        <w:r>
          <w:rPr>
            <w:rFonts w:ascii="Times New Roman" w:cs="Times New Roman" w:eastAsia="Times New Roman" w:hAnsi="Times New Roman"/>
            <w:sz w:val="18"/>
            <w:szCs w:val="18"/>
            <w:u w:val="single" w:color="auto"/>
            <w:color w:val="0000EE"/>
          </w:rPr>
          <w:t>2005 Equity Incentive Plan incorporated herein by reference to Exhibit 10.3 from the Cohu, Inc. Quarterly Report on Form 10-Q filed with the</w:t>
        </w:r>
      </w:hyperlink>
      <w:r>
        <w:rPr>
          <w:rFonts w:ascii="Times New Roman" w:cs="Times New Roman" w:eastAsia="Times New Roman" w:hAnsi="Times New Roman"/>
          <w:sz w:val="18"/>
          <w:szCs w:val="18"/>
          <w:u w:val="single" w:color="auto"/>
          <w:color w:val="0000EE"/>
        </w:rPr>
        <w:t xml:space="preserve"> </w:t>
      </w:r>
      <w:hyperlink r:id="rId157">
        <w:r>
          <w:rPr>
            <w:rFonts w:ascii="Times New Roman" w:cs="Times New Roman" w:eastAsia="Times New Roman" w:hAnsi="Times New Roman"/>
            <w:sz w:val="18"/>
            <w:szCs w:val="18"/>
            <w:u w:val="single" w:color="auto"/>
            <w:color w:val="0000EE"/>
          </w:rPr>
          <w:t>Securities and Exchange Commission on August 4, 2015</w:t>
        </w:r>
      </w:hyperlink>
    </w:p>
    <w:p>
      <w:pPr>
        <w:spacing w:after="0" w:line="178" w:lineRule="exact"/>
        <w:rPr>
          <w:rFonts w:ascii="Times New Roman" w:cs="Times New Roman" w:eastAsia="Times New Roman" w:hAnsi="Times New Roman"/>
          <w:sz w:val="18"/>
          <w:szCs w:val="18"/>
          <w:u w:val="single" w:color="auto"/>
          <w:color w:val="0000EE"/>
        </w:rPr>
      </w:pPr>
    </w:p>
    <w:p>
      <w:pPr>
        <w:ind w:left="1020" w:right="380" w:hanging="860"/>
        <w:spacing w:after="0" w:line="274" w:lineRule="auto"/>
        <w:tabs>
          <w:tab w:leader="none" w:pos="10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10.9*</w:t>
      </w:r>
      <w:r>
        <w:rPr>
          <w:sz w:val="20"/>
          <w:szCs w:val="20"/>
          <w:color w:val="auto"/>
        </w:rPr>
        <w:tab/>
      </w:r>
      <w:hyperlink r:id="rId158">
        <w:r>
          <w:rPr>
            <w:rFonts w:ascii="Times New Roman" w:cs="Times New Roman" w:eastAsia="Times New Roman" w:hAnsi="Times New Roman"/>
            <w:sz w:val="18"/>
            <w:szCs w:val="18"/>
            <w:u w:val="single" w:color="auto"/>
            <w:color w:val="0000EE"/>
          </w:rPr>
          <w:t>Non-employee director fee deferral election form incorporated herein by reference to Exhibit 10.4 from the Cohu, Inc. Quarterly Report on</w:t>
        </w:r>
      </w:hyperlink>
      <w:r>
        <w:rPr>
          <w:rFonts w:ascii="Times New Roman" w:cs="Times New Roman" w:eastAsia="Times New Roman" w:hAnsi="Times New Roman"/>
          <w:sz w:val="18"/>
          <w:szCs w:val="18"/>
          <w:u w:val="single" w:color="auto"/>
          <w:color w:val="0000EE"/>
        </w:rPr>
        <w:t xml:space="preserve"> </w:t>
      </w:r>
      <w:hyperlink r:id="rId158">
        <w:r>
          <w:rPr>
            <w:rFonts w:ascii="Times New Roman" w:cs="Times New Roman" w:eastAsia="Times New Roman" w:hAnsi="Times New Roman"/>
            <w:sz w:val="18"/>
            <w:szCs w:val="18"/>
            <w:u w:val="single" w:color="auto"/>
            <w:color w:val="0000EE"/>
          </w:rPr>
          <w:t>Form 10-Q filed with the Securities and Exchange Commission on August 4, 2015</w:t>
        </w:r>
      </w:hyperlink>
    </w:p>
    <w:p>
      <w:pPr>
        <w:spacing w:after="0" w:line="163" w:lineRule="exact"/>
        <w:rPr>
          <w:sz w:val="20"/>
          <w:szCs w:val="20"/>
          <w:color w:val="auto"/>
        </w:rPr>
      </w:pPr>
    </w:p>
    <w:p>
      <w:pPr>
        <w:ind w:left="1020" w:right="120" w:hanging="860"/>
        <w:spacing w:after="0" w:line="274" w:lineRule="auto"/>
        <w:tabs>
          <w:tab w:leader="none" w:pos="10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w:t>
      </w:r>
      <w:r>
        <w:rPr>
          <w:sz w:val="20"/>
          <w:szCs w:val="20"/>
          <w:color w:val="auto"/>
        </w:rPr>
        <w:tab/>
      </w:r>
      <w:hyperlink r:id="rId159">
        <w:r>
          <w:rPr>
            <w:rFonts w:ascii="Times New Roman" w:cs="Times New Roman" w:eastAsia="Times New Roman" w:hAnsi="Times New Roman"/>
            <w:sz w:val="18"/>
            <w:szCs w:val="18"/>
            <w:u w:val="single" w:color="auto"/>
            <w:color w:val="0000EE"/>
          </w:rPr>
          <w:t>Form of deferred stock agreement for shares granted pursuant to the Cohu, Inc. 2005 Equity Incentive Plan incorporated herein by reference to</w:t>
        </w:r>
      </w:hyperlink>
      <w:r>
        <w:rPr>
          <w:rFonts w:ascii="Times New Roman" w:cs="Times New Roman" w:eastAsia="Times New Roman" w:hAnsi="Times New Roman"/>
          <w:sz w:val="18"/>
          <w:szCs w:val="18"/>
          <w:u w:val="single" w:color="auto"/>
          <w:color w:val="0000EE"/>
        </w:rPr>
        <w:t xml:space="preserve"> </w:t>
      </w:r>
      <w:hyperlink r:id="rId159">
        <w:r>
          <w:rPr>
            <w:rFonts w:ascii="Times New Roman" w:cs="Times New Roman" w:eastAsia="Times New Roman" w:hAnsi="Times New Roman"/>
            <w:sz w:val="18"/>
            <w:szCs w:val="18"/>
            <w:u w:val="single" w:color="auto"/>
            <w:color w:val="0000EE"/>
          </w:rPr>
          <w:t>Exhibit 10.5 from the Cohu, Inc. Quarterly Report on Form 10-Q filed with the Securities and Exchange Commission on August 4, 2015</w:t>
        </w:r>
      </w:hyperlink>
    </w:p>
    <w:p>
      <w:pPr>
        <w:spacing w:after="0" w:line="163" w:lineRule="exact"/>
        <w:rPr>
          <w:sz w:val="20"/>
          <w:szCs w:val="20"/>
          <w:color w:val="auto"/>
        </w:rPr>
      </w:pPr>
    </w:p>
    <w:p>
      <w:pPr>
        <w:jc w:val="both"/>
        <w:ind w:left="1020" w:right="20" w:hanging="860"/>
        <w:spacing w:after="0" w:line="259" w:lineRule="auto"/>
        <w:tabs>
          <w:tab w:leader="none" w:pos="10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10.11*</w:t>
      </w:r>
      <w:r>
        <w:rPr>
          <w:sz w:val="20"/>
          <w:szCs w:val="20"/>
          <w:color w:val="auto"/>
        </w:rPr>
        <w:tab/>
      </w:r>
      <w:hyperlink r:id="rId160">
        <w:r>
          <w:rPr>
            <w:rFonts w:ascii="Times New Roman" w:cs="Times New Roman" w:eastAsia="Times New Roman" w:hAnsi="Times New Roman"/>
            <w:sz w:val="18"/>
            <w:szCs w:val="18"/>
            <w:u w:val="single" w:color="auto"/>
            <w:color w:val="0000EE"/>
          </w:rPr>
          <w:t>Form of stock option agreement for use with stock options granted pursuant to the Cohu, Inc. 2005 Equity Incentive Plan incorporated herein by</w:t>
        </w:r>
      </w:hyperlink>
      <w:r>
        <w:rPr>
          <w:rFonts w:ascii="Times New Roman" w:cs="Times New Roman" w:eastAsia="Times New Roman" w:hAnsi="Times New Roman"/>
          <w:sz w:val="18"/>
          <w:szCs w:val="18"/>
          <w:u w:val="single" w:color="auto"/>
          <w:color w:val="0000EE"/>
        </w:rPr>
        <w:t xml:space="preserve"> </w:t>
      </w:r>
      <w:hyperlink r:id="rId160">
        <w:r>
          <w:rPr>
            <w:rFonts w:ascii="Times New Roman" w:cs="Times New Roman" w:eastAsia="Times New Roman" w:hAnsi="Times New Roman"/>
            <w:sz w:val="18"/>
            <w:szCs w:val="18"/>
            <w:u w:val="single" w:color="auto"/>
            <w:color w:val="0000EE"/>
          </w:rPr>
          <w:t>reference to Exhibit 10.6 from the Cohu, Inc. Quarterly Report on Form 10-Q filed with the Securities and Exchange Commission on August 4,</w:t>
        </w:r>
      </w:hyperlink>
      <w:r>
        <w:rPr>
          <w:rFonts w:ascii="Times New Roman" w:cs="Times New Roman" w:eastAsia="Times New Roman" w:hAnsi="Times New Roman"/>
          <w:sz w:val="18"/>
          <w:szCs w:val="18"/>
          <w:u w:val="single" w:color="auto"/>
          <w:color w:val="0000EE"/>
        </w:rPr>
        <w:t xml:space="preserve"> </w:t>
      </w:r>
      <w:hyperlink r:id="rId160">
        <w:r>
          <w:rPr>
            <w:rFonts w:ascii="Times New Roman" w:cs="Times New Roman" w:eastAsia="Times New Roman" w:hAnsi="Times New Roman"/>
            <w:sz w:val="18"/>
            <w:szCs w:val="18"/>
            <w:u w:val="single" w:color="auto"/>
            <w:color w:val="0000EE"/>
          </w:rPr>
          <w:t>2015</w:t>
        </w:r>
      </w:hyperlink>
    </w:p>
    <w:p>
      <w:pPr>
        <w:spacing w:after="0" w:line="178" w:lineRule="exact"/>
        <w:rPr>
          <w:rFonts w:ascii="Times New Roman" w:cs="Times New Roman" w:eastAsia="Times New Roman" w:hAnsi="Times New Roman"/>
          <w:sz w:val="18"/>
          <w:szCs w:val="18"/>
          <w:u w:val="single" w:color="auto"/>
          <w:color w:val="0000EE"/>
        </w:rPr>
      </w:pPr>
    </w:p>
    <w:p>
      <w:pPr>
        <w:ind w:left="1020" w:right="280" w:hanging="860"/>
        <w:spacing w:after="0" w:line="274" w:lineRule="auto"/>
        <w:tabs>
          <w:tab w:leader="none" w:pos="10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10.12*</w:t>
      </w:r>
      <w:r>
        <w:rPr>
          <w:sz w:val="20"/>
          <w:szCs w:val="20"/>
          <w:color w:val="auto"/>
        </w:rPr>
        <w:tab/>
      </w:r>
      <w:hyperlink r:id="rId161">
        <w:r>
          <w:rPr>
            <w:rFonts w:ascii="Times New Roman" w:cs="Times New Roman" w:eastAsia="Times New Roman" w:hAnsi="Times New Roman"/>
            <w:sz w:val="18"/>
            <w:szCs w:val="18"/>
            <w:u w:val="single" w:color="auto"/>
            <w:color w:val="0000EE"/>
          </w:rPr>
          <w:t>Form of Indemnification Agreement, incorporated herein by reference to Exhibit 10.1 from the Cohu, Inc. Current Report on Form 8-K filed</w:t>
        </w:r>
      </w:hyperlink>
      <w:r>
        <w:rPr>
          <w:rFonts w:ascii="Times New Roman" w:cs="Times New Roman" w:eastAsia="Times New Roman" w:hAnsi="Times New Roman"/>
          <w:sz w:val="18"/>
          <w:szCs w:val="18"/>
          <w:u w:val="single" w:color="auto"/>
          <w:color w:val="0000EE"/>
        </w:rPr>
        <w:t xml:space="preserve"> </w:t>
      </w:r>
      <w:hyperlink r:id="rId161">
        <w:r>
          <w:rPr>
            <w:rFonts w:ascii="Times New Roman" w:cs="Times New Roman" w:eastAsia="Times New Roman" w:hAnsi="Times New Roman"/>
            <w:sz w:val="18"/>
            <w:szCs w:val="18"/>
            <w:u w:val="single" w:color="auto"/>
            <w:color w:val="0000EE"/>
          </w:rPr>
          <w:t>December 13, 2018</w:t>
        </w:r>
      </w:hyperlink>
    </w:p>
    <w:p>
      <w:pPr>
        <w:spacing w:after="0" w:line="163" w:lineRule="exact"/>
        <w:rPr>
          <w:sz w:val="20"/>
          <w:szCs w:val="20"/>
          <w:color w:val="auto"/>
        </w:rPr>
      </w:pPr>
    </w:p>
    <w:p>
      <w:pPr>
        <w:ind w:left="1020" w:right="500" w:hanging="860"/>
        <w:spacing w:after="0" w:line="274" w:lineRule="auto"/>
        <w:tabs>
          <w:tab w:leader="none" w:pos="10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10.13*</w:t>
      </w:r>
      <w:r>
        <w:rPr>
          <w:sz w:val="20"/>
          <w:szCs w:val="20"/>
          <w:color w:val="auto"/>
        </w:rPr>
        <w:tab/>
      </w:r>
      <w:hyperlink r:id="rId162">
        <w:r>
          <w:rPr>
            <w:rFonts w:ascii="Times New Roman" w:cs="Times New Roman" w:eastAsia="Times New Roman" w:hAnsi="Times New Roman"/>
            <w:sz w:val="18"/>
            <w:szCs w:val="18"/>
            <w:u w:val="single" w:color="auto"/>
            <w:color w:val="0000EE"/>
          </w:rPr>
          <w:t>Cohu, Inc. Retiree Health Benefits Agreement (as amended) incorporated herein by reference to Exhibit 10.2 from the Cohu, Inc. Current</w:t>
        </w:r>
      </w:hyperlink>
      <w:r>
        <w:rPr>
          <w:rFonts w:ascii="Times New Roman" w:cs="Times New Roman" w:eastAsia="Times New Roman" w:hAnsi="Times New Roman"/>
          <w:sz w:val="18"/>
          <w:szCs w:val="18"/>
          <w:u w:val="single" w:color="auto"/>
          <w:color w:val="0000EE"/>
        </w:rPr>
        <w:t xml:space="preserve"> </w:t>
      </w:r>
      <w:hyperlink r:id="rId162">
        <w:r>
          <w:rPr>
            <w:rFonts w:ascii="Times New Roman" w:cs="Times New Roman" w:eastAsia="Times New Roman" w:hAnsi="Times New Roman"/>
            <w:sz w:val="18"/>
            <w:szCs w:val="18"/>
            <w:u w:val="single" w:color="auto"/>
            <w:color w:val="0000EE"/>
          </w:rPr>
          <w:t>Report on Form 8-K filed with the Securities and Exchange Commission on December 29, 2008</w:t>
        </w:r>
      </w:hyperlink>
    </w:p>
    <w:p>
      <w:pPr>
        <w:spacing w:after="0" w:line="163" w:lineRule="exact"/>
        <w:rPr>
          <w:sz w:val="20"/>
          <w:szCs w:val="20"/>
          <w:color w:val="auto"/>
        </w:rPr>
      </w:pPr>
    </w:p>
    <w:p>
      <w:pPr>
        <w:ind w:left="160"/>
        <w:spacing w:after="0"/>
        <w:tabs>
          <w:tab w:leader="none" w:pos="10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10.14</w:t>
      </w:r>
      <w:r>
        <w:rPr>
          <w:sz w:val="20"/>
          <w:szCs w:val="20"/>
          <w:color w:val="auto"/>
        </w:rPr>
        <w:tab/>
      </w:r>
      <w:hyperlink r:id="rId163">
        <w:r>
          <w:rPr>
            <w:rFonts w:ascii="Times New Roman" w:cs="Times New Roman" w:eastAsia="Times New Roman" w:hAnsi="Times New Roman"/>
            <w:sz w:val="17"/>
            <w:szCs w:val="17"/>
            <w:u w:val="single" w:color="auto"/>
            <w:color w:val="0000EE"/>
          </w:rPr>
          <w:t>Lease agreement dated December 4, 2015 by and between CT Crosthwaite I, LLC and Cohu, Inc. incorporated herein by reference to Exhibit</w:t>
        </w:r>
      </w:hyperlink>
    </w:p>
    <w:p>
      <w:pPr>
        <w:spacing w:after="0" w:line="24" w:lineRule="exact"/>
        <w:rPr>
          <w:sz w:val="20"/>
          <w:szCs w:val="20"/>
          <w:color w:val="auto"/>
        </w:rPr>
      </w:pPr>
    </w:p>
    <w:p>
      <w:pPr>
        <w:ind w:left="1020"/>
        <w:spacing w:after="0"/>
        <w:rPr>
          <w:rFonts w:ascii="Times New Roman" w:cs="Times New Roman" w:eastAsia="Times New Roman" w:hAnsi="Times New Roman"/>
          <w:sz w:val="18"/>
          <w:szCs w:val="18"/>
          <w:u w:val="single" w:color="auto"/>
          <w:color w:val="0000EE"/>
        </w:rPr>
      </w:pPr>
      <w:hyperlink r:id="rId163">
        <w:r>
          <w:rPr>
            <w:rFonts w:ascii="Times New Roman" w:cs="Times New Roman" w:eastAsia="Times New Roman" w:hAnsi="Times New Roman"/>
            <w:sz w:val="18"/>
            <w:szCs w:val="18"/>
            <w:u w:val="single" w:color="auto"/>
            <w:color w:val="0000EE"/>
          </w:rPr>
          <w:t>10.14 from the Cohu, Inc. Annual Report on Form 10-K filed with the Securities and Exchange Commission on February 23, 2016</w:t>
        </w:r>
      </w:hyperlink>
    </w:p>
    <w:p>
      <w:pPr>
        <w:spacing w:after="0" w:line="198" w:lineRule="exact"/>
        <w:rPr>
          <w:sz w:val="20"/>
          <w:szCs w:val="20"/>
          <w:color w:val="auto"/>
        </w:rPr>
      </w:pPr>
    </w:p>
    <w:p>
      <w:pPr>
        <w:ind w:left="160"/>
        <w:spacing w:after="0"/>
        <w:tabs>
          <w:tab w:leader="none" w:pos="10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10.15*</w:t>
      </w:r>
      <w:r>
        <w:rPr>
          <w:sz w:val="20"/>
          <w:szCs w:val="20"/>
          <w:color w:val="auto"/>
        </w:rPr>
        <w:tab/>
      </w:r>
      <w:hyperlink r:id="rId164">
        <w:r>
          <w:rPr>
            <w:rFonts w:ascii="Times New Roman" w:cs="Times New Roman" w:eastAsia="Times New Roman" w:hAnsi="Times New Roman"/>
            <w:sz w:val="17"/>
            <w:szCs w:val="17"/>
            <w:u w:val="single" w:color="auto"/>
            <w:color w:val="0000EE"/>
          </w:rPr>
          <w:t>Severance Agreement, dated September 8, 2020, between the Company and Christopher G. Bohrson incorporated herein by reference to Exhibit</w:t>
        </w:r>
      </w:hyperlink>
    </w:p>
    <w:p>
      <w:pPr>
        <w:spacing w:after="0" w:line="24" w:lineRule="exact"/>
        <w:rPr>
          <w:sz w:val="20"/>
          <w:szCs w:val="20"/>
          <w:color w:val="auto"/>
        </w:rPr>
      </w:pPr>
    </w:p>
    <w:p>
      <w:pPr>
        <w:ind w:left="1020"/>
        <w:spacing w:after="0"/>
        <w:rPr>
          <w:rFonts w:ascii="Times New Roman" w:cs="Times New Roman" w:eastAsia="Times New Roman" w:hAnsi="Times New Roman"/>
          <w:sz w:val="18"/>
          <w:szCs w:val="18"/>
          <w:u w:val="single" w:color="auto"/>
          <w:color w:val="0000EE"/>
        </w:rPr>
      </w:pPr>
      <w:hyperlink r:id="rId164">
        <w:r>
          <w:rPr>
            <w:rFonts w:ascii="Times New Roman" w:cs="Times New Roman" w:eastAsia="Times New Roman" w:hAnsi="Times New Roman"/>
            <w:sz w:val="18"/>
            <w:szCs w:val="18"/>
            <w:u w:val="single" w:color="auto"/>
            <w:color w:val="0000EE"/>
          </w:rPr>
          <w:t>10.1 from the Cohu, Inc. Quarterly Report on Form 10-Q filed with the Securities and Exchange Commission on November 4, 2020</w:t>
        </w:r>
      </w:hyperlink>
    </w:p>
    <w:p>
      <w:pPr>
        <w:spacing w:after="0" w:line="198" w:lineRule="exact"/>
        <w:rPr>
          <w:sz w:val="20"/>
          <w:szCs w:val="20"/>
          <w:color w:val="auto"/>
        </w:rPr>
      </w:pPr>
    </w:p>
    <w:p>
      <w:pPr>
        <w:ind w:left="1020" w:right="220" w:hanging="860"/>
        <w:spacing w:after="0" w:line="274" w:lineRule="auto"/>
        <w:tabs>
          <w:tab w:leader="none" w:pos="10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10.16*</w:t>
      </w:r>
      <w:r>
        <w:rPr>
          <w:sz w:val="20"/>
          <w:szCs w:val="20"/>
          <w:color w:val="auto"/>
        </w:rPr>
        <w:tab/>
      </w:r>
      <w:hyperlink r:id="rId165">
        <w:r>
          <w:rPr>
            <w:rFonts w:ascii="Times New Roman" w:cs="Times New Roman" w:eastAsia="Times New Roman" w:hAnsi="Times New Roman"/>
            <w:sz w:val="18"/>
            <w:szCs w:val="18"/>
            <w:u w:val="single" w:color="auto"/>
            <w:color w:val="0000EE"/>
          </w:rPr>
          <w:t>Severance Agreement, dated September 8, 2020, between the Company and Jeffrey D. Jones incorporated herein by reference to Exhibit 10.2</w:t>
        </w:r>
      </w:hyperlink>
      <w:r>
        <w:rPr>
          <w:rFonts w:ascii="Times New Roman" w:cs="Times New Roman" w:eastAsia="Times New Roman" w:hAnsi="Times New Roman"/>
          <w:sz w:val="18"/>
          <w:szCs w:val="18"/>
          <w:u w:val="single" w:color="auto"/>
          <w:color w:val="0000EE"/>
        </w:rPr>
        <w:t xml:space="preserve"> </w:t>
      </w:r>
      <w:hyperlink r:id="rId165">
        <w:r>
          <w:rPr>
            <w:rFonts w:ascii="Times New Roman" w:cs="Times New Roman" w:eastAsia="Times New Roman" w:hAnsi="Times New Roman"/>
            <w:sz w:val="18"/>
            <w:szCs w:val="18"/>
            <w:u w:val="single" w:color="auto"/>
            <w:color w:val="0000EE"/>
          </w:rPr>
          <w:t>from the Cohu, Inc. Quarterly Report on Form 10-Q filed with the Securities and Exchange Commission on November 4, 2020</w:t>
        </w:r>
      </w:hyperlink>
    </w:p>
    <w:p>
      <w:pPr>
        <w:spacing w:after="0" w:line="163" w:lineRule="exact"/>
        <w:rPr>
          <w:sz w:val="20"/>
          <w:szCs w:val="20"/>
          <w:color w:val="auto"/>
        </w:rPr>
      </w:pPr>
    </w:p>
    <w:p>
      <w:pPr>
        <w:ind w:left="160"/>
        <w:spacing w:after="0"/>
        <w:tabs>
          <w:tab w:leader="none" w:pos="1000" w:val="left"/>
        </w:tabs>
        <w:rPr>
          <w:sz w:val="20"/>
          <w:szCs w:val="20"/>
          <w:color w:val="auto"/>
        </w:rPr>
      </w:pPr>
      <w:r>
        <w:rPr>
          <w:rFonts w:ascii="Times New Roman" w:cs="Times New Roman" w:eastAsia="Times New Roman" w:hAnsi="Times New Roman"/>
          <w:sz w:val="18"/>
          <w:szCs w:val="18"/>
          <w:color w:val="auto"/>
        </w:rPr>
        <w:t>10.17*</w:t>
      </w:r>
      <w:r>
        <w:rPr>
          <w:sz w:val="20"/>
          <w:szCs w:val="20"/>
          <w:color w:val="auto"/>
        </w:rPr>
        <w:tab/>
      </w:r>
      <w:r>
        <w:rPr>
          <w:rFonts w:ascii="Times New Roman" w:cs="Times New Roman" w:eastAsia="Times New Roman" w:hAnsi="Times New Roman"/>
          <w:sz w:val="17"/>
          <w:szCs w:val="17"/>
          <w:u w:val="single" w:color="auto"/>
          <w:color w:val="0000EE"/>
        </w:rPr>
        <w:t>Managing Director Services Agreement, dated November 13, 2024, between the Company’s subsidiary, Cohu GmbH, and Klaus Ilgenfritz</w:t>
      </w:r>
    </w:p>
    <w:p>
      <w:pPr>
        <w:spacing w:after="0" w:line="217" w:lineRule="exact"/>
        <w:rPr>
          <w:sz w:val="20"/>
          <w:szCs w:val="20"/>
          <w:color w:val="auto"/>
        </w:rPr>
      </w:pPr>
    </w:p>
    <w:p>
      <w:pPr>
        <w:jc w:val="center"/>
        <w:ind w:right="140"/>
        <w:spacing w:after="0" w:line="274"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10.18*    </w:t>
      </w:r>
      <w:hyperlink r:id="rId166">
        <w:r>
          <w:rPr>
            <w:rFonts w:ascii="Times New Roman" w:cs="Times New Roman" w:eastAsia="Times New Roman" w:hAnsi="Times New Roman"/>
            <w:sz w:val="18"/>
            <w:szCs w:val="18"/>
            <w:u w:val="single" w:color="auto"/>
            <w:color w:val="0000EE"/>
          </w:rPr>
          <w:t>Severance Agreement, dated September 8, 2020, between the Company and Luis A. Müller incorporated herein by reference to Exhibit 10.4</w:t>
        </w:r>
      </w:hyperlink>
      <w:r>
        <w:rPr>
          <w:rFonts w:ascii="Times New Roman" w:cs="Times New Roman" w:eastAsia="Times New Roman" w:hAnsi="Times New Roman"/>
          <w:sz w:val="18"/>
          <w:szCs w:val="18"/>
          <w:color w:val="auto"/>
        </w:rPr>
        <w:t xml:space="preserve"> </w:t>
      </w:r>
      <w:hyperlink r:id="rId166">
        <w:r>
          <w:rPr>
            <w:rFonts w:ascii="Times New Roman" w:cs="Times New Roman" w:eastAsia="Times New Roman" w:hAnsi="Times New Roman"/>
            <w:sz w:val="18"/>
            <w:szCs w:val="18"/>
            <w:u w:val="single" w:color="auto"/>
            <w:color w:val="0000EE"/>
          </w:rPr>
          <w:t>from the Cohu, Inc. Quarterly Report on Form 10-Q filed with the Securities and Exchange Commission on November 4, 2020</w:t>
        </w:r>
      </w:hyperlink>
    </w:p>
    <w:p>
      <w:pPr>
        <w:spacing w:after="0" w:line="163" w:lineRule="exact"/>
        <w:rPr>
          <w:sz w:val="20"/>
          <w:szCs w:val="20"/>
          <w:color w:val="auto"/>
        </w:rPr>
      </w:pPr>
    </w:p>
    <w:p>
      <w:pPr>
        <w:ind w:left="1020" w:hanging="860"/>
        <w:spacing w:after="0" w:line="304" w:lineRule="auto"/>
        <w:tabs>
          <w:tab w:leader="none" w:pos="10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10.19*</w:t>
      </w:r>
      <w:r>
        <w:rPr>
          <w:sz w:val="20"/>
          <w:szCs w:val="20"/>
          <w:color w:val="auto"/>
        </w:rPr>
        <w:tab/>
      </w:r>
      <w:hyperlink r:id="rId167">
        <w:r>
          <w:rPr>
            <w:rFonts w:ascii="Times New Roman" w:cs="Times New Roman" w:eastAsia="Times New Roman" w:hAnsi="Times New Roman"/>
            <w:sz w:val="17"/>
            <w:szCs w:val="17"/>
            <w:u w:val="single" w:color="auto"/>
            <w:color w:val="0000EE"/>
          </w:rPr>
          <w:t>Change in Control Agreement, dated September 8, 2020, between the Company and Christopher G. Bohrson incorporated herein by reference to</w:t>
        </w:r>
      </w:hyperlink>
      <w:r>
        <w:rPr>
          <w:rFonts w:ascii="Times New Roman" w:cs="Times New Roman" w:eastAsia="Times New Roman" w:hAnsi="Times New Roman"/>
          <w:sz w:val="17"/>
          <w:szCs w:val="17"/>
          <w:u w:val="single" w:color="auto"/>
          <w:color w:val="0000EE"/>
        </w:rPr>
        <w:t xml:space="preserve"> </w:t>
      </w:r>
      <w:hyperlink r:id="rId167">
        <w:r>
          <w:rPr>
            <w:rFonts w:ascii="Times New Roman" w:cs="Times New Roman" w:eastAsia="Times New Roman" w:hAnsi="Times New Roman"/>
            <w:sz w:val="17"/>
            <w:szCs w:val="17"/>
            <w:u w:val="single" w:color="auto"/>
            <w:color w:val="0000EE"/>
          </w:rPr>
          <w:t>Exhibit 10.5 from the Cohu, Inc. Quarterly Report on Form 10-Q filed with the Securities and Exchange Commission on November 4, 2020</w:t>
        </w:r>
      </w:hyperlink>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65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ind w:left="160"/>
        <w:spacing w:after="0"/>
        <w:tabs>
          <w:tab w:leader="none" w:pos="10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10.20*</w:t>
      </w:r>
      <w:r>
        <w:rPr>
          <w:sz w:val="20"/>
          <w:szCs w:val="20"/>
          <w:color w:val="auto"/>
        </w:rPr>
        <w:tab/>
      </w:r>
      <w:hyperlink r:id="rId169">
        <w:r>
          <w:rPr>
            <w:rFonts w:ascii="Times New Roman" w:cs="Times New Roman" w:eastAsia="Times New Roman" w:hAnsi="Times New Roman"/>
            <w:sz w:val="17"/>
            <w:szCs w:val="17"/>
            <w:u w:val="single" w:color="auto"/>
            <w:color w:val="0000EE"/>
          </w:rPr>
          <w:t>Change in Control Agreement, dated September 8, 2020, between the Company and Jeffrey D. Jones incorporated herein by reference to Exhibit</w:t>
        </w:r>
      </w:hyperlink>
    </w:p>
    <w:p>
      <w:pPr>
        <w:spacing w:after="0" w:line="24" w:lineRule="exact"/>
        <w:rPr>
          <w:sz w:val="20"/>
          <w:szCs w:val="20"/>
          <w:color w:val="auto"/>
        </w:rPr>
      </w:pPr>
    </w:p>
    <w:p>
      <w:pPr>
        <w:jc w:val="center"/>
        <w:ind w:right="-19"/>
        <w:spacing w:after="0"/>
        <w:rPr>
          <w:rFonts w:ascii="Times New Roman" w:cs="Times New Roman" w:eastAsia="Times New Roman" w:hAnsi="Times New Roman"/>
          <w:sz w:val="18"/>
          <w:szCs w:val="18"/>
          <w:u w:val="single" w:color="auto"/>
          <w:color w:val="0000EE"/>
        </w:rPr>
      </w:pPr>
      <w:hyperlink r:id="rId169">
        <w:r>
          <w:rPr>
            <w:rFonts w:ascii="Times New Roman" w:cs="Times New Roman" w:eastAsia="Times New Roman" w:hAnsi="Times New Roman"/>
            <w:sz w:val="18"/>
            <w:szCs w:val="18"/>
            <w:u w:val="single" w:color="auto"/>
            <w:color w:val="0000EE"/>
          </w:rPr>
          <w:t>10.6 from the Cohu, Inc. Quarterly Report on Form 10-Q filed with the Securities and Exchange Commission on November 4, 2020</w:t>
        </w:r>
      </w:hyperlink>
    </w:p>
    <w:p>
      <w:pPr>
        <w:spacing w:after="0" w:line="198" w:lineRule="exact"/>
        <w:rPr>
          <w:sz w:val="20"/>
          <w:szCs w:val="20"/>
          <w:color w:val="auto"/>
        </w:rPr>
      </w:pPr>
    </w:p>
    <w:p>
      <w:pPr>
        <w:ind w:left="1020" w:right="300" w:hanging="847"/>
        <w:spacing w:after="0" w:line="274" w:lineRule="auto"/>
        <w:tabs>
          <w:tab w:leader="none" w:pos="1000" w:val="left"/>
        </w:tabs>
        <w:rPr>
          <w:sz w:val="20"/>
          <w:szCs w:val="20"/>
          <w:color w:val="auto"/>
        </w:rPr>
      </w:pPr>
      <w:r>
        <w:rPr>
          <w:rFonts w:ascii="Times New Roman" w:cs="Times New Roman" w:eastAsia="Times New Roman" w:hAnsi="Times New Roman"/>
          <w:sz w:val="18"/>
          <w:szCs w:val="18"/>
          <w:color w:val="auto"/>
        </w:rPr>
        <w:t>10.21*</w:t>
      </w:r>
      <w:r>
        <w:rPr>
          <w:sz w:val="20"/>
          <w:szCs w:val="20"/>
          <w:color w:val="auto"/>
        </w:rPr>
        <w:tab/>
      </w:r>
      <w:r>
        <w:rPr>
          <w:rFonts w:ascii="Times New Roman" w:cs="Times New Roman" w:eastAsia="Times New Roman" w:hAnsi="Times New Roman"/>
          <w:sz w:val="18"/>
          <w:szCs w:val="18"/>
          <w:u w:val="single" w:color="auto"/>
          <w:color w:val="0000EE"/>
        </w:rPr>
        <w:t>Addendum 1 to the Managing Director Services Agreement, dated November 13, 2024, between the Company’s subsidiary, Cohu GmbH, and Klaus Ilgenfritz</w:t>
      </w:r>
    </w:p>
    <w:p>
      <w:pPr>
        <w:spacing w:after="0" w:line="163" w:lineRule="exact"/>
        <w:rPr>
          <w:sz w:val="20"/>
          <w:szCs w:val="20"/>
          <w:color w:val="auto"/>
        </w:rPr>
      </w:pPr>
    </w:p>
    <w:p>
      <w:pPr>
        <w:jc w:val="center"/>
        <w:ind w:right="40"/>
        <w:spacing w:after="0"/>
        <w:tabs>
          <w:tab w:leader="none" w:pos="3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10.22*</w:t>
      </w:r>
      <w:r>
        <w:rPr>
          <w:sz w:val="20"/>
          <w:szCs w:val="20"/>
          <w:color w:val="auto"/>
        </w:rPr>
        <w:tab/>
      </w:r>
      <w:hyperlink r:id="rId170">
        <w:r>
          <w:rPr>
            <w:rFonts w:ascii="Times New Roman" w:cs="Times New Roman" w:eastAsia="Times New Roman" w:hAnsi="Times New Roman"/>
            <w:sz w:val="17"/>
            <w:szCs w:val="17"/>
            <w:u w:val="single" w:color="auto"/>
            <w:color w:val="0000EE"/>
          </w:rPr>
          <w:t>Change in Control Agreement, dated September 8, 2020, between the Company and Luis A. Müller incorporated herein by reference to Exhibit</w:t>
        </w:r>
      </w:hyperlink>
    </w:p>
    <w:p>
      <w:pPr>
        <w:spacing w:after="0" w:line="24" w:lineRule="exact"/>
        <w:rPr>
          <w:sz w:val="20"/>
          <w:szCs w:val="20"/>
          <w:color w:val="auto"/>
        </w:rPr>
      </w:pPr>
    </w:p>
    <w:p>
      <w:pPr>
        <w:jc w:val="center"/>
        <w:ind w:right="-19"/>
        <w:spacing w:after="0"/>
        <w:rPr>
          <w:rFonts w:ascii="Times New Roman" w:cs="Times New Roman" w:eastAsia="Times New Roman" w:hAnsi="Times New Roman"/>
          <w:sz w:val="18"/>
          <w:szCs w:val="18"/>
          <w:u w:val="single" w:color="auto"/>
          <w:color w:val="0000EE"/>
        </w:rPr>
      </w:pPr>
      <w:hyperlink r:id="rId170">
        <w:r>
          <w:rPr>
            <w:rFonts w:ascii="Times New Roman" w:cs="Times New Roman" w:eastAsia="Times New Roman" w:hAnsi="Times New Roman"/>
            <w:sz w:val="18"/>
            <w:szCs w:val="18"/>
            <w:u w:val="single" w:color="auto"/>
            <w:color w:val="0000EE"/>
          </w:rPr>
          <w:t>10.8 from the Cohu, Inc. Quarterly Report on Form 10-Q filed with the Securities and Exchange Commission on November 4, 2020</w:t>
        </w:r>
      </w:hyperlink>
    </w:p>
    <w:p>
      <w:pPr>
        <w:spacing w:after="0" w:line="198" w:lineRule="exact"/>
        <w:rPr>
          <w:sz w:val="20"/>
          <w:szCs w:val="20"/>
          <w:color w:val="auto"/>
        </w:rPr>
      </w:pPr>
    </w:p>
    <w:p>
      <w:pPr>
        <w:ind w:left="1020" w:right="20" w:hanging="847"/>
        <w:spacing w:after="0" w:line="259" w:lineRule="auto"/>
        <w:tabs>
          <w:tab w:leader="none" w:pos="10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10.23</w:t>
      </w:r>
      <w:r>
        <w:rPr>
          <w:sz w:val="20"/>
          <w:szCs w:val="20"/>
          <w:color w:val="auto"/>
        </w:rPr>
        <w:tab/>
      </w:r>
      <w:hyperlink r:id="rId171">
        <w:r>
          <w:rPr>
            <w:rFonts w:ascii="Times New Roman" w:cs="Times New Roman" w:eastAsia="Times New Roman" w:hAnsi="Times New Roman"/>
            <w:sz w:val="18"/>
            <w:szCs w:val="18"/>
            <w:u w:val="single" w:color="auto"/>
            <w:color w:val="0000EE"/>
          </w:rPr>
          <w:t>First Amendment to Credit and Guaranty Agreement, dated as of June 16, 2023, between Cohu, Inc. and Deutsche Bank AG New York Branch,</w:t>
        </w:r>
      </w:hyperlink>
      <w:r>
        <w:rPr>
          <w:rFonts w:ascii="Times New Roman" w:cs="Times New Roman" w:eastAsia="Times New Roman" w:hAnsi="Times New Roman"/>
          <w:sz w:val="18"/>
          <w:szCs w:val="18"/>
          <w:u w:val="single" w:color="auto"/>
          <w:color w:val="0000EE"/>
        </w:rPr>
        <w:t xml:space="preserve"> </w:t>
      </w:r>
      <w:hyperlink r:id="rId171">
        <w:r>
          <w:rPr>
            <w:rFonts w:ascii="Times New Roman" w:cs="Times New Roman" w:eastAsia="Times New Roman" w:hAnsi="Times New Roman"/>
            <w:sz w:val="18"/>
            <w:szCs w:val="18"/>
            <w:u w:val="single" w:color="auto"/>
            <w:color w:val="0000EE"/>
          </w:rPr>
          <w:t>as administrative agent incorporated herein by reference to Exhibit 10.1 from the Cohu, Inc. Current Report on Form 8-K filed with the Securities</w:t>
        </w:r>
      </w:hyperlink>
      <w:r>
        <w:rPr>
          <w:rFonts w:ascii="Times New Roman" w:cs="Times New Roman" w:eastAsia="Times New Roman" w:hAnsi="Times New Roman"/>
          <w:sz w:val="18"/>
          <w:szCs w:val="18"/>
          <w:u w:val="single" w:color="auto"/>
          <w:color w:val="0000EE"/>
        </w:rPr>
        <w:t xml:space="preserve"> </w:t>
      </w:r>
      <w:hyperlink r:id="rId171">
        <w:r>
          <w:rPr>
            <w:rFonts w:ascii="Times New Roman" w:cs="Times New Roman" w:eastAsia="Times New Roman" w:hAnsi="Times New Roman"/>
            <w:sz w:val="18"/>
            <w:szCs w:val="18"/>
            <w:u w:val="single" w:color="auto"/>
            <w:color w:val="0000EE"/>
          </w:rPr>
          <w:t>and Exchange Commission on June 23, 2023</w:t>
        </w:r>
      </w:hyperlink>
    </w:p>
    <w:p>
      <w:pPr>
        <w:spacing w:after="0" w:line="178" w:lineRule="exact"/>
        <w:rPr>
          <w:rFonts w:ascii="Times New Roman" w:cs="Times New Roman" w:eastAsia="Times New Roman" w:hAnsi="Times New Roman"/>
          <w:sz w:val="18"/>
          <w:szCs w:val="18"/>
          <w:u w:val="single" w:color="auto"/>
          <w:color w:val="0000EE"/>
        </w:rPr>
      </w:pPr>
    </w:p>
    <w:p>
      <w:pPr>
        <w:ind w:left="1020" w:right="420" w:hanging="847"/>
        <w:spacing w:after="0" w:line="304" w:lineRule="auto"/>
        <w:tabs>
          <w:tab w:leader="none" w:pos="10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10.24</w:t>
      </w:r>
      <w:r>
        <w:rPr>
          <w:sz w:val="20"/>
          <w:szCs w:val="20"/>
          <w:color w:val="auto"/>
        </w:rPr>
        <w:tab/>
      </w:r>
      <w:hyperlink r:id="rId172">
        <w:r>
          <w:rPr>
            <w:rFonts w:ascii="Times New Roman" w:cs="Times New Roman" w:eastAsia="Times New Roman" w:hAnsi="Times New Roman"/>
            <w:sz w:val="17"/>
            <w:szCs w:val="17"/>
            <w:u w:val="single" w:color="auto"/>
            <w:color w:val="0000EE"/>
          </w:rPr>
          <w:t>Settlement Agreement and Stipulation dated June 20, 2025 by and between Cohu, Inc. and Keith Palmer incorporated herein by reference to</w:t>
        </w:r>
      </w:hyperlink>
      <w:r>
        <w:rPr>
          <w:rFonts w:ascii="Times New Roman" w:cs="Times New Roman" w:eastAsia="Times New Roman" w:hAnsi="Times New Roman"/>
          <w:sz w:val="17"/>
          <w:szCs w:val="17"/>
          <w:u w:val="single" w:color="auto"/>
          <w:color w:val="0000EE"/>
        </w:rPr>
        <w:t xml:space="preserve"> </w:t>
      </w:r>
      <w:hyperlink r:id="rId172">
        <w:r>
          <w:rPr>
            <w:rFonts w:ascii="Times New Roman" w:cs="Times New Roman" w:eastAsia="Times New Roman" w:hAnsi="Times New Roman"/>
            <w:sz w:val="17"/>
            <w:szCs w:val="17"/>
            <w:u w:val="single" w:color="auto"/>
            <w:color w:val="0000EE"/>
          </w:rPr>
          <w:t>Exhibit 10.1 from the Cohu, Inc. Quarterly Report on Form 10-Q filed with the Securities and Exchange Commission on August 1, 2025</w:t>
        </w:r>
      </w:hyperlink>
    </w:p>
    <w:p>
      <w:pPr>
        <w:spacing w:after="0" w:line="141" w:lineRule="exact"/>
        <w:rPr>
          <w:sz w:val="20"/>
          <w:szCs w:val="20"/>
          <w:color w:val="auto"/>
        </w:rPr>
      </w:pPr>
    </w:p>
    <w:p>
      <w:pPr>
        <w:ind w:left="1020" w:right="160" w:hanging="847"/>
        <w:spacing w:after="0" w:line="274" w:lineRule="auto"/>
        <w:tabs>
          <w:tab w:leader="none" w:pos="10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10.25</w:t>
      </w:r>
      <w:r>
        <w:rPr>
          <w:sz w:val="20"/>
          <w:szCs w:val="20"/>
          <w:color w:val="auto"/>
        </w:rPr>
        <w:tab/>
      </w:r>
      <w:hyperlink r:id="rId173">
        <w:r>
          <w:rPr>
            <w:rFonts w:ascii="Times New Roman" w:cs="Times New Roman" w:eastAsia="Times New Roman" w:hAnsi="Times New Roman"/>
            <w:sz w:val="18"/>
            <w:szCs w:val="18"/>
            <w:u w:val="single" w:color="auto"/>
            <w:color w:val="0000EE"/>
          </w:rPr>
          <w:t>Form of Capped Call Confirmation incorporated herein by reference to Exhibit 10.1 from the Cohu, Inc. Current Report on Form 8-K filed with</w:t>
        </w:r>
      </w:hyperlink>
      <w:r>
        <w:rPr>
          <w:rFonts w:ascii="Times New Roman" w:cs="Times New Roman" w:eastAsia="Times New Roman" w:hAnsi="Times New Roman"/>
          <w:sz w:val="18"/>
          <w:szCs w:val="18"/>
          <w:u w:val="single" w:color="auto"/>
          <w:color w:val="0000EE"/>
        </w:rPr>
        <w:t xml:space="preserve"> </w:t>
      </w:r>
      <w:hyperlink r:id="rId173">
        <w:r>
          <w:rPr>
            <w:rFonts w:ascii="Times New Roman" w:cs="Times New Roman" w:eastAsia="Times New Roman" w:hAnsi="Times New Roman"/>
            <w:sz w:val="18"/>
            <w:szCs w:val="18"/>
            <w:u w:val="single" w:color="auto"/>
            <w:color w:val="0000EE"/>
          </w:rPr>
          <w:t>the Securities and Exchange Commission on September 29, 2025</w:t>
        </w:r>
      </w:hyperlink>
    </w:p>
    <w:p>
      <w:pPr>
        <w:spacing w:after="0" w:line="163" w:lineRule="exact"/>
        <w:rPr>
          <w:sz w:val="20"/>
          <w:szCs w:val="20"/>
          <w:color w:val="auto"/>
        </w:rPr>
      </w:pPr>
    </w:p>
    <w:p>
      <w:pPr>
        <w:ind w:left="1020" w:hanging="855"/>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Cohu, Inc. Insider Trading Policy</w:t>
      </w:r>
    </w:p>
    <w:p>
      <w:pPr>
        <w:spacing w:after="0" w:line="217" w:lineRule="exact"/>
        <w:rPr>
          <w:sz w:val="20"/>
          <w:szCs w:val="20"/>
          <w:color w:val="auto"/>
        </w:rPr>
      </w:pPr>
    </w:p>
    <w:p>
      <w:pPr>
        <w:ind w:left="1020" w:hanging="855"/>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Subsidiaries of Cohu, Inc.</w:t>
      </w:r>
    </w:p>
    <w:p>
      <w:pPr>
        <w:spacing w:after="0" w:line="217" w:lineRule="exact"/>
        <w:rPr>
          <w:sz w:val="20"/>
          <w:szCs w:val="20"/>
          <w:color w:val="auto"/>
        </w:rPr>
      </w:pPr>
    </w:p>
    <w:p>
      <w:pPr>
        <w:ind w:left="1020" w:hanging="855"/>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Consent of Independent Registered Public Accounting Firm</w:t>
      </w:r>
    </w:p>
    <w:p>
      <w:pPr>
        <w:spacing w:after="0" w:line="201"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66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Certification pursuant to Section 302(a) of the Sarbanes-Oxley Act of 2002 for Luis A. Müller</w:t>
            </w:r>
          </w:p>
        </w:tc>
        <w:tc>
          <w:tcPr>
            <w:tcW w:w="3280" w:type="dxa"/>
            <w:vAlign w:val="bottom"/>
            <w:gridSpan w:val="3"/>
          </w:tcPr>
          <w:p>
            <w:pPr>
              <w:spacing w:after="0"/>
              <w:rPr>
                <w:sz w:val="17"/>
                <w:szCs w:val="17"/>
                <w:color w:val="auto"/>
              </w:rPr>
            </w:pPr>
          </w:p>
        </w:tc>
      </w:tr>
      <w:tr>
        <w:trPr>
          <w:trHeight w:val="192"/>
        </w:trPr>
        <w:tc>
          <w:tcPr>
            <w:tcW w:w="86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31.2</w:t>
            </w:r>
          </w:p>
        </w:tc>
        <w:tc>
          <w:tcPr>
            <w:tcW w:w="9940" w:type="dxa"/>
            <w:vAlign w:val="bottom"/>
            <w:gridSpan w:val="5"/>
          </w:tcPr>
          <w:p>
            <w:pPr>
              <w:spacing w:after="0" w:line="192" w:lineRule="exact"/>
              <w:rPr>
                <w:sz w:val="20"/>
                <w:szCs w:val="20"/>
                <w:color w:val="auto"/>
              </w:rPr>
            </w:pPr>
            <w:r>
              <w:rPr>
                <w:rFonts w:ascii="Times New Roman" w:cs="Times New Roman" w:eastAsia="Times New Roman" w:hAnsi="Times New Roman"/>
                <w:sz w:val="18"/>
                <w:szCs w:val="18"/>
                <w:color w:val="0000EE"/>
              </w:rPr>
              <w:t>Certification pursuant to Section 302(a) of the Sarbanes-Oxley Act of 2002 for Jeffrey D. Jones</w:t>
            </w:r>
          </w:p>
        </w:tc>
      </w:tr>
      <w:tr>
        <w:trPr>
          <w:trHeight w:val="20"/>
        </w:trPr>
        <w:tc>
          <w:tcPr>
            <w:tcW w:w="860" w:type="dxa"/>
            <w:vAlign w:val="bottom"/>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4780" w:type="dxa"/>
            <w:vAlign w:val="bottom"/>
            <w:gridSpan w:val="2"/>
            <w:shd w:val="clear" w:color="auto" w:fill="0000EE"/>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2"/>
        </w:trPr>
        <w:tc>
          <w:tcPr>
            <w:tcW w:w="86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32.1**</w:t>
            </w:r>
          </w:p>
        </w:tc>
        <w:tc>
          <w:tcPr>
            <w:tcW w:w="1960" w:type="dxa"/>
            <w:vAlign w:val="bottom"/>
          </w:tcPr>
          <w:p>
            <w:pPr>
              <w:spacing w:after="0" w:line="192" w:lineRule="exact"/>
              <w:rPr>
                <w:sz w:val="20"/>
                <w:szCs w:val="20"/>
                <w:color w:val="auto"/>
              </w:rPr>
            </w:pPr>
            <w:r>
              <w:rPr>
                <w:rFonts w:ascii="Times New Roman" w:cs="Times New Roman" w:eastAsia="Times New Roman" w:hAnsi="Times New Roman"/>
                <w:sz w:val="18"/>
                <w:szCs w:val="18"/>
                <w:color w:val="0000EE"/>
                <w:w w:val="97"/>
              </w:rPr>
              <w:t>Certification pursuant to 18</w:t>
            </w:r>
          </w:p>
        </w:tc>
        <w:tc>
          <w:tcPr>
            <w:tcW w:w="7980" w:type="dxa"/>
            <w:vAlign w:val="bottom"/>
            <w:gridSpan w:val="4"/>
          </w:tcPr>
          <w:p>
            <w:pPr>
              <w:ind w:left="20"/>
              <w:spacing w:after="0" w:line="192" w:lineRule="exact"/>
              <w:rPr>
                <w:sz w:val="20"/>
                <w:szCs w:val="20"/>
                <w:color w:val="auto"/>
              </w:rPr>
            </w:pPr>
            <w:r>
              <w:rPr>
                <w:rFonts w:ascii="Times New Roman" w:cs="Times New Roman" w:eastAsia="Times New Roman" w:hAnsi="Times New Roman"/>
                <w:sz w:val="18"/>
                <w:szCs w:val="18"/>
                <w:color w:val="0000EE"/>
                <w:w w:val="99"/>
              </w:rPr>
              <w:t>U.S.C. Section 1350, as adopted pursuant to Section 906 of the Sarbanes-Oxley Act of 2002 for Luis A. Müller</w:t>
            </w:r>
          </w:p>
        </w:tc>
      </w:tr>
      <w:tr>
        <w:trPr>
          <w:trHeight w:val="20"/>
        </w:trPr>
        <w:tc>
          <w:tcPr>
            <w:tcW w:w="860" w:type="dxa"/>
            <w:vAlign w:val="bottom"/>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78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2"/>
        </w:trPr>
        <w:tc>
          <w:tcPr>
            <w:tcW w:w="86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32.2**</w:t>
            </w:r>
          </w:p>
        </w:tc>
        <w:tc>
          <w:tcPr>
            <w:tcW w:w="1960" w:type="dxa"/>
            <w:vAlign w:val="bottom"/>
            <w:tcBorders>
              <w:bottom w:val="single" w:sz="8" w:color="0000EE"/>
            </w:tcBorders>
          </w:tcPr>
          <w:p>
            <w:pPr>
              <w:spacing w:after="0" w:line="192" w:lineRule="exact"/>
              <w:rPr>
                <w:sz w:val="20"/>
                <w:szCs w:val="20"/>
                <w:color w:val="auto"/>
              </w:rPr>
            </w:pPr>
            <w:r>
              <w:rPr>
                <w:rFonts w:ascii="Times New Roman" w:cs="Times New Roman" w:eastAsia="Times New Roman" w:hAnsi="Times New Roman"/>
                <w:sz w:val="18"/>
                <w:szCs w:val="18"/>
                <w:color w:val="0000EE"/>
                <w:w w:val="97"/>
              </w:rPr>
              <w:t>Certification pursuant to 18</w:t>
            </w:r>
          </w:p>
        </w:tc>
        <w:tc>
          <w:tcPr>
            <w:tcW w:w="7980" w:type="dxa"/>
            <w:vAlign w:val="bottom"/>
            <w:tcBorders>
              <w:bottom w:val="single" w:sz="8" w:color="0000EE"/>
            </w:tcBorders>
            <w:gridSpan w:val="4"/>
          </w:tcPr>
          <w:p>
            <w:pPr>
              <w:ind w:left="20"/>
              <w:spacing w:after="0" w:line="192" w:lineRule="exact"/>
              <w:rPr>
                <w:sz w:val="20"/>
                <w:szCs w:val="20"/>
                <w:color w:val="auto"/>
              </w:rPr>
            </w:pPr>
            <w:r>
              <w:rPr>
                <w:rFonts w:ascii="Times New Roman" w:cs="Times New Roman" w:eastAsia="Times New Roman" w:hAnsi="Times New Roman"/>
                <w:sz w:val="18"/>
                <w:szCs w:val="18"/>
                <w:color w:val="0000EE"/>
                <w:w w:val="97"/>
              </w:rPr>
              <w:t>U.S.C. Section 1350, as adopted pursuant to Section 906 of the Sarbanes-Oxley Act of 2002 for Jeffrey D. Jones</w:t>
            </w:r>
          </w:p>
        </w:tc>
      </w:tr>
    </w:tbl>
    <w:p>
      <w:pPr>
        <w:spacing w:after="0" w:line="220" w:lineRule="exact"/>
        <w:rPr>
          <w:sz w:val="20"/>
          <w:szCs w:val="20"/>
          <w:color w:val="auto"/>
        </w:rPr>
      </w:pPr>
    </w:p>
    <w:p>
      <w:pPr>
        <w:ind w:left="1020" w:right="160" w:hanging="855"/>
        <w:spacing w:after="0" w:line="274" w:lineRule="auto"/>
        <w:tabs>
          <w:tab w:leader="none" w:pos="1020" w:val="left"/>
        </w:tabs>
        <w:numPr>
          <w:ilvl w:val="0"/>
          <w:numId w:val="34"/>
        </w:numPr>
        <w:rPr>
          <w:rFonts w:ascii="Times New Roman" w:cs="Times New Roman" w:eastAsia="Times New Roman" w:hAnsi="Times New Roman"/>
          <w:sz w:val="18"/>
          <w:szCs w:val="18"/>
          <w:u w:val="single" w:color="auto"/>
          <w:color w:val="0000EE"/>
        </w:rPr>
      </w:pPr>
      <w:hyperlink r:id="rId174">
        <w:r>
          <w:rPr>
            <w:rFonts w:ascii="Times New Roman" w:cs="Times New Roman" w:eastAsia="Times New Roman" w:hAnsi="Times New Roman"/>
            <w:sz w:val="18"/>
            <w:szCs w:val="18"/>
            <w:u w:val="single" w:color="auto"/>
            <w:color w:val="0000EE"/>
          </w:rPr>
          <w:t>Cohu, Inc. Policy for Recovery of Erroneously Awarded Incentive Compensation incorporated herein by reference to Exhibit 97 from the Cohu,</w:t>
        </w:r>
      </w:hyperlink>
      <w:r>
        <w:rPr>
          <w:rFonts w:ascii="Times New Roman" w:cs="Times New Roman" w:eastAsia="Times New Roman" w:hAnsi="Times New Roman"/>
          <w:sz w:val="18"/>
          <w:szCs w:val="18"/>
          <w:u w:val="single" w:color="auto"/>
          <w:color w:val="0000EE"/>
        </w:rPr>
        <w:t xml:space="preserve"> </w:t>
      </w:r>
      <w:hyperlink r:id="rId174">
        <w:r>
          <w:rPr>
            <w:rFonts w:ascii="Times New Roman" w:cs="Times New Roman" w:eastAsia="Times New Roman" w:hAnsi="Times New Roman"/>
            <w:sz w:val="18"/>
            <w:szCs w:val="18"/>
            <w:u w:val="single" w:color="auto"/>
            <w:color w:val="0000EE"/>
          </w:rPr>
          <w:t>Inc. Annual Report on Form 10-K filed with the Securities and Exchange Commission on February 20, 2025</w:t>
        </w:r>
      </w:hyperlink>
    </w:p>
    <w:p>
      <w:pPr>
        <w:spacing w:after="0" w:line="163" w:lineRule="exact"/>
        <w:rPr>
          <w:rFonts w:ascii="Times New Roman" w:cs="Times New Roman" w:eastAsia="Times New Roman" w:hAnsi="Times New Roman"/>
          <w:sz w:val="18"/>
          <w:szCs w:val="18"/>
          <w:color w:val="auto"/>
        </w:rPr>
      </w:pPr>
    </w:p>
    <w:tbl>
      <w:tblPr>
        <w:tblLayout w:type="fixed"/>
        <w:tblInd w:w="160" w:type="dxa"/>
        <w:tblCellMar>
          <w:top w:w="0" w:type="dxa"/>
          <w:left w:w="0" w:type="dxa"/>
          <w:bottom w:w="0" w:type="dxa"/>
          <w:right w:w="0" w:type="dxa"/>
        </w:tblCellMar>
      </w:tblPr>
      <w:tr>
        <w:trPr>
          <w:trHeight w:val="2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4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7"/>
              </w:rPr>
              <w:t>Inline XBRL Instance Document (the Instance Document does not appear in the Interactive Data File because its XBRL tags are embedded within</w:t>
            </w:r>
          </w:p>
        </w:tc>
      </w:tr>
      <w:tr>
        <w:trPr>
          <w:trHeight w:val="231"/>
        </w:trPr>
        <w:tc>
          <w:tcPr>
            <w:tcW w:w="760" w:type="dxa"/>
            <w:vAlign w:val="bottom"/>
          </w:tcPr>
          <w:p>
            <w:pPr>
              <w:spacing w:after="0"/>
              <w:rPr>
                <w:sz w:val="20"/>
                <w:szCs w:val="20"/>
                <w:color w:val="auto"/>
              </w:rPr>
            </w:pPr>
          </w:p>
        </w:tc>
        <w:tc>
          <w:tcPr>
            <w:tcW w:w="10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Inline XBRL document)</w:t>
            </w:r>
          </w:p>
        </w:tc>
      </w:tr>
      <w:tr>
        <w:trPr>
          <w:trHeight w:val="42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2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2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2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2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193" w:lineRule="exact"/>
        <w:rPr>
          <w:rFonts w:ascii="Times New Roman" w:cs="Times New Roman" w:eastAsia="Times New Roman" w:hAnsi="Times New Roman"/>
          <w:sz w:val="18"/>
          <w:szCs w:val="18"/>
          <w:color w:val="auto"/>
        </w:rPr>
      </w:pPr>
    </w:p>
    <w:p>
      <w:pPr>
        <w:ind w:left="1020" w:right="3920" w:hanging="855"/>
        <w:spacing w:after="0" w:line="379"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Management contract or compensatory plan or arrangement</w:t>
      </w:r>
    </w:p>
    <w:p>
      <w:pPr>
        <w:spacing w:after="0" w:line="1" w:lineRule="exact"/>
        <w:rPr>
          <w:rFonts w:ascii="Times New Roman" w:cs="Times New Roman" w:eastAsia="Times New Roman" w:hAnsi="Times New Roman"/>
          <w:sz w:val="18"/>
          <w:szCs w:val="18"/>
          <w:color w:val="auto"/>
        </w:rPr>
      </w:pPr>
    </w:p>
    <w:p>
      <w:pPr>
        <w:ind w:left="1020" w:right="160" w:hanging="7"/>
        <w:spacing w:after="0" w:line="248" w:lineRule="auto"/>
        <w:tabs>
          <w:tab w:leader="none" w:pos="124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not deemed “filed” for purposes of Section 18 of the Securities Exchange Act, or otherwise subject to the liability of that section. Such certification will not be deemed to be incorporated by reference into any filing under the Securities Act of 1933 or the Securities Exchange Act of 1934, except to the extent that Cohu specifically incorporates it by reference.</w:t>
      </w:r>
    </w:p>
    <w:p>
      <w:pPr>
        <w:spacing w:after="0" w:line="187" w:lineRule="exact"/>
        <w:rPr>
          <w:rFonts w:ascii="Times New Roman" w:cs="Times New Roman" w:eastAsia="Times New Roman" w:hAnsi="Times New Roman"/>
          <w:sz w:val="18"/>
          <w:szCs w:val="18"/>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17"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31" w:lineRule="exact"/>
        <w:rPr>
          <w:sz w:val="20"/>
          <w:szCs w:val="20"/>
          <w:color w:val="auto"/>
        </w:rPr>
      </w:pPr>
    </w:p>
    <w:p>
      <w:pPr>
        <w:ind w:right="240" w:firstLine="8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5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COHU, INC.</w:t>
            </w:r>
          </w:p>
        </w:tc>
      </w:tr>
      <w:tr>
        <w:trPr>
          <w:trHeight w:val="423"/>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17, 2026</w:t>
            </w:r>
          </w:p>
        </w:tc>
        <w:tc>
          <w:tcPr>
            <w:tcW w:w="478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By: /s/ Luis A. Müller</w:t>
            </w:r>
          </w:p>
        </w:tc>
      </w:tr>
      <w:tr>
        <w:trPr>
          <w:trHeight w:val="187"/>
        </w:trPr>
        <w:tc>
          <w:tcPr>
            <w:tcW w:w="35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680" w:type="dxa"/>
            <w:vAlign w:val="bottom"/>
            <w:tcBorders>
              <w:top w:val="single" w:sz="8" w:color="auto"/>
            </w:tcBorders>
          </w:tcPr>
          <w:p>
            <w:pPr>
              <w:spacing w:after="0" w:line="187" w:lineRule="exact"/>
              <w:rPr>
                <w:sz w:val="20"/>
                <w:szCs w:val="20"/>
                <w:color w:val="auto"/>
              </w:rPr>
            </w:pPr>
            <w:r>
              <w:rPr>
                <w:rFonts w:ascii="Times New Roman" w:cs="Times New Roman" w:eastAsia="Times New Roman" w:hAnsi="Times New Roman"/>
                <w:sz w:val="18"/>
                <w:szCs w:val="18"/>
                <w:color w:val="auto"/>
              </w:rPr>
              <w:t>Luis A. Müller</w:t>
            </w:r>
          </w:p>
        </w:tc>
        <w:tc>
          <w:tcPr>
            <w:tcW w:w="1000" w:type="dxa"/>
            <w:vAlign w:val="bottom"/>
          </w:tcPr>
          <w:p>
            <w:pPr>
              <w:spacing w:after="0"/>
              <w:rPr>
                <w:sz w:val="16"/>
                <w:szCs w:val="16"/>
                <w:color w:val="auto"/>
              </w:rPr>
            </w:pPr>
          </w:p>
        </w:tc>
      </w:tr>
      <w:tr>
        <w:trPr>
          <w:trHeight w:val="231"/>
        </w:trPr>
        <w:tc>
          <w:tcPr>
            <w:tcW w:w="35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President and Chief Executive Officer</w:t>
            </w:r>
          </w:p>
        </w:tc>
      </w:tr>
    </w:tbl>
    <w:p>
      <w:pPr>
        <w:spacing w:after="0" w:line="200" w:lineRule="exact"/>
        <w:rPr>
          <w:sz w:val="20"/>
          <w:szCs w:val="20"/>
          <w:color w:val="auto"/>
        </w:rPr>
      </w:pPr>
    </w:p>
    <w:p>
      <w:pPr>
        <w:spacing w:after="0" w:line="205" w:lineRule="exact"/>
        <w:rPr>
          <w:sz w:val="20"/>
          <w:szCs w:val="20"/>
          <w:color w:val="auto"/>
        </w:rPr>
      </w:pPr>
    </w:p>
    <w:p>
      <w:pPr>
        <w:ind w:firstLine="8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060"/>
          </w:cols>
          <w:pgMar w:left="320" w:top="121" w:right="51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19" w:lineRule="exact"/>
        <w:rPr>
          <w:sz w:val="20"/>
          <w:szCs w:val="20"/>
          <w:color w:val="auto"/>
        </w:rPr>
      </w:pPr>
    </w:p>
    <w:p>
      <w:pPr>
        <w:ind w:right="840" w:firstLine="44"/>
        <w:spacing w:after="0" w:line="320" w:lineRule="auto"/>
        <w:rPr>
          <w:sz w:val="20"/>
          <w:szCs w:val="20"/>
          <w:color w:val="auto"/>
        </w:rPr>
      </w:pPr>
      <w:r>
        <w:rPr>
          <w:rFonts w:ascii="Times New Roman" w:cs="Times New Roman" w:eastAsia="Times New Roman" w:hAnsi="Times New Roman"/>
          <w:sz w:val="17"/>
          <w:szCs w:val="17"/>
          <w:color w:val="auto"/>
        </w:rPr>
        <w:t>/s/ James A. Donahue 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-184150</wp:posOffset>
            </wp:positionV>
            <wp:extent cx="15062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7">
                      <a:extLst>
                        <a:ext uri="{28A0092B-C50C-407E-A947-70E740481C1C}"/>
                      </a:extLst>
                    </a:blip>
                    <a:srcRect/>
                    <a:stretch>
                      <a:fillRect/>
                    </a:stretch>
                  </pic:blipFill>
                  <pic:spPr bwMode="auto">
                    <a:xfrm>
                      <a:off x="0" y="0"/>
                      <a:ext cx="1506220" cy="8255"/>
                    </a:xfrm>
                    <a:prstGeom prst="rect">
                      <a:avLst/>
                    </a:prstGeom>
                    <a:noFill/>
                  </pic:spPr>
                </pic:pic>
              </a:graphicData>
            </a:graphic>
          </wp:anchor>
        </w:drawing>
      </w:r>
    </w:p>
    <w:p>
      <w:pPr>
        <w:spacing w:after="0" w:line="1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Luis A. Müller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15062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8">
                      <a:extLst>
                        <a:ext uri="{28A0092B-C50C-407E-A947-70E740481C1C}"/>
                      </a:extLst>
                    </a:blip>
                    <a:srcRect/>
                    <a:stretch>
                      <a:fillRect/>
                    </a:stretch>
                  </pic:blipFill>
                  <pic:spPr bwMode="auto">
                    <a:xfrm>
                      <a:off x="0" y="0"/>
                      <a:ext cx="1506220" cy="825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Luis A. Müller</w:t>
      </w:r>
    </w:p>
    <w:p>
      <w:pPr>
        <w:spacing w:after="0" w:line="2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15062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9">
                      <a:extLst>
                        <a:ext uri="{28A0092B-C50C-407E-A947-70E740481C1C}"/>
                      </a:extLst>
                    </a:blip>
                    <a:srcRect/>
                    <a:stretch>
                      <a:fillRect/>
                    </a:stretch>
                  </pic:blipFill>
                  <pic:spPr bwMode="auto">
                    <a:xfrm>
                      <a:off x="0" y="0"/>
                      <a:ext cx="1506220" cy="825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D. Jones</w:t>
      </w:r>
    </w:p>
    <w:p>
      <w:pPr>
        <w:spacing w:after="0" w:line="211" w:lineRule="exact"/>
        <w:rPr>
          <w:sz w:val="20"/>
          <w:szCs w:val="20"/>
          <w:color w:val="auto"/>
        </w:rPr>
      </w:pPr>
    </w:p>
    <w:p>
      <w:pPr>
        <w:ind w:right="740" w:firstLine="44"/>
        <w:spacing w:after="0" w:line="320" w:lineRule="auto"/>
        <w:rPr>
          <w:sz w:val="20"/>
          <w:szCs w:val="20"/>
          <w:color w:val="auto"/>
        </w:rPr>
      </w:pPr>
      <w:r>
        <w:rPr>
          <w:rFonts w:ascii="Times New Roman" w:cs="Times New Roman" w:eastAsia="Times New Roman" w:hAnsi="Times New Roman"/>
          <w:sz w:val="17"/>
          <w:szCs w:val="17"/>
          <w:color w:val="auto"/>
        </w:rPr>
        <w:t>/s/ William E. Bendush William E. Bendush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-184150</wp:posOffset>
            </wp:positionV>
            <wp:extent cx="15062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0">
                      <a:extLst>
                        <a:ext uri="{28A0092B-C50C-407E-A947-70E740481C1C}"/>
                      </a:extLst>
                    </a:blip>
                    <a:srcRect/>
                    <a:stretch>
                      <a:fillRect/>
                    </a:stretch>
                  </pic:blipFill>
                  <pic:spPr bwMode="auto">
                    <a:xfrm>
                      <a:off x="0" y="0"/>
                      <a:ext cx="1506220" cy="8255"/>
                    </a:xfrm>
                    <a:prstGeom prst="rect">
                      <a:avLst/>
                    </a:prstGeom>
                    <a:noFill/>
                  </pic:spPr>
                </pic:pic>
              </a:graphicData>
            </a:graphic>
          </wp:anchor>
        </w:drawing>
      </w:r>
    </w:p>
    <w:p>
      <w:pPr>
        <w:spacing w:after="0" w:line="1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Steven J. Bilodeau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15062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1">
                      <a:extLst>
                        <a:ext uri="{28A0092B-C50C-407E-A947-70E740481C1C}"/>
                      </a:extLst>
                    </a:blip>
                    <a:srcRect/>
                    <a:stretch>
                      <a:fillRect/>
                    </a:stretch>
                  </pic:blipFill>
                  <pic:spPr bwMode="auto">
                    <a:xfrm>
                      <a:off x="0" y="0"/>
                      <a:ext cx="1506220" cy="825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J. Bilodeau</w:t>
      </w:r>
    </w:p>
    <w:p>
      <w:pPr>
        <w:spacing w:after="0" w:line="211" w:lineRule="exact"/>
        <w:rPr>
          <w:sz w:val="20"/>
          <w:szCs w:val="20"/>
          <w:color w:val="auto"/>
        </w:rPr>
      </w:pPr>
    </w:p>
    <w:p>
      <w:pPr>
        <w:ind w:right="820" w:firstLine="44"/>
        <w:spacing w:after="0" w:line="320" w:lineRule="auto"/>
        <w:rPr>
          <w:sz w:val="20"/>
          <w:szCs w:val="20"/>
          <w:color w:val="auto"/>
        </w:rPr>
      </w:pPr>
      <w:r>
        <w:rPr>
          <w:rFonts w:ascii="Times New Roman" w:cs="Times New Roman" w:eastAsia="Times New Roman" w:hAnsi="Times New Roman"/>
          <w:sz w:val="17"/>
          <w:szCs w:val="17"/>
          <w:color w:val="auto"/>
        </w:rPr>
        <w:t>/s/ Andrew M. Caggia Andrew M. Caggia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-184150</wp:posOffset>
            </wp:positionV>
            <wp:extent cx="15062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2">
                      <a:extLst>
                        <a:ext uri="{28A0092B-C50C-407E-A947-70E740481C1C}"/>
                      </a:extLst>
                    </a:blip>
                    <a:srcRect/>
                    <a:stretch>
                      <a:fillRect/>
                    </a:stretch>
                  </pic:blipFill>
                  <pic:spPr bwMode="auto">
                    <a:xfrm>
                      <a:off x="0" y="0"/>
                      <a:ext cx="1506220" cy="8255"/>
                    </a:xfrm>
                    <a:prstGeom prst="rect">
                      <a:avLst/>
                    </a:prstGeom>
                    <a:noFill/>
                  </pic:spPr>
                </pic:pic>
              </a:graphicData>
            </a:graphic>
          </wp:anchor>
        </w:drawing>
      </w:r>
    </w:p>
    <w:p>
      <w:pPr>
        <w:spacing w:after="0" w:line="1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Yon Y. Jorden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15062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3">
                      <a:extLst>
                        <a:ext uri="{28A0092B-C50C-407E-A947-70E740481C1C}"/>
                      </a:extLst>
                    </a:blip>
                    <a:srcRect/>
                    <a:stretch>
                      <a:fillRect/>
                    </a:stretch>
                  </pic:blipFill>
                  <pic:spPr bwMode="auto">
                    <a:xfrm>
                      <a:off x="0" y="0"/>
                      <a:ext cx="1506220" cy="825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Yon Y. Jorden</w:t>
      </w:r>
    </w:p>
    <w:p>
      <w:pPr>
        <w:spacing w:after="0" w:line="211" w:lineRule="exact"/>
        <w:rPr>
          <w:sz w:val="20"/>
          <w:szCs w:val="20"/>
          <w:color w:val="auto"/>
        </w:rPr>
      </w:pPr>
    </w:p>
    <w:p>
      <w:pPr>
        <w:ind w:right="820" w:firstLine="44"/>
        <w:spacing w:after="0" w:line="320" w:lineRule="auto"/>
        <w:rPr>
          <w:sz w:val="20"/>
          <w:szCs w:val="20"/>
          <w:color w:val="auto"/>
        </w:rPr>
      </w:pPr>
      <w:r>
        <w:rPr>
          <w:rFonts w:ascii="Times New Roman" w:cs="Times New Roman" w:eastAsia="Times New Roman" w:hAnsi="Times New Roman"/>
          <w:sz w:val="17"/>
          <w:szCs w:val="17"/>
          <w:color w:val="auto"/>
        </w:rPr>
        <w:t>/s/ Andreas W. Mattes Andreas W. Mattes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-184150</wp:posOffset>
            </wp:positionV>
            <wp:extent cx="15062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4">
                      <a:extLst>
                        <a:ext uri="{28A0092B-C50C-407E-A947-70E740481C1C}"/>
                      </a:extLst>
                    </a:blip>
                    <a:srcRect/>
                    <a:stretch>
                      <a:fillRect/>
                    </a:stretch>
                  </pic:blipFill>
                  <pic:spPr bwMode="auto">
                    <a:xfrm>
                      <a:off x="0" y="0"/>
                      <a:ext cx="1506220" cy="8255"/>
                    </a:xfrm>
                    <a:prstGeom prst="rect">
                      <a:avLst/>
                    </a:prstGeom>
                    <a:noFill/>
                  </pic:spPr>
                </pic:pic>
              </a:graphicData>
            </a:graphic>
          </wp:anchor>
        </w:drawing>
      </w:r>
    </w:p>
    <w:p>
      <w:pPr>
        <w:spacing w:after="0" w:line="1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Karen M. Rapp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15062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5">
                      <a:extLst>
                        <a:ext uri="{28A0092B-C50C-407E-A947-70E740481C1C}"/>
                      </a:extLst>
                    </a:blip>
                    <a:srcRect/>
                    <a:stretch>
                      <a:fillRect/>
                    </a:stretch>
                  </pic:blipFill>
                  <pic:spPr bwMode="auto">
                    <a:xfrm>
                      <a:off x="0" y="0"/>
                      <a:ext cx="1506220" cy="825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Karen M. Rapp</w:t>
      </w:r>
    </w:p>
    <w:p>
      <w:pPr>
        <w:spacing w:after="0" w:line="211" w:lineRule="exact"/>
        <w:rPr>
          <w:sz w:val="20"/>
          <w:szCs w:val="20"/>
          <w:color w:val="auto"/>
        </w:rPr>
      </w:pPr>
    </w:p>
    <w:p>
      <w:pPr>
        <w:ind w:right="800" w:firstLine="44"/>
        <w:spacing w:after="0" w:line="320" w:lineRule="auto"/>
        <w:rPr>
          <w:sz w:val="20"/>
          <w:szCs w:val="20"/>
          <w:color w:val="auto"/>
        </w:rPr>
      </w:pPr>
      <w:r>
        <w:rPr>
          <w:rFonts w:ascii="Times New Roman" w:cs="Times New Roman" w:eastAsia="Times New Roman" w:hAnsi="Times New Roman"/>
          <w:sz w:val="17"/>
          <w:szCs w:val="17"/>
          <w:color w:val="auto"/>
        </w:rPr>
        <w:t>/s/ Nina L. Richardson Nina L. Richardson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-184150</wp:posOffset>
            </wp:positionV>
            <wp:extent cx="15062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6">
                      <a:extLst>
                        <a:ext uri="{28A0092B-C50C-407E-A947-70E740481C1C}"/>
                      </a:extLst>
                    </a:blip>
                    <a:srcRect/>
                    <a:stretch>
                      <a:fillRect/>
                    </a:stretch>
                  </pic:blipFill>
                  <pic:spPr bwMode="auto">
                    <a:xfrm>
                      <a:off x="0" y="0"/>
                      <a:ext cx="15062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540" w:type="dxa"/>
            <w:vAlign w:val="bottom"/>
            <w:gridSpan w:val="3"/>
          </w:tcPr>
          <w:p>
            <w:pPr>
              <w:ind w:left="230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480" w:type="dxa"/>
            <w:vAlign w:val="bottom"/>
            <w:gridSpan w:val="3"/>
          </w:tcPr>
          <w:p>
            <w:pPr>
              <w:ind w:left="118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20"/>
        </w:trPr>
        <w:tc>
          <w:tcPr>
            <w:tcW w:w="2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39"/>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Chairperson of the Board,</w:t>
            </w:r>
          </w:p>
        </w:tc>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February 17, 2026</w:t>
            </w:r>
          </w:p>
        </w:tc>
      </w:tr>
      <w:tr>
        <w:trPr>
          <w:trHeight w:val="231"/>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18"/>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President and Chief Executive Officer, Director</w:t>
            </w:r>
          </w:p>
        </w:tc>
        <w:tc>
          <w:tcPr>
            <w:tcW w:w="248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w w:val="96"/>
              </w:rPr>
              <w:t>February 17, 2026</w:t>
            </w:r>
          </w:p>
        </w:tc>
      </w:tr>
      <w:tr>
        <w:trPr>
          <w:trHeight w:val="231"/>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18"/>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Senior Vice President, Finance and CFO</w:t>
            </w:r>
          </w:p>
        </w:tc>
        <w:tc>
          <w:tcPr>
            <w:tcW w:w="248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w w:val="96"/>
              </w:rPr>
              <w:t>February 17, 2026</w:t>
            </w:r>
          </w:p>
        </w:tc>
      </w:tr>
      <w:tr>
        <w:trPr>
          <w:trHeight w:val="231"/>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37"/>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248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w w:val="96"/>
              </w:rPr>
              <w:t>February 17, 2026</w:t>
            </w:r>
          </w:p>
        </w:tc>
      </w:tr>
      <w:tr>
        <w:trPr>
          <w:trHeight w:val="649"/>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248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w w:val="96"/>
              </w:rPr>
              <w:t>February 17, 2026</w:t>
            </w:r>
          </w:p>
        </w:tc>
      </w:tr>
      <w:tr>
        <w:trPr>
          <w:trHeight w:val="649"/>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248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w w:val="96"/>
              </w:rPr>
              <w:t>February 17, 2026</w:t>
            </w:r>
          </w:p>
        </w:tc>
      </w:tr>
      <w:tr>
        <w:trPr>
          <w:trHeight w:val="649"/>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248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w w:val="96"/>
              </w:rPr>
              <w:t>February 17, 2026</w:t>
            </w:r>
          </w:p>
        </w:tc>
      </w:tr>
      <w:tr>
        <w:trPr>
          <w:trHeight w:val="649"/>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248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w w:val="96"/>
              </w:rPr>
              <w:t>February 17, 2026</w:t>
            </w:r>
          </w:p>
        </w:tc>
      </w:tr>
      <w:tr>
        <w:trPr>
          <w:trHeight w:val="649"/>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248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w w:val="96"/>
              </w:rPr>
              <w:t>February 17, 2026</w:t>
            </w:r>
          </w:p>
        </w:tc>
      </w:tr>
      <w:tr>
        <w:trPr>
          <w:trHeight w:val="649"/>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248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w w:val="96"/>
              </w:rPr>
              <w:t>February 17, 2026</w:t>
            </w:r>
          </w:p>
        </w:tc>
      </w:tr>
      <w:tr>
        <w:trPr>
          <w:trHeight w:val="636"/>
        </w:trPr>
        <w:tc>
          <w:tcPr>
            <w:tcW w:w="2640" w:type="dxa"/>
            <w:vAlign w:val="bottom"/>
            <w:gridSpan w:val="2"/>
          </w:tcPr>
          <w:p>
            <w:pPr>
              <w:ind w:left="2380"/>
              <w:spacing w:after="0"/>
              <w:rPr>
                <w:sz w:val="20"/>
                <w:szCs w:val="20"/>
                <w:color w:val="auto"/>
              </w:rPr>
            </w:pPr>
            <w:r>
              <w:rPr>
                <w:rFonts w:ascii="Times New Roman" w:cs="Times New Roman" w:eastAsia="Times New Roman" w:hAnsi="Times New Roman"/>
                <w:sz w:val="18"/>
                <w:szCs w:val="18"/>
                <w:color w:val="auto"/>
              </w:rPr>
              <w:t>96</w:t>
            </w:r>
          </w:p>
        </w:tc>
        <w:tc>
          <w:tcPr>
            <w:tcW w:w="1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-2002155</wp:posOffset>
            </wp:positionH>
            <wp:positionV relativeFrom="paragraph">
              <wp:posOffset>66675</wp:posOffset>
            </wp:positionV>
            <wp:extent cx="713486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2">
            <w:col w:w="2440" w:space="720"/>
            <w:col w:w="7900"/>
          </w:cols>
          <w:pgMar w:left="320" w:top="121" w:right="519" w:bottom="144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AND QUALIFYING ACCOUNTS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8"/>
              </w:rPr>
              <w:t>Additions</w:t>
            </w: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6"/>
              </w:rPr>
              <w:t>(Reductions)</w:t>
            </w: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0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7"/>
              </w:rPr>
              <w:t>Balance at</w:t>
            </w:r>
          </w:p>
        </w:tc>
        <w:tc>
          <w:tcPr>
            <w:tcW w:w="220" w:type="dxa"/>
            <w:vAlign w:val="bottom"/>
          </w:tcPr>
          <w:p>
            <w:pPr>
              <w:spacing w:after="0"/>
              <w:rPr>
                <w:sz w:val="18"/>
                <w:szCs w:val="18"/>
                <w:color w:val="auto"/>
              </w:rPr>
            </w:pPr>
          </w:p>
        </w:tc>
        <w:tc>
          <w:tcPr>
            <w:tcW w:w="110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6"/>
              </w:rPr>
              <w:t>Not</w:t>
            </w:r>
          </w:p>
        </w:tc>
        <w:tc>
          <w:tcPr>
            <w:tcW w:w="420" w:type="dxa"/>
            <w:vAlign w:val="bottom"/>
          </w:tcPr>
          <w:p>
            <w:pPr>
              <w:spacing w:after="0"/>
              <w:rPr>
                <w:sz w:val="18"/>
                <w:szCs w:val="18"/>
                <w:color w:val="auto"/>
              </w:rPr>
            </w:pPr>
          </w:p>
        </w:tc>
        <w:tc>
          <w:tcPr>
            <w:tcW w:w="112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8"/>
              </w:rPr>
              <w:t>Additions</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6"/>
              </w:rPr>
              <w:t>Balance</w:t>
            </w:r>
          </w:p>
        </w:tc>
        <w:tc>
          <w:tcPr>
            <w:tcW w:w="0" w:type="dxa"/>
            <w:vAlign w:val="bottom"/>
          </w:tcPr>
          <w:p>
            <w:pPr>
              <w:spacing w:after="0"/>
              <w:rPr>
                <w:sz w:val="1"/>
                <w:szCs w:val="1"/>
                <w:color w:val="auto"/>
              </w:rPr>
            </w:pPr>
          </w:p>
        </w:tc>
      </w:tr>
      <w:tr>
        <w:trPr>
          <w:trHeight w:val="225"/>
        </w:trPr>
        <w:tc>
          <w:tcPr>
            <w:tcW w:w="38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0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5"/>
              </w:rPr>
              <w:t>Beginning</w:t>
            </w:r>
          </w:p>
        </w:tc>
        <w:tc>
          <w:tcPr>
            <w:tcW w:w="220" w:type="dxa"/>
            <w:vAlign w:val="bottom"/>
          </w:tcPr>
          <w:p>
            <w:pPr>
              <w:spacing w:after="0"/>
              <w:rPr>
                <w:sz w:val="19"/>
                <w:szCs w:val="19"/>
                <w:color w:val="auto"/>
              </w:rPr>
            </w:pPr>
          </w:p>
        </w:tc>
        <w:tc>
          <w:tcPr>
            <w:tcW w:w="110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5"/>
              </w:rPr>
              <w:t>Charged</w:t>
            </w:r>
          </w:p>
        </w:tc>
        <w:tc>
          <w:tcPr>
            <w:tcW w:w="420" w:type="dxa"/>
            <w:vAlign w:val="bottom"/>
            <w:vMerge w:val="restart"/>
          </w:tcPr>
          <w:p>
            <w:pPr>
              <w:jc w:val="right"/>
              <w:ind w:right="154"/>
              <w:spacing w:after="0"/>
              <w:rPr>
                <w:sz w:val="20"/>
                <w:szCs w:val="20"/>
                <w:color w:val="auto"/>
              </w:rPr>
            </w:pPr>
            <w:r>
              <w:rPr>
                <w:rFonts w:ascii="Times New Roman" w:cs="Times New Roman" w:eastAsia="Times New Roman" w:hAnsi="Times New Roman"/>
                <w:sz w:val="15"/>
                <w:szCs w:val="15"/>
                <w:color w:val="auto"/>
                <w:w w:val="91"/>
              </w:rPr>
              <w:t>(1)</w:t>
            </w:r>
          </w:p>
        </w:tc>
        <w:tc>
          <w:tcPr>
            <w:tcW w:w="112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5"/>
              </w:rPr>
              <w:t>Charged</w:t>
            </w:r>
          </w:p>
        </w:tc>
        <w:tc>
          <w:tcPr>
            <w:tcW w:w="180" w:type="dxa"/>
            <w:vAlign w:val="bottom"/>
          </w:tcPr>
          <w:p>
            <w:pPr>
              <w:spacing w:after="0"/>
              <w:rPr>
                <w:sz w:val="19"/>
                <w:szCs w:val="19"/>
                <w:color w:val="auto"/>
              </w:rPr>
            </w:pPr>
          </w:p>
        </w:tc>
        <w:tc>
          <w:tcPr>
            <w:tcW w:w="11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98"/>
              </w:rPr>
              <w:t>Deductions/</w:t>
            </w:r>
          </w:p>
        </w:tc>
        <w:tc>
          <w:tcPr>
            <w:tcW w:w="280" w:type="dxa"/>
            <w:vAlign w:val="bottom"/>
          </w:tcPr>
          <w:p>
            <w:pPr>
              <w:spacing w:after="0"/>
              <w:rPr>
                <w:sz w:val="19"/>
                <w:szCs w:val="19"/>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4"/>
              </w:rPr>
              <w:t>at End</w:t>
            </w: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Description</w:t>
            </w:r>
          </w:p>
        </w:tc>
        <w:tc>
          <w:tcPr>
            <w:tcW w:w="840" w:type="dxa"/>
            <w:vAlign w:val="bottom"/>
          </w:tcPr>
          <w:p>
            <w:pPr>
              <w:spacing w:after="0"/>
              <w:rPr>
                <w:sz w:val="20"/>
                <w:szCs w:val="20"/>
                <w:color w:val="auto"/>
              </w:rPr>
            </w:pPr>
          </w:p>
        </w:tc>
        <w:tc>
          <w:tcPr>
            <w:tcW w:w="110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5"/>
              </w:rPr>
              <w:t>of Year</w:t>
            </w:r>
          </w:p>
        </w:tc>
        <w:tc>
          <w:tcPr>
            <w:tcW w:w="220" w:type="dxa"/>
            <w:vAlign w:val="bottom"/>
          </w:tcPr>
          <w:p>
            <w:pPr>
              <w:spacing w:after="0"/>
              <w:rPr>
                <w:sz w:val="20"/>
                <w:szCs w:val="20"/>
                <w:color w:val="auto"/>
              </w:rPr>
            </w:pPr>
          </w:p>
        </w:tc>
        <w:tc>
          <w:tcPr>
            <w:tcW w:w="110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8"/>
              </w:rPr>
              <w:t>to Expense</w:t>
            </w:r>
          </w:p>
        </w:tc>
        <w:tc>
          <w:tcPr>
            <w:tcW w:w="420" w:type="dxa"/>
            <w:vAlign w:val="bottom"/>
            <w:vMerge w:val="continue"/>
          </w:tcPr>
          <w:p>
            <w:pPr>
              <w:spacing w:after="0"/>
              <w:rPr>
                <w:sz w:val="20"/>
                <w:szCs w:val="20"/>
                <w:color w:val="auto"/>
              </w:rPr>
            </w:pPr>
          </w:p>
        </w:tc>
        <w:tc>
          <w:tcPr>
            <w:tcW w:w="112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8"/>
              </w:rPr>
              <w:t>to Expense</w:t>
            </w:r>
          </w:p>
        </w:tc>
        <w:tc>
          <w:tcPr>
            <w:tcW w:w="180" w:type="dxa"/>
            <w:vAlign w:val="bottom"/>
          </w:tcPr>
          <w:p>
            <w:pPr>
              <w:spacing w:after="0"/>
              <w:rPr>
                <w:sz w:val="20"/>
                <w:szCs w:val="20"/>
                <w:color w:val="auto"/>
              </w:rPr>
            </w:pPr>
          </w:p>
        </w:tc>
        <w:tc>
          <w:tcPr>
            <w:tcW w:w="11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Write-offs</w:t>
            </w:r>
          </w:p>
        </w:tc>
        <w:tc>
          <w:tcPr>
            <w:tcW w:w="28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5"/>
              </w:rPr>
              <w:t>of Year</w:t>
            </w:r>
          </w:p>
        </w:tc>
        <w:tc>
          <w:tcPr>
            <w:tcW w:w="0" w:type="dxa"/>
            <w:vAlign w:val="bottom"/>
          </w:tcPr>
          <w:p>
            <w:pPr>
              <w:spacing w:after="0"/>
              <w:rPr>
                <w:sz w:val="1"/>
                <w:szCs w:val="1"/>
                <w:color w:val="auto"/>
              </w:rPr>
            </w:pPr>
          </w:p>
        </w:tc>
      </w:tr>
      <w:tr>
        <w:trPr>
          <w:trHeight w:val="205"/>
        </w:trPr>
        <w:tc>
          <w:tcPr>
            <w:tcW w:w="38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8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30, 2023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140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12"/>
        </w:trPr>
        <w:tc>
          <w:tcPr>
            <w:tcW w:w="3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28, 2024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151</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12"/>
        </w:trPr>
        <w:tc>
          <w:tcPr>
            <w:tcW w:w="3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27, 2025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2"/>
        </w:trPr>
        <w:tc>
          <w:tcPr>
            <w:tcW w:w="3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Reserve for excess and obsolete inventories:</w:t>
            </w:r>
          </w:p>
        </w:tc>
        <w:tc>
          <w:tcPr>
            <w:tcW w:w="8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30, 2023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26,871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648</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4,540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11,641</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20,418</w:t>
            </w:r>
          </w:p>
        </w:tc>
        <w:tc>
          <w:tcPr>
            <w:tcW w:w="0" w:type="dxa"/>
            <w:vAlign w:val="bottom"/>
          </w:tcPr>
          <w:p>
            <w:pPr>
              <w:spacing w:after="0"/>
              <w:rPr>
                <w:sz w:val="1"/>
                <w:szCs w:val="1"/>
                <w:color w:val="auto"/>
              </w:rPr>
            </w:pPr>
          </w:p>
        </w:tc>
      </w:tr>
      <w:tr>
        <w:trPr>
          <w:trHeight w:val="212"/>
        </w:trPr>
        <w:tc>
          <w:tcPr>
            <w:tcW w:w="38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28, 2024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20,418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6,203</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5,442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3,886</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28,177</w:t>
            </w:r>
          </w:p>
        </w:tc>
        <w:tc>
          <w:tcPr>
            <w:tcW w:w="0" w:type="dxa"/>
            <w:vAlign w:val="bottom"/>
          </w:tcPr>
          <w:p>
            <w:pPr>
              <w:spacing w:after="0"/>
              <w:rPr>
                <w:sz w:val="1"/>
                <w:szCs w:val="1"/>
                <w:color w:val="auto"/>
              </w:rPr>
            </w:pPr>
          </w:p>
        </w:tc>
      </w:tr>
      <w:tr>
        <w:trPr>
          <w:trHeight w:val="212"/>
        </w:trPr>
        <w:tc>
          <w:tcPr>
            <w:tcW w:w="38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27, 2025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28,177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210</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7,466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7,229</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122555</wp:posOffset>
            </wp:positionV>
            <wp:extent cx="706755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8">
                      <a:extLst>
                        <a:ext uri="{28A0092B-C50C-407E-A947-70E740481C1C}"/>
                      </a:extLst>
                    </a:blip>
                    <a:srcRect/>
                    <a:stretch>
                      <a:fillRect/>
                    </a:stretch>
                  </pic:blipFill>
                  <pic:spPr bwMode="auto">
                    <a:xfrm>
                      <a:off x="0" y="0"/>
                      <a:ext cx="7067550" cy="8255"/>
                    </a:xfrm>
                    <a:prstGeom prst="rect">
                      <a:avLst/>
                    </a:prstGeom>
                    <a:noFill/>
                  </pic:spPr>
                </pic:pic>
              </a:graphicData>
            </a:graphic>
          </wp:anchor>
        </w:drawing>
      </w:r>
    </w:p>
    <w:p>
      <w:pPr>
        <w:spacing w:after="0" w:line="384" w:lineRule="exact"/>
        <w:rPr>
          <w:sz w:val="20"/>
          <w:szCs w:val="20"/>
          <w:color w:val="auto"/>
        </w:rPr>
      </w:pPr>
    </w:p>
    <w:p>
      <w:pPr>
        <w:ind w:left="240" w:hanging="234"/>
        <w:spacing w:after="0"/>
        <w:tabs>
          <w:tab w:leader="none" w:pos="2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reserve balances resulting from foreign currency impact and reclassifications from other reserves.</w:t>
      </w:r>
    </w:p>
    <w:p>
      <w:pPr>
        <w:spacing w:after="0" w:line="222"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97</w:t>
      </w:r>
    </w:p>
    <w:p>
      <w:pPr>
        <w:sectPr>
          <w:pgSz w:w="11900" w:h="16838" w:orient="portrait"/>
          <w:cols w:equalWidth="0" w:num="1">
            <w:col w:w="11240"/>
          </w:cols>
          <w:pgMar w:left="320" w:top="121"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10.17</w:t>
      </w:r>
    </w:p>
    <w:p>
      <w:pPr>
        <w:spacing w:after="0" w:line="20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1"/>
          <w:szCs w:val="21"/>
          <w:b w:val="1"/>
          <w:bCs w:val="1"/>
          <w:color w:val="auto"/>
        </w:rPr>
        <w:t>[Letterhead of Cohu GmbH]</w:t>
      </w:r>
    </w:p>
    <w:p>
      <w:pPr>
        <w:sectPr>
          <w:pgSz w:w="11900" w:h="16838" w:orient="portrait"/>
          <w:cols w:equalWidth="0" w:num="1">
            <w:col w:w="11234"/>
          </w:cols>
          <w:pgMar w:left="326" w:top="358" w:right="339" w:bottom="1440" w:gutter="0" w:footer="0" w:header="0"/>
        </w:sectPr>
      </w:pPr>
    </w:p>
    <w:p>
      <w:pPr>
        <w:spacing w:after="0" w:line="220" w:lineRule="exact"/>
        <w:rPr>
          <w:sz w:val="20"/>
          <w:szCs w:val="20"/>
          <w:color w:val="auto"/>
        </w:rPr>
      </w:pPr>
    </w:p>
    <w:p>
      <w:pPr>
        <w:jc w:val="center"/>
        <w:ind w:right="504"/>
        <w:spacing w:after="0"/>
        <w:rPr>
          <w:sz w:val="20"/>
          <w:szCs w:val="20"/>
          <w:color w:val="auto"/>
        </w:rPr>
      </w:pPr>
      <w:r>
        <w:rPr>
          <w:rFonts w:ascii="Times New Roman" w:cs="Times New Roman" w:eastAsia="Times New Roman" w:hAnsi="Times New Roman"/>
          <w:sz w:val="18"/>
          <w:szCs w:val="18"/>
          <w:b w:val="1"/>
          <w:bCs w:val="1"/>
          <w:color w:val="auto"/>
        </w:rPr>
        <w:t>GESCHÄFTSFÜHRERANSTELLUNGS-</w:t>
      </w:r>
    </w:p>
    <w:p>
      <w:pPr>
        <w:spacing w:after="0" w:line="26" w:lineRule="exact"/>
        <w:rPr>
          <w:sz w:val="20"/>
          <w:szCs w:val="20"/>
          <w:color w:val="auto"/>
        </w:rPr>
      </w:pPr>
    </w:p>
    <w:p>
      <w:pPr>
        <w:jc w:val="center"/>
        <w:ind w:right="504"/>
        <w:spacing w:after="0"/>
        <w:rPr>
          <w:sz w:val="20"/>
          <w:szCs w:val="20"/>
          <w:color w:val="auto"/>
        </w:rPr>
      </w:pPr>
      <w:r>
        <w:rPr>
          <w:rFonts w:ascii="Times New Roman" w:cs="Times New Roman" w:eastAsia="Times New Roman" w:hAnsi="Times New Roman"/>
          <w:sz w:val="18"/>
          <w:szCs w:val="18"/>
          <w:b w:val="1"/>
          <w:bCs w:val="1"/>
          <w:color w:val="auto"/>
        </w:rPr>
        <w:t>VERTRAG</w:t>
      </w:r>
    </w:p>
    <w:p>
      <w:pPr>
        <w:spacing w:after="0" w:line="5" w:lineRule="exact"/>
        <w:rPr>
          <w:sz w:val="20"/>
          <w:szCs w:val="20"/>
          <w:color w:val="auto"/>
        </w:rPr>
      </w:pPr>
    </w:p>
    <w:p>
      <w:pPr>
        <w:ind w:left="574"/>
        <w:spacing w:after="0"/>
        <w:rPr>
          <w:sz w:val="20"/>
          <w:szCs w:val="20"/>
          <w:color w:val="auto"/>
        </w:rPr>
      </w:pPr>
      <w:r>
        <w:rPr>
          <w:rFonts w:ascii="Times New Roman" w:cs="Times New Roman" w:eastAsia="Times New Roman" w:hAnsi="Times New Roman"/>
          <w:sz w:val="18"/>
          <w:szCs w:val="18"/>
          <w:color w:val="auto"/>
        </w:rPr>
        <w:t>zwischen der</w:t>
      </w:r>
    </w:p>
    <w:p>
      <w:pPr>
        <w:spacing w:after="0" w:line="196" w:lineRule="exact"/>
        <w:rPr>
          <w:sz w:val="20"/>
          <w:szCs w:val="20"/>
          <w:color w:val="auto"/>
        </w:rPr>
      </w:pPr>
    </w:p>
    <w:p>
      <w:pPr>
        <w:ind w:left="574"/>
        <w:spacing w:after="0"/>
        <w:rPr>
          <w:sz w:val="20"/>
          <w:szCs w:val="20"/>
          <w:color w:val="auto"/>
        </w:rPr>
      </w:pPr>
      <w:r>
        <w:rPr>
          <w:rFonts w:ascii="Times New Roman" w:cs="Times New Roman" w:eastAsia="Times New Roman" w:hAnsi="Times New Roman"/>
          <w:sz w:val="18"/>
          <w:szCs w:val="18"/>
          <w:b w:val="1"/>
          <w:bCs w:val="1"/>
          <w:color w:val="auto"/>
        </w:rPr>
        <w:t>Cohu GmbH</w:t>
      </w:r>
    </w:p>
    <w:p>
      <w:pPr>
        <w:spacing w:after="0" w:line="26" w:lineRule="exact"/>
        <w:rPr>
          <w:sz w:val="20"/>
          <w:szCs w:val="20"/>
          <w:color w:val="auto"/>
        </w:rPr>
      </w:pPr>
    </w:p>
    <w:p>
      <w:pPr>
        <w:ind w:left="574"/>
        <w:spacing w:after="0"/>
        <w:rPr>
          <w:sz w:val="20"/>
          <w:szCs w:val="20"/>
          <w:color w:val="auto"/>
        </w:rPr>
      </w:pPr>
      <w:r>
        <w:rPr>
          <w:rFonts w:ascii="Times New Roman" w:cs="Times New Roman" w:eastAsia="Times New Roman" w:hAnsi="Times New Roman"/>
          <w:sz w:val="18"/>
          <w:szCs w:val="18"/>
          <w:color w:val="auto"/>
        </w:rPr>
        <w:t>Geiglsteinstr. 6</w:t>
      </w:r>
    </w:p>
    <w:p>
      <w:pPr>
        <w:spacing w:after="0" w:line="5" w:lineRule="exact"/>
        <w:rPr>
          <w:sz w:val="20"/>
          <w:szCs w:val="20"/>
          <w:color w:val="auto"/>
        </w:rPr>
      </w:pPr>
    </w:p>
    <w:p>
      <w:pPr>
        <w:ind w:left="574"/>
        <w:spacing w:after="0"/>
        <w:rPr>
          <w:sz w:val="20"/>
          <w:szCs w:val="20"/>
          <w:color w:val="auto"/>
        </w:rPr>
      </w:pPr>
      <w:r>
        <w:rPr>
          <w:rFonts w:ascii="Times New Roman" w:cs="Times New Roman" w:eastAsia="Times New Roman" w:hAnsi="Times New Roman"/>
          <w:sz w:val="18"/>
          <w:szCs w:val="18"/>
          <w:color w:val="auto"/>
        </w:rPr>
        <w:t>83059 Kolbermorr</w:t>
      </w:r>
    </w:p>
    <w:p>
      <w:pPr>
        <w:spacing w:after="0" w:line="196" w:lineRule="exact"/>
        <w:rPr>
          <w:sz w:val="20"/>
          <w:szCs w:val="20"/>
          <w:color w:val="auto"/>
        </w:rPr>
      </w:pPr>
    </w:p>
    <w:p>
      <w:pPr>
        <w:ind w:left="57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"Gesellschaft"</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ind w:left="574"/>
        <w:spacing w:after="0"/>
        <w:rPr>
          <w:sz w:val="20"/>
          <w:szCs w:val="20"/>
          <w:color w:val="auto"/>
        </w:rPr>
      </w:pPr>
      <w:r>
        <w:rPr>
          <w:rFonts w:ascii="Times New Roman" w:cs="Times New Roman" w:eastAsia="Times New Roman" w:hAnsi="Times New Roman"/>
          <w:sz w:val="18"/>
          <w:szCs w:val="18"/>
          <w:color w:val="auto"/>
        </w:rPr>
        <w:t>und</w:t>
      </w:r>
    </w:p>
    <w:p>
      <w:pPr>
        <w:spacing w:after="0" w:line="215" w:lineRule="exact"/>
        <w:rPr>
          <w:sz w:val="20"/>
          <w:szCs w:val="20"/>
          <w:color w:val="auto"/>
        </w:rPr>
      </w:pPr>
    </w:p>
    <w:p>
      <w:pPr>
        <w:ind w:left="574" w:right="4058" w:hanging="574"/>
        <w:spacing w:after="0" w:line="273" w:lineRule="auto"/>
        <w:tabs>
          <w:tab w:leader="none" w:pos="574" w:val="left"/>
        </w:tabs>
        <w:numPr>
          <w:ilvl w:val="0"/>
          <w:numId w:val="3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Klaus Ilgenfritz </w:t>
      </w:r>
      <w:r>
        <w:rPr>
          <w:rFonts w:ascii="Times New Roman" w:cs="Times New Roman" w:eastAsia="Times New Roman" w:hAnsi="Times New Roman"/>
          <w:sz w:val="17"/>
          <w:szCs w:val="17"/>
          <w:color w:val="auto"/>
        </w:rPr>
        <w:t>Innstr. 12</w:t>
      </w:r>
    </w:p>
    <w:p>
      <w:pPr>
        <w:ind w:left="574"/>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83126 Flintsbach</w:t>
      </w:r>
    </w:p>
    <w:p>
      <w:pPr>
        <w:spacing w:after="0" w:line="5" w:lineRule="exact"/>
        <w:rPr>
          <w:rFonts w:ascii="Times New Roman" w:cs="Times New Roman" w:eastAsia="Times New Roman" w:hAnsi="Times New Roman"/>
          <w:sz w:val="17"/>
          <w:szCs w:val="17"/>
          <w:b w:val="1"/>
          <w:bCs w:val="1"/>
          <w:color w:val="auto"/>
        </w:rPr>
      </w:pPr>
    </w:p>
    <w:p>
      <w:pPr>
        <w:ind w:left="574"/>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"Gesch</w:t>
      </w:r>
      <w:r>
        <w:rPr>
          <w:rFonts w:ascii="Times New Roman" w:cs="Times New Roman" w:eastAsia="Times New Roman" w:hAnsi="Times New Roman"/>
          <w:sz w:val="18"/>
          <w:szCs w:val="18"/>
          <w:color w:val="auto"/>
        </w:rPr>
        <w:t>ä</w:t>
      </w:r>
      <w:r>
        <w:rPr>
          <w:rFonts w:ascii="Times New Roman" w:cs="Times New Roman" w:eastAsia="Times New Roman" w:hAnsi="Times New Roman"/>
          <w:sz w:val="18"/>
          <w:szCs w:val="18"/>
          <w:b w:val="1"/>
          <w:bCs w:val="1"/>
          <w:color w:val="auto"/>
        </w:rPr>
        <w:t>ftsf</w:t>
      </w:r>
      <w:r>
        <w:rPr>
          <w:rFonts w:ascii="Times New Roman" w:cs="Times New Roman" w:eastAsia="Times New Roman" w:hAnsi="Times New Roman"/>
          <w:sz w:val="18"/>
          <w:szCs w:val="18"/>
          <w:color w:val="auto"/>
        </w:rPr>
        <w:t>ü</w:t>
      </w:r>
      <w:r>
        <w:rPr>
          <w:rFonts w:ascii="Times New Roman" w:cs="Times New Roman" w:eastAsia="Times New Roman" w:hAnsi="Times New Roman"/>
          <w:sz w:val="18"/>
          <w:szCs w:val="18"/>
          <w:b w:val="1"/>
          <w:bCs w:val="1"/>
          <w:color w:val="auto"/>
        </w:rPr>
        <w:t>hrer"</w:t>
      </w:r>
      <w:r>
        <w:rPr>
          <w:rFonts w:ascii="Times New Roman" w:cs="Times New Roman" w:eastAsia="Times New Roman" w:hAnsi="Times New Roman"/>
          <w:sz w:val="18"/>
          <w:szCs w:val="18"/>
          <w:color w:val="auto"/>
        </w:rPr>
        <w:t>).</w:t>
      </w:r>
    </w:p>
    <w:p>
      <w:pPr>
        <w:spacing w:after="0" w:line="195" w:lineRule="exact"/>
        <w:rPr>
          <w:rFonts w:ascii="Times New Roman" w:cs="Times New Roman" w:eastAsia="Times New Roman" w:hAnsi="Times New Roman"/>
          <w:sz w:val="17"/>
          <w:szCs w:val="17"/>
          <w:b w:val="1"/>
          <w:bCs w:val="1"/>
          <w:color w:val="auto"/>
        </w:rPr>
      </w:pPr>
    </w:p>
    <w:p>
      <w:pPr>
        <w:ind w:left="574"/>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PRÄAMBEL</w:t>
      </w:r>
    </w:p>
    <w:p>
      <w:pPr>
        <w:spacing w:after="0" w:line="219" w:lineRule="exact"/>
        <w:rPr>
          <w:rFonts w:ascii="Times New Roman" w:cs="Times New Roman" w:eastAsia="Times New Roman" w:hAnsi="Times New Roman"/>
          <w:sz w:val="17"/>
          <w:szCs w:val="17"/>
          <w:b w:val="1"/>
          <w:bCs w:val="1"/>
          <w:color w:val="auto"/>
        </w:rPr>
      </w:pPr>
    </w:p>
    <w:p>
      <w:pPr>
        <w:jc w:val="right"/>
        <w:ind w:left="574" w:right="1078"/>
        <w:spacing w:after="0" w:line="26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Der Geschäftsführer ist bereits seit dem 1. Juni 2011 – ursprünglich als Arbeitnehmer – bei der Gesellschaft beschäftigt   und   seit   dem   1.   September   2018 Geschäftsführer der Gesellschaft. Über die Jahre haben die Parteien diverse Vereinbarungen geschlossen, die diese nun aus Gründen der Übersichtlichkeit mit Abschluss</w:t>
      </w:r>
    </w:p>
    <w:p>
      <w:pPr>
        <w:spacing w:after="0" w:line="1" w:lineRule="exact"/>
        <w:rPr>
          <w:rFonts w:ascii="Times New Roman" w:cs="Times New Roman" w:eastAsia="Times New Roman" w:hAnsi="Times New Roman"/>
          <w:sz w:val="17"/>
          <w:szCs w:val="17"/>
          <w:b w:val="1"/>
          <w:bCs w:val="1"/>
          <w:color w:val="auto"/>
        </w:rPr>
      </w:pPr>
    </w:p>
    <w:p>
      <w:pPr>
        <w:ind w:left="574"/>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dieses Anstellungsvertrags aufheben möchten.</w:t>
      </w:r>
    </w:p>
    <w:p>
      <w:pPr>
        <w:spacing w:after="0" w:line="197" w:lineRule="exact"/>
        <w:rPr>
          <w:rFonts w:ascii="Times New Roman" w:cs="Times New Roman" w:eastAsia="Times New Roman" w:hAnsi="Times New Roman"/>
          <w:sz w:val="17"/>
          <w:szCs w:val="17"/>
          <w:b w:val="1"/>
          <w:bCs w:val="1"/>
          <w:color w:val="auto"/>
        </w:rPr>
      </w:pPr>
    </w:p>
    <w:p>
      <w:pPr>
        <w:ind w:left="574" w:right="1078"/>
        <w:spacing w:after="0" w:line="27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Vor diesem Hintergrund schließen die Parteien folgende Vereinbarung:</w:t>
      </w:r>
    </w:p>
    <w:p>
      <w:pPr>
        <w:spacing w:after="0" w:line="161" w:lineRule="exact"/>
        <w:rPr>
          <w:sz w:val="20"/>
          <w:szCs w:val="20"/>
          <w:color w:val="auto"/>
        </w:rPr>
      </w:pPr>
    </w:p>
    <w:p>
      <w:pPr>
        <w:ind w:left="574" w:hanging="574"/>
        <w:spacing w:after="0"/>
        <w:tabs>
          <w:tab w:leader="none" w:pos="574"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PFLICHTEN UND AUFGABEN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center"/>
        <w:ind w:left="-221"/>
        <w:spacing w:after="0"/>
        <w:rPr>
          <w:sz w:val="20"/>
          <w:szCs w:val="20"/>
          <w:color w:val="auto"/>
        </w:rPr>
      </w:pPr>
      <w:r>
        <w:rPr>
          <w:rFonts w:ascii="Times New Roman" w:cs="Times New Roman" w:eastAsia="Times New Roman" w:hAnsi="Times New Roman"/>
          <w:sz w:val="18"/>
          <w:szCs w:val="18"/>
          <w:b w:val="1"/>
          <w:bCs w:val="1"/>
          <w:color w:val="auto"/>
        </w:rPr>
        <w:t>MANAGING DIRECTOR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SERVICE</w:t>
      </w:r>
    </w:p>
    <w:p>
      <w:pPr>
        <w:spacing w:after="0" w:line="26" w:lineRule="exact"/>
        <w:rPr>
          <w:sz w:val="20"/>
          <w:szCs w:val="20"/>
          <w:color w:val="auto"/>
        </w:rPr>
      </w:pPr>
    </w:p>
    <w:p>
      <w:pPr>
        <w:jc w:val="center"/>
        <w:ind w:left="-221"/>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5" w:lineRule="exact"/>
        <w:rPr>
          <w:sz w:val="20"/>
          <w:szCs w:val="20"/>
          <w:color w:val="auto"/>
        </w:rPr>
      </w:pPr>
    </w:p>
    <w:p>
      <w:pPr>
        <w:ind w:left="562"/>
        <w:spacing w:after="0"/>
        <w:rPr>
          <w:sz w:val="20"/>
          <w:szCs w:val="20"/>
          <w:color w:val="auto"/>
        </w:rPr>
      </w:pPr>
      <w:r>
        <w:rPr>
          <w:rFonts w:ascii="Times New Roman" w:cs="Times New Roman" w:eastAsia="Times New Roman" w:hAnsi="Times New Roman"/>
          <w:sz w:val="18"/>
          <w:szCs w:val="18"/>
          <w:color w:val="auto"/>
        </w:rPr>
        <w:t>between</w:t>
      </w:r>
    </w:p>
    <w:p>
      <w:pPr>
        <w:spacing w:after="0" w:line="196" w:lineRule="exact"/>
        <w:rPr>
          <w:sz w:val="20"/>
          <w:szCs w:val="20"/>
          <w:color w:val="auto"/>
        </w:rPr>
      </w:pPr>
    </w:p>
    <w:p>
      <w:pPr>
        <w:ind w:left="562"/>
        <w:spacing w:after="0"/>
        <w:rPr>
          <w:sz w:val="20"/>
          <w:szCs w:val="20"/>
          <w:color w:val="auto"/>
        </w:rPr>
      </w:pPr>
      <w:r>
        <w:rPr>
          <w:rFonts w:ascii="Times New Roman" w:cs="Times New Roman" w:eastAsia="Times New Roman" w:hAnsi="Times New Roman"/>
          <w:sz w:val="18"/>
          <w:szCs w:val="18"/>
          <w:b w:val="1"/>
          <w:bCs w:val="1"/>
          <w:color w:val="auto"/>
        </w:rPr>
        <w:t>Cohu GmbH</w:t>
      </w:r>
    </w:p>
    <w:p>
      <w:pPr>
        <w:spacing w:after="0" w:line="26" w:lineRule="exact"/>
        <w:rPr>
          <w:sz w:val="20"/>
          <w:szCs w:val="20"/>
          <w:color w:val="auto"/>
        </w:rPr>
      </w:pPr>
    </w:p>
    <w:p>
      <w:pPr>
        <w:ind w:left="562"/>
        <w:spacing w:after="0"/>
        <w:rPr>
          <w:sz w:val="20"/>
          <w:szCs w:val="20"/>
          <w:color w:val="auto"/>
        </w:rPr>
      </w:pPr>
      <w:r>
        <w:rPr>
          <w:rFonts w:ascii="Times New Roman" w:cs="Times New Roman" w:eastAsia="Times New Roman" w:hAnsi="Times New Roman"/>
          <w:sz w:val="18"/>
          <w:szCs w:val="18"/>
          <w:color w:val="auto"/>
        </w:rPr>
        <w:t>Geiglsteinstr. 6</w:t>
      </w:r>
    </w:p>
    <w:p>
      <w:pPr>
        <w:spacing w:after="0" w:line="5" w:lineRule="exact"/>
        <w:rPr>
          <w:sz w:val="20"/>
          <w:szCs w:val="20"/>
          <w:color w:val="auto"/>
        </w:rPr>
      </w:pPr>
    </w:p>
    <w:p>
      <w:pPr>
        <w:ind w:left="562"/>
        <w:spacing w:after="0"/>
        <w:rPr>
          <w:sz w:val="20"/>
          <w:szCs w:val="20"/>
          <w:color w:val="auto"/>
        </w:rPr>
      </w:pPr>
      <w:r>
        <w:rPr>
          <w:rFonts w:ascii="Times New Roman" w:cs="Times New Roman" w:eastAsia="Times New Roman" w:hAnsi="Times New Roman"/>
          <w:sz w:val="18"/>
          <w:szCs w:val="18"/>
          <w:color w:val="auto"/>
        </w:rPr>
        <w:t>83059 Kolbermorr</w:t>
      </w:r>
    </w:p>
    <w:p>
      <w:pPr>
        <w:spacing w:after="0" w:line="196" w:lineRule="exact"/>
        <w:rPr>
          <w:sz w:val="20"/>
          <w:szCs w:val="20"/>
          <w:color w:val="auto"/>
        </w:rPr>
      </w:pPr>
    </w:p>
    <w:p>
      <w:pPr>
        <w:ind w:left="56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ind w:left="562"/>
        <w:spacing w:after="0"/>
        <w:rPr>
          <w:sz w:val="20"/>
          <w:szCs w:val="20"/>
          <w:color w:val="auto"/>
        </w:rPr>
      </w:pPr>
      <w:r>
        <w:rPr>
          <w:rFonts w:ascii="Times New Roman" w:cs="Times New Roman" w:eastAsia="Times New Roman" w:hAnsi="Times New Roman"/>
          <w:sz w:val="18"/>
          <w:szCs w:val="18"/>
          <w:color w:val="auto"/>
        </w:rPr>
        <w:t>and</w:t>
      </w:r>
    </w:p>
    <w:p>
      <w:pPr>
        <w:spacing w:after="0" w:line="215" w:lineRule="exact"/>
        <w:rPr>
          <w:sz w:val="20"/>
          <w:szCs w:val="20"/>
          <w:color w:val="auto"/>
        </w:rPr>
      </w:pPr>
    </w:p>
    <w:p>
      <w:pPr>
        <w:ind w:left="562" w:right="2960" w:hanging="562"/>
        <w:spacing w:after="0" w:line="273" w:lineRule="auto"/>
        <w:tabs>
          <w:tab w:leader="none" w:pos="562" w:val="left"/>
        </w:tabs>
        <w:numPr>
          <w:ilvl w:val="0"/>
          <w:numId w:val="4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Klaus Ilgenfritz </w:t>
      </w:r>
      <w:r>
        <w:rPr>
          <w:rFonts w:ascii="Times New Roman" w:cs="Times New Roman" w:eastAsia="Times New Roman" w:hAnsi="Times New Roman"/>
          <w:sz w:val="17"/>
          <w:szCs w:val="17"/>
          <w:color w:val="auto"/>
        </w:rPr>
        <w:t>Innstr. 12</w:t>
      </w:r>
    </w:p>
    <w:p>
      <w:pPr>
        <w:ind w:left="562"/>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83126 Flintsbach</w:t>
      </w:r>
    </w:p>
    <w:p>
      <w:pPr>
        <w:spacing w:after="0" w:line="5" w:lineRule="exact"/>
        <w:rPr>
          <w:rFonts w:ascii="Times New Roman" w:cs="Times New Roman" w:eastAsia="Times New Roman" w:hAnsi="Times New Roman"/>
          <w:sz w:val="17"/>
          <w:szCs w:val="17"/>
          <w:b w:val="1"/>
          <w:bCs w:val="1"/>
          <w:color w:val="auto"/>
        </w:rPr>
      </w:pPr>
    </w:p>
    <w:p>
      <w:pPr>
        <w:ind w:left="562"/>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"Managing Director"</w:t>
      </w:r>
      <w:r>
        <w:rPr>
          <w:rFonts w:ascii="Times New Roman" w:cs="Times New Roman" w:eastAsia="Times New Roman" w:hAnsi="Times New Roman"/>
          <w:sz w:val="18"/>
          <w:szCs w:val="18"/>
          <w:color w:val="auto"/>
        </w:rPr>
        <w:t>).</w:t>
      </w:r>
    </w:p>
    <w:p>
      <w:pPr>
        <w:spacing w:after="0" w:line="195" w:lineRule="exact"/>
        <w:rPr>
          <w:rFonts w:ascii="Times New Roman" w:cs="Times New Roman" w:eastAsia="Times New Roman" w:hAnsi="Times New Roman"/>
          <w:sz w:val="17"/>
          <w:szCs w:val="17"/>
          <w:b w:val="1"/>
          <w:bCs w:val="1"/>
          <w:color w:val="auto"/>
        </w:rPr>
      </w:pPr>
    </w:p>
    <w:p>
      <w:pPr>
        <w:ind w:left="562"/>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PREAMBLE</w:t>
      </w:r>
    </w:p>
    <w:p>
      <w:pPr>
        <w:spacing w:after="0" w:line="219" w:lineRule="exact"/>
        <w:rPr>
          <w:sz w:val="20"/>
          <w:szCs w:val="20"/>
          <w:color w:val="auto"/>
        </w:rPr>
      </w:pPr>
    </w:p>
    <w:p>
      <w:pPr>
        <w:jc w:val="both"/>
        <w:ind w:left="562"/>
        <w:spacing w:after="0" w:line="251" w:lineRule="auto"/>
        <w:rPr>
          <w:sz w:val="20"/>
          <w:szCs w:val="20"/>
          <w:color w:val="auto"/>
        </w:rPr>
      </w:pPr>
      <w:r>
        <w:rPr>
          <w:rFonts w:ascii="Times New Roman" w:cs="Times New Roman" w:eastAsia="Times New Roman" w:hAnsi="Times New Roman"/>
          <w:sz w:val="18"/>
          <w:szCs w:val="18"/>
          <w:color w:val="auto"/>
        </w:rPr>
        <w:t>Managing Director previously was an employee of the Company beginning 1. June 2011</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Managing Director has been providing services to the Company since 1 September 2018. Company and Managing Director now wish to cancel by entering into this Managing Director services agreement (“Managing Director Agreement”).</w:t>
      </w:r>
    </w:p>
    <w:p>
      <w:pPr>
        <w:spacing w:after="0" w:line="185" w:lineRule="exact"/>
        <w:rPr>
          <w:sz w:val="20"/>
          <w:szCs w:val="20"/>
          <w:color w:val="auto"/>
        </w:rPr>
      </w:pPr>
    </w:p>
    <w:p>
      <w:pPr>
        <w:jc w:val="both"/>
        <w:ind w:left="562"/>
        <w:spacing w:after="0" w:line="274" w:lineRule="auto"/>
        <w:rPr>
          <w:sz w:val="20"/>
          <w:szCs w:val="20"/>
          <w:color w:val="auto"/>
        </w:rPr>
      </w:pPr>
      <w:r>
        <w:rPr>
          <w:rFonts w:ascii="Times New Roman" w:cs="Times New Roman" w:eastAsia="Times New Roman" w:hAnsi="Times New Roman"/>
          <w:sz w:val="18"/>
          <w:szCs w:val="18"/>
          <w:color w:val="auto"/>
        </w:rPr>
        <w:t>Against this background, the parties conclude the following agreement:</w:t>
      </w:r>
    </w:p>
    <w:p>
      <w:pPr>
        <w:spacing w:after="0" w:line="373" w:lineRule="exact"/>
        <w:rPr>
          <w:sz w:val="20"/>
          <w:szCs w:val="20"/>
          <w:color w:val="auto"/>
        </w:rPr>
      </w:pPr>
    </w:p>
    <w:p>
      <w:pPr>
        <w:ind w:left="602" w:hanging="602"/>
        <w:spacing w:after="0"/>
        <w:tabs>
          <w:tab w:leader="none" w:pos="602"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DUTIES AND RESPONSIBILITIES</w:t>
      </w:r>
    </w:p>
    <w:p>
      <w:pPr>
        <w:spacing w:after="0" w:line="200" w:lineRule="exact"/>
        <w:rPr>
          <w:sz w:val="20"/>
          <w:szCs w:val="20"/>
          <w:color w:val="auto"/>
        </w:rPr>
      </w:pPr>
    </w:p>
    <w:p>
      <w:pPr>
        <w:sectPr>
          <w:pgSz w:w="11900" w:h="16838" w:orient="portrait"/>
          <w:cols w:equalWidth="0" w:num="2">
            <w:col w:w="5812" w:space="720"/>
            <w:col w:w="4702"/>
          </w:cols>
          <w:pgMar w:left="326" w:top="358" w:right="339" w:bottom="1440" w:gutter="0" w:footer="0" w:header="0"/>
          <w:type w:val="continuous"/>
        </w:sectPr>
      </w:pPr>
    </w:p>
    <w:p>
      <w:pPr>
        <w:spacing w:after="0" w:line="19" w:lineRule="exact"/>
        <w:rPr>
          <w:sz w:val="20"/>
          <w:szCs w:val="20"/>
          <w:color w:val="auto"/>
        </w:rPr>
      </w:pPr>
    </w:p>
    <w:p>
      <w:pPr>
        <w:jc w:val="both"/>
        <w:ind w:left="574" w:right="1080" w:hanging="569"/>
        <w:spacing w:after="0" w:line="259" w:lineRule="auto"/>
        <w:tabs>
          <w:tab w:leader="none" w:pos="554"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Der Geschäftsführer wurde mit Wirkung zum 1. September 2018 zum Geschäftsführer der Gesellschaft bestellt und als solcher im Handelsregister eingetragen.</w:t>
      </w:r>
    </w:p>
    <w:p>
      <w:pPr>
        <w:spacing w:after="0" w:line="178" w:lineRule="exact"/>
        <w:rPr>
          <w:sz w:val="20"/>
          <w:szCs w:val="20"/>
          <w:color w:val="auto"/>
        </w:rPr>
      </w:pPr>
    </w:p>
    <w:p>
      <w:pPr>
        <w:jc w:val="both"/>
        <w:ind w:left="574" w:right="1080" w:hanging="569"/>
        <w:spacing w:after="0" w:line="259" w:lineRule="auto"/>
        <w:tabs>
          <w:tab w:leader="none" w:pos="554"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Die Vertretungsbefugnis des Geschäftsführers bestimmt sich nach dem Handelsregister. Die Gesellschaft kann die Vertretungsbefugnis jederzeit ändern.</w:t>
      </w:r>
    </w:p>
    <w:p>
      <w:pPr>
        <w:spacing w:after="0" w:line="178" w:lineRule="exact"/>
        <w:rPr>
          <w:sz w:val="20"/>
          <w:szCs w:val="20"/>
          <w:color w:val="auto"/>
        </w:rPr>
      </w:pPr>
    </w:p>
    <w:p>
      <w:pPr>
        <w:jc w:val="both"/>
        <w:ind w:left="574" w:right="1080" w:hanging="569"/>
        <w:spacing w:after="0" w:line="255" w:lineRule="auto"/>
        <w:tabs>
          <w:tab w:leader="none" w:pos="554"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Dienstort ist der jeweilige Sitz der Gesellschaft, derzeit Kolbermoor. Bei Bedarf wird der Geschäftsführer Geschäftsreisen auch in erheblichem Ausmaß, auch ins Ausland, tätigen.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462915</wp:posOffset>
            </wp:positionV>
            <wp:extent cx="713486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560" w:hanging="556"/>
        <w:spacing w:after="0" w:line="259" w:lineRule="auto"/>
        <w:tabs>
          <w:tab w:leader="none" w:pos="5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Managing Director was appointed as statutory managing director of the Company effective as of 1 September 2018 registered as such with the commercial register.</w:t>
      </w:r>
    </w:p>
    <w:p>
      <w:pPr>
        <w:spacing w:after="0" w:line="178" w:lineRule="exact"/>
        <w:rPr>
          <w:sz w:val="20"/>
          <w:szCs w:val="20"/>
          <w:color w:val="auto"/>
        </w:rPr>
      </w:pPr>
    </w:p>
    <w:p>
      <w:pPr>
        <w:jc w:val="both"/>
        <w:ind w:left="560" w:hanging="556"/>
        <w:spacing w:after="0" w:line="259" w:lineRule="auto"/>
        <w:tabs>
          <w:tab w:leader="none" w:pos="5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The Managing Director has the power of representation as reflected in the commercial register. The Company may change the power of representation at any time.</w:t>
      </w:r>
    </w:p>
    <w:p>
      <w:pPr>
        <w:spacing w:after="0" w:line="178" w:lineRule="exact"/>
        <w:rPr>
          <w:sz w:val="20"/>
          <w:szCs w:val="20"/>
          <w:color w:val="auto"/>
        </w:rPr>
      </w:pPr>
    </w:p>
    <w:p>
      <w:pPr>
        <w:jc w:val="both"/>
        <w:ind w:left="560" w:hanging="556"/>
        <w:spacing w:after="0" w:line="252" w:lineRule="auto"/>
        <w:tabs>
          <w:tab w:leader="none" w:pos="5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The place of work shall be the registered office of the Company, applicable from time to time, at the moment Kolbermoor. If necessary the Company may request the Managing Director to travel on business also to a significant extent, including abroad.</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2">
            <w:col w:w="5814" w:space="720"/>
            <w:col w:w="4700"/>
          </w:cols>
          <w:pgMar w:left="326" w:top="358" w:right="339" w:bottom="1440" w:gutter="0" w:footer="0" w:header="0"/>
          <w:type w:val="continuous"/>
        </w:sectPr>
      </w:pPr>
    </w:p>
    <w:bookmarkStart w:id="100" w:name="page101"/>
    <w:bookmarkEnd w:id="100"/>
    <w:p>
      <w:pPr>
        <w:jc w:val="center"/>
        <w:spacing w:after="0"/>
        <w:rPr>
          <w:sz w:val="20"/>
          <w:szCs w:val="20"/>
          <w:color w:val="auto"/>
        </w:rPr>
      </w:pPr>
      <w:r>
        <w:rPr>
          <w:rFonts w:ascii="Times New Roman" w:cs="Times New Roman" w:eastAsia="Times New Roman" w:hAnsi="Times New Roman"/>
          <w:sz w:val="21"/>
          <w:szCs w:val="21"/>
          <w:b w:val="1"/>
          <w:bCs w:val="1"/>
          <w:color w:val="auto"/>
        </w:rPr>
        <w:t>[Letterhead of Cohu GmbH]</w:t>
      </w:r>
    </w:p>
    <w:p>
      <w:pPr>
        <w:spacing w:after="0" w:line="220" w:lineRule="exact"/>
        <w:rPr>
          <w:sz w:val="20"/>
          <w:szCs w:val="20"/>
          <w:color w:val="auto"/>
        </w:rPr>
      </w:pPr>
    </w:p>
    <w:p>
      <w:pPr>
        <w:spacing w:after="0"/>
        <w:tabs>
          <w:tab w:leader="none" w:pos="560" w:val="left"/>
          <w:tab w:leader="none" w:pos="6520" w:val="left"/>
          <w:tab w:leader="none" w:pos="708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8"/>
          <w:szCs w:val="18"/>
          <w:b w:val="1"/>
          <w:bCs w:val="1"/>
          <w:color w:val="auto"/>
        </w:rPr>
        <w:t>GESCHÄFTSFÜHRUNG</w:t>
      </w:r>
      <w:r>
        <w:rPr>
          <w:sz w:val="20"/>
          <w:szCs w:val="20"/>
          <w:color w:val="auto"/>
        </w:rPr>
        <w:tab/>
      </w: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MANAGEMENT</w:t>
      </w:r>
    </w:p>
    <w:p>
      <w:pPr>
        <w:sectPr>
          <w:pgSz w:w="11900" w:h="16838" w:orient="portrait"/>
          <w:cols w:equalWidth="0" w:num="1">
            <w:col w:w="11240"/>
          </w:cols>
          <w:pgMar w:left="320" w:top="559" w:right="339" w:bottom="1440" w:gutter="0" w:footer="0" w:header="0"/>
        </w:sectPr>
      </w:pPr>
    </w:p>
    <w:p>
      <w:pPr>
        <w:spacing w:after="0" w:line="219" w:lineRule="exact"/>
        <w:rPr>
          <w:sz w:val="20"/>
          <w:szCs w:val="20"/>
          <w:color w:val="auto"/>
        </w:rPr>
      </w:pPr>
    </w:p>
    <w:p>
      <w:pPr>
        <w:jc w:val="both"/>
        <w:ind w:left="580" w:right="1100" w:hanging="569"/>
        <w:spacing w:after="0" w:line="253" w:lineRule="auto"/>
        <w:tabs>
          <w:tab w:leader="none" w:pos="56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Der Geschäftsführer führt die Geschäfte nach Maßgabe der Gesetze, der jeweils geltenden Satzung der Gesellschaft, soweit vorhanden der jeweiligen</w:t>
      </w:r>
    </w:p>
    <w:p>
      <w:pPr>
        <w:spacing w:after="0" w:line="1" w:lineRule="exact"/>
        <w:rPr>
          <w:sz w:val="20"/>
          <w:szCs w:val="20"/>
          <w:color w:val="auto"/>
        </w:rPr>
      </w:pPr>
    </w:p>
    <w:p>
      <w:pPr>
        <w:jc w:val="both"/>
        <w:ind w:left="580" w:right="1080"/>
        <w:spacing w:after="0" w:line="248" w:lineRule="auto"/>
        <w:rPr>
          <w:sz w:val="20"/>
          <w:szCs w:val="20"/>
          <w:color w:val="auto"/>
        </w:rPr>
      </w:pPr>
      <w:r>
        <w:rPr>
          <w:rFonts w:ascii="Times New Roman" w:cs="Times New Roman" w:eastAsia="Times New Roman" w:hAnsi="Times New Roman"/>
          <w:sz w:val="18"/>
          <w:szCs w:val="18"/>
          <w:color w:val="auto"/>
        </w:rPr>
        <w:t>Geschäftsordnung der Gesellschaft, dieses Geschäftsführervertrags und den Beschlüssen der Gesellschafterversammlung der Gesellschaft.</w:t>
      </w:r>
    </w:p>
    <w:p>
      <w:pPr>
        <w:spacing w:after="0" w:line="399" w:lineRule="exact"/>
        <w:rPr>
          <w:sz w:val="20"/>
          <w:szCs w:val="20"/>
          <w:color w:val="auto"/>
        </w:rPr>
      </w:pPr>
    </w:p>
    <w:p>
      <w:pPr>
        <w:jc w:val="both"/>
        <w:ind w:left="580" w:right="1080" w:hanging="569"/>
        <w:spacing w:after="0" w:line="252" w:lineRule="auto"/>
        <w:tabs>
          <w:tab w:leader="none" w:pos="56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Dem Geschäftsführer obliegen die ihm nach einer etwaigen Geschäftsordnung jeweils zugewiesenen Aufgaben. Die Gesellschaft kann jederzeit weitere Geschäftsführer bestellen und die Aufgaben des Geschäftsführers ändern.</w:t>
      </w:r>
    </w:p>
    <w:p>
      <w:pPr>
        <w:spacing w:after="0" w:line="185" w:lineRule="exact"/>
        <w:rPr>
          <w:sz w:val="20"/>
          <w:szCs w:val="20"/>
          <w:color w:val="auto"/>
        </w:rPr>
      </w:pPr>
    </w:p>
    <w:p>
      <w:pPr>
        <w:jc w:val="both"/>
        <w:ind w:left="580" w:right="1080" w:hanging="569"/>
        <w:spacing w:after="0" w:line="255" w:lineRule="auto"/>
        <w:tabs>
          <w:tab w:leader="none" w:pos="56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Der Geschäftsführer hat die ihm obliegenden Pflichten mit der Sorgfalt eines ordentlichen und gewissenhaften Kaufmanns unter Wahrung der Interessen der Gesellschaft zu führen.</w:t>
      </w:r>
    </w:p>
    <w:p>
      <w:pPr>
        <w:spacing w:after="0" w:line="180" w:lineRule="exact"/>
        <w:rPr>
          <w:sz w:val="20"/>
          <w:szCs w:val="20"/>
          <w:color w:val="auto"/>
        </w:rPr>
      </w:pPr>
    </w:p>
    <w:p>
      <w:pPr>
        <w:jc w:val="both"/>
        <w:ind w:left="580" w:right="1080" w:hanging="569"/>
        <w:spacing w:after="0" w:line="265" w:lineRule="auto"/>
        <w:tabs>
          <w:tab w:leader="none" w:pos="56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color w:val="auto"/>
        </w:rPr>
        <w:t>Der Geschäftsführer bedarf für alle Geschäfte und Maßnahmen, die über den gewöhnlichen Betrieb des Handelsgewerbes der Gesellschaft hinausgehen, der ausdrücklichen schriftlichen Einwilligung der Gesellschafterversammlung. Die Gesellschaft kann jederzeit eine Liste der Handlungen, deren Ausführung der vorherigen Zustimmung der Gesellschafterversammlung bedarf, erlassen und diese Liste kann jederzeit durch Beschluss der Gesellschafterversammlung erweitert oder eingeschränkt werden.</w:t>
      </w:r>
    </w:p>
    <w:p>
      <w:pPr>
        <w:spacing w:after="0" w:line="174" w:lineRule="exact"/>
        <w:rPr>
          <w:sz w:val="20"/>
          <w:szCs w:val="20"/>
          <w:color w:val="auto"/>
        </w:rPr>
      </w:pPr>
    </w:p>
    <w:p>
      <w:pPr>
        <w:jc w:val="both"/>
        <w:ind w:left="580" w:right="1080" w:hanging="569"/>
        <w:spacing w:after="0" w:line="227" w:lineRule="exact"/>
        <w:tabs>
          <w:tab w:leader="none" w:pos="56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color w:val="auto"/>
        </w:rPr>
        <w:t>Der Geschäftsführer hat für eine angemessene Compliance-Organisation, insbesondere für den Schutz von Betriebs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und Geschäftsgeheimnissen, zu sorgen.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320040</wp:posOffset>
            </wp:positionV>
            <wp:extent cx="713486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jc w:val="both"/>
        <w:ind w:left="560" w:hanging="556"/>
        <w:spacing w:after="0" w:line="250" w:lineRule="auto"/>
        <w:tabs>
          <w:tab w:leader="none" w:pos="5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The Managing Director shall manage the business of the Company in accordance with the laws, the Articles of Association of the Company effective from time to time, if available the rules of procedure for management effective from time to time, this Managing Director Agreement and the resolutions of the shareholders' meeting of the Company.</w:t>
      </w:r>
    </w:p>
    <w:p>
      <w:pPr>
        <w:spacing w:after="0" w:line="187" w:lineRule="exact"/>
        <w:rPr>
          <w:sz w:val="20"/>
          <w:szCs w:val="20"/>
          <w:color w:val="auto"/>
        </w:rPr>
      </w:pPr>
    </w:p>
    <w:p>
      <w:pPr>
        <w:jc w:val="both"/>
        <w:ind w:left="560" w:hanging="556"/>
        <w:spacing w:after="0" w:line="252" w:lineRule="auto"/>
        <w:tabs>
          <w:tab w:leader="none" w:pos="5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The Managing Director shall fulfill the respective duties assigned to him in accordance with any rules of procedure for the management. The Company may appoint other managing directors at any time and change the duties of the Managing Director.</w:t>
      </w:r>
    </w:p>
    <w:p>
      <w:pPr>
        <w:spacing w:after="0" w:line="185" w:lineRule="exact"/>
        <w:rPr>
          <w:sz w:val="20"/>
          <w:szCs w:val="20"/>
          <w:color w:val="auto"/>
        </w:rPr>
      </w:pPr>
    </w:p>
    <w:p>
      <w:pPr>
        <w:jc w:val="both"/>
        <w:ind w:left="560" w:hanging="556"/>
        <w:spacing w:after="0" w:line="259" w:lineRule="auto"/>
        <w:tabs>
          <w:tab w:leader="none" w:pos="5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The Managing Director has to fulfill his obligations employing the diligence of a prudent and conscientious businessman observing the Company's interests.</w:t>
      </w:r>
    </w:p>
    <w:p>
      <w:pPr>
        <w:spacing w:after="0" w:line="390" w:lineRule="exact"/>
        <w:rPr>
          <w:sz w:val="20"/>
          <w:szCs w:val="20"/>
          <w:color w:val="auto"/>
        </w:rPr>
      </w:pPr>
    </w:p>
    <w:p>
      <w:pPr>
        <w:jc w:val="both"/>
        <w:ind w:left="560" w:hanging="556"/>
        <w:spacing w:after="0" w:line="214" w:lineRule="exact"/>
        <w:tabs>
          <w:tab w:leader="none" w:pos="5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color w:val="auto"/>
        </w:rPr>
        <w:t>The Managing Director needs the shareholders' meeting's explicit written authorisation for all business transac</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tions and measures exceeding the Company's usual business operations. The Company may determine a list of transactions the execution of which requires the prior consent of the shareholders´ meeting at any time and such list may be extended or limited by resolution of the shareholders´ meeting at any time.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left="560" w:hanging="556"/>
        <w:spacing w:after="0" w:line="259" w:lineRule="auto"/>
        <w:tabs>
          <w:tab w:leader="none" w:pos="54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color w:val="auto"/>
        </w:rPr>
        <w:t>The Managing Director shall arrange a reasonable compliance organization, especially in matters of the protection of business or operational secrets.</w:t>
      </w:r>
    </w:p>
    <w:p>
      <w:pPr>
        <w:spacing w:after="0" w:line="1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2">
            <w:col w:w="5820" w:space="720"/>
            <w:col w:w="4700"/>
          </w:cols>
          <w:pgMar w:left="320" w:top="559" w:right="339" w:bottom="1440" w:gutter="0" w:footer="0" w:header="0"/>
          <w:type w:val="continuous"/>
        </w:sectPr>
      </w:pPr>
    </w:p>
    <w:bookmarkStart w:id="101" w:name="page102"/>
    <w:bookmarkEnd w:id="101"/>
    <w:p>
      <w:pPr>
        <w:jc w:val="center"/>
        <w:ind w:right="6"/>
        <w:spacing w:after="0"/>
        <w:rPr>
          <w:sz w:val="20"/>
          <w:szCs w:val="20"/>
          <w:color w:val="auto"/>
        </w:rPr>
      </w:pPr>
      <w:r>
        <w:rPr>
          <w:rFonts w:ascii="Times New Roman" w:cs="Times New Roman" w:eastAsia="Times New Roman" w:hAnsi="Times New Roman"/>
          <w:sz w:val="21"/>
          <w:szCs w:val="21"/>
          <w:b w:val="1"/>
          <w:bCs w:val="1"/>
          <w:color w:val="auto"/>
        </w:rPr>
        <w:t>[Letterhead of Cohu GmbH]</w:t>
      </w:r>
    </w:p>
    <w:p>
      <w:pPr>
        <w:sectPr>
          <w:pgSz w:w="11900" w:h="16838" w:orient="portrait"/>
          <w:cols w:equalWidth="0" w:num="1">
            <w:col w:w="11234"/>
          </w:cols>
          <w:pgMar w:left="326" w:top="559" w:right="339" w:bottom="1440" w:gutter="0" w:footer="0" w:header="0"/>
        </w:sectPr>
      </w:pPr>
    </w:p>
    <w:p>
      <w:pPr>
        <w:spacing w:after="0" w:line="220" w:lineRule="exact"/>
        <w:rPr>
          <w:sz w:val="20"/>
          <w:szCs w:val="20"/>
          <w:color w:val="auto"/>
        </w:rPr>
      </w:pPr>
    </w:p>
    <w:p>
      <w:pPr>
        <w:ind w:left="574" w:hanging="574"/>
        <w:spacing w:after="0"/>
        <w:tabs>
          <w:tab w:leader="none" w:pos="574"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VERGÜTUNG</w:t>
      </w:r>
    </w:p>
    <w:p>
      <w:pPr>
        <w:spacing w:after="0" w:line="219" w:lineRule="exact"/>
        <w:rPr>
          <w:sz w:val="20"/>
          <w:szCs w:val="20"/>
          <w:color w:val="auto"/>
        </w:rPr>
      </w:pPr>
    </w:p>
    <w:p>
      <w:pPr>
        <w:jc w:val="both"/>
        <w:ind w:left="574" w:right="1078" w:hanging="569"/>
        <w:spacing w:after="0" w:line="259" w:lineRule="auto"/>
        <w:tabs>
          <w:tab w:leader="none" w:pos="554"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Der Geschäftsführer erhält ein jährliches Festgehalt in Höhe von EUR 347.905,00 brutto, das in 12 gleichen Teilbeträgen jeweils zum Monatsende zahlbar ist.</w:t>
      </w:r>
    </w:p>
    <w:p>
      <w:pPr>
        <w:spacing w:after="0" w:line="178" w:lineRule="exact"/>
        <w:rPr>
          <w:sz w:val="20"/>
          <w:szCs w:val="20"/>
          <w:color w:val="auto"/>
        </w:rPr>
      </w:pPr>
    </w:p>
    <w:p>
      <w:pPr>
        <w:jc w:val="both"/>
        <w:ind w:left="574" w:right="1078" w:hanging="569"/>
        <w:spacing w:after="0" w:line="227" w:lineRule="exact"/>
        <w:tabs>
          <w:tab w:leader="none" w:pos="554"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Mit der vorstehenden Vergütung sind alle sonstigen Leistungen, insbesondere sämtliche Überstunden, Mehrarbeit, Sonn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und Feiertagsarbeit abgegolten.</w:t>
      </w:r>
    </w:p>
    <w:p>
      <w:pPr>
        <w:spacing w:after="0" w:line="168" w:lineRule="exact"/>
        <w:rPr>
          <w:sz w:val="20"/>
          <w:szCs w:val="20"/>
          <w:color w:val="auto"/>
        </w:rPr>
      </w:pPr>
    </w:p>
    <w:p>
      <w:pPr>
        <w:jc w:val="both"/>
        <w:ind w:left="574" w:right="1078" w:hanging="569"/>
        <w:spacing w:after="0" w:line="250" w:lineRule="auto"/>
        <w:tabs>
          <w:tab w:leader="none" w:pos="554"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Die etwaige Gewährung von sonstigen Gratifikationen, Prämien, Boni oder sonstigen Leistungen erfolgt freiwillig und ohne Einräumung eines Rechtsanspruchs, es sei denn dies wird ausdrücklich anders vereinbart (§ 305b BGB). Auch durch mehrmalige Leistungen wird ein Rechtsanspruch für die Zukunft weder dem Grunde nach noch der Höhe nach begründet.</w:t>
      </w:r>
    </w:p>
    <w:p>
      <w:pPr>
        <w:spacing w:after="0" w:line="187" w:lineRule="exact"/>
        <w:rPr>
          <w:sz w:val="20"/>
          <w:szCs w:val="20"/>
          <w:color w:val="auto"/>
        </w:rPr>
      </w:pPr>
    </w:p>
    <w:p>
      <w:pPr>
        <w:jc w:val="both"/>
        <w:ind w:left="574" w:right="1078" w:hanging="569"/>
        <w:spacing w:after="0" w:line="251" w:lineRule="auto"/>
        <w:tabs>
          <w:tab w:leader="none" w:pos="554"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Der Geschäftsführer ist verpflichtet, etwaige Überzahlungen auch dann an die Gesellschaft zurückzuzahlen, wenn der Geschäftsführer diese Zahlung bereits verbraucht hat. Der Einwand des Wegfalls der Bereicherung gemäß § 818 Abs. 3 BGB ist ausgeschlossen.</w:t>
      </w:r>
    </w:p>
    <w:p>
      <w:pPr>
        <w:spacing w:after="0" w:line="185" w:lineRule="exact"/>
        <w:rPr>
          <w:sz w:val="20"/>
          <w:szCs w:val="20"/>
          <w:color w:val="auto"/>
        </w:rPr>
      </w:pPr>
    </w:p>
    <w:p>
      <w:pPr>
        <w:jc w:val="both"/>
        <w:ind w:left="574" w:right="1078" w:hanging="569"/>
        <w:spacing w:after="0" w:line="282" w:lineRule="auto"/>
        <w:tabs>
          <w:tab w:leader="none" w:pos="554"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7"/>
          <w:szCs w:val="17"/>
          <w:color w:val="auto"/>
        </w:rPr>
        <w:t>Die vorstehende Vergütung wird bei unterjährigem Eintritt oder Ausscheiden zeitanteilig gezahlt, soweit in diesem Geschäftsführervertrag nichts Abweichendes geregelt ist.</w:t>
      </w:r>
    </w:p>
    <w:p>
      <w:pPr>
        <w:spacing w:after="0" w:line="369" w:lineRule="exact"/>
        <w:rPr>
          <w:sz w:val="20"/>
          <w:szCs w:val="20"/>
          <w:color w:val="auto"/>
        </w:rPr>
      </w:pPr>
    </w:p>
    <w:p>
      <w:pPr>
        <w:ind w:left="574" w:hanging="574"/>
        <w:spacing w:after="0"/>
        <w:tabs>
          <w:tab w:leader="none" w:pos="574"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DIENSTWAGEN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562" w:hanging="562"/>
        <w:spacing w:after="0"/>
        <w:tabs>
          <w:tab w:leader="none" w:pos="562"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SALARY</w:t>
      </w:r>
    </w:p>
    <w:p>
      <w:pPr>
        <w:spacing w:after="0" w:line="219" w:lineRule="exact"/>
        <w:rPr>
          <w:sz w:val="20"/>
          <w:szCs w:val="20"/>
          <w:color w:val="auto"/>
        </w:rPr>
      </w:pPr>
    </w:p>
    <w:p>
      <w:pPr>
        <w:jc w:val="both"/>
        <w:ind w:left="562" w:hanging="556"/>
        <w:spacing w:after="0" w:line="259" w:lineRule="auto"/>
        <w:tabs>
          <w:tab w:leader="none" w:pos="541"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The Managing Director will receive an annual fixed salary of EUR 347,905.00 gross, which will be paid in 12 equal installments to the end of each calendar month.</w:t>
      </w:r>
    </w:p>
    <w:p>
      <w:pPr>
        <w:spacing w:after="0" w:line="178" w:lineRule="exact"/>
        <w:rPr>
          <w:sz w:val="20"/>
          <w:szCs w:val="20"/>
          <w:color w:val="auto"/>
        </w:rPr>
      </w:pPr>
    </w:p>
    <w:p>
      <w:pPr>
        <w:jc w:val="both"/>
        <w:ind w:left="562" w:hanging="556"/>
        <w:spacing w:after="0" w:line="282" w:lineRule="auto"/>
        <w:tabs>
          <w:tab w:leader="none" w:pos="541"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color w:val="auto"/>
        </w:rPr>
        <w:t>The payment of the aforementioned remuneration is full compensation for all other benefits, in particular overtime, additional work, work on Sundays and public holidays.</w:t>
      </w:r>
    </w:p>
    <w:p>
      <w:pPr>
        <w:spacing w:after="0" w:line="159" w:lineRule="exact"/>
        <w:rPr>
          <w:sz w:val="20"/>
          <w:szCs w:val="20"/>
          <w:color w:val="auto"/>
        </w:rPr>
      </w:pPr>
    </w:p>
    <w:p>
      <w:pPr>
        <w:jc w:val="both"/>
        <w:ind w:left="562" w:hanging="556"/>
        <w:spacing w:after="0" w:line="251" w:lineRule="auto"/>
        <w:tabs>
          <w:tab w:leader="none" w:pos="541"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The possible granting of any additional bonus or other benefits is voluntary and without prejudice, unless this has been expressly agreed otherwise (section 305b German Civil Code). Even repeated granting does not constitute a legal claim for granting in future, neither with regard to the cause nor with regard to the amount.</w:t>
      </w:r>
    </w:p>
    <w:p>
      <w:pPr>
        <w:spacing w:after="0" w:line="397" w:lineRule="exact"/>
        <w:rPr>
          <w:sz w:val="20"/>
          <w:szCs w:val="20"/>
          <w:color w:val="auto"/>
        </w:rPr>
      </w:pPr>
    </w:p>
    <w:p>
      <w:pPr>
        <w:jc w:val="both"/>
        <w:ind w:left="562" w:hanging="556"/>
        <w:spacing w:after="0" w:line="252" w:lineRule="auto"/>
        <w:tabs>
          <w:tab w:leader="none" w:pos="541"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The Managing Director shall pay back to the Company any overpayments, even if the Managing Director has already spent these amounts. The defence to claim the omission of enrichment provided under section 818 para. 3 German Civil Code is excluded.</w:t>
      </w:r>
    </w:p>
    <w:p>
      <w:pPr>
        <w:spacing w:after="0" w:line="397" w:lineRule="exact"/>
        <w:rPr>
          <w:sz w:val="20"/>
          <w:szCs w:val="20"/>
          <w:color w:val="auto"/>
        </w:rPr>
      </w:pPr>
    </w:p>
    <w:p>
      <w:pPr>
        <w:jc w:val="both"/>
        <w:ind w:left="562" w:hanging="556"/>
        <w:spacing w:after="0" w:line="255" w:lineRule="auto"/>
        <w:tabs>
          <w:tab w:leader="none" w:pos="541"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color w:val="auto"/>
        </w:rPr>
        <w:t>The aforementioned remuneration will be paid pro rata if the Managing Director joins or leaves the Company during the calendar year unless otherwise agreed in this Managing Director Agreement.</w:t>
      </w:r>
    </w:p>
    <w:p>
      <w:pPr>
        <w:spacing w:after="0" w:line="178" w:lineRule="exact"/>
        <w:rPr>
          <w:sz w:val="20"/>
          <w:szCs w:val="20"/>
          <w:color w:val="auto"/>
        </w:rPr>
      </w:pPr>
    </w:p>
    <w:p>
      <w:pPr>
        <w:ind w:left="562" w:hanging="562"/>
        <w:spacing w:after="0"/>
        <w:tabs>
          <w:tab w:leader="none" w:pos="562"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COMPANY CAR</w:t>
      </w:r>
    </w:p>
    <w:p>
      <w:pPr>
        <w:spacing w:after="0" w:line="200" w:lineRule="exact"/>
        <w:rPr>
          <w:sz w:val="20"/>
          <w:szCs w:val="20"/>
          <w:color w:val="auto"/>
        </w:rPr>
      </w:pPr>
    </w:p>
    <w:p>
      <w:pPr>
        <w:sectPr>
          <w:pgSz w:w="11900" w:h="16838" w:orient="portrait"/>
          <w:cols w:equalWidth="0" w:num="2">
            <w:col w:w="5812" w:space="720"/>
            <w:col w:w="4702"/>
          </w:cols>
          <w:pgMar w:left="326" w:top="559" w:right="339" w:bottom="1440" w:gutter="0" w:footer="0" w:header="0"/>
          <w:type w:val="continuous"/>
        </w:sectPr>
      </w:pPr>
    </w:p>
    <w:p>
      <w:pPr>
        <w:spacing w:after="0" w:line="19" w:lineRule="exact"/>
        <w:rPr>
          <w:sz w:val="20"/>
          <w:szCs w:val="20"/>
          <w:color w:val="auto"/>
        </w:rPr>
      </w:pPr>
    </w:p>
    <w:p>
      <w:pPr>
        <w:jc w:val="both"/>
        <w:ind w:left="574" w:right="1080" w:hanging="569"/>
        <w:spacing w:after="0" w:line="251" w:lineRule="auto"/>
        <w:tabs>
          <w:tab w:leader="none" w:pos="554"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Die Gesellschaft stellt dem Geschäftsführer zur Erfüllung seiner dienstlichen Aufgaben einen Dienstwagen der Mittelklasse zur Verfügung. Der Geschäftsführer kann den Dienstwagen auch privat nutzen. Der Geschäftsführer trägt die auf den geldwerten Vorteil der Privatnutzung entfallenden gesetzlichen Abgaben.</w:t>
      </w:r>
    </w:p>
    <w:p>
      <w:pPr>
        <w:spacing w:after="0" w:line="185" w:lineRule="exact"/>
        <w:rPr>
          <w:sz w:val="20"/>
          <w:szCs w:val="20"/>
          <w:color w:val="auto"/>
        </w:rPr>
      </w:pPr>
    </w:p>
    <w:p>
      <w:pPr>
        <w:jc w:val="both"/>
        <w:ind w:left="574" w:right="1080" w:hanging="569"/>
        <w:spacing w:after="0" w:line="251" w:lineRule="auto"/>
        <w:tabs>
          <w:tab w:leader="none" w:pos="554"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Die weiteren Einzelheiten richten sich nach der jeweils gültigen Dienstwagenrichtlinie der Gesellschaft. Soweit eine solche Richtlinie nicht vorhanden ist, ist Voraussetzung für die Nutzung des Dienstwagens der</w:t>
      </w:r>
    </w:p>
    <w:p>
      <w:pPr>
        <w:spacing w:after="0" w:line="1" w:lineRule="exact"/>
        <w:rPr>
          <w:sz w:val="20"/>
          <w:szCs w:val="20"/>
          <w:color w:val="auto"/>
        </w:rPr>
      </w:pPr>
    </w:p>
    <w:p>
      <w:pPr>
        <w:ind w:left="574" w:right="1100"/>
        <w:spacing w:after="0" w:line="251" w:lineRule="auto"/>
        <w:rPr>
          <w:sz w:val="20"/>
          <w:szCs w:val="20"/>
          <w:color w:val="auto"/>
        </w:rPr>
      </w:pPr>
      <w:r>
        <w:rPr>
          <w:rFonts w:ascii="Times New Roman" w:cs="Times New Roman" w:eastAsia="Times New Roman" w:hAnsi="Times New Roman"/>
          <w:sz w:val="18"/>
          <w:szCs w:val="18"/>
          <w:color w:val="auto"/>
        </w:rPr>
        <w:t>Abschluss einer separaten Dienstwagennutzungsvereinbarung (Anlage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330200</wp:posOffset>
            </wp:positionV>
            <wp:extent cx="713486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560" w:hanging="556"/>
        <w:spacing w:after="0" w:line="251" w:lineRule="auto"/>
        <w:tabs>
          <w:tab w:leader="none" w:pos="5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he Company shall provide a middle-class company car to the Managing Director for the fulfilment of his work tasks. The Managing Director may use the car also for private purposes. The Managing Director shall bear the statutory deductions for the cash benefit of the private use of the company car.</w:t>
      </w:r>
    </w:p>
    <w:p>
      <w:pPr>
        <w:spacing w:after="0" w:line="185" w:lineRule="exact"/>
        <w:rPr>
          <w:sz w:val="20"/>
          <w:szCs w:val="20"/>
          <w:color w:val="auto"/>
        </w:rPr>
      </w:pPr>
    </w:p>
    <w:p>
      <w:pPr>
        <w:jc w:val="both"/>
        <w:ind w:left="560" w:hanging="556"/>
        <w:spacing w:after="0" w:line="252" w:lineRule="auto"/>
        <w:tabs>
          <w:tab w:leader="none" w:pos="5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Further details shall be governed by the Company's company car policy as amended from time to time. If no such policy exists, the use of the company car is subject to the conclusion of a separate company car agreement (Appendix 1).</w:t>
      </w:r>
    </w:p>
    <w:p>
      <w:pPr>
        <w:spacing w:after="0" w:line="3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2">
            <w:col w:w="5814" w:space="720"/>
            <w:col w:w="4700"/>
          </w:cols>
          <w:pgMar w:left="326" w:top="559" w:right="339" w:bottom="1440" w:gutter="0" w:footer="0" w:header="0"/>
          <w:type w:val="continuous"/>
        </w:sectPr>
      </w:pPr>
    </w:p>
    <w:bookmarkStart w:id="102" w:name="page103"/>
    <w:bookmarkEnd w:id="102"/>
    <w:p>
      <w:pPr>
        <w:jc w:val="center"/>
        <w:ind w:right="6"/>
        <w:spacing w:after="0"/>
        <w:rPr>
          <w:sz w:val="20"/>
          <w:szCs w:val="20"/>
          <w:color w:val="auto"/>
        </w:rPr>
      </w:pPr>
      <w:r>
        <w:rPr>
          <w:rFonts w:ascii="Times New Roman" w:cs="Times New Roman" w:eastAsia="Times New Roman" w:hAnsi="Times New Roman"/>
          <w:sz w:val="21"/>
          <w:szCs w:val="21"/>
          <w:b w:val="1"/>
          <w:bCs w:val="1"/>
          <w:color w:val="auto"/>
        </w:rPr>
        <w:t>[Letterhead of Cohu GmbH]</w:t>
      </w:r>
    </w:p>
    <w:p>
      <w:pPr>
        <w:sectPr>
          <w:pgSz w:w="11900" w:h="16838" w:orient="portrait"/>
          <w:cols w:equalWidth="0" w:num="1">
            <w:col w:w="11234"/>
          </w:cols>
          <w:pgMar w:left="326" w:top="559" w:right="339" w:bottom="1440" w:gutter="0" w:footer="0" w:header="0"/>
        </w:sectPr>
      </w:pPr>
    </w:p>
    <w:p>
      <w:pPr>
        <w:spacing w:after="0" w:line="220" w:lineRule="exact"/>
        <w:rPr>
          <w:sz w:val="20"/>
          <w:szCs w:val="20"/>
          <w:color w:val="auto"/>
        </w:rPr>
      </w:pPr>
    </w:p>
    <w:p>
      <w:pPr>
        <w:ind w:left="574" w:hanging="574"/>
        <w:spacing w:after="0"/>
        <w:tabs>
          <w:tab w:leader="none" w:pos="574"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DIENSTZEIT</w:t>
      </w:r>
    </w:p>
    <w:p>
      <w:pPr>
        <w:spacing w:after="0" w:line="219" w:lineRule="exact"/>
        <w:rPr>
          <w:rFonts w:ascii="Times New Roman" w:cs="Times New Roman" w:eastAsia="Times New Roman" w:hAnsi="Times New Roman"/>
          <w:sz w:val="18"/>
          <w:szCs w:val="18"/>
          <w:b w:val="1"/>
          <w:bCs w:val="1"/>
          <w:color w:val="auto"/>
        </w:rPr>
      </w:pPr>
    </w:p>
    <w:p>
      <w:pPr>
        <w:jc w:val="both"/>
        <w:ind w:left="574" w:right="1078"/>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Der Geschäftsführer verpflichtet sich, seine ganze Arbeitskraft, fachlichen Kenntnisse und Erfahrungen der Gesellschaft zur Verfügung zu stellen.</w:t>
      </w:r>
    </w:p>
    <w:p>
      <w:pPr>
        <w:spacing w:after="0" w:line="175" w:lineRule="exact"/>
        <w:rPr>
          <w:rFonts w:ascii="Times New Roman" w:cs="Times New Roman" w:eastAsia="Times New Roman" w:hAnsi="Times New Roman"/>
          <w:sz w:val="18"/>
          <w:szCs w:val="18"/>
          <w:b w:val="1"/>
          <w:bCs w:val="1"/>
          <w:color w:val="auto"/>
        </w:rPr>
      </w:pPr>
    </w:p>
    <w:p>
      <w:pPr>
        <w:ind w:left="574" w:hanging="574"/>
        <w:spacing w:after="0"/>
        <w:tabs>
          <w:tab w:leader="none" w:pos="574"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URLAUB</w:t>
      </w:r>
    </w:p>
    <w:p>
      <w:pPr>
        <w:spacing w:after="0" w:line="219" w:lineRule="exact"/>
        <w:rPr>
          <w:sz w:val="20"/>
          <w:szCs w:val="20"/>
          <w:color w:val="auto"/>
        </w:rPr>
      </w:pPr>
    </w:p>
    <w:p>
      <w:pPr>
        <w:jc w:val="both"/>
        <w:ind w:left="574" w:right="1078" w:hanging="569"/>
        <w:spacing w:after="0" w:line="218" w:lineRule="exact"/>
        <w:tabs>
          <w:tab w:leader="none" w:pos="554"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Der Geschäftsführer hat Anspruch auf einen Urlaub von 30 Arbeitstagen pro Kalenderjahr („</w:t>
      </w:r>
      <w:r>
        <w:rPr>
          <w:rFonts w:ascii="Times New Roman" w:cs="Times New Roman" w:eastAsia="Times New Roman" w:hAnsi="Times New Roman"/>
          <w:sz w:val="18"/>
          <w:szCs w:val="18"/>
          <w:b w:val="1"/>
          <w:bCs w:val="1"/>
          <w:color w:val="auto"/>
        </w:rPr>
        <w:t>Urlaub</w:t>
      </w:r>
      <w:r>
        <w:rPr>
          <w:rFonts w:ascii="Times New Roman" w:cs="Times New Roman" w:eastAsia="Times New Roman" w:hAnsi="Times New Roman"/>
          <w:sz w:val="18"/>
          <w:szCs w:val="18"/>
          <w:color w:val="auto"/>
        </w:rPr>
        <w:t>“). Dieser setzt sich aus dem gesetzlichen Urlaubsanspruch von 20 Arbeitstagen („</w:t>
      </w:r>
      <w:r>
        <w:rPr>
          <w:rFonts w:ascii="Times New Roman" w:cs="Times New Roman" w:eastAsia="Times New Roman" w:hAnsi="Times New Roman"/>
          <w:sz w:val="18"/>
          <w:szCs w:val="18"/>
          <w:b w:val="1"/>
          <w:bCs w:val="1"/>
          <w:color w:val="auto"/>
        </w:rPr>
        <w:t>Gesetzlicher Urlaub</w:t>
      </w:r>
      <w:r>
        <w:rPr>
          <w:rFonts w:ascii="Times New Roman" w:cs="Times New Roman" w:eastAsia="Times New Roman" w:hAnsi="Times New Roman"/>
          <w:sz w:val="18"/>
          <w:szCs w:val="18"/>
          <w:color w:val="auto"/>
        </w:rPr>
        <w:t>“) sowie einem darüber hinausgehenden vertraglichen Urlaubsanspruch von 10 Arbeitstagen („</w:t>
      </w:r>
      <w:r>
        <w:rPr>
          <w:rFonts w:ascii="Times New Roman" w:cs="Times New Roman" w:eastAsia="Times New Roman" w:hAnsi="Times New Roman"/>
          <w:sz w:val="18"/>
          <w:szCs w:val="18"/>
          <w:b w:val="1"/>
          <w:bCs w:val="1"/>
          <w:color w:val="auto"/>
        </w:rPr>
        <w:t>Vertraglicher Urlaub</w:t>
      </w:r>
      <w:r>
        <w:rPr>
          <w:rFonts w:ascii="Times New Roman" w:cs="Times New Roman" w:eastAsia="Times New Roman" w:hAnsi="Times New Roman"/>
          <w:sz w:val="18"/>
          <w:szCs w:val="18"/>
          <w:color w:val="auto"/>
        </w:rPr>
        <w:t>“) zusammen. Der Vertragliche Urlaub wird im Jahr des Ein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und Austritts anteilig gewährt.</w:t>
      </w:r>
    </w:p>
    <w:p>
      <w:pPr>
        <w:spacing w:after="0" w:line="169" w:lineRule="exact"/>
        <w:rPr>
          <w:sz w:val="20"/>
          <w:szCs w:val="20"/>
          <w:color w:val="auto"/>
        </w:rPr>
      </w:pPr>
    </w:p>
    <w:p>
      <w:pPr>
        <w:jc w:val="both"/>
        <w:ind w:left="574" w:right="1078" w:hanging="569"/>
        <w:spacing w:after="0" w:line="251" w:lineRule="auto"/>
        <w:tabs>
          <w:tab w:leader="none" w:pos="554"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color w:val="auto"/>
        </w:rPr>
        <w:t>Der Geschäftsführer hat den Urlaub so einzurichten, dass den Bedürfnissen der Geschäftsführung Rechnung getragen wird. Die Urlaubszeiten sind mit den anderen Geschäftsführern / Geschäftsführerinnen, soweit vorhanden, abzustimmen, ansonsten mit der Gesellschafterversammlung.</w:t>
      </w:r>
    </w:p>
    <w:p>
      <w:pPr>
        <w:spacing w:after="0" w:line="185" w:lineRule="exact"/>
        <w:rPr>
          <w:sz w:val="20"/>
          <w:szCs w:val="20"/>
          <w:color w:val="auto"/>
        </w:rPr>
      </w:pPr>
    </w:p>
    <w:p>
      <w:pPr>
        <w:jc w:val="both"/>
        <w:ind w:left="574" w:right="1098" w:hanging="569"/>
        <w:spacing w:after="0" w:line="282" w:lineRule="auto"/>
        <w:tabs>
          <w:tab w:leader="none" w:pos="554"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7"/>
          <w:szCs w:val="17"/>
          <w:color w:val="auto"/>
        </w:rPr>
        <w:t>Der Urlaub ist grundsätzlich im laufenden Kalenderjahr zu nehmen. Durch den Geschäftsführer genommener Urlaub wird zunächst auf den Gesetzlichen Urlaub angerechnet.</w:t>
      </w:r>
    </w:p>
    <w:p>
      <w:pPr>
        <w:spacing w:after="0" w:line="159" w:lineRule="exact"/>
        <w:rPr>
          <w:sz w:val="20"/>
          <w:szCs w:val="20"/>
          <w:color w:val="auto"/>
        </w:rPr>
      </w:pPr>
    </w:p>
    <w:p>
      <w:pPr>
        <w:jc w:val="both"/>
        <w:ind w:left="574" w:right="1078" w:hanging="569"/>
        <w:spacing w:after="0" w:line="248" w:lineRule="auto"/>
        <w:tabs>
          <w:tab w:leader="none" w:pos="554"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color w:val="auto"/>
        </w:rPr>
        <w:t>Eine Übertragung des Urlaubs auf das nächste Kalenderjahr erfolgt nur, wenn dringende betriebliche oder in der Person des Geschäftsführers liegende Gründe dies rechtfertigen. Der so übertragene Urlaub verfällt, wenn er nicht bis zum 31. März des Folgejahres genommen wird. Der Verfall des Vertraglichen Urlaubs findet unabhängig davon statt, ob die Gesellschaft dazu aufgefordert hatte, den Vertraglichen Urlaub zu nehmen, oder ob die Gesellschaft über die Möglichkeit des Verfalls gesondert aufgeklärt hatte.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336550</wp:posOffset>
            </wp:positionV>
            <wp:extent cx="7134860" cy="165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562" w:hanging="562"/>
        <w:spacing w:after="0"/>
        <w:tabs>
          <w:tab w:leader="none" w:pos="562"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WORKING TIME</w:t>
      </w:r>
    </w:p>
    <w:p>
      <w:pPr>
        <w:spacing w:after="0" w:line="219" w:lineRule="exact"/>
        <w:rPr>
          <w:rFonts w:ascii="Times New Roman" w:cs="Times New Roman" w:eastAsia="Times New Roman" w:hAnsi="Times New Roman"/>
          <w:sz w:val="18"/>
          <w:szCs w:val="18"/>
          <w:b w:val="1"/>
          <w:bCs w:val="1"/>
          <w:color w:val="auto"/>
        </w:rPr>
      </w:pPr>
    </w:p>
    <w:p>
      <w:pPr>
        <w:jc w:val="both"/>
        <w:ind w:left="562"/>
        <w:spacing w:after="0" w:line="219" w:lineRule="exact"/>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Managing Director undertakes to dedicate his entire working capacity and his professional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and experience to the Company.</w:t>
      </w:r>
    </w:p>
    <w:p>
      <w:pPr>
        <w:spacing w:after="0" w:line="191" w:lineRule="exact"/>
        <w:rPr>
          <w:rFonts w:ascii="Times New Roman" w:cs="Times New Roman" w:eastAsia="Times New Roman" w:hAnsi="Times New Roman"/>
          <w:sz w:val="18"/>
          <w:szCs w:val="18"/>
          <w:b w:val="1"/>
          <w:bCs w:val="1"/>
          <w:color w:val="auto"/>
        </w:rPr>
      </w:pPr>
    </w:p>
    <w:p>
      <w:pPr>
        <w:ind w:left="562" w:hanging="562"/>
        <w:spacing w:after="0"/>
        <w:tabs>
          <w:tab w:leader="none" w:pos="562"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HOLIDAY</w:t>
      </w:r>
    </w:p>
    <w:p>
      <w:pPr>
        <w:spacing w:after="0" w:line="219" w:lineRule="exact"/>
        <w:rPr>
          <w:sz w:val="20"/>
          <w:szCs w:val="20"/>
          <w:color w:val="auto"/>
        </w:rPr>
      </w:pPr>
    </w:p>
    <w:p>
      <w:pPr>
        <w:jc w:val="both"/>
        <w:ind w:left="562" w:hanging="556"/>
        <w:spacing w:after="0" w:line="249" w:lineRule="auto"/>
        <w:tabs>
          <w:tab w:leader="none" w:pos="541"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The Managing Director is entitled to holiday leave of 30 working days per calendar year (“</w:t>
      </w:r>
      <w:r>
        <w:rPr>
          <w:rFonts w:ascii="Times New Roman" w:cs="Times New Roman" w:eastAsia="Times New Roman" w:hAnsi="Times New Roman"/>
          <w:sz w:val="18"/>
          <w:szCs w:val="18"/>
          <w:b w:val="1"/>
          <w:bCs w:val="1"/>
          <w:color w:val="auto"/>
        </w:rPr>
        <w:t>Holiday</w:t>
      </w:r>
      <w:r>
        <w:rPr>
          <w:rFonts w:ascii="Times New Roman" w:cs="Times New Roman" w:eastAsia="Times New Roman" w:hAnsi="Times New Roman"/>
          <w:sz w:val="18"/>
          <w:szCs w:val="18"/>
          <w:color w:val="auto"/>
        </w:rPr>
        <w:t>”). This entitlement consists of 20 working days statutory holiday entitlement (“</w:t>
      </w:r>
      <w:r>
        <w:rPr>
          <w:rFonts w:ascii="Times New Roman" w:cs="Times New Roman" w:eastAsia="Times New Roman" w:hAnsi="Times New Roman"/>
          <w:sz w:val="18"/>
          <w:szCs w:val="18"/>
          <w:b w:val="1"/>
          <w:bCs w:val="1"/>
          <w:color w:val="auto"/>
        </w:rPr>
        <w:t>Statutory Holiday</w:t>
      </w:r>
      <w:r>
        <w:rPr>
          <w:rFonts w:ascii="Times New Roman" w:cs="Times New Roman" w:eastAsia="Times New Roman" w:hAnsi="Times New Roman"/>
          <w:sz w:val="18"/>
          <w:szCs w:val="18"/>
          <w:color w:val="auto"/>
        </w:rPr>
        <w:t>”) and 10 working days' contractual holiday entitlement (“</w:t>
      </w:r>
      <w:r>
        <w:rPr>
          <w:rFonts w:ascii="Times New Roman" w:cs="Times New Roman" w:eastAsia="Times New Roman" w:hAnsi="Times New Roman"/>
          <w:sz w:val="18"/>
          <w:szCs w:val="18"/>
          <w:b w:val="1"/>
          <w:bCs w:val="1"/>
          <w:color w:val="auto"/>
        </w:rPr>
        <w:t>Contractual Holiday</w:t>
      </w:r>
      <w:r>
        <w:rPr>
          <w:rFonts w:ascii="Times New Roman" w:cs="Times New Roman" w:eastAsia="Times New Roman" w:hAnsi="Times New Roman"/>
          <w:sz w:val="18"/>
          <w:szCs w:val="18"/>
          <w:color w:val="auto"/>
        </w:rPr>
        <w:t>”). In the year in which the service relationship commences or terminates, the contractual holiday will be granted on a pro rata basis.</w:t>
      </w:r>
    </w:p>
    <w:p>
      <w:pPr>
        <w:spacing w:after="0" w:line="190" w:lineRule="exact"/>
        <w:rPr>
          <w:sz w:val="20"/>
          <w:szCs w:val="20"/>
          <w:color w:val="auto"/>
        </w:rPr>
      </w:pPr>
    </w:p>
    <w:p>
      <w:pPr>
        <w:jc w:val="both"/>
        <w:ind w:left="562" w:hanging="556"/>
        <w:spacing w:after="0" w:line="252" w:lineRule="auto"/>
        <w:tabs>
          <w:tab w:leader="none" w:pos="541"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color w:val="auto"/>
        </w:rPr>
        <w:t>The Managing Director shall plan the Holiday in accordance with the business needs of the Company. He must coordinate his Holiday with the other Managing Directors, if any, otherwise with the Shareholders' Meeting.</w:t>
      </w:r>
    </w:p>
    <w:p>
      <w:pPr>
        <w:spacing w:after="0" w:line="397" w:lineRule="exact"/>
        <w:rPr>
          <w:sz w:val="20"/>
          <w:szCs w:val="20"/>
          <w:color w:val="auto"/>
        </w:rPr>
      </w:pPr>
    </w:p>
    <w:p>
      <w:pPr>
        <w:jc w:val="both"/>
        <w:ind w:left="562" w:hanging="556"/>
        <w:spacing w:after="0" w:line="282" w:lineRule="auto"/>
        <w:tabs>
          <w:tab w:leader="none" w:pos="541"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7"/>
          <w:szCs w:val="17"/>
          <w:color w:val="auto"/>
        </w:rPr>
        <w:t>The Holiday must generally be taken during the current calendar year. Any Holiday taken by the Managing Director will be set off against the Statutory Holiday first.</w:t>
      </w:r>
    </w:p>
    <w:p>
      <w:pPr>
        <w:spacing w:after="0" w:line="159" w:lineRule="exact"/>
        <w:rPr>
          <w:sz w:val="20"/>
          <w:szCs w:val="20"/>
          <w:color w:val="auto"/>
        </w:rPr>
      </w:pPr>
    </w:p>
    <w:p>
      <w:pPr>
        <w:jc w:val="both"/>
        <w:ind w:left="562" w:hanging="556"/>
        <w:spacing w:after="0" w:line="248" w:lineRule="auto"/>
        <w:tabs>
          <w:tab w:leader="none" w:pos="541"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color w:val="auto"/>
        </w:rPr>
        <w:t>Holiday may only be carried over to the next calendar year if justified by urgent business reasons or reasons relating to the Managing Director personally. Any Holiday carried forward from the past calendar year will be forfeited if not taken by 31 March in the following year. The forfeiture of the Contractual Holiday takes place irrespective of whether the Company had requested the Managing Director to take the Contractual Holiday or whether the Company had separately informed of the possibility of forfeiture.</w:t>
      </w:r>
    </w:p>
    <w:p>
      <w:pPr>
        <w:spacing w:after="0" w:line="1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2">
            <w:col w:w="5812" w:space="720"/>
            <w:col w:w="4702"/>
          </w:cols>
          <w:pgMar w:left="326" w:top="559" w:right="339" w:bottom="1440" w:gutter="0" w:footer="0" w:header="0"/>
          <w:type w:val="continuous"/>
        </w:sectPr>
      </w:pPr>
    </w:p>
    <w:bookmarkStart w:id="103" w:name="page104"/>
    <w:bookmarkEnd w:id="103"/>
    <w:p>
      <w:pPr>
        <w:jc w:val="center"/>
        <w:spacing w:after="0"/>
        <w:rPr>
          <w:sz w:val="20"/>
          <w:szCs w:val="20"/>
          <w:color w:val="auto"/>
        </w:rPr>
      </w:pPr>
      <w:r>
        <w:rPr>
          <w:rFonts w:ascii="Times New Roman" w:cs="Times New Roman" w:eastAsia="Times New Roman" w:hAnsi="Times New Roman"/>
          <w:sz w:val="21"/>
          <w:szCs w:val="21"/>
          <w:b w:val="1"/>
          <w:bCs w:val="1"/>
          <w:color w:val="auto"/>
        </w:rPr>
        <w:t>[Letterhead of Cohu GmbH]</w:t>
      </w:r>
    </w:p>
    <w:p>
      <w:pPr>
        <w:sectPr>
          <w:pgSz w:w="11900" w:h="16838" w:orient="portrait"/>
          <w:cols w:equalWidth="0" w:num="1">
            <w:col w:w="11240"/>
          </w:cols>
          <w:pgMar w:left="320" w:top="559" w:right="339" w:bottom="1440" w:gutter="0" w:footer="0" w:header="0"/>
        </w:sectPr>
      </w:pPr>
    </w:p>
    <w:p>
      <w:pPr>
        <w:spacing w:after="0" w:line="222" w:lineRule="exact"/>
        <w:rPr>
          <w:sz w:val="20"/>
          <w:szCs w:val="20"/>
          <w:color w:val="auto"/>
        </w:rPr>
      </w:pPr>
    </w:p>
    <w:p>
      <w:pPr>
        <w:jc w:val="both"/>
        <w:ind w:left="580" w:right="1078" w:hanging="569"/>
        <w:spacing w:after="0" w:line="253" w:lineRule="auto"/>
        <w:tabs>
          <w:tab w:leader="none" w:pos="56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8"/>
          <w:szCs w:val="18"/>
          <w:color w:val="auto"/>
        </w:rPr>
        <w:t>Ist der Geschäftsführer infolge einer ärztlich nachgewiesenen, krankheitsbedingten Arbeitsunfähigkeit daran gehindert, den übertragenen Urlaub bis zum</w:t>
      </w:r>
    </w:p>
    <w:p>
      <w:pPr>
        <w:spacing w:after="0" w:line="1" w:lineRule="exact"/>
        <w:rPr>
          <w:sz w:val="20"/>
          <w:szCs w:val="20"/>
          <w:color w:val="auto"/>
        </w:rPr>
      </w:pPr>
    </w:p>
    <w:p>
      <w:pPr>
        <w:jc w:val="both"/>
        <w:ind w:left="580" w:right="1078" w:hanging="4"/>
        <w:spacing w:after="0" w:line="246" w:lineRule="auto"/>
        <w:tabs>
          <w:tab w:leader="none" w:pos="89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März des Folgejahres zu nehmen, besteht nur der Gesetzliche Urlaub auch über diesen Zeitpunkt hinaus fort. Für diesen fortbestehenden Gesetzlichen Urlaub gelten die Regelungen der Ziffern 6.3 und 6.4 entsprechend, d.h. dieser fortbestehende Gesetzliche Urlaub verfällt spätestens 15 Monate nach Ende des Kalenderjahres, in dem der Gesetzliche Urlaub entstanden ist. Der Vertragliche Urlaub verfällt in einem solchen Fall nach Ziffer 6.4.</w:t>
      </w:r>
    </w:p>
    <w:p>
      <w:pPr>
        <w:spacing w:after="0" w:line="191" w:lineRule="exact"/>
        <w:rPr>
          <w:sz w:val="20"/>
          <w:szCs w:val="20"/>
          <w:color w:val="auto"/>
        </w:rPr>
      </w:pPr>
    </w:p>
    <w:p>
      <w:pPr>
        <w:jc w:val="both"/>
        <w:ind w:left="580" w:right="1078" w:hanging="569"/>
        <w:spacing w:after="0" w:line="250" w:lineRule="auto"/>
        <w:tabs>
          <w:tab w:leader="none" w:pos="560" w:val="left"/>
        </w:tabs>
        <w:rPr>
          <w:sz w:val="20"/>
          <w:szCs w:val="20"/>
          <w:color w:val="auto"/>
        </w:rPr>
      </w:pPr>
      <w:r>
        <w:rPr>
          <w:rFonts w:ascii="Times New Roman" w:cs="Times New Roman" w:eastAsia="Times New Roman" w:hAnsi="Times New Roman"/>
          <w:sz w:val="18"/>
          <w:szCs w:val="18"/>
          <w:color w:val="auto"/>
        </w:rPr>
        <w:t>6.6</w:t>
      </w:r>
      <w:r>
        <w:rPr>
          <w:sz w:val="20"/>
          <w:szCs w:val="20"/>
          <w:color w:val="auto"/>
        </w:rPr>
        <w:tab/>
      </w:r>
      <w:r>
        <w:rPr>
          <w:rFonts w:ascii="Times New Roman" w:cs="Times New Roman" w:eastAsia="Times New Roman" w:hAnsi="Times New Roman"/>
          <w:sz w:val="18"/>
          <w:szCs w:val="18"/>
          <w:color w:val="auto"/>
        </w:rPr>
        <w:t>Bei Beendigung des Geschäftsführerdienstvertrages ist eine Abgeltung Vertraglichen Urlaubs ausgeschlossen. Eine Abgeltung des verbleibenden Gesetzlichen Urlaubs bestimmt sich nach den gesetzlichen Regelungen. Dies gilt auch, sofern Urlaubsabgeltung zu leisten ist, weil der Geschäftsführer den Gesetzlichen Urlaub wegen des in Ziffer 6.5 geregelten Sachverhalts nicht nehmen konnte.</w:t>
      </w:r>
    </w:p>
    <w:p>
      <w:pPr>
        <w:spacing w:after="0" w:line="397" w:lineRule="exact"/>
        <w:rPr>
          <w:sz w:val="20"/>
          <w:szCs w:val="20"/>
          <w:color w:val="auto"/>
        </w:rPr>
      </w:pPr>
    </w:p>
    <w:p>
      <w:pPr>
        <w:ind w:left="580" w:hanging="574"/>
        <w:spacing w:after="0"/>
        <w:tabs>
          <w:tab w:leader="none" w:pos="58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DAUER, BEENDIGUNG, FREISTELLUNG</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jc w:val="both"/>
        <w:ind w:left="562" w:hanging="556"/>
        <w:spacing w:after="0" w:line="248" w:lineRule="auto"/>
        <w:tabs>
          <w:tab w:leader="none" w:pos="541"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8"/>
          <w:szCs w:val="18"/>
          <w:color w:val="auto"/>
        </w:rPr>
        <w:t xml:space="preserve">n cases where the Managing Director, as a direct consequence of a medically certified incapacity to work due to illness, is prevented from taking carried over Holiday by 31 March in the following year, only the remaining Statutory Holiday will persist beyond that date. With regard to this remaining Statutory Holiday clauses 6.3 and 6.4 shall apply accordingly,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this remaining Statutory Holiday will be forfeited at the latest 15 months after the end of the calendar year in which the Statutory Holiday accrued. In such case, the Contractual Holiday will be forfeited according to clause 6.4.</w:t>
      </w:r>
    </w:p>
    <w:p>
      <w:pPr>
        <w:spacing w:after="0" w:line="200" w:lineRule="exact"/>
        <w:rPr>
          <w:sz w:val="20"/>
          <w:szCs w:val="20"/>
          <w:color w:val="auto"/>
        </w:rPr>
      </w:pPr>
    </w:p>
    <w:p>
      <w:pPr>
        <w:spacing w:after="0" w:line="203" w:lineRule="exact"/>
        <w:rPr>
          <w:sz w:val="20"/>
          <w:szCs w:val="20"/>
          <w:color w:val="auto"/>
        </w:rPr>
      </w:pPr>
    </w:p>
    <w:p>
      <w:pPr>
        <w:jc w:val="both"/>
        <w:ind w:left="562" w:hanging="556"/>
        <w:spacing w:after="0" w:line="249" w:lineRule="auto"/>
        <w:tabs>
          <w:tab w:leader="none" w:pos="541" w:val="left"/>
        </w:tabs>
        <w:rPr>
          <w:sz w:val="20"/>
          <w:szCs w:val="20"/>
          <w:color w:val="auto"/>
        </w:rPr>
      </w:pPr>
      <w:r>
        <w:rPr>
          <w:rFonts w:ascii="Times New Roman" w:cs="Times New Roman" w:eastAsia="Times New Roman" w:hAnsi="Times New Roman"/>
          <w:sz w:val="18"/>
          <w:szCs w:val="18"/>
          <w:color w:val="auto"/>
        </w:rPr>
        <w:t>6.6</w:t>
      </w:r>
      <w:r>
        <w:rPr>
          <w:sz w:val="20"/>
          <w:szCs w:val="20"/>
          <w:color w:val="auto"/>
        </w:rPr>
        <w:tab/>
      </w:r>
      <w:r>
        <w:rPr>
          <w:rFonts w:ascii="Times New Roman" w:cs="Times New Roman" w:eastAsia="Times New Roman" w:hAnsi="Times New Roman"/>
          <w:sz w:val="18"/>
          <w:szCs w:val="18"/>
          <w:color w:val="auto"/>
        </w:rPr>
        <w:t>There will be no payment in lieu of untaken Contractual Holiday on termination of this Managing Director Agreement. Payment in lieu of the remaining Statutory Holiday entitlement is determined by the statutory provisions. This will also apply if payment in lieu of untaken holiday is payable due to the Managing Director not having been able to take his Statutory Holiday due to the circumstances set out in clause 6.5.</w:t>
      </w:r>
    </w:p>
    <w:p>
      <w:pPr>
        <w:spacing w:after="0" w:line="188" w:lineRule="exact"/>
        <w:rPr>
          <w:sz w:val="20"/>
          <w:szCs w:val="20"/>
          <w:color w:val="auto"/>
        </w:rPr>
      </w:pPr>
    </w:p>
    <w:p>
      <w:pPr>
        <w:ind w:left="562" w:hanging="562"/>
        <w:spacing w:after="0"/>
        <w:tabs>
          <w:tab w:leader="none" w:pos="562"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 TERMINATION, RELEASE FROM WORK</w:t>
      </w:r>
    </w:p>
    <w:p>
      <w:pPr>
        <w:spacing w:after="0" w:line="200" w:lineRule="exact"/>
        <w:rPr>
          <w:sz w:val="20"/>
          <w:szCs w:val="20"/>
          <w:color w:val="auto"/>
        </w:rPr>
      </w:pPr>
    </w:p>
    <w:p>
      <w:pPr>
        <w:sectPr>
          <w:pgSz w:w="11900" w:h="16838" w:orient="portrait"/>
          <w:cols w:equalWidth="0" w:num="2">
            <w:col w:w="5818" w:space="720"/>
            <w:col w:w="4702"/>
          </w:cols>
          <w:pgMar w:left="320" w:top="559" w:right="339" w:bottom="1440" w:gutter="0" w:footer="0" w:header="0"/>
          <w:type w:val="continuous"/>
        </w:sectPr>
      </w:pPr>
    </w:p>
    <w:p>
      <w:pPr>
        <w:spacing w:after="0" w:line="19" w:lineRule="exact"/>
        <w:rPr>
          <w:sz w:val="20"/>
          <w:szCs w:val="20"/>
          <w:color w:val="auto"/>
        </w:rPr>
      </w:pPr>
    </w:p>
    <w:p>
      <w:pPr>
        <w:ind w:left="580" w:right="1080" w:hanging="569"/>
        <w:spacing w:after="0" w:line="274" w:lineRule="auto"/>
        <w:tabs>
          <w:tab w:leader="none" w:pos="56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color w:val="auto"/>
        </w:rPr>
        <w:t>Dieser Geschäftsführervertrag tritt mit sofortiger Wirkung in Kraft und ist unbefristet.</w:t>
      </w:r>
    </w:p>
    <w:p>
      <w:pPr>
        <w:spacing w:after="0" w:line="163" w:lineRule="exact"/>
        <w:rPr>
          <w:sz w:val="20"/>
          <w:szCs w:val="20"/>
          <w:color w:val="auto"/>
        </w:rPr>
      </w:pPr>
    </w:p>
    <w:p>
      <w:pPr>
        <w:ind w:left="580" w:right="1080" w:hanging="569"/>
        <w:spacing w:after="0" w:line="274" w:lineRule="auto"/>
        <w:tabs>
          <w:tab w:leader="none" w:pos="56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color w:val="auto"/>
        </w:rPr>
        <w:t>Die Kündigungsfrist beträgt für beide Parteien 6 Monate zum Monatsende.</w:t>
      </w:r>
    </w:p>
    <w:p>
      <w:pPr>
        <w:spacing w:after="0" w:line="163" w:lineRule="exact"/>
        <w:rPr>
          <w:sz w:val="20"/>
          <w:szCs w:val="20"/>
          <w:color w:val="auto"/>
        </w:rPr>
      </w:pPr>
    </w:p>
    <w:p>
      <w:pPr>
        <w:ind w:left="580" w:right="1080" w:hanging="569"/>
        <w:spacing w:after="0" w:line="274" w:lineRule="auto"/>
        <w:tabs>
          <w:tab w:leader="none" w:pos="56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8"/>
          <w:szCs w:val="18"/>
          <w:color w:val="auto"/>
        </w:rPr>
        <w:t>Hiervon unberührt bleibt das Recht zur Kündigung aus wichtigem Grund.</w:t>
      </w:r>
    </w:p>
    <w:p>
      <w:pPr>
        <w:spacing w:after="0" w:line="16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7"/>
          <w:szCs w:val="17"/>
          <w:color w:val="auto"/>
        </w:rPr>
        <w:t>Die Kündigung bedarf der Schriftform.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351155</wp:posOffset>
            </wp:positionV>
            <wp:extent cx="713486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560" w:hanging="556"/>
        <w:spacing w:after="0" w:line="274" w:lineRule="auto"/>
        <w:tabs>
          <w:tab w:leader="none" w:pos="54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color w:val="auto"/>
        </w:rPr>
        <w:t>This Managing Director Agreement shall become effective immediately and shall be for an indefinite term.</w:t>
      </w:r>
    </w:p>
    <w:p>
      <w:pPr>
        <w:spacing w:after="0" w:line="163" w:lineRule="exact"/>
        <w:rPr>
          <w:sz w:val="20"/>
          <w:szCs w:val="20"/>
          <w:color w:val="auto"/>
        </w:rPr>
      </w:pPr>
    </w:p>
    <w:p>
      <w:pPr>
        <w:ind w:left="560" w:hanging="556"/>
        <w:spacing w:after="0" w:line="274" w:lineRule="auto"/>
        <w:tabs>
          <w:tab w:leader="none" w:pos="54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color w:val="auto"/>
        </w:rPr>
        <w:t>For both parties the notice period shall be 6 months to the end of the month.</w:t>
      </w:r>
    </w:p>
    <w:p>
      <w:pPr>
        <w:spacing w:after="0" w:line="163" w:lineRule="exact"/>
        <w:rPr>
          <w:sz w:val="20"/>
          <w:szCs w:val="20"/>
          <w:color w:val="auto"/>
        </w:rPr>
      </w:pPr>
    </w:p>
    <w:p>
      <w:pPr>
        <w:ind w:left="560" w:hanging="556"/>
        <w:spacing w:after="0" w:line="274" w:lineRule="auto"/>
        <w:tabs>
          <w:tab w:leader="none" w:pos="54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8"/>
          <w:szCs w:val="18"/>
          <w:color w:val="auto"/>
        </w:rPr>
        <w:t>The right to terminate the service relationship for severe cause shall remain unaffected thereof.</w:t>
      </w:r>
    </w:p>
    <w:p>
      <w:pPr>
        <w:spacing w:after="0" w:line="163" w:lineRule="exact"/>
        <w:rPr>
          <w:sz w:val="20"/>
          <w:szCs w:val="20"/>
          <w:color w:val="auto"/>
        </w:rPr>
      </w:pPr>
    </w:p>
    <w:p>
      <w:pPr>
        <w:jc w:val="center"/>
        <w:ind w:right="1860"/>
        <w:spacing w:after="0"/>
        <w:tabs>
          <w:tab w:leader="none" w:pos="32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7"/>
          <w:szCs w:val="17"/>
          <w:color w:val="auto"/>
        </w:rPr>
        <w:t>Notice must be given in writing.</w:t>
      </w:r>
    </w:p>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2">
            <w:col w:w="5820" w:space="720"/>
            <w:col w:w="4700"/>
          </w:cols>
          <w:pgMar w:left="320" w:top="559" w:right="339" w:bottom="1440" w:gutter="0" w:footer="0" w:header="0"/>
          <w:type w:val="continuous"/>
        </w:sectPr>
      </w:pPr>
    </w:p>
    <w:bookmarkStart w:id="104" w:name="page105"/>
    <w:bookmarkEnd w:id="104"/>
    <w:p>
      <w:pPr>
        <w:jc w:val="center"/>
        <w:ind w:right="580"/>
        <w:spacing w:after="0"/>
        <w:rPr>
          <w:sz w:val="20"/>
          <w:szCs w:val="20"/>
          <w:color w:val="auto"/>
        </w:rPr>
      </w:pPr>
      <w:r>
        <w:rPr>
          <w:rFonts w:ascii="Times New Roman" w:cs="Times New Roman" w:eastAsia="Times New Roman" w:hAnsi="Times New Roman"/>
          <w:sz w:val="21"/>
          <w:szCs w:val="21"/>
          <w:b w:val="1"/>
          <w:bCs w:val="1"/>
          <w:color w:val="auto"/>
        </w:rPr>
        <w:t>[Letterhead of Cohu GmbH]</w:t>
      </w:r>
    </w:p>
    <w:p>
      <w:pPr>
        <w:sectPr>
          <w:pgSz w:w="11900" w:h="16838" w:orient="portrait"/>
          <w:cols w:equalWidth="0" w:num="1">
            <w:col w:w="10660"/>
          </w:cols>
          <w:pgMar w:left="900" w:top="559" w:right="339" w:bottom="1440" w:gutter="0" w:footer="0" w:header="0"/>
        </w:sectPr>
      </w:pPr>
    </w:p>
    <w:p>
      <w:pPr>
        <w:spacing w:after="0" w:line="222" w:lineRule="exact"/>
        <w:rPr>
          <w:sz w:val="20"/>
          <w:szCs w:val="20"/>
          <w:color w:val="auto"/>
        </w:rPr>
      </w:pPr>
    </w:p>
    <w:p>
      <w:pPr>
        <w:jc w:val="both"/>
        <w:ind w:right="1080" w:hanging="569"/>
        <w:spacing w:after="0" w:line="248" w:lineRule="auto"/>
        <w:rPr>
          <w:sz w:val="20"/>
          <w:szCs w:val="20"/>
          <w:color w:val="auto"/>
        </w:rPr>
      </w:pPr>
      <w:r>
        <w:rPr>
          <w:rFonts w:ascii="Times New Roman" w:cs="Times New Roman" w:eastAsia="Times New Roman" w:hAnsi="Times New Roman"/>
          <w:sz w:val="18"/>
          <w:szCs w:val="18"/>
          <w:color w:val="auto"/>
        </w:rPr>
        <w:t>7.5</w:t>
      </w:r>
      <w:r>
        <w:rPr>
          <w:sz w:val="20"/>
          <w:szCs w:val="20"/>
          <w:color w:val="auto"/>
        </w:rPr>
        <w:t xml:space="preserve"> </w:t>
      </w:r>
      <w:r>
        <w:rPr>
          <w:rFonts w:ascii="Times New Roman" w:cs="Times New Roman" w:eastAsia="Times New Roman" w:hAnsi="Times New Roman"/>
          <w:sz w:val="18"/>
          <w:szCs w:val="18"/>
          <w:color w:val="auto"/>
        </w:rPr>
        <w:t>Das Anstellungsverhältnis endet in jedem Fall, ohne dass es des Ausspruchs einer Kündigung bedarf, mit Ablauf des Monats, (i) in dem der Geschäftsführer die Regelaltersgrenze der gesetzlichen Rentenversicherung erreicht hat und eine ungekürzte Rente wegen Alters beanspruchen kann oder (ii) ihm ein Bescheid über die Gewährung einer Rente wegen voller Erwerbsminderung zugestellt wird; bei späterem Beginn der Rente endet der Geschäftsführervertrag mit Ablauf des Tages vor Beginn der Rentenzahlungen; der Geschäftsführer ist verpflichtet, den Bescheid unverzüglich der Gesellschaft zu übermitteln.</w:t>
      </w:r>
    </w:p>
    <w:p>
      <w:pPr>
        <w:spacing w:after="0" w:line="151" w:lineRule="exact"/>
        <w:rPr>
          <w:sz w:val="20"/>
          <w:szCs w:val="20"/>
          <w:color w:val="auto"/>
        </w:rPr>
      </w:pPr>
    </w:p>
    <w:p>
      <w:pPr>
        <w:jc w:val="both"/>
        <w:ind w:right="1080" w:hanging="569"/>
        <w:spacing w:after="0" w:line="216" w:lineRule="exact"/>
        <w:rPr>
          <w:sz w:val="20"/>
          <w:szCs w:val="20"/>
          <w:color w:val="auto"/>
        </w:rPr>
      </w:pPr>
      <w:r>
        <w:rPr>
          <w:rFonts w:ascii="Times New Roman" w:cs="Times New Roman" w:eastAsia="Times New Roman" w:hAnsi="Times New Roman"/>
          <w:sz w:val="18"/>
          <w:szCs w:val="18"/>
          <w:color w:val="auto"/>
        </w:rPr>
        <w:t>7.6</w:t>
      </w:r>
      <w:r>
        <w:rPr>
          <w:sz w:val="20"/>
          <w:szCs w:val="20"/>
          <w:color w:val="auto"/>
        </w:rPr>
        <w:t xml:space="preserve"> </w:t>
      </w:r>
      <w:r>
        <w:rPr>
          <w:rFonts w:ascii="Times New Roman" w:cs="Times New Roman" w:eastAsia="Times New Roman" w:hAnsi="Times New Roman"/>
          <w:sz w:val="18"/>
          <w:szCs w:val="18"/>
          <w:color w:val="auto"/>
        </w:rPr>
        <w:t>Die Gesellschafterversammlung ist be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rechtigt, den Geschäftsführer im Falle einer Kündigung, des Widerrufs der Bestellung, der Niederlegung oder bei einem berechtigten, überwiegenden Interesse der Gesellschaft dauerhaft oder vorübergehend von der Erbringung der Arbeitsleistung unter Fortzahlung nur des Festgehalts gemäß Ziffer 3.1 freizustellen. Ein Anspruch auf eine etwaig vertraglich vereinbarte variable Vergütung besteht für die Zeit der Freistellung nicht. Für die Zeit der Freistellung wird auf die Vergütung des Geschäftsführers alles angerechnet, was er durch anderweitige Verwertung seiner Arbeitskraft erwirbt oder böswillig zu erwerben unterlässt. Der Geschäftsführer ist verpflichtet, die Gesellschaft über die Aufnahme einer anderweitigen</w:t>
      </w:r>
    </w:p>
    <w:p>
      <w:pPr>
        <w:spacing w:after="0" w:line="7" w:lineRule="exact"/>
        <w:rPr>
          <w:sz w:val="20"/>
          <w:szCs w:val="20"/>
          <w:color w:val="auto"/>
        </w:rPr>
      </w:pPr>
    </w:p>
    <w:p>
      <w:pPr>
        <w:jc w:val="both"/>
        <w:ind w:right="1080"/>
        <w:spacing w:after="0" w:line="263" w:lineRule="auto"/>
        <w:rPr>
          <w:sz w:val="20"/>
          <w:szCs w:val="20"/>
          <w:color w:val="auto"/>
        </w:rPr>
      </w:pPr>
      <w:r>
        <w:rPr>
          <w:rFonts w:ascii="Times New Roman" w:cs="Times New Roman" w:eastAsia="Times New Roman" w:hAnsi="Times New Roman"/>
          <w:sz w:val="17"/>
          <w:szCs w:val="17"/>
          <w:color w:val="auto"/>
        </w:rPr>
        <w:t>Tätigkeit und den diesbezüglichen Vertragspartner/Arbeitgeber zu unterrichten. Soweit die Freistellung unwiderruflich ist, wird der bereits entstandene oder noch entstehende Urlaubsanspruch sowie danach sämtliche Ansprüche auf Freizeitausgleich angerechnet. Während einer Freistellung ist dem Geschäftsführer weiterhin jeglicher Wettbewerb untersagt.</w:t>
      </w:r>
    </w:p>
    <w:p>
      <w:pPr>
        <w:spacing w:after="0" w:line="177" w:lineRule="exact"/>
        <w:rPr>
          <w:sz w:val="20"/>
          <w:szCs w:val="20"/>
          <w:color w:val="auto"/>
        </w:rPr>
      </w:pPr>
    </w:p>
    <w:p>
      <w:pPr>
        <w:jc w:val="both"/>
        <w:ind w:right="1080" w:hanging="569"/>
        <w:spacing w:after="0" w:line="255" w:lineRule="auto"/>
        <w:rPr>
          <w:sz w:val="20"/>
          <w:szCs w:val="20"/>
          <w:color w:val="auto"/>
        </w:rPr>
      </w:pPr>
      <w:r>
        <w:rPr>
          <w:rFonts w:ascii="Times New Roman" w:cs="Times New Roman" w:eastAsia="Times New Roman" w:hAnsi="Times New Roman"/>
          <w:sz w:val="18"/>
          <w:szCs w:val="18"/>
          <w:color w:val="auto"/>
        </w:rPr>
        <w:t>7.7</w:t>
      </w:r>
      <w:r>
        <w:rPr>
          <w:sz w:val="20"/>
          <w:szCs w:val="20"/>
          <w:color w:val="auto"/>
        </w:rPr>
        <w:t xml:space="preserve"> </w:t>
      </w:r>
      <w:r>
        <w:rPr>
          <w:rFonts w:ascii="Times New Roman" w:cs="Times New Roman" w:eastAsia="Times New Roman" w:hAnsi="Times New Roman"/>
          <w:sz w:val="18"/>
          <w:szCs w:val="18"/>
          <w:color w:val="auto"/>
        </w:rPr>
        <w:t>Die Bestellung zum Geschäftsführer kann durch Beschluss des satzungsmäßigen Organs jederzeit widerrufen werden. Der Widerruf gilt als Kündigung des Anstellungsverhältnisses zum nächstzulässigen Termin.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462915</wp:posOffset>
            </wp:positionV>
            <wp:extent cx="7134860" cy="165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jc w:val="both"/>
        <w:ind w:left="560" w:hanging="556"/>
        <w:spacing w:after="0" w:line="216" w:lineRule="exact"/>
        <w:tabs>
          <w:tab w:leader="none" w:pos="54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7"/>
          <w:szCs w:val="17"/>
          <w:color w:val="auto"/>
        </w:rPr>
        <w:t>In any case, the service relationship shall come to an end, without any notice requirement, upon the expiration of the month in which the Managing Director (i) reaches the usual age threshold of the statutory pension insurance and is entitled to an old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age pension (without reductions) or</w:t>
      </w:r>
    </w:p>
    <w:p>
      <w:pPr>
        <w:spacing w:after="0" w:line="1" w:lineRule="exact"/>
        <w:rPr>
          <w:sz w:val="20"/>
          <w:szCs w:val="20"/>
          <w:color w:val="auto"/>
        </w:rPr>
      </w:pPr>
    </w:p>
    <w:p>
      <w:pPr>
        <w:jc w:val="both"/>
        <w:ind w:left="560" w:hanging="5"/>
        <w:spacing w:after="0" w:line="246" w:lineRule="auto"/>
        <w:tabs>
          <w:tab w:leader="none" w:pos="85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served an official notification to be entitled to a pension due to permanent disability; in case pension payments starts later, the service relationship ends at the end of the day prior to the beginning of the pension payments; the Managing Director shall inform the Company of such notification without undue delay.</w:t>
      </w:r>
    </w:p>
    <w:p>
      <w:pPr>
        <w:spacing w:after="0" w:line="200" w:lineRule="exact"/>
        <w:rPr>
          <w:sz w:val="20"/>
          <w:szCs w:val="20"/>
          <w:color w:val="auto"/>
        </w:rPr>
      </w:pPr>
    </w:p>
    <w:p>
      <w:pPr>
        <w:spacing w:after="0" w:line="203" w:lineRule="exact"/>
        <w:rPr>
          <w:sz w:val="20"/>
          <w:szCs w:val="20"/>
          <w:color w:val="auto"/>
        </w:rPr>
      </w:pPr>
    </w:p>
    <w:p>
      <w:pPr>
        <w:jc w:val="both"/>
        <w:ind w:left="560" w:hanging="556"/>
        <w:spacing w:after="0" w:line="262" w:lineRule="auto"/>
        <w:tabs>
          <w:tab w:leader="none" w:pos="540" w:val="left"/>
        </w:tabs>
        <w:rPr>
          <w:sz w:val="20"/>
          <w:szCs w:val="20"/>
          <w:color w:val="auto"/>
        </w:rPr>
      </w:pPr>
      <w:r>
        <w:rPr>
          <w:rFonts w:ascii="Times New Roman" w:cs="Times New Roman" w:eastAsia="Times New Roman" w:hAnsi="Times New Roman"/>
          <w:sz w:val="18"/>
          <w:szCs w:val="18"/>
          <w:color w:val="auto"/>
        </w:rPr>
        <w:t>7.6</w:t>
      </w:r>
      <w:r>
        <w:rPr>
          <w:sz w:val="20"/>
          <w:szCs w:val="20"/>
          <w:color w:val="auto"/>
        </w:rPr>
        <w:tab/>
      </w:r>
      <w:r>
        <w:rPr>
          <w:rFonts w:ascii="Times New Roman" w:cs="Times New Roman" w:eastAsia="Times New Roman" w:hAnsi="Times New Roman"/>
          <w:sz w:val="17"/>
          <w:szCs w:val="17"/>
          <w:color w:val="auto"/>
        </w:rPr>
        <w:t>The shareholders' meeting is entitled to temporarily or permanently release the Managing Director from the duty to provide services during the notice period subject to continued payment of only the fixed remuneration according to clause 3.1 if either Party has given notice of termination, in case of removal from the office, resignation by the Managing Director, or in case of legitimate outweighing interests of the Company. There is no entitlement to variable remuneration, if any, for the time of the release. During the release any other income of the Managing Director or other income that the Managing Director maliciously avoids receiving will be set off against his remuneration. The Managing Director is obliged to inform the Company of the commencement of any other activity and the contractual partner/employer concerned. If the release may not be revoked, accrued or accruing holidays and afterwards any other entitlements to time off will be set off. During the release the Managing Director shall continue to refrain from any competition.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left="560" w:hanging="556"/>
        <w:spacing w:after="0" w:line="252" w:lineRule="auto"/>
        <w:tabs>
          <w:tab w:leader="none" w:pos="540" w:val="left"/>
        </w:tabs>
        <w:rPr>
          <w:sz w:val="20"/>
          <w:szCs w:val="20"/>
          <w:color w:val="auto"/>
        </w:rPr>
      </w:pPr>
      <w:r>
        <w:rPr>
          <w:rFonts w:ascii="Times New Roman" w:cs="Times New Roman" w:eastAsia="Times New Roman" w:hAnsi="Times New Roman"/>
          <w:sz w:val="18"/>
          <w:szCs w:val="18"/>
          <w:color w:val="auto"/>
        </w:rPr>
        <w:t>7.7</w:t>
      </w:r>
      <w:r>
        <w:rPr>
          <w:sz w:val="20"/>
          <w:szCs w:val="20"/>
          <w:color w:val="auto"/>
        </w:rPr>
        <w:tab/>
      </w:r>
      <w:r>
        <w:rPr>
          <w:rFonts w:ascii="Times New Roman" w:cs="Times New Roman" w:eastAsia="Times New Roman" w:hAnsi="Times New Roman"/>
          <w:sz w:val="18"/>
          <w:szCs w:val="18"/>
          <w:color w:val="auto"/>
        </w:rPr>
        <w:t>The appointment as statutory managing director may be withdrawn by resolution of the appropriate body according to the articles of association of the Company at any time. Such withdrawal shall be considered as notice of termination effective at the next possible date.</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2">
            <w:col w:w="5240" w:space="720"/>
            <w:col w:w="4700"/>
          </w:cols>
          <w:pgMar w:left="900" w:top="559" w:right="339" w:bottom="1440" w:gutter="0" w:footer="0" w:header="0"/>
          <w:type w:val="continuous"/>
        </w:sectPr>
      </w:pPr>
    </w:p>
    <w:bookmarkStart w:id="105" w:name="page106"/>
    <w:bookmarkEnd w:id="105"/>
    <w:p>
      <w:pPr>
        <w:jc w:val="center"/>
        <w:ind w:right="6"/>
        <w:spacing w:after="0"/>
        <w:rPr>
          <w:sz w:val="20"/>
          <w:szCs w:val="20"/>
          <w:color w:val="auto"/>
        </w:rPr>
      </w:pPr>
      <w:r>
        <w:rPr>
          <w:rFonts w:ascii="Times New Roman" w:cs="Times New Roman" w:eastAsia="Times New Roman" w:hAnsi="Times New Roman"/>
          <w:sz w:val="21"/>
          <w:szCs w:val="21"/>
          <w:b w:val="1"/>
          <w:bCs w:val="1"/>
          <w:color w:val="auto"/>
        </w:rPr>
        <w:t>[Letterhead of Cohu GmbH]</w:t>
      </w:r>
    </w:p>
    <w:p>
      <w:pPr>
        <w:sectPr>
          <w:pgSz w:w="11900" w:h="16838" w:orient="portrait"/>
          <w:cols w:equalWidth="0" w:num="1">
            <w:col w:w="11234"/>
          </w:cols>
          <w:pgMar w:left="326" w:top="559" w:right="339" w:bottom="1440" w:gutter="0" w:footer="0" w:header="0"/>
        </w:sectPr>
      </w:pPr>
    </w:p>
    <w:p>
      <w:pPr>
        <w:spacing w:after="0" w:line="220" w:lineRule="exact"/>
        <w:rPr>
          <w:sz w:val="20"/>
          <w:szCs w:val="20"/>
          <w:color w:val="auto"/>
        </w:rPr>
      </w:pPr>
    </w:p>
    <w:p>
      <w:pPr>
        <w:ind w:left="574" w:hanging="574"/>
        <w:spacing w:after="0"/>
        <w:tabs>
          <w:tab w:leader="none" w:pos="574"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SPESEN</w:t>
      </w:r>
    </w:p>
    <w:p>
      <w:pPr>
        <w:spacing w:after="0" w:line="219" w:lineRule="exact"/>
        <w:rPr>
          <w:rFonts w:ascii="Times New Roman" w:cs="Times New Roman" w:eastAsia="Times New Roman" w:hAnsi="Times New Roman"/>
          <w:sz w:val="18"/>
          <w:szCs w:val="18"/>
          <w:b w:val="1"/>
          <w:bCs w:val="1"/>
          <w:color w:val="auto"/>
        </w:rPr>
      </w:pPr>
    </w:p>
    <w:p>
      <w:pPr>
        <w:jc w:val="both"/>
        <w:ind w:left="574" w:right="1078"/>
        <w:spacing w:after="0" w:line="24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Die Erstattung von notwendigen dienstlich veranlassten Auslagen bestimmt sich nach der jeweils gültigen Richtlinie der Gesellschaft. Soweit eine solche Richtlinie nicht vorhanden ist, erhält der Geschäftsführer nach vorheriger Absprache und gegen Vorlage der entsprechenden Belege Erstattung von notwendigen dienstlich veranlassten Auslagen nach den jeweils steuerlich abzugsfähigen Sätzen.</w:t>
      </w:r>
    </w:p>
    <w:p>
      <w:pPr>
        <w:spacing w:after="0" w:line="188" w:lineRule="exact"/>
        <w:rPr>
          <w:rFonts w:ascii="Times New Roman" w:cs="Times New Roman" w:eastAsia="Times New Roman" w:hAnsi="Times New Roman"/>
          <w:sz w:val="18"/>
          <w:szCs w:val="18"/>
          <w:b w:val="1"/>
          <w:bCs w:val="1"/>
          <w:color w:val="auto"/>
        </w:rPr>
      </w:pPr>
    </w:p>
    <w:p>
      <w:pPr>
        <w:ind w:left="574" w:hanging="574"/>
        <w:spacing w:after="0"/>
        <w:tabs>
          <w:tab w:leader="none" w:pos="574"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NEBENTÄTIGKEITEN</w:t>
      </w:r>
    </w:p>
    <w:p>
      <w:pPr>
        <w:spacing w:after="0" w:line="180" w:lineRule="exact"/>
        <w:rPr>
          <w:sz w:val="20"/>
          <w:szCs w:val="20"/>
          <w:color w:val="auto"/>
        </w:rPr>
      </w:pPr>
    </w:p>
    <w:p>
      <w:pPr>
        <w:jc w:val="both"/>
        <w:ind w:left="574" w:right="1078" w:hanging="569"/>
        <w:spacing w:after="0" w:line="216" w:lineRule="exact"/>
        <w:tabs>
          <w:tab w:leader="none" w:pos="554"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color w:val="auto"/>
        </w:rPr>
        <w:t xml:space="preserve">Der Geschäftsführer darf eine entgeltliche oder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soweit hierdurch möglicherweise die Interessen der Gesellschaft beeinträchtigt werden können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unentgeltliche Nebentätigkeit nur mit vorheriger schriftlicher Zustimmung der Gesellschafterversammlung übernehmen. Das gleiche gilt für die Übernahme von Aufsichtsrats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oder Beiratsmandaten, Directorships, Ehrenämtern oder ähnlichen Mandaten. Die Gesellschaft wird die Zustimmung erteilen, soweit ihre Interessen durch die Nebentätigkeit nicht beeinträchtigt werden. Die Gesellschaft kann im Rahmen billigen Ermessens jederzeit, ggf. unter Wahrung einer angemessenen Ankündigungsfrist, die Zustimmung widerrufen.</w:t>
      </w:r>
    </w:p>
    <w:p>
      <w:pPr>
        <w:spacing w:after="0" w:line="204" w:lineRule="exact"/>
        <w:rPr>
          <w:sz w:val="20"/>
          <w:szCs w:val="20"/>
          <w:color w:val="auto"/>
        </w:rPr>
      </w:pPr>
    </w:p>
    <w:p>
      <w:pPr>
        <w:jc w:val="both"/>
        <w:ind w:left="574" w:right="1078" w:hanging="569"/>
        <w:spacing w:after="0" w:line="249" w:lineRule="auto"/>
        <w:tabs>
          <w:tab w:leader="none" w:pos="554"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Der Geschäftsführer wird auf Verlangen der Gesellschafterversammlung auch andere Tätigkeiten und Ämter in mit der Gesellschaft verbundenen Unternehmen im Sinne der §§ 15 ff. AktG (</w:t>
      </w:r>
      <w:r>
        <w:rPr>
          <w:rFonts w:ascii="Times New Roman" w:cs="Times New Roman" w:eastAsia="Times New Roman" w:hAnsi="Times New Roman"/>
          <w:sz w:val="18"/>
          <w:szCs w:val="18"/>
          <w:b w:val="1"/>
          <w:bCs w:val="1"/>
          <w:color w:val="auto"/>
        </w:rPr>
        <w:t>"Verbundene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Unternehmen"</w:t>
      </w:r>
      <w:r>
        <w:rPr>
          <w:rFonts w:ascii="Times New Roman" w:cs="Times New Roman" w:eastAsia="Times New Roman" w:hAnsi="Times New Roman"/>
          <w:sz w:val="18"/>
          <w:szCs w:val="18"/>
          <w:color w:val="auto"/>
        </w:rPr>
        <w:t>) übernehmen, auch als Organmitglied,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soweit diese Tätigkeiten dem Geschäftsführer zumutbar sind. Der Geschäftsführer ist verpflichtet, alle in diesem Zusammenhang erforderlichen Erklärungen abzugeben und Handlungen vorzunehmen.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332740</wp:posOffset>
            </wp:positionV>
            <wp:extent cx="713486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562" w:hanging="562"/>
        <w:spacing w:after="0"/>
        <w:tabs>
          <w:tab w:leader="none" w:pos="562"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EXPENSES</w:t>
      </w:r>
    </w:p>
    <w:p>
      <w:pPr>
        <w:spacing w:after="0" w:line="219" w:lineRule="exact"/>
        <w:rPr>
          <w:rFonts w:ascii="Times New Roman" w:cs="Times New Roman" w:eastAsia="Times New Roman" w:hAnsi="Times New Roman"/>
          <w:sz w:val="18"/>
          <w:szCs w:val="18"/>
          <w:b w:val="1"/>
          <w:bCs w:val="1"/>
          <w:color w:val="auto"/>
        </w:rPr>
      </w:pPr>
    </w:p>
    <w:p>
      <w:pPr>
        <w:jc w:val="both"/>
        <w:ind w:left="562"/>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reimbursement of necessary and officially incurred expenses is determined by the valid policy of the Company effective from time to time. If there is no such policy the Employee will be reimbursed after prior written approval and representation of the supporting documents for such necessary and officially incurred expenses based on the respective tax deductible rates.</w:t>
      </w:r>
    </w:p>
    <w:p>
      <w:pPr>
        <w:spacing w:after="0" w:line="396" w:lineRule="exact"/>
        <w:rPr>
          <w:rFonts w:ascii="Times New Roman" w:cs="Times New Roman" w:eastAsia="Times New Roman" w:hAnsi="Times New Roman"/>
          <w:sz w:val="18"/>
          <w:szCs w:val="18"/>
          <w:b w:val="1"/>
          <w:bCs w:val="1"/>
          <w:color w:val="auto"/>
        </w:rPr>
      </w:pPr>
    </w:p>
    <w:p>
      <w:pPr>
        <w:ind w:left="562" w:hanging="562"/>
        <w:spacing w:after="0"/>
        <w:tabs>
          <w:tab w:leader="none" w:pos="562"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SECONDARY EMPLOYMENT</w:t>
      </w:r>
    </w:p>
    <w:p>
      <w:pPr>
        <w:spacing w:after="0" w:line="219" w:lineRule="exact"/>
        <w:rPr>
          <w:sz w:val="20"/>
          <w:szCs w:val="20"/>
          <w:color w:val="auto"/>
        </w:rPr>
      </w:pPr>
    </w:p>
    <w:p>
      <w:pPr>
        <w:jc w:val="both"/>
        <w:ind w:left="562" w:hanging="556"/>
        <w:spacing w:after="0" w:line="215" w:lineRule="exact"/>
        <w:tabs>
          <w:tab w:leader="none" w:pos="541"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7"/>
          <w:szCs w:val="17"/>
          <w:color w:val="auto"/>
        </w:rPr>
        <w:t xml:space="preserve">The Managing Director is not allowed to take on secondary employment, whether paid or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if this may conflict with the interests of the Company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unpaid without the explicit consent of the shareholders' meeting. The same applies for supervisory or honorary, directorships or similar offices. The Company may revoke the consent at its reasonable discretion at any time, where appropriate within a reasonable period of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562" w:hanging="556"/>
        <w:spacing w:after="0" w:line="266" w:lineRule="auto"/>
        <w:tabs>
          <w:tab w:leader="none" w:pos="541"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7"/>
          <w:szCs w:val="17"/>
          <w:color w:val="auto"/>
        </w:rPr>
        <w:t>Upon request of the Shareholder's Meeting the Managing Director is obliged to take over other tasks with affiliated companies of the Company in the meaning of section 15 et. al. of the German Stock Corporation Act (</w:t>
      </w:r>
      <w:r>
        <w:rPr>
          <w:rFonts w:ascii="Times New Roman" w:cs="Times New Roman" w:eastAsia="Times New Roman" w:hAnsi="Times New Roman"/>
          <w:sz w:val="17"/>
          <w:szCs w:val="17"/>
          <w:b w:val="1"/>
          <w:bCs w:val="1"/>
          <w:color w:val="auto"/>
        </w:rPr>
        <w:t>"Affiliated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Companies"</w:t>
      </w:r>
      <w:r>
        <w:rPr>
          <w:rFonts w:ascii="Times New Roman" w:cs="Times New Roman" w:eastAsia="Times New Roman" w:hAnsi="Times New Roman"/>
          <w:sz w:val="17"/>
          <w:szCs w:val="17"/>
          <w:color w:val="auto"/>
        </w:rPr>
        <w:t>), also as statutory legal representative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extent that these tasks are reasonable for the Managing Director. The Managing Director shall make all declarations and take all actions required in this regard.</w:t>
      </w:r>
    </w:p>
    <w:p>
      <w:pPr>
        <w:spacing w:after="0" w:line="3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2">
            <w:col w:w="5812" w:space="720"/>
            <w:col w:w="4702"/>
          </w:cols>
          <w:pgMar w:left="326" w:top="559" w:right="339" w:bottom="1440" w:gutter="0" w:footer="0" w:header="0"/>
          <w:type w:val="continuous"/>
        </w:sectPr>
      </w:pPr>
    </w:p>
    <w:bookmarkStart w:id="106" w:name="page107"/>
    <w:bookmarkEnd w:id="106"/>
    <w:p>
      <w:pPr>
        <w:jc w:val="center"/>
        <w:ind w:right="6"/>
        <w:spacing w:after="0"/>
        <w:rPr>
          <w:sz w:val="20"/>
          <w:szCs w:val="20"/>
          <w:color w:val="auto"/>
        </w:rPr>
      </w:pPr>
      <w:r>
        <w:rPr>
          <w:rFonts w:ascii="Times New Roman" w:cs="Times New Roman" w:eastAsia="Times New Roman" w:hAnsi="Times New Roman"/>
          <w:sz w:val="21"/>
          <w:szCs w:val="21"/>
          <w:b w:val="1"/>
          <w:bCs w:val="1"/>
          <w:color w:val="auto"/>
        </w:rPr>
        <w:t>[Letterhead of Cohu GmbH]</w:t>
      </w:r>
    </w:p>
    <w:p>
      <w:pPr>
        <w:sectPr>
          <w:pgSz w:w="11900" w:h="16838" w:orient="portrait"/>
          <w:cols w:equalWidth="0" w:num="1">
            <w:col w:w="11234"/>
          </w:cols>
          <w:pgMar w:left="326" w:top="559" w:right="339" w:bottom="1440" w:gutter="0" w:footer="0" w:header="0"/>
        </w:sectPr>
      </w:pPr>
    </w:p>
    <w:p>
      <w:pPr>
        <w:spacing w:after="0" w:line="222" w:lineRule="exact"/>
        <w:rPr>
          <w:sz w:val="20"/>
          <w:szCs w:val="20"/>
          <w:color w:val="auto"/>
        </w:rPr>
      </w:pPr>
    </w:p>
    <w:p>
      <w:pPr>
        <w:jc w:val="both"/>
        <w:ind w:left="574" w:right="1078" w:hanging="569"/>
        <w:spacing w:after="0" w:line="248" w:lineRule="auto"/>
        <w:tabs>
          <w:tab w:leader="none" w:pos="554"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8"/>
          <w:szCs w:val="18"/>
          <w:color w:val="auto"/>
        </w:rPr>
        <w:t>Der Geschäftsführer ist verpflichtet, im Falle des Widerrufs der Bestellung zum Geschäftsführer der Gesellschaft, auf Verlangen der Gesellschaft auch jederzeit vorher, unverzüglich sämtliche Ämter bei Verbundenen Unternehmen oder sonstige Ämter, die er aufgrund seiner Tätigkeit für die Gesellschaft übernommen hat (z. B. bei Verbänden) niederzulegen. Der Geschäftsführer ist verpflichtet, alle in diesem Zusammenhang erforderlichen Erklärungen abzugeben und Handlungen vorzunehmen.</w:t>
      </w:r>
    </w:p>
    <w:p>
      <w:pPr>
        <w:spacing w:after="0" w:line="193" w:lineRule="exact"/>
        <w:rPr>
          <w:sz w:val="20"/>
          <w:szCs w:val="20"/>
          <w:color w:val="auto"/>
        </w:rPr>
      </w:pPr>
    </w:p>
    <w:p>
      <w:pPr>
        <w:jc w:val="both"/>
        <w:ind w:left="574" w:right="1078" w:hanging="569"/>
        <w:spacing w:after="0" w:line="259" w:lineRule="auto"/>
        <w:tabs>
          <w:tab w:leader="none" w:pos="554"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8"/>
          <w:szCs w:val="18"/>
          <w:color w:val="auto"/>
        </w:rPr>
        <w:t>Sämtliche Tätigkeiten und Ämter des Geschäftsführers für Verbundene Unternehmen sind mit den Bezügen aus diesem Geschäftsführervertrag abgegolten.</w:t>
      </w:r>
    </w:p>
    <w:p>
      <w:pPr>
        <w:spacing w:after="0" w:line="390" w:lineRule="exact"/>
        <w:rPr>
          <w:sz w:val="20"/>
          <w:szCs w:val="20"/>
          <w:color w:val="auto"/>
        </w:rPr>
      </w:pPr>
    </w:p>
    <w:p>
      <w:pPr>
        <w:jc w:val="both"/>
        <w:ind w:left="574" w:right="1098" w:hanging="569"/>
        <w:spacing w:after="0" w:line="282" w:lineRule="auto"/>
        <w:tabs>
          <w:tab w:leader="none" w:pos="554"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7"/>
          <w:szCs w:val="17"/>
          <w:color w:val="auto"/>
        </w:rPr>
        <w:t>Veröffentlichungen und Vorträge bedürfen der vorherigen schriftlichen Zustimmung der Gesellschaft, soweit dadurch die Interessen der Gesellschaft berührt werden.</w:t>
      </w:r>
    </w:p>
    <w:p>
      <w:pPr>
        <w:spacing w:after="0" w:line="157" w:lineRule="exact"/>
        <w:rPr>
          <w:sz w:val="20"/>
          <w:szCs w:val="20"/>
          <w:color w:val="auto"/>
        </w:rPr>
      </w:pPr>
    </w:p>
    <w:p>
      <w:pPr>
        <w:ind w:left="574" w:hanging="574"/>
        <w:spacing w:after="0"/>
        <w:tabs>
          <w:tab w:leader="none" w:pos="574"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WETTBEWERBSVERBOT, ABWERBEVERBOT</w:t>
      </w:r>
    </w:p>
    <w:p>
      <w:pPr>
        <w:spacing w:after="0" w:line="219" w:lineRule="exact"/>
        <w:rPr>
          <w:sz w:val="20"/>
          <w:szCs w:val="20"/>
          <w:color w:val="auto"/>
        </w:rPr>
      </w:pPr>
    </w:p>
    <w:p>
      <w:pPr>
        <w:jc w:val="both"/>
        <w:ind w:left="574" w:right="1078" w:hanging="569"/>
        <w:spacing w:after="0" w:line="247" w:lineRule="auto"/>
        <w:tabs>
          <w:tab w:leader="none" w:pos="554" w:val="left"/>
        </w:tabs>
        <w:rPr>
          <w:sz w:val="20"/>
          <w:szCs w:val="20"/>
          <w:color w:val="auto"/>
        </w:rPr>
      </w:pPr>
      <w:r>
        <w:rPr>
          <w:rFonts w:ascii="Times New Roman" w:cs="Times New Roman" w:eastAsia="Times New Roman" w:hAnsi="Times New Roman"/>
          <w:sz w:val="18"/>
          <w:szCs w:val="18"/>
          <w:color w:val="auto"/>
        </w:rPr>
        <w:t>10.1</w:t>
        <w:tab/>
        <w:t>Dem Geschäftsführer ist es untersagt, während der Dauer dieses Geschäftsführervertrages in selbständiger, unselbständiger oder sonstiger Weise für ein Unternehmen tätig zu werden, welches mit der Gesellschaft oder einem Verbundenen Unternehmen in direktem oder indirektem Wettbewerb steht. In gleicher Weise ist es dem Geschäftsführer untersagt, während der Dauer dieses Geschäftsführervertrages ein solches Unternehmen zu errichten, zu erwerben oder sich hieran unmittelbar oder mittelbar zu beteiligen. Hiervon ausgenommen sind geringfügige Beteiligungen von höchstens 3% des Stammkapitals an Gesellschaften, deren Anteile an einer ordentlichen Börse gehandelt werden. Dieses Wettbewerbsverbot gilt auch zugunsten von Verbundenen Unternehmen.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338455</wp:posOffset>
            </wp:positionV>
            <wp:extent cx="713486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jc w:val="both"/>
        <w:ind w:left="562" w:hanging="556"/>
        <w:spacing w:after="0" w:line="266" w:lineRule="auto"/>
        <w:tabs>
          <w:tab w:leader="none" w:pos="541"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7"/>
          <w:szCs w:val="17"/>
          <w:color w:val="auto"/>
        </w:rPr>
        <w:t>If the Managing Director has been removed from the office as managing director of the Company, or upon the request of the Company at any time earlier, the Managing Director shall resign from all such offices in Affiliated Companies or other offices which he has assumed for the Company as a result of his activity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in associations) without undue delay. The Managing Director shall make all declarations and take all actions required in this regard.</w:t>
      </w:r>
    </w:p>
    <w:p>
      <w:pPr>
        <w:spacing w:after="0" w:line="200" w:lineRule="exact"/>
        <w:rPr>
          <w:sz w:val="20"/>
          <w:szCs w:val="20"/>
          <w:color w:val="auto"/>
        </w:rPr>
      </w:pPr>
    </w:p>
    <w:p>
      <w:pPr>
        <w:spacing w:after="0" w:line="399" w:lineRule="exact"/>
        <w:rPr>
          <w:sz w:val="20"/>
          <w:szCs w:val="20"/>
          <w:color w:val="auto"/>
        </w:rPr>
      </w:pPr>
    </w:p>
    <w:p>
      <w:pPr>
        <w:jc w:val="both"/>
        <w:ind w:left="562" w:hanging="556"/>
        <w:spacing w:after="0" w:line="255" w:lineRule="auto"/>
        <w:tabs>
          <w:tab w:leader="none" w:pos="541"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8"/>
          <w:szCs w:val="18"/>
          <w:color w:val="auto"/>
        </w:rPr>
        <w:t>All tasks and offices of the Managing Director for other Affiliated Companies are deemed compensated with the remuneration according to this Managing Director Agreement.</w:t>
      </w:r>
    </w:p>
    <w:p>
      <w:pPr>
        <w:spacing w:after="0" w:line="180" w:lineRule="exact"/>
        <w:rPr>
          <w:sz w:val="20"/>
          <w:szCs w:val="20"/>
          <w:color w:val="auto"/>
        </w:rPr>
      </w:pPr>
    </w:p>
    <w:p>
      <w:pPr>
        <w:jc w:val="both"/>
        <w:ind w:left="562" w:hanging="556"/>
        <w:spacing w:after="0" w:line="259" w:lineRule="auto"/>
        <w:tabs>
          <w:tab w:leader="none" w:pos="541"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8"/>
          <w:szCs w:val="18"/>
          <w:color w:val="auto"/>
        </w:rPr>
        <w:t>Publications and lectures require the prior written consent of the Company, if the interest of the Company might be affected.</w:t>
      </w:r>
    </w:p>
    <w:p>
      <w:pPr>
        <w:spacing w:after="0" w:line="139" w:lineRule="exact"/>
        <w:rPr>
          <w:sz w:val="20"/>
          <w:szCs w:val="20"/>
          <w:color w:val="auto"/>
        </w:rPr>
      </w:pPr>
    </w:p>
    <w:p>
      <w:pPr>
        <w:ind w:left="562" w:hanging="562"/>
        <w:spacing w:after="0" w:line="207" w:lineRule="exact"/>
        <w:tabs>
          <w:tab w:leader="none" w:pos="562"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COMPETE, NON</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SOLICITATION</w:t>
      </w:r>
    </w:p>
    <w:p>
      <w:pPr>
        <w:spacing w:after="0" w:line="256" w:lineRule="exact"/>
        <w:rPr>
          <w:sz w:val="20"/>
          <w:szCs w:val="20"/>
          <w:color w:val="auto"/>
        </w:rPr>
      </w:pPr>
    </w:p>
    <w:p>
      <w:pPr>
        <w:jc w:val="both"/>
        <w:ind w:left="562" w:hanging="556"/>
        <w:spacing w:after="0" w:line="214" w:lineRule="exact"/>
        <w:tabs>
          <w:tab w:leader="none" w:pos="541" w:val="left"/>
        </w:tabs>
        <w:rPr>
          <w:sz w:val="20"/>
          <w:szCs w:val="20"/>
          <w:color w:val="auto"/>
        </w:rPr>
      </w:pPr>
      <w:r>
        <w:rPr>
          <w:rFonts w:ascii="Times New Roman" w:cs="Times New Roman" w:eastAsia="Times New Roman" w:hAnsi="Times New Roman"/>
          <w:sz w:val="18"/>
          <w:szCs w:val="18"/>
          <w:color w:val="auto"/>
        </w:rPr>
        <w:t>10.1</w:t>
        <w:tab/>
        <w:t>During the term of this Managing Director Agreement, the Managing Director shall refrain from any activity either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employed, employed or in any other form for a company competing directly or indirectly with the Company or an Affiliated Company. In the same way the Managing Director shall, during the term of this Managing Director Agreement, refrain from establishing, acquiring or participating directly or indirectly in such a company. This shall not apply to small investments of up to 3% of the share capital of companies whose shares are listed at a due stock ex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change. This obligation not to compete shall also apply to the benefit of Affiliated Companies.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2">
            <w:col w:w="5812" w:space="720"/>
            <w:col w:w="4702"/>
          </w:cols>
          <w:pgMar w:left="326" w:top="559" w:right="339" w:bottom="1440" w:gutter="0" w:footer="0" w:header="0"/>
          <w:type w:val="continuous"/>
        </w:sectPr>
      </w:pPr>
    </w:p>
    <w:bookmarkStart w:id="107" w:name="page108"/>
    <w:bookmarkEnd w:id="107"/>
    <w:p>
      <w:pPr>
        <w:jc w:val="center"/>
        <w:ind w:right="6"/>
        <w:spacing w:after="0"/>
        <w:rPr>
          <w:sz w:val="20"/>
          <w:szCs w:val="20"/>
          <w:color w:val="auto"/>
        </w:rPr>
      </w:pPr>
      <w:r>
        <w:rPr>
          <w:rFonts w:ascii="Times New Roman" w:cs="Times New Roman" w:eastAsia="Times New Roman" w:hAnsi="Times New Roman"/>
          <w:sz w:val="21"/>
          <w:szCs w:val="21"/>
          <w:b w:val="1"/>
          <w:bCs w:val="1"/>
          <w:color w:val="auto"/>
        </w:rPr>
        <w:t>[Letterhead of Cohu GmbH]</w:t>
      </w:r>
    </w:p>
    <w:p>
      <w:pPr>
        <w:sectPr>
          <w:pgSz w:w="11900" w:h="16838" w:orient="portrait"/>
          <w:cols w:equalWidth="0" w:num="1">
            <w:col w:w="11234"/>
          </w:cols>
          <w:pgMar w:left="326" w:top="559" w:right="339" w:bottom="1440" w:gutter="0" w:footer="0" w:header="0"/>
        </w:sectPr>
      </w:pPr>
    </w:p>
    <w:p>
      <w:pPr>
        <w:spacing w:after="0" w:line="222" w:lineRule="exact"/>
        <w:rPr>
          <w:sz w:val="20"/>
          <w:szCs w:val="20"/>
          <w:color w:val="auto"/>
        </w:rPr>
      </w:pPr>
    </w:p>
    <w:p>
      <w:pPr>
        <w:jc w:val="both"/>
        <w:ind w:left="574" w:right="1078" w:hanging="569"/>
        <w:spacing w:after="0" w:line="266" w:lineRule="auto"/>
        <w:tabs>
          <w:tab w:leader="none" w:pos="554"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color w:val="auto"/>
        </w:rPr>
        <w:t>Während der Laufzeit des Dienstverhältnisses und für einen Zeitraum von 12 Monaten nach Beendigung des Anstellungsverhältnisses ist es dem Geschäftsführer untersagt, Arbeitnehmer der Gesellschaft abzuwerben oder dazu zu veranlassen, ihr Arbeitsverhältnis mit der Gesellschaft zu kündigen oder ein neues oder zusätzliches Arbeitsverhältnis oder ähnliches Verhältnis mit einem anderen Arbeitgeber oder Auftraggeber einzugehen.</w:t>
      </w:r>
    </w:p>
    <w:p>
      <w:pPr>
        <w:spacing w:after="0" w:line="173" w:lineRule="exact"/>
        <w:rPr>
          <w:sz w:val="20"/>
          <w:szCs w:val="20"/>
          <w:color w:val="auto"/>
        </w:rPr>
      </w:pPr>
    </w:p>
    <w:p>
      <w:pPr>
        <w:ind w:left="574" w:right="1478" w:hanging="574"/>
        <w:spacing w:after="0" w:line="283" w:lineRule="auto"/>
        <w:tabs>
          <w:tab w:leader="none" w:pos="574" w:val="left"/>
        </w:tabs>
        <w:numPr>
          <w:ilvl w:val="0"/>
          <w:numId w:val="5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NACHVERTRAGLICHES WETTBEWERBSVERBOT, NACHVERTRAGLICHES ABWERBEVERBOT</w:t>
      </w:r>
    </w:p>
    <w:p>
      <w:pPr>
        <w:spacing w:after="0" w:line="158" w:lineRule="exact"/>
        <w:rPr>
          <w:sz w:val="20"/>
          <w:szCs w:val="20"/>
          <w:color w:val="auto"/>
        </w:rPr>
      </w:pPr>
    </w:p>
    <w:p>
      <w:pPr>
        <w:jc w:val="both"/>
        <w:ind w:left="574" w:right="1078" w:hanging="569"/>
        <w:spacing w:after="0" w:line="250" w:lineRule="auto"/>
        <w:tabs>
          <w:tab w:leader="none" w:pos="554" w:val="left"/>
        </w:tabs>
        <w:rPr>
          <w:sz w:val="20"/>
          <w:szCs w:val="20"/>
          <w:color w:val="auto"/>
        </w:rPr>
      </w:pPr>
      <w:r>
        <w:rPr>
          <w:rFonts w:ascii="Times New Roman" w:cs="Times New Roman" w:eastAsia="Times New Roman" w:hAnsi="Times New Roman"/>
          <w:sz w:val="18"/>
          <w:szCs w:val="18"/>
          <w:color w:val="auto"/>
        </w:rPr>
        <w:t>11.1</w:t>
        <w:tab/>
        <w:t>Dem Geschäftsführer ist für die Dauer von 24 Monaten nach Beendigung des Anstellungsverhältnisses jegliche Wettbewerbstätigkeit in selbständiger, unselbständiger oder sonstiger Weise für ein Unternehmen, das mit der Gesellschaft im direkten oder indirekten Wettbewerb steht, untersagt. Das gilt nicht, sofern die Interessen der Gesellschaft hierdurch nicht beeinträchtigt werden.</w:t>
      </w:r>
    </w:p>
    <w:p>
      <w:pPr>
        <w:spacing w:after="0" w:line="187" w:lineRule="exact"/>
        <w:rPr>
          <w:sz w:val="20"/>
          <w:szCs w:val="20"/>
          <w:color w:val="auto"/>
        </w:rPr>
      </w:pPr>
    </w:p>
    <w:p>
      <w:pPr>
        <w:jc w:val="both"/>
        <w:ind w:left="574" w:right="1078"/>
        <w:spacing w:after="0" w:line="250" w:lineRule="auto"/>
        <w:rPr>
          <w:sz w:val="20"/>
          <w:szCs w:val="20"/>
          <w:color w:val="auto"/>
        </w:rPr>
      </w:pPr>
      <w:r>
        <w:rPr>
          <w:rFonts w:ascii="Times New Roman" w:cs="Times New Roman" w:eastAsia="Times New Roman" w:hAnsi="Times New Roman"/>
          <w:sz w:val="18"/>
          <w:szCs w:val="18"/>
          <w:color w:val="auto"/>
        </w:rPr>
        <w:t>In gleicher Weise ist es dem Geschäftsführer untersagt, ein solches Unternehmen zu errichten, zu erwerben oder sich an einem solchen unmittelbar oder mittelbar zu beteiligen. Hiervon ausgenommen sind geringfügige Beteiligungen von höchstens 3% des Stammkapitals an Gesellschaften, deren Anteile an einer ordentlichen Börse gehandelt werden.</w:t>
      </w:r>
    </w:p>
    <w:p>
      <w:pPr>
        <w:spacing w:after="0" w:line="187" w:lineRule="exact"/>
        <w:rPr>
          <w:sz w:val="20"/>
          <w:szCs w:val="20"/>
          <w:color w:val="auto"/>
        </w:rPr>
      </w:pPr>
    </w:p>
    <w:p>
      <w:pPr>
        <w:jc w:val="both"/>
        <w:ind w:left="574" w:right="1078" w:hanging="569"/>
        <w:spacing w:after="0" w:line="249" w:lineRule="auto"/>
        <w:tabs>
          <w:tab w:leader="none" w:pos="554" w:val="left"/>
        </w:tabs>
        <w:rPr>
          <w:sz w:val="20"/>
          <w:szCs w:val="20"/>
          <w:color w:val="auto"/>
        </w:rPr>
      </w:pPr>
      <w:r>
        <w:rPr>
          <w:rFonts w:ascii="Times New Roman" w:cs="Times New Roman" w:eastAsia="Times New Roman" w:hAnsi="Times New Roman"/>
          <w:sz w:val="18"/>
          <w:szCs w:val="18"/>
          <w:color w:val="auto"/>
        </w:rPr>
        <w:t>11.2</w:t>
        <w:tab/>
        <w:t>Dem Geschäftsführer ist es während der Dauer des nachvertraglichen Wettbewerbsverbots insbesondere auch untersagt, Kunden der Gesellschaft, zu denen vor dem Ausscheiden des Geschäftsführers während der letzten 3 Jahre Geschäftsbeziehungen bestanden, direkt oder indirekt für sich oder einen Dritten abzuwerben oder zu veranlassen, die mit der Gesellschaft bestehende Geschäftsbeziehungen zu beenden.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334010</wp:posOffset>
            </wp:positionV>
            <wp:extent cx="713486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jc w:val="both"/>
        <w:ind w:left="562" w:hanging="556"/>
        <w:spacing w:after="0" w:line="250" w:lineRule="auto"/>
        <w:tabs>
          <w:tab w:leader="none" w:pos="541" w:val="left"/>
        </w:tabs>
        <w:rPr>
          <w:sz w:val="20"/>
          <w:szCs w:val="20"/>
          <w:color w:val="auto"/>
        </w:rPr>
      </w:pPr>
      <w:r>
        <w:rPr>
          <w:rFonts w:ascii="Times New Roman" w:cs="Times New Roman" w:eastAsia="Times New Roman" w:hAnsi="Times New Roman"/>
          <w:sz w:val="18"/>
          <w:szCs w:val="18"/>
          <w:color w:val="auto"/>
        </w:rPr>
        <w:t>10.2</w:t>
        <w:tab/>
        <w:t>During the term of the service relationship and 12 months after the termination of the service relationship the Managing Director shall not induce or solicit any employee of the Company to terminate their employment with the Company or enter into new or additional employment or any similar relationship with another employer or a customer.</w:t>
      </w:r>
    </w:p>
    <w:p>
      <w:pPr>
        <w:spacing w:after="0" w:line="360" w:lineRule="exact"/>
        <w:rPr>
          <w:sz w:val="20"/>
          <w:szCs w:val="20"/>
          <w:color w:val="auto"/>
        </w:rPr>
      </w:pPr>
    </w:p>
    <w:p>
      <w:pPr>
        <w:ind w:left="562" w:hanging="562"/>
        <w:spacing w:after="0" w:line="254" w:lineRule="exact"/>
        <w:tabs>
          <w:tab w:leader="none" w:pos="562"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POST</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CONTRACTUAL NON</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COMPETE, POST</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CONTRACTUAL NON</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SOLICITATION</w:t>
      </w:r>
    </w:p>
    <w:p>
      <w:pPr>
        <w:spacing w:after="0" w:line="379" w:lineRule="exact"/>
        <w:rPr>
          <w:sz w:val="20"/>
          <w:szCs w:val="20"/>
          <w:color w:val="auto"/>
        </w:rPr>
      </w:pPr>
    </w:p>
    <w:p>
      <w:pPr>
        <w:jc w:val="both"/>
        <w:ind w:left="562" w:hanging="556"/>
        <w:spacing w:after="0" w:line="215" w:lineRule="exact"/>
        <w:tabs>
          <w:tab w:leader="none" w:pos="541" w:val="left"/>
        </w:tabs>
        <w:rPr>
          <w:sz w:val="20"/>
          <w:szCs w:val="20"/>
          <w:color w:val="auto"/>
        </w:rPr>
      </w:pPr>
      <w:r>
        <w:rPr>
          <w:rFonts w:ascii="Times New Roman" w:cs="Times New Roman" w:eastAsia="Times New Roman" w:hAnsi="Times New Roman"/>
          <w:sz w:val="18"/>
          <w:szCs w:val="18"/>
          <w:color w:val="auto"/>
        </w:rPr>
        <w:t>11.1</w:t>
        <w:tab/>
        <w:t>For the term of 24 months following the end of the service relationship the Managing Director shall refrain from any competitive activity either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employed, employed or in any other comparable way for a company competing directly or indirectly with the Company. This shall not apply if the interests of the Company are not impaired thereby.</w:t>
      </w:r>
    </w:p>
    <w:p>
      <w:pPr>
        <w:spacing w:after="0" w:line="193" w:lineRule="exact"/>
        <w:rPr>
          <w:sz w:val="20"/>
          <w:szCs w:val="20"/>
          <w:color w:val="auto"/>
        </w:rPr>
      </w:pPr>
    </w:p>
    <w:p>
      <w:pPr>
        <w:jc w:val="both"/>
        <w:ind w:left="562"/>
        <w:spacing w:after="0" w:line="216" w:lineRule="exact"/>
        <w:rPr>
          <w:sz w:val="20"/>
          <w:szCs w:val="20"/>
          <w:color w:val="auto"/>
        </w:rPr>
      </w:pPr>
      <w:r>
        <w:rPr>
          <w:rFonts w:ascii="Times New Roman" w:cs="Times New Roman" w:eastAsia="Times New Roman" w:hAnsi="Times New Roman"/>
          <w:sz w:val="17"/>
          <w:szCs w:val="17"/>
          <w:color w:val="auto"/>
        </w:rPr>
        <w:t>In the same way the Managing Director shall, during the term of this post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contractual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compete, refrain from establishing, acquiring or participating directly or indirectly in such a company. This shall not apply to small investments of up to 3% of the share capital of companies whose shares are listed on an ordinary stock exchange.</w:t>
      </w:r>
    </w:p>
    <w:p>
      <w:pPr>
        <w:spacing w:after="0" w:line="200" w:lineRule="exact"/>
        <w:rPr>
          <w:sz w:val="20"/>
          <w:szCs w:val="20"/>
          <w:color w:val="auto"/>
        </w:rPr>
      </w:pPr>
    </w:p>
    <w:p>
      <w:pPr>
        <w:spacing w:after="0" w:line="206" w:lineRule="exact"/>
        <w:rPr>
          <w:sz w:val="20"/>
          <w:szCs w:val="20"/>
          <w:color w:val="auto"/>
        </w:rPr>
      </w:pPr>
    </w:p>
    <w:p>
      <w:pPr>
        <w:jc w:val="both"/>
        <w:ind w:left="562" w:hanging="556"/>
        <w:spacing w:after="0" w:line="249" w:lineRule="auto"/>
        <w:tabs>
          <w:tab w:leader="none" w:pos="541" w:val="left"/>
        </w:tabs>
        <w:rPr>
          <w:sz w:val="20"/>
          <w:szCs w:val="20"/>
          <w:color w:val="auto"/>
        </w:rPr>
      </w:pPr>
      <w:r>
        <w:rPr>
          <w:rFonts w:ascii="Times New Roman" w:cs="Times New Roman" w:eastAsia="Times New Roman" w:hAnsi="Times New Roman"/>
          <w:sz w:val="18"/>
          <w:szCs w:val="18"/>
          <w:color w:val="auto"/>
        </w:rPr>
        <w:t>11.2</w:t>
        <w:tab/>
        <w:t>The Managing Director shall during the duration of the post-contractual non-compete in particular also refrain from directly or indirectly soliciting away to his or a third's party benefit customers of the Company, which had for the last 3 years prior to the Managing Director's leave a business relationship with the Company or refrain from enticing to terminate the business relationship with the Company.</w:t>
      </w:r>
    </w:p>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2">
            <w:col w:w="5812" w:space="720"/>
            <w:col w:w="4702"/>
          </w:cols>
          <w:pgMar w:left="326" w:top="559" w:right="339" w:bottom="1440" w:gutter="0" w:footer="0" w:header="0"/>
          <w:type w:val="continuous"/>
        </w:sectPr>
      </w:pPr>
    </w:p>
    <w:bookmarkStart w:id="108" w:name="page109"/>
    <w:bookmarkEnd w:id="108"/>
    <w:p>
      <w:pPr>
        <w:jc w:val="center"/>
        <w:spacing w:after="0"/>
        <w:rPr>
          <w:sz w:val="20"/>
          <w:szCs w:val="20"/>
          <w:color w:val="auto"/>
        </w:rPr>
      </w:pPr>
      <w:r>
        <w:rPr>
          <w:rFonts w:ascii="Times New Roman" w:cs="Times New Roman" w:eastAsia="Times New Roman" w:hAnsi="Times New Roman"/>
          <w:sz w:val="21"/>
          <w:szCs w:val="21"/>
          <w:b w:val="1"/>
          <w:bCs w:val="1"/>
          <w:color w:val="auto"/>
        </w:rPr>
        <w:t>[Letterhead of Cohu GmbH]</w:t>
      </w:r>
    </w:p>
    <w:p>
      <w:pPr>
        <w:sectPr>
          <w:pgSz w:w="11900" w:h="16838" w:orient="portrait"/>
          <w:cols w:equalWidth="0" w:num="1">
            <w:col w:w="11240"/>
          </w:cols>
          <w:pgMar w:left="320" w:top="559" w:right="339" w:bottom="1440" w:gutter="0" w:footer="0" w:header="0"/>
        </w:sectPr>
      </w:pPr>
    </w:p>
    <w:p>
      <w:pPr>
        <w:spacing w:after="0" w:line="222" w:lineRule="exact"/>
        <w:rPr>
          <w:sz w:val="20"/>
          <w:szCs w:val="20"/>
          <w:color w:val="auto"/>
        </w:rPr>
      </w:pPr>
    </w:p>
    <w:p>
      <w:pPr>
        <w:jc w:val="both"/>
        <w:ind w:left="580" w:right="1080" w:hanging="569"/>
        <w:spacing w:after="0" w:line="251" w:lineRule="auto"/>
        <w:tabs>
          <w:tab w:leader="none" w:pos="560" w:val="left"/>
        </w:tabs>
        <w:rPr>
          <w:sz w:val="20"/>
          <w:szCs w:val="20"/>
          <w:color w:val="auto"/>
        </w:rPr>
      </w:pPr>
      <w:r>
        <w:rPr>
          <w:rFonts w:ascii="Times New Roman" w:cs="Times New Roman" w:eastAsia="Times New Roman" w:hAnsi="Times New Roman"/>
          <w:sz w:val="18"/>
          <w:szCs w:val="18"/>
          <w:color w:val="auto"/>
        </w:rPr>
        <w:t>11.3</w:t>
        <w:tab/>
        <w:t>Das nachvertragliche Wettbewerbsverbot gilt räumlich für das Gebiet, in dem die Gesellschaft oder ein Verbundenes Unternehmen zu dessen Gunsten das Wettbewerbsverbot gilt in den letzten 12 Monaten vor dem Ende des Anstellungsverhältnisses tätig war und beabsichtigt tätig zu werden.</w:t>
      </w:r>
    </w:p>
    <w:p>
      <w:pPr>
        <w:spacing w:after="0" w:line="185" w:lineRule="exact"/>
        <w:rPr>
          <w:sz w:val="20"/>
          <w:szCs w:val="20"/>
          <w:color w:val="auto"/>
        </w:rPr>
      </w:pPr>
    </w:p>
    <w:p>
      <w:pPr>
        <w:jc w:val="both"/>
        <w:ind w:left="580" w:right="1080" w:hanging="569"/>
        <w:spacing w:after="0" w:line="250" w:lineRule="auto"/>
        <w:tabs>
          <w:tab w:leader="none" w:pos="560" w:val="left"/>
        </w:tabs>
        <w:rPr>
          <w:sz w:val="20"/>
          <w:szCs w:val="20"/>
          <w:color w:val="auto"/>
        </w:rPr>
      </w:pPr>
      <w:r>
        <w:rPr>
          <w:rFonts w:ascii="Times New Roman" w:cs="Times New Roman" w:eastAsia="Times New Roman" w:hAnsi="Times New Roman"/>
          <w:sz w:val="18"/>
          <w:szCs w:val="18"/>
          <w:color w:val="auto"/>
        </w:rPr>
        <w:t>11.4</w:t>
        <w:tab/>
        <w:t>Die vorstehenden Absätze dieser Ziffer 11 gelten entsprechend auch zugunsten derjenigen Verbundenen Unternehmen, an denen die Gesellschaft direkt oder indirekt Geschäftsanteile hält oder bei denen der Geschäftsführer Organmitglied ist oder eine ähnliche Stellung innehat (z. B. Mitglied im Aufsichtsrat oder Beirat, Prokurist).</w:t>
      </w:r>
    </w:p>
    <w:p>
      <w:pPr>
        <w:spacing w:after="0" w:line="187" w:lineRule="exact"/>
        <w:rPr>
          <w:sz w:val="20"/>
          <w:szCs w:val="20"/>
          <w:color w:val="auto"/>
        </w:rPr>
      </w:pPr>
    </w:p>
    <w:p>
      <w:pPr>
        <w:spacing w:after="0"/>
        <w:tabs>
          <w:tab w:leader="none" w:pos="560" w:val="left"/>
          <w:tab w:leader="none" w:pos="1040" w:val="left"/>
          <w:tab w:leader="none" w:pos="2380" w:val="left"/>
          <w:tab w:leader="none" w:pos="2980" w:val="left"/>
          <w:tab w:leader="none" w:pos="3400" w:val="left"/>
          <w:tab w:leader="none" w:pos="3840" w:val="left"/>
          <w:tab w:leader="none" w:pos="4480" w:val="left"/>
        </w:tabs>
        <w:rPr>
          <w:sz w:val="20"/>
          <w:szCs w:val="20"/>
          <w:color w:val="auto"/>
        </w:rPr>
      </w:pPr>
      <w:r>
        <w:rPr>
          <w:rFonts w:ascii="Times New Roman" w:cs="Times New Roman" w:eastAsia="Times New Roman" w:hAnsi="Times New Roman"/>
          <w:sz w:val="18"/>
          <w:szCs w:val="18"/>
          <w:color w:val="auto"/>
        </w:rPr>
        <w:t>11.5</w:t>
        <w:tab/>
        <w:t>Der</w:t>
        <w:tab/>
        <w:t>Geschäftsführer</w:t>
        <w:tab/>
        <w:t>erhält</w:t>
        <w:tab/>
        <w:t>für</w:t>
        <w:tab/>
        <w:t>die</w:t>
        <w:tab/>
        <w:t>Dauer</w:t>
        <w:tab/>
        <w:t>des</w:t>
      </w:r>
    </w:p>
    <w:p>
      <w:pPr>
        <w:spacing w:after="0" w:line="24" w:lineRule="exact"/>
        <w:rPr>
          <w:sz w:val="20"/>
          <w:szCs w:val="20"/>
          <w:color w:val="auto"/>
        </w:rPr>
      </w:pPr>
    </w:p>
    <w:p>
      <w:pPr>
        <w:jc w:val="both"/>
        <w:ind w:left="580" w:right="1080"/>
        <w:spacing w:after="0" w:line="248" w:lineRule="auto"/>
        <w:rPr>
          <w:sz w:val="20"/>
          <w:szCs w:val="20"/>
          <w:color w:val="auto"/>
        </w:rPr>
      </w:pPr>
      <w:r>
        <w:rPr>
          <w:rFonts w:ascii="Times New Roman" w:cs="Times New Roman" w:eastAsia="Times New Roman" w:hAnsi="Times New Roman"/>
          <w:sz w:val="18"/>
          <w:szCs w:val="18"/>
          <w:color w:val="auto"/>
        </w:rPr>
        <w:t>nachvertraglichen Wettbewerbsverbots eine Karenzentschädigung in Höhe von 50% der zuletzt bezogenen vertragsmäßigen Leistungen.</w:t>
      </w:r>
    </w:p>
    <w:p>
      <w:pPr>
        <w:spacing w:after="0" w:line="187" w:lineRule="exact"/>
        <w:rPr>
          <w:sz w:val="20"/>
          <w:szCs w:val="20"/>
          <w:color w:val="auto"/>
        </w:rPr>
      </w:pPr>
    </w:p>
    <w:p>
      <w:pPr>
        <w:jc w:val="both"/>
        <w:ind w:left="580" w:right="1080" w:hanging="569"/>
        <w:spacing w:after="0" w:line="265" w:lineRule="auto"/>
        <w:tabs>
          <w:tab w:leader="none" w:pos="560" w:val="left"/>
        </w:tabs>
        <w:rPr>
          <w:sz w:val="20"/>
          <w:szCs w:val="20"/>
          <w:color w:val="auto"/>
        </w:rPr>
      </w:pPr>
      <w:r>
        <w:rPr>
          <w:rFonts w:ascii="Times New Roman" w:cs="Times New Roman" w:eastAsia="Times New Roman" w:hAnsi="Times New Roman"/>
          <w:sz w:val="18"/>
          <w:szCs w:val="18"/>
          <w:color w:val="auto"/>
        </w:rPr>
        <w:t>11.6</w:t>
      </w:r>
      <w:r>
        <w:rPr>
          <w:sz w:val="20"/>
          <w:szCs w:val="20"/>
          <w:color w:val="auto"/>
        </w:rPr>
        <w:tab/>
      </w:r>
      <w:r>
        <w:rPr>
          <w:rFonts w:ascii="Times New Roman" w:cs="Times New Roman" w:eastAsia="Times New Roman" w:hAnsi="Times New Roman"/>
          <w:sz w:val="17"/>
          <w:szCs w:val="17"/>
          <w:color w:val="auto"/>
        </w:rPr>
        <w:t>Auf die Karenzentschädigung wird alles angerechnet, was der Geschäftsführer durch anderweitige Verwertung seiner Arbeitskraft erwirbt oder böswillig unterlässt zu erwerben. Der Geschäftsführer ist verpflichtet, die Gesellschaft über die Aufnahme einer anderweitigen Tätigkeit und den</w:t>
      </w:r>
    </w:p>
    <w:p>
      <w:pPr>
        <w:ind w:left="580" w:right="1080"/>
        <w:spacing w:after="0" w:line="251" w:lineRule="auto"/>
        <w:rPr>
          <w:sz w:val="20"/>
          <w:szCs w:val="20"/>
          <w:color w:val="auto"/>
        </w:rPr>
      </w:pPr>
      <w:r>
        <w:rPr>
          <w:rFonts w:ascii="Times New Roman" w:cs="Times New Roman" w:eastAsia="Times New Roman" w:hAnsi="Times New Roman"/>
          <w:sz w:val="18"/>
          <w:szCs w:val="18"/>
          <w:color w:val="auto"/>
        </w:rPr>
        <w:t>diesbezüglichen Vertragspartner/Arbeitgeber zu unterrichten.</w:t>
      </w:r>
    </w:p>
    <w:p>
      <w:pPr>
        <w:spacing w:after="0" w:line="184" w:lineRule="exact"/>
        <w:rPr>
          <w:sz w:val="20"/>
          <w:szCs w:val="20"/>
          <w:color w:val="auto"/>
        </w:rPr>
      </w:pPr>
    </w:p>
    <w:p>
      <w:pPr>
        <w:jc w:val="both"/>
        <w:ind w:left="580" w:right="1080" w:hanging="569"/>
        <w:spacing w:after="0" w:line="248" w:lineRule="auto"/>
        <w:tabs>
          <w:tab w:leader="none" w:pos="560" w:val="left"/>
        </w:tabs>
        <w:rPr>
          <w:sz w:val="20"/>
          <w:szCs w:val="20"/>
          <w:color w:val="auto"/>
        </w:rPr>
      </w:pPr>
      <w:r>
        <w:rPr>
          <w:rFonts w:ascii="Times New Roman" w:cs="Times New Roman" w:eastAsia="Times New Roman" w:hAnsi="Times New Roman"/>
          <w:sz w:val="18"/>
          <w:szCs w:val="18"/>
          <w:color w:val="auto"/>
        </w:rPr>
        <w:t>11.7</w:t>
        <w:tab/>
        <w:t>Die Gesellschaft kann während der Dauer des Anstellungsverhältnisses als auch nach dessen Beendigung jederzeit mit einer Ankündigungsfrist von 6 Monaten auf die Einhaltung des nachvertraglichen Wettbewerbsverbots ganz oder teilweise schriftlich verzichten. In diesem Fall wird die Gesellschaft von der Pflicht zur Zahlung einer Karenzentschädigung mit Ablauf der Ankündigungsfrist und der Geschäftsführer von der Wettbewerbsbeschränkung mit Zugang der Erklärung, frühestens jedoch mit der Beendigung des Dienstverhältnisses, befreit.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335280</wp:posOffset>
            </wp:positionV>
            <wp:extent cx="713486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jc w:val="both"/>
        <w:ind w:left="560" w:hanging="556"/>
        <w:spacing w:after="0" w:line="222" w:lineRule="exact"/>
        <w:tabs>
          <w:tab w:leader="none" w:pos="540" w:val="left"/>
        </w:tabs>
        <w:rPr>
          <w:sz w:val="20"/>
          <w:szCs w:val="20"/>
          <w:color w:val="auto"/>
        </w:rPr>
      </w:pPr>
      <w:r>
        <w:rPr>
          <w:rFonts w:ascii="Times New Roman" w:cs="Times New Roman" w:eastAsia="Times New Roman" w:hAnsi="Times New Roman"/>
          <w:sz w:val="18"/>
          <w:szCs w:val="18"/>
          <w:color w:val="auto"/>
        </w:rPr>
        <w:t>11.3</w:t>
        <w:tab/>
        <w:t>The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contractual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compete obligation shall apply to the territory in which the Company or an Affiliated Company which benefits from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compete carried out its business activities in the last 12 months prior to the end of the service relationship and intends to carry out its business activities.</w:t>
      </w:r>
    </w:p>
    <w:p>
      <w:pPr>
        <w:spacing w:after="0" w:line="193" w:lineRule="exact"/>
        <w:rPr>
          <w:sz w:val="20"/>
          <w:szCs w:val="20"/>
          <w:color w:val="auto"/>
        </w:rPr>
      </w:pPr>
    </w:p>
    <w:p>
      <w:pPr>
        <w:jc w:val="both"/>
        <w:ind w:left="560" w:hanging="556"/>
        <w:spacing w:after="0" w:line="251" w:lineRule="auto"/>
        <w:tabs>
          <w:tab w:leader="none" w:pos="540" w:val="left"/>
        </w:tabs>
        <w:rPr>
          <w:sz w:val="20"/>
          <w:szCs w:val="20"/>
          <w:color w:val="auto"/>
        </w:rPr>
      </w:pPr>
      <w:r>
        <w:rPr>
          <w:rFonts w:ascii="Times New Roman" w:cs="Times New Roman" w:eastAsia="Times New Roman" w:hAnsi="Times New Roman"/>
          <w:sz w:val="18"/>
          <w:szCs w:val="18"/>
          <w:color w:val="auto"/>
        </w:rPr>
        <w:t>11.4</w:t>
        <w:tab/>
        <w:t>The paragraphs above of this clause 11 above shall apply accordingly to the benefit of those Affiliated Companies in which the Company holds shares directly or indirectly and where the Managing Director is the statutory representative or holds a similar position (e.g. member of the supervisory or advisory board, authorized signatory).</w:t>
      </w:r>
    </w:p>
    <w:p>
      <w:pPr>
        <w:spacing w:after="0" w:line="397" w:lineRule="exact"/>
        <w:rPr>
          <w:sz w:val="20"/>
          <w:szCs w:val="20"/>
          <w:color w:val="auto"/>
        </w:rPr>
      </w:pPr>
    </w:p>
    <w:p>
      <w:pPr>
        <w:jc w:val="both"/>
        <w:ind w:left="560" w:hanging="556"/>
        <w:spacing w:after="0" w:line="227" w:lineRule="exact"/>
        <w:tabs>
          <w:tab w:leader="none" w:pos="540" w:val="left"/>
        </w:tabs>
        <w:rPr>
          <w:sz w:val="20"/>
          <w:szCs w:val="20"/>
          <w:color w:val="auto"/>
        </w:rPr>
      </w:pPr>
      <w:r>
        <w:rPr>
          <w:rFonts w:ascii="Times New Roman" w:cs="Times New Roman" w:eastAsia="Times New Roman" w:hAnsi="Times New Roman"/>
          <w:sz w:val="18"/>
          <w:szCs w:val="18"/>
          <w:color w:val="auto"/>
        </w:rPr>
        <w:t>11.5</w:t>
        <w:tab/>
        <w:t>The Managing Director shall receive compensation pay of 50% of the last received contractual remuneration for the term of the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contractual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compete.</w:t>
      </w:r>
    </w:p>
    <w:p>
      <w:pPr>
        <w:spacing w:after="0" w:line="380" w:lineRule="exact"/>
        <w:rPr>
          <w:sz w:val="20"/>
          <w:szCs w:val="20"/>
          <w:color w:val="auto"/>
        </w:rPr>
      </w:pPr>
    </w:p>
    <w:p>
      <w:pPr>
        <w:jc w:val="both"/>
        <w:ind w:left="560" w:hanging="556"/>
        <w:spacing w:after="0" w:line="251" w:lineRule="auto"/>
        <w:tabs>
          <w:tab w:leader="none" w:pos="540" w:val="left"/>
        </w:tabs>
        <w:rPr>
          <w:sz w:val="20"/>
          <w:szCs w:val="20"/>
          <w:color w:val="auto"/>
        </w:rPr>
      </w:pPr>
      <w:r>
        <w:rPr>
          <w:rFonts w:ascii="Times New Roman" w:cs="Times New Roman" w:eastAsia="Times New Roman" w:hAnsi="Times New Roman"/>
          <w:sz w:val="18"/>
          <w:szCs w:val="18"/>
          <w:color w:val="auto"/>
        </w:rPr>
        <w:t>11.6</w:t>
        <w:tab/>
        <w:t>Any other income that the Managing Director receives or maliciously omits to receive from other work shall be set off from the compensation. The Managing Director is obliged to inform the Company of the commencement of any other activity and the contractual partner/employer concerned.</w:t>
      </w:r>
    </w:p>
    <w:p>
      <w:pPr>
        <w:spacing w:after="0" w:line="397" w:lineRule="exact"/>
        <w:rPr>
          <w:sz w:val="20"/>
          <w:szCs w:val="20"/>
          <w:color w:val="auto"/>
        </w:rPr>
      </w:pPr>
    </w:p>
    <w:p>
      <w:pPr>
        <w:jc w:val="both"/>
        <w:ind w:left="560" w:hanging="556"/>
        <w:spacing w:after="0" w:line="214" w:lineRule="exact"/>
        <w:tabs>
          <w:tab w:leader="none" w:pos="540" w:val="left"/>
        </w:tabs>
        <w:rPr>
          <w:sz w:val="20"/>
          <w:szCs w:val="20"/>
          <w:color w:val="auto"/>
        </w:rPr>
      </w:pPr>
      <w:r>
        <w:rPr>
          <w:rFonts w:ascii="Times New Roman" w:cs="Times New Roman" w:eastAsia="Times New Roman" w:hAnsi="Times New Roman"/>
          <w:sz w:val="18"/>
          <w:szCs w:val="18"/>
          <w:color w:val="auto"/>
        </w:rPr>
        <w:t>11.7</w:t>
        <w:tab/>
        <w:t>During the term of the service relationship and thereafter the Company is entitled to waive the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contractual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compete obligation in whole or in part at any time by giving 6 months written notice. In this case the Company will be released from the obligation to pay compensation with expiration of the notice period and the Managing Director will be released from the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contractual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compete obligation after receipt of the written notice, at the earliest, however, upon the end of service relationship.</w:t>
      </w: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2">
            <w:col w:w="5820" w:space="720"/>
            <w:col w:w="4700"/>
          </w:cols>
          <w:pgMar w:left="320" w:top="559" w:right="339" w:bottom="1440" w:gutter="0" w:footer="0" w:header="0"/>
          <w:type w:val="continuous"/>
        </w:sectPr>
      </w:pPr>
    </w:p>
    <w:bookmarkStart w:id="109" w:name="page110"/>
    <w:bookmarkEnd w:id="109"/>
    <w:p>
      <w:pPr>
        <w:jc w:val="center"/>
        <w:ind w:right="6"/>
        <w:spacing w:after="0"/>
        <w:rPr>
          <w:sz w:val="20"/>
          <w:szCs w:val="20"/>
          <w:color w:val="auto"/>
        </w:rPr>
      </w:pPr>
      <w:r>
        <w:rPr>
          <w:rFonts w:ascii="Times New Roman" w:cs="Times New Roman" w:eastAsia="Times New Roman" w:hAnsi="Times New Roman"/>
          <w:sz w:val="21"/>
          <w:szCs w:val="21"/>
          <w:b w:val="1"/>
          <w:bCs w:val="1"/>
          <w:color w:val="auto"/>
        </w:rPr>
        <w:t>[Letterhead of Cohu GmbH]</w:t>
      </w:r>
    </w:p>
    <w:p>
      <w:pPr>
        <w:sectPr>
          <w:pgSz w:w="11900" w:h="16838" w:orient="portrait"/>
          <w:cols w:equalWidth="0" w:num="1">
            <w:col w:w="11234"/>
          </w:cols>
          <w:pgMar w:left="326" w:top="559" w:right="339" w:bottom="1440" w:gutter="0" w:footer="0" w:header="0"/>
        </w:sectPr>
      </w:pPr>
    </w:p>
    <w:p>
      <w:pPr>
        <w:spacing w:after="0" w:line="222" w:lineRule="exact"/>
        <w:rPr>
          <w:sz w:val="20"/>
          <w:szCs w:val="20"/>
          <w:color w:val="auto"/>
        </w:rPr>
      </w:pPr>
    </w:p>
    <w:p>
      <w:pPr>
        <w:jc w:val="both"/>
        <w:ind w:left="574" w:right="1078" w:hanging="569"/>
        <w:spacing w:after="0" w:line="251" w:lineRule="auto"/>
        <w:tabs>
          <w:tab w:leader="none" w:pos="554" w:val="left"/>
        </w:tabs>
        <w:rPr>
          <w:sz w:val="20"/>
          <w:szCs w:val="20"/>
          <w:color w:val="auto"/>
        </w:rPr>
      </w:pPr>
      <w:r>
        <w:rPr>
          <w:rFonts w:ascii="Times New Roman" w:cs="Times New Roman" w:eastAsia="Times New Roman" w:hAnsi="Times New Roman"/>
          <w:sz w:val="18"/>
          <w:szCs w:val="18"/>
          <w:color w:val="auto"/>
        </w:rPr>
        <w:t>11.8</w:t>
        <w:tab/>
        <w:t>Endet das Anstellungsverhältnis aufgrund einer berechtigten außerordentlich fristlosen Kündigung aus wichtigem Grund, so kann sich die kündigende Vertragspartei innerhalb eines Monats nach Ausspruch der Kündigung durch schriftliche Erklärung von dem Wettbewerbsverbot mit sofortiger Wirkung lossagen.</w:t>
      </w:r>
    </w:p>
    <w:p>
      <w:pPr>
        <w:spacing w:after="0" w:line="185" w:lineRule="exact"/>
        <w:rPr>
          <w:sz w:val="20"/>
          <w:szCs w:val="20"/>
          <w:color w:val="auto"/>
        </w:rPr>
      </w:pPr>
    </w:p>
    <w:p>
      <w:pPr>
        <w:jc w:val="both"/>
        <w:ind w:left="574" w:right="1078" w:hanging="569"/>
        <w:spacing w:after="0" w:line="274" w:lineRule="auto"/>
        <w:tabs>
          <w:tab w:leader="none" w:pos="554" w:val="left"/>
        </w:tabs>
        <w:rPr>
          <w:sz w:val="20"/>
          <w:szCs w:val="20"/>
          <w:color w:val="auto"/>
        </w:rPr>
      </w:pPr>
      <w:r>
        <w:rPr>
          <w:rFonts w:ascii="Times New Roman" w:cs="Times New Roman" w:eastAsia="Times New Roman" w:hAnsi="Times New Roman"/>
          <w:sz w:val="18"/>
          <w:szCs w:val="18"/>
          <w:color w:val="auto"/>
        </w:rPr>
        <w:t>11.9</w:t>
        <w:tab/>
        <w:t>Im Übrigen gelten die §§ 74 ff. HGB, soweit sie Regelungen zugunsten der Gesellschaft enthalten.</w:t>
      </w:r>
    </w:p>
    <w:p>
      <w:pPr>
        <w:spacing w:after="0" w:line="373" w:lineRule="exact"/>
        <w:rPr>
          <w:sz w:val="20"/>
          <w:szCs w:val="20"/>
          <w:color w:val="auto"/>
        </w:rPr>
      </w:pPr>
    </w:p>
    <w:p>
      <w:pPr>
        <w:ind w:left="574" w:hanging="574"/>
        <w:spacing w:after="0"/>
        <w:tabs>
          <w:tab w:leader="none" w:pos="574"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GEHEIMHALTUNG</w:t>
      </w:r>
    </w:p>
    <w:p>
      <w:pPr>
        <w:spacing w:after="0" w:line="219" w:lineRule="exact"/>
        <w:rPr>
          <w:sz w:val="20"/>
          <w:szCs w:val="20"/>
          <w:color w:val="auto"/>
        </w:rPr>
      </w:pPr>
    </w:p>
    <w:p>
      <w:pPr>
        <w:jc w:val="both"/>
        <w:ind w:left="574" w:right="1078" w:hanging="569"/>
        <w:spacing w:after="0" w:line="213" w:lineRule="exact"/>
        <w:tabs>
          <w:tab w:leader="none" w:pos="554" w:val="left"/>
        </w:tabs>
        <w:rPr>
          <w:sz w:val="20"/>
          <w:szCs w:val="20"/>
          <w:color w:val="auto"/>
        </w:rPr>
      </w:pPr>
      <w:r>
        <w:rPr>
          <w:rFonts w:ascii="Times New Roman" w:cs="Times New Roman" w:eastAsia="Times New Roman" w:hAnsi="Times New Roman"/>
          <w:sz w:val="18"/>
          <w:szCs w:val="18"/>
          <w:color w:val="auto"/>
        </w:rPr>
        <w:t>12.1</w:t>
        <w:tab/>
        <w:t>Der Geschäftsführer ist verpflichtet, während der Dauer des Anstellungsvertrages über alle ihm anvertrauten, zugänglich gemachten oder sonst bekannt gewordenen Betriebs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und Geschäftsgeheimnisse (einschließlich aller anderen, nicht öffentlich bekannten Angelegenheiten) der Gesellschaft oder Verbundener Unternehmen strenges Stillschweigen gegenüber Dritten zu bewahren und solche Betriebs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und Geschäftsgeheimnisse (einschließlich aller anderen, nicht öffentlich bekannten Angelegenheiten) auch nicht selbst zu verwerten. Dies gilt nicht, soweit der Geschäftsführer aufgrund gesetzlicher Verpflichtung, z. B. gegenüber einer Behörde (z. B. Finanzamt) zur Offenlegung solcher Geheimnisse verpflichtet ist oder die Offenlegung zur Wahrung von Rechtsansprüchen gegenüber Gerichten erforderlich ist. Sobald dem Geschäftsführer bekannt wird, dass er im Sinne dieser Ziffer zur Offenlegung verpflichtet bzw. die Offenlegung erforderlich ist, wird er die Gesellschaft unverzüglich informieren.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346075</wp:posOffset>
            </wp:positionV>
            <wp:extent cx="713486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jc w:val="both"/>
        <w:ind w:left="562" w:hanging="556"/>
        <w:spacing w:after="0" w:line="216" w:lineRule="exact"/>
        <w:tabs>
          <w:tab w:leader="none" w:pos="541" w:val="left"/>
        </w:tabs>
        <w:rPr>
          <w:sz w:val="20"/>
          <w:szCs w:val="20"/>
          <w:color w:val="auto"/>
        </w:rPr>
      </w:pPr>
      <w:r>
        <w:rPr>
          <w:rFonts w:ascii="Times New Roman" w:cs="Times New Roman" w:eastAsia="Times New Roman" w:hAnsi="Times New Roman"/>
          <w:sz w:val="18"/>
          <w:szCs w:val="18"/>
          <w:color w:val="auto"/>
        </w:rPr>
        <w:t>11.8</w:t>
      </w:r>
      <w:r>
        <w:rPr>
          <w:sz w:val="20"/>
          <w:szCs w:val="20"/>
          <w:color w:val="auto"/>
        </w:rPr>
        <w:tab/>
      </w:r>
      <w:r>
        <w:rPr>
          <w:rFonts w:ascii="Times New Roman" w:cs="Times New Roman" w:eastAsia="Times New Roman" w:hAnsi="Times New Roman"/>
          <w:sz w:val="17"/>
          <w:szCs w:val="17"/>
          <w:color w:val="auto"/>
        </w:rPr>
        <w:t>If the service relationship ends due to a justified summary dismissal the Party terminating the service relationship may release itself from the post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contractual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compete with immediate effect by written declaration within one month after the termination notice.</w:t>
      </w:r>
    </w:p>
    <w:p>
      <w:pPr>
        <w:spacing w:after="0" w:line="200" w:lineRule="exact"/>
        <w:rPr>
          <w:sz w:val="20"/>
          <w:szCs w:val="20"/>
          <w:color w:val="auto"/>
        </w:rPr>
      </w:pPr>
    </w:p>
    <w:p>
      <w:pPr>
        <w:spacing w:after="0" w:line="205" w:lineRule="exact"/>
        <w:rPr>
          <w:sz w:val="20"/>
          <w:szCs w:val="20"/>
          <w:color w:val="auto"/>
        </w:rPr>
      </w:pPr>
    </w:p>
    <w:p>
      <w:pPr>
        <w:jc w:val="both"/>
        <w:ind w:left="562" w:hanging="556"/>
        <w:spacing w:after="0" w:line="259" w:lineRule="auto"/>
        <w:tabs>
          <w:tab w:leader="none" w:pos="541" w:val="left"/>
        </w:tabs>
        <w:rPr>
          <w:sz w:val="20"/>
          <w:szCs w:val="20"/>
          <w:color w:val="auto"/>
        </w:rPr>
      </w:pPr>
      <w:r>
        <w:rPr>
          <w:rFonts w:ascii="Times New Roman" w:cs="Times New Roman" w:eastAsia="Times New Roman" w:hAnsi="Times New Roman"/>
          <w:sz w:val="18"/>
          <w:szCs w:val="18"/>
          <w:color w:val="auto"/>
        </w:rPr>
        <w:t>11.9</w:t>
        <w:tab/>
        <w:t>Furthermore, section 74 et. al. German Commercial Code shall apply, to the extent that these regulations are to the benefit of the Company.</w:t>
      </w:r>
    </w:p>
    <w:p>
      <w:pPr>
        <w:spacing w:after="0" w:line="176" w:lineRule="exact"/>
        <w:rPr>
          <w:sz w:val="20"/>
          <w:szCs w:val="20"/>
          <w:color w:val="auto"/>
        </w:rPr>
      </w:pPr>
    </w:p>
    <w:p>
      <w:pPr>
        <w:ind w:left="562" w:hanging="562"/>
        <w:spacing w:after="0"/>
        <w:tabs>
          <w:tab w:leader="none" w:pos="562"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w:t>
      </w:r>
    </w:p>
    <w:p>
      <w:pPr>
        <w:spacing w:after="0" w:line="219" w:lineRule="exact"/>
        <w:rPr>
          <w:sz w:val="20"/>
          <w:szCs w:val="20"/>
          <w:color w:val="auto"/>
        </w:rPr>
      </w:pPr>
    </w:p>
    <w:p>
      <w:pPr>
        <w:jc w:val="both"/>
        <w:ind w:left="562" w:hanging="556"/>
        <w:spacing w:after="0" w:line="247" w:lineRule="auto"/>
        <w:tabs>
          <w:tab w:leader="none" w:pos="541" w:val="left"/>
        </w:tabs>
        <w:rPr>
          <w:sz w:val="20"/>
          <w:szCs w:val="20"/>
          <w:color w:val="auto"/>
        </w:rPr>
      </w:pPr>
      <w:r>
        <w:rPr>
          <w:rFonts w:ascii="Times New Roman" w:cs="Times New Roman" w:eastAsia="Times New Roman" w:hAnsi="Times New Roman"/>
          <w:sz w:val="18"/>
          <w:szCs w:val="18"/>
          <w:color w:val="auto"/>
        </w:rPr>
        <w:t>12.1</w:t>
        <w:tab/>
        <w:t xml:space="preserve">The Managing Director shall not, during the term of the service relationship, disclose to any third party any of the Company's or any Affiliated Companies` business or operational secrets (including any other information not known to the public) that have been entrusted or otherwise become known to the Managing Director, and the Managing Director will not utilise such business or operational secrets (including any other matters that are not known to the public) for the Managing Director. This shall not apply to the extent that the Managing Director is obliged to disclose such secrets due to statutory law,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to the authorities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the revenue service) or the disclosure is required in order to pursue legal claims before a court. As soon as the Managing Director becomes aware that he is obliged to disclose or a disclosure is required in the meaning of this clause the Managing Director shall notify the Company without undue delay.</w:t>
      </w: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2">
            <w:col w:w="5812" w:space="720"/>
            <w:col w:w="4702"/>
          </w:cols>
          <w:pgMar w:left="326" w:top="559" w:right="339" w:bottom="1440" w:gutter="0" w:footer="0" w:header="0"/>
          <w:type w:val="continuous"/>
        </w:sectPr>
      </w:pPr>
    </w:p>
    <w:bookmarkStart w:id="110" w:name="page111"/>
    <w:bookmarkEnd w:id="110"/>
    <w:p>
      <w:pPr>
        <w:jc w:val="center"/>
        <w:ind w:right="720"/>
        <w:spacing w:after="0"/>
        <w:rPr>
          <w:sz w:val="20"/>
          <w:szCs w:val="20"/>
          <w:color w:val="auto"/>
        </w:rPr>
      </w:pPr>
      <w:r>
        <w:rPr>
          <w:rFonts w:ascii="Times New Roman" w:cs="Times New Roman" w:eastAsia="Times New Roman" w:hAnsi="Times New Roman"/>
          <w:sz w:val="21"/>
          <w:szCs w:val="21"/>
          <w:b w:val="1"/>
          <w:bCs w:val="1"/>
          <w:color w:val="auto"/>
        </w:rPr>
        <w:t>[Letterhead of Cohu GmbH]</w:t>
      </w:r>
    </w:p>
    <w:p>
      <w:pPr>
        <w:sectPr>
          <w:pgSz w:w="11900" w:h="16838" w:orient="portrait"/>
          <w:cols w:equalWidth="0" w:num="1">
            <w:col w:w="10520"/>
          </w:cols>
          <w:pgMar w:left="1040" w:top="559" w:right="339" w:bottom="1440" w:gutter="0" w:footer="0" w:header="0"/>
        </w:sectPr>
      </w:pPr>
    </w:p>
    <w:p>
      <w:pPr>
        <w:spacing w:after="0" w:line="222" w:lineRule="exact"/>
        <w:rPr>
          <w:sz w:val="20"/>
          <w:szCs w:val="20"/>
          <w:color w:val="auto"/>
        </w:rPr>
      </w:pPr>
    </w:p>
    <w:p>
      <w:pPr>
        <w:jc w:val="both"/>
        <w:ind w:right="998" w:hanging="714"/>
        <w:spacing w:after="0" w:line="268" w:lineRule="auto"/>
        <w:rPr>
          <w:sz w:val="20"/>
          <w:szCs w:val="20"/>
          <w:color w:val="auto"/>
        </w:rPr>
      </w:pPr>
      <w:r>
        <w:rPr>
          <w:rFonts w:ascii="Times New Roman" w:cs="Times New Roman" w:eastAsia="Times New Roman" w:hAnsi="Times New Roman"/>
          <w:sz w:val="18"/>
          <w:szCs w:val="18"/>
          <w:color w:val="auto"/>
        </w:rPr>
        <w:t>12.2</w:t>
      </w:r>
      <w:r>
        <w:rPr>
          <w:sz w:val="20"/>
          <w:szCs w:val="20"/>
          <w:color w:val="auto"/>
        </w:rPr>
        <w:t xml:space="preserve"> </w:t>
      </w:r>
      <w:r>
        <w:rPr>
          <w:rFonts w:ascii="Times New Roman" w:cs="Times New Roman" w:eastAsia="Times New Roman" w:hAnsi="Times New Roman"/>
          <w:sz w:val="17"/>
          <w:szCs w:val="17"/>
          <w:color w:val="auto"/>
        </w:rPr>
        <w:t>Diese Verpflichtung gilt auch ohne zeitliche Begrenzung nach Beendigung des Anstellungsverhältnisses im gesetzlich zulässigen Umfang fort. Sollte die</w:t>
      </w:r>
    </w:p>
    <w:p>
      <w:pPr>
        <w:spacing w:after="0" w:line="1" w:lineRule="exact"/>
        <w:rPr>
          <w:sz w:val="20"/>
          <w:szCs w:val="20"/>
          <w:color w:val="auto"/>
        </w:rPr>
      </w:pPr>
    </w:p>
    <w:p>
      <w:pPr>
        <w:jc w:val="both"/>
        <w:ind w:right="998"/>
        <w:spacing w:after="0" w:line="247" w:lineRule="auto"/>
        <w:rPr>
          <w:sz w:val="20"/>
          <w:szCs w:val="20"/>
          <w:color w:val="auto"/>
        </w:rPr>
      </w:pPr>
      <w:r>
        <w:rPr>
          <w:rFonts w:ascii="Times New Roman" w:cs="Times New Roman" w:eastAsia="Times New Roman" w:hAnsi="Times New Roman"/>
          <w:sz w:val="18"/>
          <w:szCs w:val="18"/>
          <w:color w:val="auto"/>
        </w:rPr>
        <w:t>nachvertragliche Geheimhaltungspflicht den Geschäftsführer in seinem beruflichen Fortkommen unangemessen behindern, hat der Geschäftsführer gegen die Gesellschaft einen Anspruch auf Freistellung von dieser Pflicht.</w:t>
      </w:r>
    </w:p>
    <w:p>
      <w:pPr>
        <w:spacing w:after="0" w:line="186" w:lineRule="exact"/>
        <w:rPr>
          <w:sz w:val="20"/>
          <w:szCs w:val="20"/>
          <w:color w:val="auto"/>
        </w:rPr>
      </w:pPr>
    </w:p>
    <w:p>
      <w:pPr>
        <w:jc w:val="both"/>
        <w:ind w:right="998" w:hanging="719"/>
        <w:spacing w:after="0" w:line="276" w:lineRule="auto"/>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 xml:space="preserve"> </w:t>
      </w:r>
      <w:r>
        <w:rPr>
          <w:rFonts w:ascii="Times New Roman" w:cs="Times New Roman" w:eastAsia="Times New Roman" w:hAnsi="Times New Roman"/>
          <w:sz w:val="18"/>
          <w:szCs w:val="18"/>
          <w:b w:val="1"/>
          <w:bCs w:val="1"/>
          <w:color w:val="auto"/>
        </w:rPr>
        <w:t>RÜCKGABE VON BETRIEBSMITTELN, GEGENSTÄNDEN UND DATEN</w:t>
      </w:r>
    </w:p>
    <w:p>
      <w:pPr>
        <w:spacing w:after="0" w:line="162" w:lineRule="exact"/>
        <w:rPr>
          <w:sz w:val="20"/>
          <w:szCs w:val="20"/>
          <w:color w:val="auto"/>
        </w:rPr>
      </w:pPr>
    </w:p>
    <w:p>
      <w:pPr>
        <w:jc w:val="both"/>
        <w:ind w:right="1018" w:hanging="714"/>
        <w:spacing w:after="0" w:line="251" w:lineRule="auto"/>
        <w:rPr>
          <w:sz w:val="20"/>
          <w:szCs w:val="20"/>
          <w:color w:val="auto"/>
        </w:rPr>
      </w:pPr>
      <w:r>
        <w:rPr>
          <w:rFonts w:ascii="Times New Roman" w:cs="Times New Roman" w:eastAsia="Times New Roman" w:hAnsi="Times New Roman"/>
          <w:sz w:val="18"/>
          <w:szCs w:val="18"/>
          <w:color w:val="auto"/>
        </w:rPr>
        <w:t>13.1</w:t>
      </w:r>
      <w:r>
        <w:rPr>
          <w:sz w:val="20"/>
          <w:szCs w:val="20"/>
          <w:color w:val="auto"/>
        </w:rPr>
        <w:t xml:space="preserve"> </w:t>
      </w:r>
      <w:r>
        <w:rPr>
          <w:rFonts w:ascii="Times New Roman" w:cs="Times New Roman" w:eastAsia="Times New Roman" w:hAnsi="Times New Roman"/>
          <w:sz w:val="18"/>
          <w:szCs w:val="18"/>
          <w:color w:val="auto"/>
        </w:rPr>
        <w:t>Alle im Eigentum der Gesellschaft oder Verbundener Unternehmen stehenden Gegenstände oder die dem Geschäftsführer von der Gesellschaft oder von einem Verbundenen Unternehmen im Rahmen des</w:t>
      </w:r>
    </w:p>
    <w:p>
      <w:pPr>
        <w:spacing w:after="0" w:line="1" w:lineRule="exact"/>
        <w:rPr>
          <w:sz w:val="20"/>
          <w:szCs w:val="20"/>
          <w:color w:val="auto"/>
        </w:rPr>
      </w:pPr>
    </w:p>
    <w:p>
      <w:pPr>
        <w:jc w:val="both"/>
        <w:ind w:right="998"/>
        <w:spacing w:after="0" w:line="246" w:lineRule="auto"/>
        <w:rPr>
          <w:sz w:val="20"/>
          <w:szCs w:val="20"/>
          <w:color w:val="auto"/>
        </w:rPr>
      </w:pPr>
      <w:r>
        <w:rPr>
          <w:rFonts w:ascii="Times New Roman" w:cs="Times New Roman" w:eastAsia="Times New Roman" w:hAnsi="Times New Roman"/>
          <w:sz w:val="18"/>
          <w:szCs w:val="18"/>
          <w:color w:val="auto"/>
        </w:rPr>
        <w:t>Anstellungsverhältnisses überlassen wurden, insbesondere alle schriftlichen Arbeitsunterlagen, Computer, Schlüssel, Notizen, Passwörter, Dokumente, Broschüren sowie Kopien, sind sorgfältig von dem Geschäftsführer aufzubewahren und jederzeit auf Verlangen, unaufgefordert spätestens bei Beendigung des Anstellungsverhältnisses, an die Gesellschaft am Sitz der Gesellschaft herauszugeben. Auf Verlangen der Gesellschaft bestätigt der Geschäftsführer die vollständige Herausgabe schriftlich.</w:t>
      </w:r>
    </w:p>
    <w:p>
      <w:pPr>
        <w:spacing w:after="0" w:line="191" w:lineRule="exact"/>
        <w:rPr>
          <w:sz w:val="20"/>
          <w:szCs w:val="20"/>
          <w:color w:val="auto"/>
        </w:rPr>
      </w:pPr>
    </w:p>
    <w:p>
      <w:pPr>
        <w:jc w:val="both"/>
        <w:ind w:right="998" w:hanging="714"/>
        <w:spacing w:after="0" w:line="214" w:lineRule="exact"/>
        <w:rPr>
          <w:sz w:val="20"/>
          <w:szCs w:val="20"/>
          <w:color w:val="auto"/>
        </w:rPr>
      </w:pPr>
      <w:r>
        <w:rPr>
          <w:rFonts w:ascii="Times New Roman" w:cs="Times New Roman" w:eastAsia="Times New Roman" w:hAnsi="Times New Roman"/>
          <w:sz w:val="18"/>
          <w:szCs w:val="18"/>
          <w:color w:val="auto"/>
        </w:rPr>
        <w:t>13.2</w:t>
      </w:r>
      <w:r>
        <w:rPr>
          <w:sz w:val="20"/>
          <w:szCs w:val="20"/>
          <w:color w:val="auto"/>
        </w:rPr>
        <w:t xml:space="preserve"> </w:t>
      </w:r>
      <w:r>
        <w:rPr>
          <w:rFonts w:ascii="Times New Roman" w:cs="Times New Roman" w:eastAsia="Times New Roman" w:hAnsi="Times New Roman"/>
          <w:sz w:val="17"/>
          <w:szCs w:val="17"/>
          <w:color w:val="auto"/>
        </w:rPr>
        <w:t>Der Geschäftsführer ist darüber hinaus verpflichtet, jederzeit auf Verlangen, spätestens bei Beendigung des Dienstverhältnisses, auf Datenträgern gespeicherte Daten (z. B. Emails, Software, Dateien) und Programme der Gesellschaft oder Verbundener Unternehmen oder die sonst dienstlicher Natur sind, die im unmittelbaren oder mittelbaren Besitz des Geschäftsführers sind (einschließlich Clouds), auf die EDV</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Anlage der Gesellschaft zu übertragen und auf allen seinen eigenen Datenträgern zu löschen. Auf Verlangen der Gesellschaft bestätigt der Geschäftsführer die vollständige Übertragung und Löschung der Daten schriftlich.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337820</wp:posOffset>
            </wp:positionV>
            <wp:extent cx="7134860" cy="165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jc w:val="both"/>
        <w:ind w:left="722" w:hanging="715"/>
        <w:spacing w:after="0" w:line="267" w:lineRule="auto"/>
        <w:tabs>
          <w:tab w:leader="none" w:pos="701"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7"/>
          <w:szCs w:val="17"/>
          <w:color w:val="auto"/>
        </w:rPr>
        <w:t>This obligation shall also continue to apply after the end of the service relationship without limitation in time and to the extent legally permissible. If the post contractual confidentiality obligation constitutes an unreasonable obstacle for the Managing Director's professional advancement, the Managing Director shall be entitled to be released from this obligation by the Company.</w:t>
      </w:r>
    </w:p>
    <w:p>
      <w:pPr>
        <w:spacing w:after="0" w:line="384" w:lineRule="exact"/>
        <w:rPr>
          <w:sz w:val="20"/>
          <w:szCs w:val="20"/>
          <w:color w:val="auto"/>
        </w:rPr>
      </w:pPr>
    </w:p>
    <w:p>
      <w:pPr>
        <w:ind w:left="722" w:hanging="722"/>
        <w:spacing w:after="0" w:line="276" w:lineRule="auto"/>
        <w:tabs>
          <w:tab w:leader="none" w:pos="722"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RETURN OF COMPANY MEANS, ITEMS AND DATA</w:t>
      </w:r>
    </w:p>
    <w:p>
      <w:pPr>
        <w:spacing w:after="0" w:line="162" w:lineRule="exact"/>
        <w:rPr>
          <w:sz w:val="20"/>
          <w:szCs w:val="20"/>
          <w:color w:val="auto"/>
        </w:rPr>
      </w:pPr>
    </w:p>
    <w:p>
      <w:pPr>
        <w:jc w:val="both"/>
        <w:ind w:left="722" w:hanging="715"/>
        <w:spacing w:after="0" w:line="248" w:lineRule="auto"/>
        <w:tabs>
          <w:tab w:leader="none" w:pos="701"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color w:val="auto"/>
        </w:rPr>
        <w:t>All items belonging to the Company or Affiliated Companies or which were provided to the Managing Director by the Company or an Affiliated Company in the context of the service relationship, in particular all written documents, computers, keys, notes, passwords, documents, brochures, and copies shall be kept carefully by the Managing Director and shall be returned to the Company at the registered seat of the Company upon request at any time, without request at the latest at the end of the service relationship. At the request of the Company, the Managing Director will confirm the complete return in writing.</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722" w:hanging="715"/>
        <w:spacing w:after="0" w:line="265" w:lineRule="auto"/>
        <w:tabs>
          <w:tab w:leader="none" w:pos="701"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7"/>
          <w:szCs w:val="17"/>
          <w:color w:val="auto"/>
        </w:rPr>
        <w:t>The Managing Director shall furthermore transfer all data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emails, software, files) and programs of the Company or Affiliated Companies or which is otherwise business related which is directly or indirectly owned by the Managing Director (including Clouds), to the Company's data processing facility and delete this data on all his own data carrier on request at any time, and at the latest on termination of the service. At the request of the Company, the Managing Director will confirm the complete transfer and deletion of all data in writing.</w:t>
      </w: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2">
            <w:col w:w="5058" w:space="720"/>
            <w:col w:w="4742"/>
          </w:cols>
          <w:pgMar w:left="1040" w:top="559" w:right="339" w:bottom="1440" w:gutter="0" w:footer="0" w:header="0"/>
          <w:type w:val="continuous"/>
        </w:sectPr>
      </w:pPr>
    </w:p>
    <w:bookmarkStart w:id="111" w:name="page112"/>
    <w:bookmarkEnd w:id="111"/>
    <w:p>
      <w:pPr>
        <w:jc w:val="center"/>
        <w:ind w:right="6"/>
        <w:spacing w:after="0"/>
        <w:rPr>
          <w:sz w:val="20"/>
          <w:szCs w:val="20"/>
          <w:color w:val="auto"/>
        </w:rPr>
      </w:pPr>
      <w:r>
        <w:rPr>
          <w:rFonts w:ascii="Times New Roman" w:cs="Times New Roman" w:eastAsia="Times New Roman" w:hAnsi="Times New Roman"/>
          <w:sz w:val="21"/>
          <w:szCs w:val="21"/>
          <w:b w:val="1"/>
          <w:bCs w:val="1"/>
          <w:color w:val="auto"/>
        </w:rPr>
        <w:t>[Letterhead of Cohu GmbH]</w:t>
      </w:r>
    </w:p>
    <w:p>
      <w:pPr>
        <w:sectPr>
          <w:pgSz w:w="11900" w:h="16838" w:orient="portrait"/>
          <w:cols w:equalWidth="0" w:num="1">
            <w:col w:w="11234"/>
          </w:cols>
          <w:pgMar w:left="326" w:top="559" w:right="339" w:bottom="1440" w:gutter="0" w:footer="0" w:header="0"/>
        </w:sectPr>
      </w:pPr>
    </w:p>
    <w:p>
      <w:pPr>
        <w:spacing w:after="0" w:line="222" w:lineRule="exact"/>
        <w:rPr>
          <w:sz w:val="20"/>
          <w:szCs w:val="20"/>
          <w:color w:val="auto"/>
        </w:rPr>
      </w:pPr>
    </w:p>
    <w:p>
      <w:pPr>
        <w:ind w:left="714" w:right="1000" w:hanging="714"/>
        <w:spacing w:after="0" w:line="274" w:lineRule="auto"/>
        <w:tabs>
          <w:tab w:leader="none" w:pos="694"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8"/>
          <w:szCs w:val="18"/>
          <w:color w:val="auto"/>
        </w:rPr>
        <w:t>Dem Geschäftsführer steht kein Zurückbehaltungsrecht zu.</w:t>
      </w:r>
    </w:p>
    <w:p>
      <w:pPr>
        <w:spacing w:after="0" w:line="161" w:lineRule="exact"/>
        <w:rPr>
          <w:sz w:val="20"/>
          <w:szCs w:val="20"/>
          <w:color w:val="auto"/>
        </w:rPr>
      </w:pPr>
    </w:p>
    <w:p>
      <w:pPr>
        <w:ind w:left="714" w:hanging="714"/>
        <w:spacing w:after="0"/>
        <w:tabs>
          <w:tab w:leader="none" w:pos="714"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VERTRAGSSTRAFE</w:t>
      </w:r>
    </w:p>
    <w:p>
      <w:pPr>
        <w:spacing w:after="0" w:line="219" w:lineRule="exact"/>
        <w:rPr>
          <w:sz w:val="20"/>
          <w:szCs w:val="20"/>
          <w:color w:val="auto"/>
        </w:rPr>
      </w:pPr>
    </w:p>
    <w:p>
      <w:pPr>
        <w:jc w:val="both"/>
        <w:ind w:left="714" w:right="1000" w:hanging="714"/>
        <w:spacing w:after="0" w:line="265" w:lineRule="auto"/>
        <w:tabs>
          <w:tab w:leader="none" w:pos="694"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7"/>
          <w:szCs w:val="17"/>
          <w:color w:val="auto"/>
        </w:rPr>
        <w:t>Im Falle einer Zuwiderhandlung gegen das Wettbewerbsverbot aus Ziffer 10.1, das Abwerbeverbot aus Ziffer 10.2, das nachvertragliche Wettbewerbsverbot aus Ziffer 11.1, das nachvertragliche Abwerbeverbot aus Ziffer 11.2 oder, bis zum Ablauf von zwei Jahren nach Beendigung des Anstellungsverhältnisses, die Geheimhaltungspflicht aus Ziffer 12.1 ist der Geschäftsführer verpflichtet, für jeden einzelnen Verstoß an die Gesellschaft eine Vertragsstrafe in Höhe des letzten Bruttomonatsgehalts zu zahlen.</w:t>
      </w:r>
    </w:p>
    <w:p>
      <w:pPr>
        <w:spacing w:after="0" w:line="174" w:lineRule="exact"/>
        <w:rPr>
          <w:sz w:val="20"/>
          <w:szCs w:val="20"/>
          <w:color w:val="auto"/>
        </w:rPr>
      </w:pPr>
    </w:p>
    <w:p>
      <w:pPr>
        <w:jc w:val="both"/>
        <w:ind w:left="714" w:right="1000" w:hanging="714"/>
        <w:spacing w:after="0" w:line="272" w:lineRule="auto"/>
        <w:tabs>
          <w:tab w:leader="none" w:pos="694"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7"/>
          <w:szCs w:val="17"/>
          <w:color w:val="auto"/>
        </w:rPr>
        <w:t>Besteht die Zuwiderhandlung in der kapitalmäßigen Beteiligung an einem Wettbewerbsunternehmen oder der</w:t>
      </w:r>
    </w:p>
    <w:p>
      <w:pPr>
        <w:jc w:val="both"/>
        <w:ind w:left="714" w:right="1000"/>
        <w:spacing w:after="0" w:line="212" w:lineRule="exact"/>
        <w:rPr>
          <w:sz w:val="20"/>
          <w:szCs w:val="20"/>
          <w:color w:val="auto"/>
        </w:rPr>
      </w:pPr>
      <w:r>
        <w:rPr>
          <w:rFonts w:ascii="Times New Roman" w:cs="Times New Roman" w:eastAsia="Times New Roman" w:hAnsi="Times New Roman"/>
          <w:sz w:val="18"/>
          <w:szCs w:val="18"/>
          <w:color w:val="auto"/>
        </w:rPr>
        <w:t>Eingehung eines Dauerschuldverhältnisses (z. B. Arbeits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Dienst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Handelsvertreter oder Beraterverhältnis), wird die Vertragsstrafe für jeden angefangenen Monat, in dem die kapitalmäßige Beteiligung oder das Dauerschuldverhältnis besteht, neu verwirkt („</w:t>
      </w:r>
      <w:r>
        <w:rPr>
          <w:rFonts w:ascii="Times New Roman" w:cs="Times New Roman" w:eastAsia="Times New Roman" w:hAnsi="Times New Roman"/>
          <w:sz w:val="18"/>
          <w:szCs w:val="18"/>
          <w:b w:val="1"/>
          <w:bCs w:val="1"/>
          <w:color w:val="auto"/>
        </w:rPr>
        <w:t>Dauerverletzung</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jc w:val="both"/>
        <w:ind w:left="714" w:right="1000" w:hanging="714"/>
        <w:spacing w:after="0" w:line="251" w:lineRule="auto"/>
        <w:tabs>
          <w:tab w:leader="none" w:pos="694" w:val="left"/>
        </w:tabs>
        <w:rPr>
          <w:sz w:val="20"/>
          <w:szCs w:val="20"/>
          <w:color w:val="auto"/>
        </w:rPr>
      </w:pPr>
      <w:r>
        <w:rPr>
          <w:rFonts w:ascii="Times New Roman" w:cs="Times New Roman" w:eastAsia="Times New Roman" w:hAnsi="Times New Roman"/>
          <w:sz w:val="18"/>
          <w:szCs w:val="18"/>
          <w:color w:val="auto"/>
        </w:rPr>
        <w:t>14.3</w:t>
      </w:r>
      <w:r>
        <w:rPr>
          <w:sz w:val="20"/>
          <w:szCs w:val="20"/>
          <w:color w:val="auto"/>
        </w:rPr>
        <w:tab/>
      </w:r>
      <w:r>
        <w:rPr>
          <w:rFonts w:ascii="Times New Roman" w:cs="Times New Roman" w:eastAsia="Times New Roman" w:hAnsi="Times New Roman"/>
          <w:sz w:val="18"/>
          <w:szCs w:val="18"/>
          <w:color w:val="auto"/>
        </w:rPr>
        <w:t>Mehrere Verletzungshandlungen lösen jeweils gesonderte Vertragsstrafen aus, gegebenenfalls auch mehrfach innerhalb eines Monats. Erfolgen dagegen einzelne Verletzungshandlungen im Rahmen einer Dauerverletzung, sind sie von der für die Dauerverletzung verwirkten Strafe mit umfasst.</w:t>
      </w:r>
    </w:p>
    <w:p>
      <w:pPr>
        <w:spacing w:after="0" w:line="185" w:lineRule="exact"/>
        <w:rPr>
          <w:sz w:val="20"/>
          <w:szCs w:val="20"/>
          <w:color w:val="auto"/>
        </w:rPr>
      </w:pPr>
    </w:p>
    <w:p>
      <w:pPr>
        <w:jc w:val="both"/>
        <w:ind w:left="714" w:right="1000" w:hanging="714"/>
        <w:spacing w:after="0" w:line="250" w:lineRule="auto"/>
        <w:tabs>
          <w:tab w:leader="none" w:pos="694" w:val="left"/>
        </w:tabs>
        <w:rPr>
          <w:sz w:val="20"/>
          <w:szCs w:val="20"/>
          <w:color w:val="auto"/>
        </w:rPr>
      </w:pPr>
      <w:r>
        <w:rPr>
          <w:rFonts w:ascii="Times New Roman" w:cs="Times New Roman" w:eastAsia="Times New Roman" w:hAnsi="Times New Roman"/>
          <w:sz w:val="18"/>
          <w:szCs w:val="18"/>
          <w:color w:val="auto"/>
        </w:rPr>
        <w:t>14.4</w:t>
      </w:r>
      <w:r>
        <w:rPr>
          <w:sz w:val="20"/>
          <w:szCs w:val="20"/>
          <w:color w:val="auto"/>
        </w:rPr>
        <w:tab/>
      </w:r>
      <w:r>
        <w:rPr>
          <w:rFonts w:ascii="Times New Roman" w:cs="Times New Roman" w:eastAsia="Times New Roman" w:hAnsi="Times New Roman"/>
          <w:sz w:val="18"/>
          <w:szCs w:val="18"/>
          <w:color w:val="auto"/>
        </w:rPr>
        <w:t>Hierbei ist das zum Zeitpunkt des Verstoßes jeweils geltende Bruttomonatsfestgehalt oder im Falle einer Zuwiderhandlung nach Vertragsende das letzte Bruttomonatsfestgehalt vor Beendigung des Anstellungsverhältnisses, inklusive einer etwaigen durchschnittlichen variablen Bruttovergütung der letzten 12 Monate, maßgeblich.</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7"/>
          <w:szCs w:val="17"/>
          <w:color w:val="auto"/>
        </w:rPr>
        <w:t>The Managing Director shall have no right of retention.</w:t>
      </w:r>
    </w:p>
    <w:p>
      <w:pPr>
        <w:spacing w:after="0" w:line="200" w:lineRule="exact"/>
        <w:rPr>
          <w:sz w:val="20"/>
          <w:szCs w:val="20"/>
          <w:color w:val="auto"/>
        </w:rPr>
      </w:pPr>
    </w:p>
    <w:p>
      <w:pPr>
        <w:spacing w:after="0" w:line="227" w:lineRule="exact"/>
        <w:rPr>
          <w:sz w:val="20"/>
          <w:szCs w:val="20"/>
          <w:color w:val="auto"/>
        </w:rPr>
      </w:pPr>
    </w:p>
    <w:p>
      <w:pPr>
        <w:ind w:left="720" w:hanging="715"/>
        <w:spacing w:after="0"/>
        <w:tabs>
          <w:tab w:leader="none" w:pos="72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CONTRACTUAL PENALTY</w:t>
      </w:r>
    </w:p>
    <w:p>
      <w:pPr>
        <w:spacing w:after="0" w:line="180" w:lineRule="exact"/>
        <w:rPr>
          <w:sz w:val="20"/>
          <w:szCs w:val="20"/>
          <w:color w:val="auto"/>
        </w:rPr>
      </w:pPr>
    </w:p>
    <w:p>
      <w:pPr>
        <w:jc w:val="both"/>
        <w:ind w:left="720" w:hanging="715"/>
        <w:spacing w:after="0" w:line="218" w:lineRule="exact"/>
        <w:tabs>
          <w:tab w:leader="none" w:pos="70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8"/>
          <w:szCs w:val="18"/>
          <w:color w:val="auto"/>
        </w:rPr>
        <w:t>In event of a breach of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compete according to clause 10.1,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solicitation according to clause 10.2, the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contractual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compete according to clause 11.1, the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contractual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solicitation according to clause 11.2 or, until the end of a two years period after the termination of the service relationship, the confidentiality obligation according to clause 12.1 the Managing Director shall pay a contractual penalty to the Company in the amount of the last gross monthly salary in every individual case.</w:t>
      </w:r>
    </w:p>
    <w:p>
      <w:pPr>
        <w:spacing w:after="0" w:line="197" w:lineRule="exact"/>
        <w:rPr>
          <w:sz w:val="20"/>
          <w:szCs w:val="20"/>
          <w:color w:val="auto"/>
        </w:rPr>
      </w:pPr>
    </w:p>
    <w:p>
      <w:pPr>
        <w:jc w:val="both"/>
        <w:ind w:left="720" w:hanging="715"/>
        <w:spacing w:after="0" w:line="250" w:lineRule="auto"/>
        <w:tabs>
          <w:tab w:leader="none" w:pos="700"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8"/>
          <w:szCs w:val="18"/>
          <w:color w:val="auto"/>
        </w:rPr>
        <w:t>If the breach consists of a capital participation in a competitor company or of entering into a continuing obligation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employment, service, commercial agent or consultancy relationship), the contractual penalty is forfeited anew for each new month in which the capital participation or the continuing obligation exists (“</w:t>
      </w:r>
      <w:r>
        <w:rPr>
          <w:rFonts w:ascii="Times New Roman" w:cs="Times New Roman" w:eastAsia="Times New Roman" w:hAnsi="Times New Roman"/>
          <w:sz w:val="18"/>
          <w:szCs w:val="18"/>
          <w:b w:val="1"/>
          <w:bCs w:val="1"/>
          <w:color w:val="auto"/>
        </w:rPr>
        <w:t>Permanent Breach</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both"/>
        <w:ind w:left="720" w:hanging="715"/>
        <w:spacing w:after="0" w:line="251" w:lineRule="auto"/>
        <w:tabs>
          <w:tab w:leader="none" w:pos="700" w:val="left"/>
        </w:tabs>
        <w:rPr>
          <w:sz w:val="20"/>
          <w:szCs w:val="20"/>
          <w:color w:val="auto"/>
        </w:rPr>
      </w:pPr>
      <w:r>
        <w:rPr>
          <w:rFonts w:ascii="Times New Roman" w:cs="Times New Roman" w:eastAsia="Times New Roman" w:hAnsi="Times New Roman"/>
          <w:sz w:val="18"/>
          <w:szCs w:val="18"/>
          <w:color w:val="auto"/>
        </w:rPr>
        <w:t>14.3</w:t>
      </w:r>
      <w:r>
        <w:rPr>
          <w:sz w:val="20"/>
          <w:szCs w:val="20"/>
          <w:color w:val="auto"/>
        </w:rPr>
        <w:tab/>
      </w:r>
      <w:r>
        <w:rPr>
          <w:rFonts w:ascii="Times New Roman" w:cs="Times New Roman" w:eastAsia="Times New Roman" w:hAnsi="Times New Roman"/>
          <w:sz w:val="18"/>
          <w:szCs w:val="18"/>
          <w:color w:val="auto"/>
        </w:rPr>
        <w:t>Several breaches trigger in each case separate contractual penalties, if applicable several times within one month. If, on the other hand, individual breaches occur within the framework of a Permanent Breach, they are also covered by the penalty forfeited for the Permanent Breach.</w:t>
      </w:r>
    </w:p>
    <w:p>
      <w:pPr>
        <w:spacing w:after="0" w:line="185" w:lineRule="exact"/>
        <w:rPr>
          <w:sz w:val="20"/>
          <w:szCs w:val="20"/>
          <w:color w:val="auto"/>
        </w:rPr>
      </w:pPr>
    </w:p>
    <w:p>
      <w:pPr>
        <w:jc w:val="both"/>
        <w:ind w:left="720" w:hanging="715"/>
        <w:spacing w:after="0" w:line="251" w:lineRule="auto"/>
        <w:tabs>
          <w:tab w:leader="none" w:pos="700" w:val="left"/>
        </w:tabs>
        <w:rPr>
          <w:sz w:val="20"/>
          <w:szCs w:val="20"/>
          <w:color w:val="auto"/>
        </w:rPr>
      </w:pPr>
      <w:r>
        <w:rPr>
          <w:rFonts w:ascii="Times New Roman" w:cs="Times New Roman" w:eastAsia="Times New Roman" w:hAnsi="Times New Roman"/>
          <w:sz w:val="18"/>
          <w:szCs w:val="18"/>
          <w:color w:val="auto"/>
        </w:rPr>
        <w:t>14.4</w:t>
      </w:r>
      <w:r>
        <w:rPr>
          <w:sz w:val="20"/>
          <w:szCs w:val="20"/>
          <w:color w:val="auto"/>
        </w:rPr>
        <w:tab/>
      </w:r>
      <w:r>
        <w:rPr>
          <w:rFonts w:ascii="Times New Roman" w:cs="Times New Roman" w:eastAsia="Times New Roman" w:hAnsi="Times New Roman"/>
          <w:sz w:val="18"/>
          <w:szCs w:val="18"/>
          <w:color w:val="auto"/>
        </w:rPr>
        <w:t>The last gross monthly base salary at the time of the breach or in the case of a breach after the end of the service, the last gross monthly base salary prior to the end of the service, including the average gross variable remuneration of the last 12 months, if any, shall apply in this regard.</w:t>
      </w:r>
    </w:p>
    <w:p>
      <w:pPr>
        <w:spacing w:after="0" w:line="3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-4110355</wp:posOffset>
            </wp:positionH>
            <wp:positionV relativeFrom="paragraph">
              <wp:posOffset>81915</wp:posOffset>
            </wp:positionV>
            <wp:extent cx="7134860" cy="165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2">
            <w:col w:w="5754" w:space="720"/>
            <w:col w:w="4760"/>
          </w:cols>
          <w:pgMar w:left="326" w:top="559" w:right="339" w:bottom="1440" w:gutter="0" w:footer="0" w:header="0"/>
          <w:type w:val="continuous"/>
        </w:sectPr>
      </w:pPr>
    </w:p>
    <w:bookmarkStart w:id="112" w:name="page113"/>
    <w:bookmarkEnd w:id="112"/>
    <w:p>
      <w:pPr>
        <w:jc w:val="center"/>
        <w:ind w:right="6"/>
        <w:spacing w:after="0"/>
        <w:rPr>
          <w:sz w:val="20"/>
          <w:szCs w:val="20"/>
          <w:color w:val="auto"/>
        </w:rPr>
      </w:pPr>
      <w:r>
        <w:rPr>
          <w:rFonts w:ascii="Times New Roman" w:cs="Times New Roman" w:eastAsia="Times New Roman" w:hAnsi="Times New Roman"/>
          <w:sz w:val="21"/>
          <w:szCs w:val="21"/>
          <w:b w:val="1"/>
          <w:bCs w:val="1"/>
          <w:color w:val="auto"/>
        </w:rPr>
        <w:t>[Letterhead of Cohu GmbH]</w:t>
      </w:r>
    </w:p>
    <w:p>
      <w:pPr>
        <w:sectPr>
          <w:pgSz w:w="11900" w:h="16838" w:orient="portrait"/>
          <w:cols w:equalWidth="0" w:num="1">
            <w:col w:w="11234"/>
          </w:cols>
          <w:pgMar w:left="326" w:top="559" w:right="339" w:bottom="1440" w:gutter="0" w:footer="0" w:header="0"/>
        </w:sectPr>
      </w:pPr>
    </w:p>
    <w:p>
      <w:pPr>
        <w:spacing w:after="0" w:line="222" w:lineRule="exact"/>
        <w:rPr>
          <w:sz w:val="20"/>
          <w:szCs w:val="20"/>
          <w:color w:val="auto"/>
        </w:rPr>
      </w:pPr>
    </w:p>
    <w:p>
      <w:pPr>
        <w:jc w:val="both"/>
        <w:ind w:left="714" w:right="980" w:hanging="714"/>
        <w:spacing w:after="0" w:line="251" w:lineRule="auto"/>
        <w:tabs>
          <w:tab w:leader="none" w:pos="694" w:val="left"/>
        </w:tabs>
        <w:rPr>
          <w:sz w:val="20"/>
          <w:szCs w:val="20"/>
          <w:color w:val="auto"/>
        </w:rPr>
      </w:pPr>
      <w:r>
        <w:rPr>
          <w:rFonts w:ascii="Times New Roman" w:cs="Times New Roman" w:eastAsia="Times New Roman" w:hAnsi="Times New Roman"/>
          <w:sz w:val="18"/>
          <w:szCs w:val="18"/>
          <w:color w:val="auto"/>
        </w:rPr>
        <w:t>14.5</w:t>
      </w:r>
      <w:r>
        <w:rPr>
          <w:sz w:val="20"/>
          <w:szCs w:val="20"/>
          <w:color w:val="auto"/>
        </w:rPr>
        <w:tab/>
      </w:r>
      <w:r>
        <w:rPr>
          <w:rFonts w:ascii="Times New Roman" w:cs="Times New Roman" w:eastAsia="Times New Roman" w:hAnsi="Times New Roman"/>
          <w:sz w:val="18"/>
          <w:szCs w:val="18"/>
          <w:color w:val="auto"/>
        </w:rPr>
        <w:t>Weist der Geschäftsführer einen geringeren Schaden im Zusammenhang mit einer Zuwiderhandlung nach, ist er verpflichtet, nur den geringeren Schaden an die Gesellschaft zu zahlen. Die Gesellschaft kann auch einen höheren Schaden sowie sonstige Rechte (z. B. Unterlassungsansprüche) geltend machen.</w:t>
      </w:r>
    </w:p>
    <w:p>
      <w:pPr>
        <w:spacing w:after="0" w:line="183" w:lineRule="exact"/>
        <w:rPr>
          <w:sz w:val="20"/>
          <w:szCs w:val="20"/>
          <w:color w:val="auto"/>
        </w:rPr>
      </w:pPr>
    </w:p>
    <w:p>
      <w:pPr>
        <w:ind w:left="714" w:hanging="714"/>
        <w:spacing w:after="0"/>
        <w:tabs>
          <w:tab w:leader="none" w:pos="714"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BERICHTSWESEN</w:t>
      </w:r>
    </w:p>
    <w:p>
      <w:pPr>
        <w:spacing w:after="0" w:line="219" w:lineRule="exact"/>
        <w:rPr>
          <w:rFonts w:ascii="Times New Roman" w:cs="Times New Roman" w:eastAsia="Times New Roman" w:hAnsi="Times New Roman"/>
          <w:sz w:val="18"/>
          <w:szCs w:val="18"/>
          <w:b w:val="1"/>
          <w:bCs w:val="1"/>
          <w:color w:val="auto"/>
        </w:rPr>
      </w:pPr>
    </w:p>
    <w:p>
      <w:pPr>
        <w:jc w:val="both"/>
        <w:ind w:left="714" w:right="980"/>
        <w:spacing w:after="0" w:line="24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Der Geschäftsführer ist verpflichtet, den Gesellschaftern monatlich oder jederzeit auf Verlangen der Gesellschafterversammlung schriftlich über die Situation der Gesellschaft zu berichten. Der Bericht hat insbesondere folgende Punkte zu enthalten: Verkäufe, Neuabschlüsse von Verträgen, Gewinn und Verlust, Personalkosten, Forderungen und Verbindlichkeiten, sowie alle anderen üblichen Angaben oder Angaben, die die Gesellschaft verlangt.</w:t>
      </w:r>
    </w:p>
    <w:p>
      <w:pPr>
        <w:spacing w:after="0" w:line="185" w:lineRule="exact"/>
        <w:rPr>
          <w:rFonts w:ascii="Times New Roman" w:cs="Times New Roman" w:eastAsia="Times New Roman" w:hAnsi="Times New Roman"/>
          <w:sz w:val="18"/>
          <w:szCs w:val="18"/>
          <w:b w:val="1"/>
          <w:bCs w:val="1"/>
          <w:color w:val="auto"/>
        </w:rPr>
      </w:pPr>
    </w:p>
    <w:p>
      <w:pPr>
        <w:ind w:left="714" w:hanging="714"/>
        <w:spacing w:after="0"/>
        <w:tabs>
          <w:tab w:leader="none" w:pos="714"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BUCHEINSICHT</w:t>
      </w:r>
    </w:p>
    <w:p>
      <w:pPr>
        <w:spacing w:after="0" w:line="219" w:lineRule="exact"/>
        <w:rPr>
          <w:rFonts w:ascii="Times New Roman" w:cs="Times New Roman" w:eastAsia="Times New Roman" w:hAnsi="Times New Roman"/>
          <w:sz w:val="18"/>
          <w:szCs w:val="18"/>
          <w:b w:val="1"/>
          <w:bCs w:val="1"/>
          <w:color w:val="auto"/>
        </w:rPr>
      </w:pPr>
    </w:p>
    <w:p>
      <w:pPr>
        <w:jc w:val="both"/>
        <w:ind w:left="714" w:right="98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Der Geschäftsführer hat den Gesellschaftern oder deren Beauftragten jederzeit Einsicht in die Bücher der Gesellschaft zu gewähren.</w:t>
      </w:r>
    </w:p>
    <w:p>
      <w:pPr>
        <w:spacing w:after="0" w:line="139" w:lineRule="exact"/>
        <w:rPr>
          <w:rFonts w:ascii="Times New Roman" w:cs="Times New Roman" w:eastAsia="Times New Roman" w:hAnsi="Times New Roman"/>
          <w:sz w:val="18"/>
          <w:szCs w:val="18"/>
          <w:b w:val="1"/>
          <w:bCs w:val="1"/>
          <w:color w:val="auto"/>
        </w:rPr>
      </w:pPr>
    </w:p>
    <w:p>
      <w:pPr>
        <w:ind w:left="714" w:hanging="714"/>
        <w:spacing w:after="0" w:line="207" w:lineRule="exact"/>
        <w:tabs>
          <w:tab w:leader="none" w:pos="714"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PATENTE,ERFINDUNGEN,URHEBER</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w:t>
      </w:r>
    </w:p>
    <w:p>
      <w:pPr>
        <w:spacing w:after="0" w:line="63" w:lineRule="exact"/>
        <w:rPr>
          <w:rFonts w:ascii="Times New Roman" w:cs="Times New Roman" w:eastAsia="Times New Roman" w:hAnsi="Times New Roman"/>
          <w:sz w:val="18"/>
          <w:szCs w:val="18"/>
          <w:b w:val="1"/>
          <w:bCs w:val="1"/>
          <w:color w:val="auto"/>
        </w:rPr>
      </w:pPr>
    </w:p>
    <w:p>
      <w:pPr>
        <w:ind w:left="714"/>
        <w:spacing w:after="0" w:line="207" w:lineRule="exact"/>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MARKEN</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&amp;NBSP;UND</w:t>
      </w:r>
      <w:r>
        <w:rPr>
          <w:rFonts w:ascii="Times New Roman" w:cs="Times New Roman" w:eastAsia="Times New Roman" w:hAnsi="Times New Roman"/>
          <w:sz w:val="17"/>
          <w:szCs w:val="17"/>
          <w:b w:val="1"/>
          <w:bCs w:val="1"/>
          <w:color w:val="auto"/>
        </w:rPr>
        <w:t>SONSTIGE</w:t>
      </w:r>
    </w:p>
    <w:p>
      <w:pPr>
        <w:spacing w:after="0" w:line="5" w:lineRule="exact"/>
        <w:rPr>
          <w:rFonts w:ascii="Times New Roman" w:cs="Times New Roman" w:eastAsia="Times New Roman" w:hAnsi="Times New Roman"/>
          <w:sz w:val="18"/>
          <w:szCs w:val="18"/>
          <w:b w:val="1"/>
          <w:bCs w:val="1"/>
          <w:color w:val="auto"/>
        </w:rPr>
      </w:pPr>
    </w:p>
    <w:p>
      <w:pPr>
        <w:ind w:left="71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SCHUTZRECHTE</w:t>
      </w:r>
    </w:p>
    <w:p>
      <w:pPr>
        <w:spacing w:after="0" w:line="197" w:lineRule="exact"/>
        <w:rPr>
          <w:sz w:val="20"/>
          <w:szCs w:val="20"/>
          <w:color w:val="auto"/>
        </w:rPr>
      </w:pPr>
    </w:p>
    <w:p>
      <w:pPr>
        <w:jc w:val="both"/>
        <w:ind w:left="714" w:right="980" w:hanging="714"/>
        <w:spacing w:after="0" w:line="214" w:lineRule="exact"/>
        <w:tabs>
          <w:tab w:leader="none" w:pos="694" w:val="left"/>
        </w:tabs>
        <w:rPr>
          <w:sz w:val="20"/>
          <w:szCs w:val="20"/>
          <w:color w:val="auto"/>
        </w:rPr>
      </w:pPr>
      <w:r>
        <w:rPr>
          <w:rFonts w:ascii="Times New Roman" w:cs="Times New Roman" w:eastAsia="Times New Roman" w:hAnsi="Times New Roman"/>
          <w:sz w:val="18"/>
          <w:szCs w:val="18"/>
          <w:color w:val="auto"/>
        </w:rPr>
        <w:t>17.1</w:t>
      </w:r>
      <w:r>
        <w:rPr>
          <w:sz w:val="20"/>
          <w:szCs w:val="20"/>
          <w:color w:val="auto"/>
        </w:rPr>
        <w:tab/>
      </w:r>
      <w:r>
        <w:rPr>
          <w:rFonts w:ascii="Times New Roman" w:cs="Times New Roman" w:eastAsia="Times New Roman" w:hAnsi="Times New Roman"/>
          <w:sz w:val="18"/>
          <w:szCs w:val="18"/>
          <w:color w:val="auto"/>
        </w:rPr>
        <w:t>Der Geschäftsführer überträgt im Wege der Abtretung der Gesellschaft, die hiermit die Abtretung annimmt, alle Rechte an etwaigen patentfähigen, urheberrechtsfähigen oder sonst nach Marken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Design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und/oder Gebrauchsmusterrecht oder irgendeinem anderen Schutzrecht schutzfähigen Arbeitsergebnissen im Rahmen seiner Tätigkeit für die Gesellschaft sofern diese: (i) im Zusammenhang mit den geschäftlichen Aktivitäten von dem Geschäftsführer erworben wurden, oder (ii) unter Verwendung von Material und/oder Arbeitszeit, die von der Gesellschaft zur Verfügung gestellt wurden, entwickelt oder erworben wurden, während oder außerhalb der Tätigkeit für die Gesellschaft, oder (iii) mit seiner Arbeit während der</w:t>
      </w:r>
    </w:p>
    <w:p>
      <w:pPr>
        <w:spacing w:after="0" w:line="5" w:lineRule="exact"/>
        <w:rPr>
          <w:sz w:val="20"/>
          <w:szCs w:val="20"/>
          <w:color w:val="auto"/>
        </w:rPr>
      </w:pPr>
    </w:p>
    <w:p>
      <w:pPr>
        <w:ind w:left="714" w:right="980"/>
        <w:spacing w:after="0" w:line="251" w:lineRule="auto"/>
        <w:rPr>
          <w:sz w:val="20"/>
          <w:szCs w:val="20"/>
          <w:color w:val="auto"/>
        </w:rPr>
      </w:pPr>
      <w:r>
        <w:rPr>
          <w:rFonts w:ascii="Times New Roman" w:cs="Times New Roman" w:eastAsia="Times New Roman" w:hAnsi="Times New Roman"/>
          <w:sz w:val="18"/>
          <w:szCs w:val="18"/>
          <w:color w:val="auto"/>
        </w:rPr>
        <w:t>Dauer dieses Geschäftsführervertrages zusammenhängen.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330200</wp:posOffset>
            </wp:positionV>
            <wp:extent cx="7134860" cy="165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jc w:val="both"/>
        <w:ind w:left="720" w:hanging="715"/>
        <w:spacing w:after="0" w:line="271" w:lineRule="auto"/>
        <w:tabs>
          <w:tab w:leader="none" w:pos="700" w:val="left"/>
        </w:tabs>
        <w:rPr>
          <w:sz w:val="20"/>
          <w:szCs w:val="20"/>
          <w:color w:val="auto"/>
        </w:rPr>
      </w:pPr>
      <w:r>
        <w:rPr>
          <w:rFonts w:ascii="Times New Roman" w:cs="Times New Roman" w:eastAsia="Times New Roman" w:hAnsi="Times New Roman"/>
          <w:sz w:val="18"/>
          <w:szCs w:val="18"/>
          <w:color w:val="auto"/>
        </w:rPr>
        <w:t>14.5</w:t>
      </w:r>
      <w:r>
        <w:rPr>
          <w:sz w:val="20"/>
          <w:szCs w:val="20"/>
          <w:color w:val="auto"/>
        </w:rPr>
        <w:tab/>
      </w:r>
      <w:r>
        <w:rPr>
          <w:rFonts w:ascii="Times New Roman" w:cs="Times New Roman" w:eastAsia="Times New Roman" w:hAnsi="Times New Roman"/>
          <w:sz w:val="17"/>
          <w:szCs w:val="17"/>
          <w:color w:val="auto"/>
        </w:rPr>
        <w:t>The Managing Director is entitled to prove lower damages arising from the breach, in which case the Managing Director will only be obliged to pay the lower damages. The Company can also claim higher damages and exercise other rights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injunctive reliefs).</w:t>
      </w:r>
    </w:p>
    <w:p>
      <w:pPr>
        <w:spacing w:after="0" w:line="378" w:lineRule="exact"/>
        <w:rPr>
          <w:sz w:val="20"/>
          <w:szCs w:val="20"/>
          <w:color w:val="auto"/>
        </w:rPr>
      </w:pPr>
    </w:p>
    <w:p>
      <w:pPr>
        <w:ind w:left="720" w:hanging="715"/>
        <w:spacing w:after="0"/>
        <w:tabs>
          <w:tab w:leader="none" w:pos="72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REPORTS</w:t>
      </w:r>
    </w:p>
    <w:p>
      <w:pPr>
        <w:spacing w:after="0" w:line="219" w:lineRule="exact"/>
        <w:rPr>
          <w:rFonts w:ascii="Times New Roman" w:cs="Times New Roman" w:eastAsia="Times New Roman" w:hAnsi="Times New Roman"/>
          <w:sz w:val="18"/>
          <w:szCs w:val="18"/>
          <w:b w:val="1"/>
          <w:bCs w:val="1"/>
          <w:color w:val="auto"/>
        </w:rPr>
      </w:pPr>
    </w:p>
    <w:p>
      <w:pPr>
        <w:jc w:val="both"/>
        <w:ind w:left="7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Managing Director is obliged to report to the shareholders about the Company's state of affairs in writing monthly or, upon request of the shareholders' meeting at any time. Such report has to contain in particular the following items: sales, conclusion of new contracts, profit and loss, human resources expenditure, receivables and liabilities as well as all other customary information and information requested by the Company.</w:t>
      </w:r>
    </w:p>
    <w:p>
      <w:pPr>
        <w:spacing w:after="0" w:line="3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8"/>
          <w:szCs w:val="18"/>
          <w:b w:val="1"/>
          <w:bCs w:val="1"/>
          <w:color w:val="auto"/>
        </w:rPr>
        <w:t>ACCESS TO ACCOUNTS</w:t>
      </w:r>
    </w:p>
    <w:p>
      <w:pPr>
        <w:spacing w:after="0" w:line="219" w:lineRule="exact"/>
        <w:rPr>
          <w:sz w:val="20"/>
          <w:szCs w:val="20"/>
          <w:color w:val="auto"/>
        </w:rPr>
      </w:pPr>
    </w:p>
    <w:p>
      <w:pPr>
        <w:jc w:val="both"/>
        <w:ind w:left="720"/>
        <w:spacing w:after="0" w:line="259" w:lineRule="auto"/>
        <w:rPr>
          <w:sz w:val="20"/>
          <w:szCs w:val="20"/>
          <w:color w:val="auto"/>
        </w:rPr>
      </w:pPr>
      <w:r>
        <w:rPr>
          <w:rFonts w:ascii="Times New Roman" w:cs="Times New Roman" w:eastAsia="Times New Roman" w:hAnsi="Times New Roman"/>
          <w:sz w:val="18"/>
          <w:szCs w:val="18"/>
          <w:color w:val="auto"/>
        </w:rPr>
        <w:t>The Managing Director shall permit the shareholders or their representatives to inspect the books of the Company at any time.</w:t>
      </w:r>
    </w:p>
    <w:p>
      <w:pPr>
        <w:spacing w:after="0" w:line="176" w:lineRule="exact"/>
        <w:rPr>
          <w:sz w:val="20"/>
          <w:szCs w:val="20"/>
          <w:color w:val="auto"/>
        </w:rPr>
      </w:pPr>
    </w:p>
    <w:p>
      <w:pPr>
        <w:jc w:val="both"/>
        <w:ind w:left="720" w:hanging="715"/>
        <w:spacing w:after="0" w:line="261" w:lineRule="auto"/>
        <w:tabs>
          <w:tab w:leader="none" w:pos="72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PATENTS, INVENTIONS, COPYRIGHT, TRADE MARK AND OTHER INTELLECTUAL PROPERTY RIGHTS</w:t>
      </w:r>
    </w:p>
    <w:p>
      <w:pPr>
        <w:spacing w:after="0" w:line="175" w:lineRule="exact"/>
        <w:rPr>
          <w:sz w:val="20"/>
          <w:szCs w:val="20"/>
          <w:color w:val="auto"/>
        </w:rPr>
      </w:pPr>
    </w:p>
    <w:p>
      <w:pPr>
        <w:jc w:val="both"/>
        <w:ind w:left="720" w:hanging="715"/>
        <w:spacing w:after="0" w:line="249" w:lineRule="auto"/>
        <w:tabs>
          <w:tab w:leader="none" w:pos="700" w:val="left"/>
        </w:tabs>
        <w:rPr>
          <w:sz w:val="20"/>
          <w:szCs w:val="20"/>
          <w:color w:val="auto"/>
        </w:rPr>
      </w:pPr>
      <w:r>
        <w:rPr>
          <w:rFonts w:ascii="Times New Roman" w:cs="Times New Roman" w:eastAsia="Times New Roman" w:hAnsi="Times New Roman"/>
          <w:sz w:val="18"/>
          <w:szCs w:val="18"/>
          <w:color w:val="auto"/>
        </w:rPr>
        <w:t>17.1</w:t>
      </w:r>
      <w:r>
        <w:rPr>
          <w:sz w:val="20"/>
          <w:szCs w:val="20"/>
          <w:color w:val="auto"/>
        </w:rPr>
        <w:tab/>
      </w:r>
      <w:r>
        <w:rPr>
          <w:rFonts w:ascii="Times New Roman" w:cs="Times New Roman" w:eastAsia="Times New Roman" w:hAnsi="Times New Roman"/>
          <w:sz w:val="18"/>
          <w:szCs w:val="18"/>
          <w:color w:val="auto"/>
        </w:rPr>
        <w:t>The Managing Director hereby transfers by way of assignment to the Company which hereby accepts the assignment all rights to possibly protectable work results for the Company whether they are patentable, protectable by copyright or by trade mark, design or utility model rights or protectable under any other intellectual property rights, to the extent that they:</w:t>
      </w:r>
    </w:p>
    <w:p>
      <w:pPr>
        <w:jc w:val="both"/>
        <w:ind w:left="720" w:firstLine="1"/>
        <w:spacing w:after="0" w:line="246" w:lineRule="auto"/>
        <w:tabs>
          <w:tab w:leader="none" w:pos="99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been created in the context of commercial activities by the Managing Director, or (ii) have been developed or created by using materials or work time provided by the Company, either during or outside of the service activities for the Company, or (iii) are in context with the Managing Director's duties during the term of this Managing Director Agreement.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2">
            <w:col w:w="5754" w:space="720"/>
            <w:col w:w="4760"/>
          </w:cols>
          <w:pgMar w:left="326" w:top="559" w:right="339" w:bottom="1440" w:gutter="0" w:footer="0" w:header="0"/>
          <w:type w:val="continuous"/>
        </w:sectPr>
      </w:pPr>
    </w:p>
    <w:bookmarkStart w:id="113" w:name="page114"/>
    <w:bookmarkEnd w:id="113"/>
    <w:p>
      <w:pPr>
        <w:jc w:val="center"/>
        <w:ind w:right="720"/>
        <w:spacing w:after="0"/>
        <w:rPr>
          <w:sz w:val="20"/>
          <w:szCs w:val="20"/>
          <w:color w:val="auto"/>
        </w:rPr>
      </w:pPr>
      <w:r>
        <w:rPr>
          <w:rFonts w:ascii="Times New Roman" w:cs="Times New Roman" w:eastAsia="Times New Roman" w:hAnsi="Times New Roman"/>
          <w:sz w:val="21"/>
          <w:szCs w:val="21"/>
          <w:b w:val="1"/>
          <w:bCs w:val="1"/>
          <w:color w:val="auto"/>
        </w:rPr>
        <w:t>[Letterhead of Cohu GmbH]</w:t>
      </w:r>
    </w:p>
    <w:p>
      <w:pPr>
        <w:sectPr>
          <w:pgSz w:w="11900" w:h="16838" w:orient="portrait"/>
          <w:cols w:equalWidth="0" w:num="1">
            <w:col w:w="10520"/>
          </w:cols>
          <w:pgMar w:left="1040" w:top="559" w:right="339" w:bottom="1440" w:gutter="0" w:footer="0" w:header="0"/>
        </w:sectPr>
      </w:pPr>
    </w:p>
    <w:p>
      <w:pPr>
        <w:spacing w:after="0" w:line="222" w:lineRule="exact"/>
        <w:rPr>
          <w:sz w:val="20"/>
          <w:szCs w:val="20"/>
          <w:color w:val="auto"/>
        </w:rPr>
      </w:pPr>
    </w:p>
    <w:p>
      <w:pPr>
        <w:jc w:val="both"/>
        <w:ind w:right="1000" w:hanging="714"/>
        <w:spacing w:after="0" w:line="215" w:lineRule="exact"/>
        <w:rPr>
          <w:sz w:val="20"/>
          <w:szCs w:val="20"/>
          <w:color w:val="auto"/>
        </w:rPr>
      </w:pPr>
      <w:r>
        <w:rPr>
          <w:rFonts w:ascii="Times New Roman" w:cs="Times New Roman" w:eastAsia="Times New Roman" w:hAnsi="Times New Roman"/>
          <w:sz w:val="18"/>
          <w:szCs w:val="18"/>
          <w:color w:val="auto"/>
        </w:rPr>
        <w:t>17.2</w:t>
      </w:r>
      <w:r>
        <w:rPr>
          <w:sz w:val="20"/>
          <w:szCs w:val="20"/>
          <w:color w:val="auto"/>
        </w:rPr>
        <w:t xml:space="preserve"> </w:t>
      </w:r>
      <w:r>
        <w:rPr>
          <w:rFonts w:ascii="Times New Roman" w:cs="Times New Roman" w:eastAsia="Times New Roman" w:hAnsi="Times New Roman"/>
          <w:sz w:val="18"/>
          <w:szCs w:val="18"/>
          <w:color w:val="auto"/>
        </w:rPr>
        <w:t>Soweit eine Abtretung der oben genannten Rechte nicht möglich ist, überträgt der Geschäftsführer für alle bekannten Nutzungsarten das unwiderrufliche, ausschließliche, zeitlich, räumlich und inhaltlich unbeschränkte Nutzungs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und Verwertungsrecht an den Arbeitsergebnissen im Sinne der Ziffer 17.1 an die Gesellschaft.</w:t>
      </w:r>
    </w:p>
    <w:p>
      <w:pPr>
        <w:spacing w:after="0" w:line="193" w:lineRule="exact"/>
        <w:rPr>
          <w:sz w:val="20"/>
          <w:szCs w:val="20"/>
          <w:color w:val="auto"/>
        </w:rPr>
      </w:pPr>
    </w:p>
    <w:p>
      <w:pPr>
        <w:jc w:val="both"/>
        <w:ind w:right="1000" w:hanging="714"/>
        <w:spacing w:after="0" w:line="219" w:lineRule="exact"/>
        <w:rPr>
          <w:sz w:val="20"/>
          <w:szCs w:val="20"/>
          <w:color w:val="auto"/>
        </w:rPr>
      </w:pPr>
      <w:r>
        <w:rPr>
          <w:rFonts w:ascii="Times New Roman" w:cs="Times New Roman" w:eastAsia="Times New Roman" w:hAnsi="Times New Roman"/>
          <w:sz w:val="18"/>
          <w:szCs w:val="18"/>
          <w:color w:val="auto"/>
        </w:rPr>
        <w:t>17.3</w:t>
      </w:r>
      <w:r>
        <w:rPr>
          <w:sz w:val="20"/>
          <w:szCs w:val="20"/>
          <w:color w:val="auto"/>
        </w:rPr>
        <w:t xml:space="preserve"> </w:t>
      </w:r>
      <w:r>
        <w:rPr>
          <w:rFonts w:ascii="Times New Roman" w:cs="Times New Roman" w:eastAsia="Times New Roman" w:hAnsi="Times New Roman"/>
          <w:sz w:val="17"/>
          <w:szCs w:val="17"/>
          <w:color w:val="auto"/>
        </w:rPr>
        <w:t>Die vorgenannte Abtretung und die Übertragung des Nutzungs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und Verwertungsrechts umfasst insbesondere die Erlaubnis der Gesellschaft zur Bearbeitung und zur Bearbeitung durch Dritte. Die Gesellschaft ist berechtigt, die übertragenen oder eingeräumten Rechte ganz oder teilweise uneingeschränkt auf Dritte zu übertragen und/oder zu (unter</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)lizenzieren.</w:t>
      </w:r>
    </w:p>
    <w:p>
      <w:pPr>
        <w:spacing w:after="0" w:line="168" w:lineRule="exact"/>
        <w:rPr>
          <w:sz w:val="20"/>
          <w:szCs w:val="20"/>
          <w:color w:val="auto"/>
        </w:rPr>
      </w:pPr>
    </w:p>
    <w:p>
      <w:pPr>
        <w:jc w:val="both"/>
        <w:ind w:right="1000" w:hanging="714"/>
        <w:spacing w:after="0" w:line="214" w:lineRule="exact"/>
        <w:rPr>
          <w:sz w:val="20"/>
          <w:szCs w:val="20"/>
          <w:color w:val="auto"/>
        </w:rPr>
      </w:pPr>
      <w:r>
        <w:rPr>
          <w:rFonts w:ascii="Times New Roman" w:cs="Times New Roman" w:eastAsia="Times New Roman" w:hAnsi="Times New Roman"/>
          <w:sz w:val="18"/>
          <w:szCs w:val="18"/>
          <w:color w:val="auto"/>
        </w:rPr>
        <w:t>17.4</w:t>
      </w:r>
      <w:r>
        <w:rPr>
          <w:sz w:val="20"/>
          <w:szCs w:val="20"/>
          <w:color w:val="auto"/>
        </w:rPr>
        <w:t xml:space="preserve"> </w:t>
      </w:r>
      <w:r>
        <w:rPr>
          <w:rFonts w:ascii="Times New Roman" w:cs="Times New Roman" w:eastAsia="Times New Roman" w:hAnsi="Times New Roman"/>
          <w:sz w:val="18"/>
          <w:szCs w:val="18"/>
          <w:color w:val="auto"/>
        </w:rPr>
        <w:t xml:space="preserve">Soweit noch nicht geschehen, schließt die Übertragung bzw. Rechteeinräumung auch solche Rechte ein, die vor Aufnahme der Tätigkeit für die Gesellschaft oder vor Abschluss dieses Geschäftsführervertrages erworben und für oder im Zusammenhang mit der Gesellschaft oder eines Verbundenen Unternehmens geschaffen wurden, sofern die unter Ziffer 17.1 (i)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(iii) genannten Voraussetzungen zutreffen.</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jc w:val="both"/>
        <w:ind w:left="720" w:hanging="715"/>
        <w:spacing w:after="0" w:line="251" w:lineRule="auto"/>
        <w:tabs>
          <w:tab w:leader="none" w:pos="700" w:val="left"/>
        </w:tabs>
        <w:rPr>
          <w:sz w:val="20"/>
          <w:szCs w:val="20"/>
          <w:color w:val="auto"/>
        </w:rPr>
      </w:pPr>
      <w:r>
        <w:rPr>
          <w:rFonts w:ascii="Times New Roman" w:cs="Times New Roman" w:eastAsia="Times New Roman" w:hAnsi="Times New Roman"/>
          <w:sz w:val="18"/>
          <w:szCs w:val="18"/>
          <w:color w:val="auto"/>
        </w:rPr>
        <w:t>17.2</w:t>
      </w:r>
      <w:r>
        <w:rPr>
          <w:sz w:val="20"/>
          <w:szCs w:val="20"/>
          <w:color w:val="auto"/>
        </w:rPr>
        <w:tab/>
      </w:r>
      <w:r>
        <w:rPr>
          <w:rFonts w:ascii="Times New Roman" w:cs="Times New Roman" w:eastAsia="Times New Roman" w:hAnsi="Times New Roman"/>
          <w:sz w:val="18"/>
          <w:szCs w:val="18"/>
          <w:color w:val="auto"/>
        </w:rPr>
        <w:t>As far as an assignment of the above mentioned rights is not possible the Managing Director hereby grants the irrevocable, exclusive usage and exploitation rights to the work results in the meaning of clause 17.1 for any known types of use without limitations in time, territory and content to the Company.</w:t>
      </w:r>
    </w:p>
    <w:p>
      <w:pPr>
        <w:spacing w:after="0" w:line="397" w:lineRule="exact"/>
        <w:rPr>
          <w:sz w:val="20"/>
          <w:szCs w:val="20"/>
          <w:color w:val="auto"/>
        </w:rPr>
      </w:pPr>
    </w:p>
    <w:p>
      <w:pPr>
        <w:jc w:val="both"/>
        <w:ind w:left="720" w:hanging="715"/>
        <w:spacing w:after="0" w:line="215" w:lineRule="exact"/>
        <w:tabs>
          <w:tab w:leader="none" w:pos="700" w:val="left"/>
        </w:tabs>
        <w:rPr>
          <w:sz w:val="20"/>
          <w:szCs w:val="20"/>
          <w:color w:val="auto"/>
        </w:rPr>
      </w:pPr>
      <w:r>
        <w:rPr>
          <w:rFonts w:ascii="Times New Roman" w:cs="Times New Roman" w:eastAsia="Times New Roman" w:hAnsi="Times New Roman"/>
          <w:sz w:val="18"/>
          <w:szCs w:val="18"/>
          <w:color w:val="auto"/>
        </w:rPr>
        <w:t>17.3</w:t>
      </w:r>
      <w:r>
        <w:rPr>
          <w:sz w:val="20"/>
          <w:szCs w:val="20"/>
          <w:color w:val="auto"/>
        </w:rPr>
        <w:tab/>
      </w:r>
      <w:r>
        <w:rPr>
          <w:rFonts w:ascii="Times New Roman" w:cs="Times New Roman" w:eastAsia="Times New Roman" w:hAnsi="Times New Roman"/>
          <w:sz w:val="18"/>
          <w:szCs w:val="18"/>
          <w:color w:val="auto"/>
        </w:rPr>
        <w:t>The above assignment and the transfer of the usage right and the exploitation right cover in particular the right for the Company to modify either by itself or by a third party. The Company is entitled to transfer and/or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the assigned or granted rights either in parts or in total to a third party without limitation.</w:t>
      </w:r>
    </w:p>
    <w:p>
      <w:pPr>
        <w:spacing w:after="0" w:line="200" w:lineRule="exact"/>
        <w:rPr>
          <w:sz w:val="20"/>
          <w:szCs w:val="20"/>
          <w:color w:val="auto"/>
        </w:rPr>
      </w:pPr>
    </w:p>
    <w:p>
      <w:pPr>
        <w:spacing w:after="0" w:line="208" w:lineRule="exact"/>
        <w:rPr>
          <w:sz w:val="20"/>
          <w:szCs w:val="20"/>
          <w:color w:val="auto"/>
        </w:rPr>
      </w:pPr>
    </w:p>
    <w:p>
      <w:pPr>
        <w:jc w:val="both"/>
        <w:ind w:left="720" w:hanging="715"/>
        <w:spacing w:after="0" w:line="218" w:lineRule="exact"/>
        <w:tabs>
          <w:tab w:leader="none" w:pos="700" w:val="left"/>
        </w:tabs>
        <w:rPr>
          <w:sz w:val="20"/>
          <w:szCs w:val="20"/>
          <w:color w:val="auto"/>
        </w:rPr>
      </w:pPr>
      <w:r>
        <w:rPr>
          <w:rFonts w:ascii="Times New Roman" w:cs="Times New Roman" w:eastAsia="Times New Roman" w:hAnsi="Times New Roman"/>
          <w:sz w:val="18"/>
          <w:szCs w:val="18"/>
          <w:color w:val="auto"/>
        </w:rPr>
        <w:t>17.4</w:t>
      </w:r>
      <w:r>
        <w:rPr>
          <w:sz w:val="20"/>
          <w:szCs w:val="20"/>
          <w:color w:val="auto"/>
        </w:rPr>
        <w:tab/>
      </w:r>
      <w:r>
        <w:rPr>
          <w:rFonts w:ascii="Times New Roman" w:cs="Times New Roman" w:eastAsia="Times New Roman" w:hAnsi="Times New Roman"/>
          <w:sz w:val="18"/>
          <w:szCs w:val="18"/>
          <w:color w:val="auto"/>
        </w:rPr>
        <w:t xml:space="preserve">If not already the case, the assignment/grant of rights includes such rights which have been created prior to the Managing Director's service for the Company or prior to entering into this Managing Director Agreement as far as they have been created regarding any services provided for or in relation to the Company or an Affiliated Company and to the extent that the circumstances set out in clauses 17.1 (i)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(iii) apply.</w:t>
      </w:r>
    </w:p>
    <w:p>
      <w:pPr>
        <w:spacing w:after="0" w:line="1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-4110355</wp:posOffset>
            </wp:positionH>
            <wp:positionV relativeFrom="paragraph">
              <wp:posOffset>81915</wp:posOffset>
            </wp:positionV>
            <wp:extent cx="7134860" cy="165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2">
            <w:col w:w="5040" w:space="720"/>
            <w:col w:w="4760"/>
          </w:cols>
          <w:pgMar w:left="1040" w:top="559" w:right="339" w:bottom="1440" w:gutter="0" w:footer="0" w:header="0"/>
          <w:type w:val="continuous"/>
        </w:sectPr>
      </w:pPr>
    </w:p>
    <w:bookmarkStart w:id="114" w:name="page115"/>
    <w:bookmarkEnd w:id="114"/>
    <w:p>
      <w:pPr>
        <w:jc w:val="center"/>
        <w:spacing w:after="0"/>
        <w:rPr>
          <w:sz w:val="20"/>
          <w:szCs w:val="20"/>
          <w:color w:val="auto"/>
        </w:rPr>
      </w:pPr>
      <w:r>
        <w:rPr>
          <w:rFonts w:ascii="Times New Roman" w:cs="Times New Roman" w:eastAsia="Times New Roman" w:hAnsi="Times New Roman"/>
          <w:sz w:val="21"/>
          <w:szCs w:val="21"/>
          <w:b w:val="1"/>
          <w:bCs w:val="1"/>
          <w:color w:val="auto"/>
        </w:rPr>
        <w:t>[Letterhead of Cohu GmbH]</w:t>
      </w:r>
    </w:p>
    <w:p>
      <w:pPr>
        <w:sectPr>
          <w:pgSz w:w="11900" w:h="16838" w:orient="portrait"/>
          <w:cols w:equalWidth="0" w:num="1">
            <w:col w:w="11240"/>
          </w:cols>
          <w:pgMar w:left="320" w:top="559" w:right="339" w:bottom="1440" w:gutter="0" w:footer="0" w:header="0"/>
        </w:sectPr>
      </w:pPr>
    </w:p>
    <w:p>
      <w:pPr>
        <w:spacing w:after="0" w:line="222" w:lineRule="exact"/>
        <w:rPr>
          <w:sz w:val="20"/>
          <w:szCs w:val="20"/>
          <w:color w:val="auto"/>
        </w:rPr>
      </w:pPr>
    </w:p>
    <w:p>
      <w:pPr>
        <w:jc w:val="right"/>
        <w:ind w:right="1020"/>
        <w:spacing w:after="0" w:line="257" w:lineRule="auto"/>
        <w:rPr>
          <w:sz w:val="20"/>
          <w:szCs w:val="20"/>
          <w:color w:val="auto"/>
        </w:rPr>
      </w:pPr>
      <w:r>
        <w:rPr>
          <w:rFonts w:ascii="Times New Roman" w:cs="Times New Roman" w:eastAsia="Times New Roman" w:hAnsi="Times New Roman"/>
          <w:sz w:val="18"/>
          <w:szCs w:val="18"/>
          <w:color w:val="auto"/>
        </w:rPr>
        <w:t>17.5    Die Gesellschaft kann durch einseitige Mitteilung auch die  Rechte  für  künftige,  urheberrechtlich  relevante</w:t>
      </w:r>
    </w:p>
    <w:p>
      <w:pPr>
        <w:jc w:val="both"/>
        <w:ind w:left="660" w:right="1020"/>
        <w:spacing w:after="0" w:line="246" w:lineRule="auto"/>
        <w:rPr>
          <w:sz w:val="20"/>
          <w:szCs w:val="20"/>
          <w:color w:val="auto"/>
        </w:rPr>
      </w:pPr>
      <w:r>
        <w:rPr>
          <w:rFonts w:ascii="Times New Roman" w:cs="Times New Roman" w:eastAsia="Times New Roman" w:hAnsi="Times New Roman"/>
          <w:sz w:val="18"/>
          <w:szCs w:val="18"/>
          <w:color w:val="auto"/>
        </w:rPr>
        <w:t>unbekannte Nutzungsarten umfänglich und ausschließlich in Anspruch nehmen. Der Vergütungsanspruch des Geschäftsführers für die Einräumung der Rechte an solchen unbekannten Nutzungsarten richtet sich nach den gesetzlichen Regelungen.</w:t>
      </w:r>
    </w:p>
    <w:p>
      <w:pPr>
        <w:spacing w:after="0" w:line="192" w:lineRule="exact"/>
        <w:rPr>
          <w:sz w:val="20"/>
          <w:szCs w:val="20"/>
          <w:color w:val="auto"/>
        </w:rPr>
      </w:pPr>
    </w:p>
    <w:p>
      <w:pPr>
        <w:jc w:val="both"/>
        <w:ind w:left="660" w:right="1040" w:hanging="661"/>
        <w:spacing w:after="0" w:line="259" w:lineRule="auto"/>
        <w:tabs>
          <w:tab w:leader="none" w:pos="640" w:val="left"/>
        </w:tabs>
        <w:rPr>
          <w:sz w:val="20"/>
          <w:szCs w:val="20"/>
          <w:color w:val="auto"/>
        </w:rPr>
      </w:pPr>
      <w:r>
        <w:rPr>
          <w:rFonts w:ascii="Times New Roman" w:cs="Times New Roman" w:eastAsia="Times New Roman" w:hAnsi="Times New Roman"/>
          <w:sz w:val="18"/>
          <w:szCs w:val="18"/>
          <w:color w:val="auto"/>
        </w:rPr>
        <w:t>17.6</w:t>
      </w:r>
      <w:r>
        <w:rPr>
          <w:sz w:val="20"/>
          <w:szCs w:val="20"/>
          <w:color w:val="auto"/>
        </w:rPr>
        <w:tab/>
      </w:r>
      <w:r>
        <w:rPr>
          <w:rFonts w:ascii="Times New Roman" w:cs="Times New Roman" w:eastAsia="Times New Roman" w:hAnsi="Times New Roman"/>
          <w:sz w:val="18"/>
          <w:szCs w:val="18"/>
          <w:color w:val="auto"/>
        </w:rPr>
        <w:t>Der Geschäftsführer hat der Gesellschaft über seine Erfindungen und technischen Verbesserungsvorschläge unverzüglich in Textform Mitteilung zu machen.</w:t>
      </w:r>
    </w:p>
    <w:p>
      <w:pPr>
        <w:spacing w:after="0" w:line="178" w:lineRule="exact"/>
        <w:rPr>
          <w:sz w:val="20"/>
          <w:szCs w:val="20"/>
          <w:color w:val="auto"/>
        </w:rPr>
      </w:pPr>
    </w:p>
    <w:p>
      <w:pPr>
        <w:jc w:val="both"/>
        <w:ind w:left="660" w:right="1020" w:hanging="661"/>
        <w:spacing w:after="0" w:line="213" w:lineRule="exact"/>
        <w:tabs>
          <w:tab w:leader="none" w:pos="640" w:val="left"/>
        </w:tabs>
        <w:rPr>
          <w:sz w:val="20"/>
          <w:szCs w:val="20"/>
          <w:color w:val="auto"/>
        </w:rPr>
      </w:pPr>
      <w:r>
        <w:rPr>
          <w:rFonts w:ascii="Times New Roman" w:cs="Times New Roman" w:eastAsia="Times New Roman" w:hAnsi="Times New Roman"/>
          <w:sz w:val="18"/>
          <w:szCs w:val="18"/>
          <w:color w:val="auto"/>
        </w:rPr>
        <w:t>17.7</w:t>
      </w:r>
      <w:r>
        <w:rPr>
          <w:sz w:val="20"/>
          <w:szCs w:val="20"/>
          <w:color w:val="auto"/>
        </w:rPr>
        <w:tab/>
      </w:r>
      <w:r>
        <w:rPr>
          <w:rFonts w:ascii="Times New Roman" w:cs="Times New Roman" w:eastAsia="Times New Roman" w:hAnsi="Times New Roman"/>
          <w:sz w:val="17"/>
          <w:szCs w:val="17"/>
          <w:color w:val="auto"/>
        </w:rPr>
        <w:t>Des Weiteren wird der Geschäftsführer auf Verlangen der Gesellschaft diese bei der Erlangung von Urheberrechten und anderen rechtlichen Schutzmöglichkeiten (insbesondere gewerblichen Schutzrechten) für die Arbeitsergebnisse des Geschäftsführers im In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und Ausland unterstützen. Der Geschäftsführer wird zu diesem Zweck alle Anträge, Abtretungserklärungen und sonstige rechtsgeschäftlichen Erklärungen ausfüllen und abgeben. Zudem wird er alle Dokumente unterzeichnen, die erforderlich oder von der Gesellschaft gewünscht sind, um Urheber</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oder sonstige gewerbliche Schutzrechte an den Arbeitsergebnissen vollständig auf die Gesellschaft zu übertragen. Darüber hinaus wird er der Gesellschaft, ihren Rechtsnachfolgern und Abtretungsempfängern ermöglichen, sich den vollen und ausschließlichen Nutzen und die Vorteile dieser Arbeitsergebnisse zu sichern und diese zu verwerten.</w:t>
      </w:r>
    </w:p>
    <w:p>
      <w:pPr>
        <w:spacing w:after="0" w:line="202" w:lineRule="exact"/>
        <w:rPr>
          <w:sz w:val="20"/>
          <w:szCs w:val="20"/>
          <w:color w:val="auto"/>
        </w:rPr>
      </w:pPr>
    </w:p>
    <w:p>
      <w:pPr>
        <w:jc w:val="both"/>
        <w:ind w:left="660" w:right="1020" w:hanging="661"/>
        <w:spacing w:after="0" w:line="251" w:lineRule="auto"/>
        <w:tabs>
          <w:tab w:leader="none" w:pos="640" w:val="left"/>
        </w:tabs>
        <w:rPr>
          <w:sz w:val="20"/>
          <w:szCs w:val="20"/>
          <w:color w:val="auto"/>
        </w:rPr>
      </w:pPr>
      <w:r>
        <w:rPr>
          <w:rFonts w:ascii="Times New Roman" w:cs="Times New Roman" w:eastAsia="Times New Roman" w:hAnsi="Times New Roman"/>
          <w:sz w:val="18"/>
          <w:szCs w:val="18"/>
          <w:color w:val="auto"/>
        </w:rPr>
        <w:t>17.8</w:t>
      </w:r>
      <w:r>
        <w:rPr>
          <w:sz w:val="20"/>
          <w:szCs w:val="20"/>
          <w:color w:val="auto"/>
        </w:rPr>
        <w:tab/>
      </w:r>
      <w:r>
        <w:rPr>
          <w:rFonts w:ascii="Times New Roman" w:cs="Times New Roman" w:eastAsia="Times New Roman" w:hAnsi="Times New Roman"/>
          <w:sz w:val="18"/>
          <w:szCs w:val="18"/>
          <w:color w:val="auto"/>
        </w:rPr>
        <w:t>Soweit gesetzlich zulässig, verzichtet der Geschäftsführer ausdrücklich auf die Geltendmachung seiner ihm zustehenden Urheberpersönlichkeitsrechte an den oben genannten Arbeitsergebnissen, insbesondere auf das Recht auf Namensnennung und auf Zugänglichmachung des Werkes.</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jc w:val="both"/>
        <w:ind w:left="700" w:hanging="714"/>
        <w:spacing w:after="0" w:line="269" w:lineRule="auto"/>
        <w:tabs>
          <w:tab w:leader="none" w:pos="680" w:val="left"/>
        </w:tabs>
        <w:rPr>
          <w:sz w:val="20"/>
          <w:szCs w:val="20"/>
          <w:color w:val="auto"/>
        </w:rPr>
      </w:pPr>
      <w:r>
        <w:rPr>
          <w:rFonts w:ascii="Times New Roman" w:cs="Times New Roman" w:eastAsia="Times New Roman" w:hAnsi="Times New Roman"/>
          <w:sz w:val="18"/>
          <w:szCs w:val="18"/>
          <w:color w:val="auto"/>
        </w:rPr>
        <w:t>17.5</w:t>
      </w:r>
      <w:r>
        <w:rPr>
          <w:sz w:val="20"/>
          <w:szCs w:val="20"/>
          <w:color w:val="auto"/>
        </w:rPr>
        <w:tab/>
      </w:r>
      <w:r>
        <w:rPr>
          <w:rFonts w:ascii="Times New Roman" w:cs="Times New Roman" w:eastAsia="Times New Roman" w:hAnsi="Times New Roman"/>
          <w:sz w:val="17"/>
          <w:szCs w:val="17"/>
          <w:color w:val="auto"/>
        </w:rPr>
        <w:t>The Company may upon unilateral notification exclusively and without limitation exploit any future rights for unknown types of use related to copyrightable works. The Managing Director's claim for compensation for the grant of such rights for unknown types of use is subject to the requirements of statutory laws.</w:t>
      </w:r>
    </w:p>
    <w:p>
      <w:pPr>
        <w:spacing w:after="0" w:line="200" w:lineRule="exact"/>
        <w:rPr>
          <w:sz w:val="20"/>
          <w:szCs w:val="20"/>
          <w:color w:val="auto"/>
        </w:rPr>
      </w:pPr>
    </w:p>
    <w:p>
      <w:pPr>
        <w:spacing w:after="0" w:line="393" w:lineRule="exact"/>
        <w:rPr>
          <w:sz w:val="20"/>
          <w:szCs w:val="20"/>
          <w:color w:val="auto"/>
        </w:rPr>
      </w:pPr>
    </w:p>
    <w:p>
      <w:pPr>
        <w:jc w:val="both"/>
        <w:ind w:left="700" w:hanging="714"/>
        <w:spacing w:after="0" w:line="259" w:lineRule="auto"/>
        <w:tabs>
          <w:tab w:leader="none" w:pos="680" w:val="left"/>
        </w:tabs>
        <w:rPr>
          <w:sz w:val="20"/>
          <w:szCs w:val="20"/>
          <w:color w:val="auto"/>
        </w:rPr>
      </w:pPr>
      <w:r>
        <w:rPr>
          <w:rFonts w:ascii="Times New Roman" w:cs="Times New Roman" w:eastAsia="Times New Roman" w:hAnsi="Times New Roman"/>
          <w:sz w:val="18"/>
          <w:szCs w:val="18"/>
          <w:color w:val="auto"/>
        </w:rPr>
        <w:t>17.6</w:t>
      </w:r>
      <w:r>
        <w:rPr>
          <w:sz w:val="20"/>
          <w:szCs w:val="20"/>
          <w:color w:val="auto"/>
        </w:rPr>
        <w:tab/>
      </w:r>
      <w:r>
        <w:rPr>
          <w:rFonts w:ascii="Times New Roman" w:cs="Times New Roman" w:eastAsia="Times New Roman" w:hAnsi="Times New Roman"/>
          <w:sz w:val="18"/>
          <w:szCs w:val="18"/>
          <w:color w:val="auto"/>
        </w:rPr>
        <w:t>The Managing Director must inform the Company about their Inventions and Technical Improvement Proposals in writing without undue delay.</w:t>
      </w:r>
    </w:p>
    <w:p>
      <w:pPr>
        <w:spacing w:after="0" w:line="178" w:lineRule="exact"/>
        <w:rPr>
          <w:sz w:val="20"/>
          <w:szCs w:val="20"/>
          <w:color w:val="auto"/>
        </w:rPr>
      </w:pPr>
    </w:p>
    <w:p>
      <w:pPr>
        <w:jc w:val="both"/>
        <w:ind w:left="700" w:hanging="714"/>
        <w:spacing w:after="0" w:line="247" w:lineRule="auto"/>
        <w:tabs>
          <w:tab w:leader="none" w:pos="680" w:val="left"/>
        </w:tabs>
        <w:rPr>
          <w:sz w:val="20"/>
          <w:szCs w:val="20"/>
          <w:color w:val="auto"/>
        </w:rPr>
      </w:pPr>
      <w:r>
        <w:rPr>
          <w:rFonts w:ascii="Times New Roman" w:cs="Times New Roman" w:eastAsia="Times New Roman" w:hAnsi="Times New Roman"/>
          <w:sz w:val="18"/>
          <w:szCs w:val="18"/>
          <w:color w:val="auto"/>
        </w:rPr>
        <w:t>17.7</w:t>
      </w:r>
      <w:r>
        <w:rPr>
          <w:sz w:val="20"/>
          <w:szCs w:val="20"/>
          <w:color w:val="auto"/>
        </w:rPr>
        <w:tab/>
      </w:r>
      <w:r>
        <w:rPr>
          <w:rFonts w:ascii="Times New Roman" w:cs="Times New Roman" w:eastAsia="Times New Roman" w:hAnsi="Times New Roman"/>
          <w:sz w:val="18"/>
          <w:szCs w:val="18"/>
          <w:color w:val="auto"/>
        </w:rPr>
        <w:t>Furthermore, upon request of the Company he will support the obtaining of copyright and other legal methods of protection (especially industrial property rights) for work results which shall be protected domestically and abroad. For this purpose the Managing Director will fill out and hand over all applications, acts of assignments and other legal statements. Moreover, he will assign every document which is necessary or wanted by the Company in order to transfer copyright or other industrial property rights to work results entirely to the Company. In addition, he will make it possible for the Company, their legal successors and assignees to receive the full and exclusive usage and advantages of the work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left="700" w:hanging="714"/>
        <w:spacing w:after="0" w:line="252" w:lineRule="auto"/>
        <w:tabs>
          <w:tab w:leader="none" w:pos="680" w:val="left"/>
        </w:tabs>
        <w:rPr>
          <w:sz w:val="20"/>
          <w:szCs w:val="20"/>
          <w:color w:val="auto"/>
        </w:rPr>
      </w:pPr>
      <w:r>
        <w:rPr>
          <w:rFonts w:ascii="Times New Roman" w:cs="Times New Roman" w:eastAsia="Times New Roman" w:hAnsi="Times New Roman"/>
          <w:sz w:val="18"/>
          <w:szCs w:val="18"/>
          <w:color w:val="auto"/>
        </w:rPr>
        <w:t>17.8</w:t>
      </w:r>
      <w:r>
        <w:rPr>
          <w:sz w:val="20"/>
          <w:szCs w:val="20"/>
          <w:color w:val="auto"/>
        </w:rPr>
        <w:tab/>
      </w:r>
      <w:r>
        <w:rPr>
          <w:rFonts w:ascii="Times New Roman" w:cs="Times New Roman" w:eastAsia="Times New Roman" w:hAnsi="Times New Roman"/>
          <w:sz w:val="18"/>
          <w:szCs w:val="18"/>
          <w:color w:val="auto"/>
        </w:rPr>
        <w:t>To the extent permitted under applicable laws, the Managing Director will not assert his moral rights regarding the abovementioned work results especially the right to be named and the right to have access to their work.</w:t>
      </w:r>
    </w:p>
    <w:p>
      <w:pPr>
        <w:spacing w:after="0" w:line="3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-4110355</wp:posOffset>
            </wp:positionH>
            <wp:positionV relativeFrom="paragraph">
              <wp:posOffset>81915</wp:posOffset>
            </wp:positionV>
            <wp:extent cx="713486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2">
            <w:col w:w="5760" w:space="720"/>
            <w:col w:w="4760"/>
          </w:cols>
          <w:pgMar w:left="320" w:top="559" w:right="339" w:bottom="1440" w:gutter="0" w:footer="0" w:header="0"/>
          <w:type w:val="continuous"/>
        </w:sectPr>
      </w:pPr>
    </w:p>
    <w:bookmarkStart w:id="115" w:name="page116"/>
    <w:bookmarkEnd w:id="115"/>
    <w:p>
      <w:pPr>
        <w:jc w:val="center"/>
        <w:spacing w:after="0"/>
        <w:rPr>
          <w:sz w:val="20"/>
          <w:szCs w:val="20"/>
          <w:color w:val="auto"/>
        </w:rPr>
      </w:pPr>
      <w:r>
        <w:rPr>
          <w:rFonts w:ascii="Times New Roman" w:cs="Times New Roman" w:eastAsia="Times New Roman" w:hAnsi="Times New Roman"/>
          <w:sz w:val="21"/>
          <w:szCs w:val="21"/>
          <w:b w:val="1"/>
          <w:bCs w:val="1"/>
          <w:color w:val="auto"/>
        </w:rPr>
        <w:t>[Letterhead of Cohu GmbH]</w:t>
      </w:r>
    </w:p>
    <w:p>
      <w:pPr>
        <w:sectPr>
          <w:pgSz w:w="11900" w:h="16838" w:orient="portrait"/>
          <w:cols w:equalWidth="0" w:num="1">
            <w:col w:w="11240"/>
          </w:cols>
          <w:pgMar w:left="320" w:top="559" w:right="339" w:bottom="1440" w:gutter="0" w:footer="0" w:header="0"/>
        </w:sectPr>
      </w:pPr>
    </w:p>
    <w:p>
      <w:pPr>
        <w:spacing w:after="0" w:line="222" w:lineRule="exact"/>
        <w:rPr>
          <w:sz w:val="20"/>
          <w:szCs w:val="20"/>
          <w:color w:val="auto"/>
        </w:rPr>
      </w:pPr>
    </w:p>
    <w:p>
      <w:pPr>
        <w:jc w:val="right"/>
        <w:ind w:right="1059"/>
        <w:spacing w:after="0" w:line="222" w:lineRule="exact"/>
        <w:rPr>
          <w:sz w:val="20"/>
          <w:szCs w:val="20"/>
          <w:color w:val="auto"/>
        </w:rPr>
      </w:pPr>
      <w:r>
        <w:rPr>
          <w:rFonts w:ascii="Times New Roman" w:cs="Times New Roman" w:eastAsia="Times New Roman" w:hAnsi="Times New Roman"/>
          <w:sz w:val="18"/>
          <w:szCs w:val="18"/>
          <w:color w:val="auto"/>
        </w:rPr>
        <w:t>17.9   Der    Geschäftsführer    hat    eine    angemessene Dokumentation  seiner  patent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urheberrechts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und</w:t>
      </w:r>
    </w:p>
    <w:p>
      <w:pPr>
        <w:spacing w:after="0" w:line="1" w:lineRule="exact"/>
        <w:rPr>
          <w:sz w:val="20"/>
          <w:szCs w:val="20"/>
          <w:color w:val="auto"/>
        </w:rPr>
      </w:pPr>
    </w:p>
    <w:p>
      <w:pPr>
        <w:jc w:val="both"/>
        <w:ind w:left="540" w:right="1039"/>
        <w:spacing w:after="0" w:line="247" w:lineRule="auto"/>
        <w:rPr>
          <w:sz w:val="20"/>
          <w:szCs w:val="20"/>
          <w:color w:val="auto"/>
        </w:rPr>
      </w:pPr>
      <w:r>
        <w:rPr>
          <w:rFonts w:ascii="Times New Roman" w:cs="Times New Roman" w:eastAsia="Times New Roman" w:hAnsi="Times New Roman"/>
          <w:sz w:val="18"/>
          <w:szCs w:val="18"/>
          <w:color w:val="auto"/>
        </w:rPr>
        <w:t>sonstigen schutzrechtsfähigen Arbeitsergebnisse sicherzustellen und auf dem Laufenden zu halten. Diese sind der Gesellschaft zu jeder Zeit zugänglich zu machen und das Eigentum daran ist ihr zu übertragen.</w:t>
      </w:r>
    </w:p>
    <w:p>
      <w:pPr>
        <w:spacing w:after="0" w:line="400" w:lineRule="exact"/>
        <w:rPr>
          <w:sz w:val="20"/>
          <w:szCs w:val="20"/>
          <w:color w:val="auto"/>
        </w:rPr>
      </w:pPr>
    </w:p>
    <w:p>
      <w:pPr>
        <w:jc w:val="both"/>
        <w:ind w:left="540" w:right="1039" w:hanging="542"/>
        <w:spacing w:after="0" w:line="248" w:lineRule="auto"/>
        <w:tabs>
          <w:tab w:leader="none" w:pos="520" w:val="left"/>
        </w:tabs>
        <w:rPr>
          <w:sz w:val="20"/>
          <w:szCs w:val="20"/>
          <w:color w:val="auto"/>
        </w:rPr>
      </w:pPr>
      <w:r>
        <w:rPr>
          <w:rFonts w:ascii="Times New Roman" w:cs="Times New Roman" w:eastAsia="Times New Roman" w:hAnsi="Times New Roman"/>
          <w:sz w:val="18"/>
          <w:szCs w:val="18"/>
          <w:color w:val="auto"/>
        </w:rPr>
        <w:t>17.10</w:t>
        <w:tab/>
        <w:t>Für die Erfüllung dieser Mitwirkungspflichten oder für jegliche sonstige Tätigkeit im Zusammenhang mit dieser Übertragung von Rechten erhält der Geschäftsführer während der Dauer des Anstellungsverhältnisses keine weitere Vergütung neben der unter Ziffer 3 des Geschäftsführervertrages geregelten Vergütung. Erstattet werden lediglich die Kosten, die ihm durch das Verlangen der Gesellschaft entstanden sind. Soweit der Geschäftsführer die Mitwirkungspflichten nach Beendigung des Anstellungsverhältnisses erfüllt, wird er hierfür einen angemessenen Tagessatz sowie die Erstattung aller Kosten, die ihm durch das Verlangen der Gesellschaft entstanden sind, erhalten.</w:t>
      </w:r>
    </w:p>
    <w:p>
      <w:pPr>
        <w:spacing w:after="0" w:line="188" w:lineRule="exact"/>
        <w:rPr>
          <w:sz w:val="20"/>
          <w:szCs w:val="20"/>
          <w:color w:val="auto"/>
        </w:rPr>
      </w:pPr>
    </w:p>
    <w:p>
      <w:pPr>
        <w:jc w:val="both"/>
        <w:ind w:left="540" w:right="1039" w:hanging="542"/>
        <w:spacing w:after="0" w:line="255" w:lineRule="auto"/>
        <w:tabs>
          <w:tab w:leader="none" w:pos="520" w:val="left"/>
        </w:tabs>
        <w:rPr>
          <w:sz w:val="20"/>
          <w:szCs w:val="20"/>
          <w:color w:val="auto"/>
        </w:rPr>
      </w:pPr>
      <w:r>
        <w:rPr>
          <w:rFonts w:ascii="Times New Roman" w:cs="Times New Roman" w:eastAsia="Times New Roman" w:hAnsi="Times New Roman"/>
          <w:sz w:val="18"/>
          <w:szCs w:val="18"/>
          <w:color w:val="auto"/>
        </w:rPr>
        <w:t>17.11</w:t>
        <w:tab/>
        <w:t>Jegliche Verwertung von Arbeitsergebnissen ist mit den Bezügen des Geschäftsführers abgegolten. Dem Geschäftsführer steht keine gesonderte Erfindervergütung zu.</w:t>
      </w:r>
    </w:p>
    <w:p>
      <w:pPr>
        <w:spacing w:after="0" w:line="142" w:lineRule="exact"/>
        <w:rPr>
          <w:sz w:val="20"/>
          <w:szCs w:val="20"/>
          <w:color w:val="auto"/>
        </w:rPr>
      </w:pPr>
    </w:p>
    <w:p>
      <w:pPr>
        <w:spacing w:after="0" w:line="207" w:lineRule="exact"/>
        <w:tabs>
          <w:tab w:leader="none" w:pos="520" w:val="left"/>
        </w:tabs>
        <w:rPr>
          <w:sz w:val="20"/>
          <w:szCs w:val="20"/>
          <w:color w:val="auto"/>
        </w:rPr>
      </w:pPr>
      <w:r>
        <w:rPr>
          <w:rFonts w:ascii="Times New Roman" w:cs="Times New Roman" w:eastAsia="Times New Roman" w:hAnsi="Times New Roman"/>
          <w:sz w:val="18"/>
          <w:szCs w:val="18"/>
          <w:color w:val="auto"/>
        </w:rPr>
        <w:t>17.12</w:t>
        <w:tab/>
        <w:t>§ 69b Urheberrechtsgesetz (Urheber in Arbeits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und</w:t>
      </w:r>
    </w:p>
    <w:p>
      <w:pPr>
        <w:spacing w:after="0" w:line="64" w:lineRule="exact"/>
        <w:rPr>
          <w:sz w:val="20"/>
          <w:szCs w:val="20"/>
          <w:color w:val="auto"/>
        </w:rPr>
      </w:pPr>
    </w:p>
    <w:p>
      <w:pPr>
        <w:ind w:left="540" w:right="1039"/>
        <w:spacing w:after="0" w:line="250" w:lineRule="auto"/>
        <w:rPr>
          <w:sz w:val="20"/>
          <w:szCs w:val="20"/>
          <w:color w:val="auto"/>
        </w:rPr>
      </w:pPr>
      <w:r>
        <w:rPr>
          <w:rFonts w:ascii="Times New Roman" w:cs="Times New Roman" w:eastAsia="Times New Roman" w:hAnsi="Times New Roman"/>
          <w:sz w:val="18"/>
          <w:szCs w:val="18"/>
          <w:color w:val="auto"/>
        </w:rPr>
        <w:t>Dienstverhältnissen) bleibt von dem Geschäftsführervertrag unberührt.</w:t>
      </w:r>
    </w:p>
    <w:p>
      <w:pPr>
        <w:spacing w:after="0" w:line="183" w:lineRule="exact"/>
        <w:rPr>
          <w:sz w:val="20"/>
          <w:szCs w:val="20"/>
          <w:color w:val="auto"/>
        </w:rPr>
      </w:pPr>
    </w:p>
    <w:p>
      <w:pPr>
        <w:ind w:left="540" w:hanging="534"/>
        <w:spacing w:after="0"/>
        <w:tabs>
          <w:tab w:leader="none" w:pos="54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ARBEITSUNF</w:t>
      </w:r>
      <w:r>
        <w:rPr>
          <w:rFonts w:ascii="Times New Roman" w:cs="Times New Roman" w:eastAsia="Times New Roman" w:hAnsi="Times New Roman"/>
          <w:sz w:val="18"/>
          <w:szCs w:val="18"/>
          <w:color w:val="auto"/>
        </w:rPr>
        <w:t>ä</w:t>
      </w:r>
      <w:r>
        <w:rPr>
          <w:rFonts w:ascii="Times New Roman" w:cs="Times New Roman" w:eastAsia="Times New Roman" w:hAnsi="Times New Roman"/>
          <w:sz w:val="18"/>
          <w:szCs w:val="18"/>
          <w:b w:val="1"/>
          <w:bCs w:val="1"/>
          <w:color w:val="auto"/>
        </w:rPr>
        <w:t>HIGKEIT</w:t>
      </w:r>
    </w:p>
    <w:p>
      <w:pPr>
        <w:spacing w:after="0" w:line="219" w:lineRule="exact"/>
        <w:rPr>
          <w:sz w:val="20"/>
          <w:szCs w:val="20"/>
          <w:color w:val="auto"/>
        </w:rPr>
      </w:pPr>
    </w:p>
    <w:p>
      <w:pPr>
        <w:jc w:val="both"/>
        <w:ind w:left="540" w:right="1039" w:hanging="542"/>
        <w:spacing w:after="0" w:line="259" w:lineRule="auto"/>
        <w:tabs>
          <w:tab w:leader="none" w:pos="520" w:val="left"/>
        </w:tabs>
        <w:rPr>
          <w:sz w:val="20"/>
          <w:szCs w:val="20"/>
          <w:color w:val="auto"/>
        </w:rPr>
      </w:pPr>
      <w:r>
        <w:rPr>
          <w:rFonts w:ascii="Times New Roman" w:cs="Times New Roman" w:eastAsia="Times New Roman" w:hAnsi="Times New Roman"/>
          <w:sz w:val="18"/>
          <w:szCs w:val="18"/>
          <w:color w:val="auto"/>
        </w:rPr>
        <w:t>18.1</w:t>
        <w:tab/>
        <w:t>Im Fall von Arbeitsunfähigkeit (z. B. aufgrund von Krankheit) ist der Geschäftsführer verpflichtet, unverzüglich die Gesellschafter zu informieren.</w:t>
      </w:r>
    </w:p>
    <w:p>
      <w:pPr>
        <w:spacing w:after="0" w:line="178" w:lineRule="exact"/>
        <w:rPr>
          <w:sz w:val="20"/>
          <w:szCs w:val="20"/>
          <w:color w:val="auto"/>
        </w:rPr>
      </w:pPr>
    </w:p>
    <w:p>
      <w:pPr>
        <w:jc w:val="both"/>
        <w:ind w:left="540" w:right="1039" w:hanging="542"/>
        <w:spacing w:after="0" w:line="250" w:lineRule="auto"/>
        <w:tabs>
          <w:tab w:leader="none" w:pos="520" w:val="left"/>
        </w:tabs>
        <w:rPr>
          <w:sz w:val="20"/>
          <w:szCs w:val="20"/>
          <w:color w:val="auto"/>
        </w:rPr>
      </w:pPr>
      <w:r>
        <w:rPr>
          <w:rFonts w:ascii="Times New Roman" w:cs="Times New Roman" w:eastAsia="Times New Roman" w:hAnsi="Times New Roman"/>
          <w:sz w:val="18"/>
          <w:szCs w:val="18"/>
          <w:color w:val="auto"/>
        </w:rPr>
        <w:t>18.2</w:t>
        <w:tab/>
        <w:t>Im Falle einer mit Arbeitsunfähigkeit verbundener Krankheit ist der Geschäftsführer verpflichtet, der Gesellschaft eine ärztliche Bescheinigung über die Arbeitsunfähigkeit spätestens am dritten Tag der Arbeitsunfähigkeit, auf Verlangen der Gesellschaft auch früher, vorzulegen. Dasselbe gilt im Falle einer Folgeerkrankung.</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jc w:val="both"/>
        <w:ind w:left="721" w:hanging="714"/>
        <w:spacing w:after="0" w:line="215" w:lineRule="exact"/>
        <w:tabs>
          <w:tab w:leader="none" w:pos="700" w:val="left"/>
        </w:tabs>
        <w:rPr>
          <w:sz w:val="20"/>
          <w:szCs w:val="20"/>
          <w:color w:val="auto"/>
        </w:rPr>
      </w:pPr>
      <w:r>
        <w:rPr>
          <w:rFonts w:ascii="Times New Roman" w:cs="Times New Roman" w:eastAsia="Times New Roman" w:hAnsi="Times New Roman"/>
          <w:sz w:val="18"/>
          <w:szCs w:val="18"/>
          <w:color w:val="auto"/>
        </w:rPr>
        <w:t>17.9</w:t>
      </w:r>
      <w:r>
        <w:rPr>
          <w:sz w:val="20"/>
          <w:szCs w:val="20"/>
          <w:color w:val="auto"/>
        </w:rPr>
        <w:tab/>
      </w:r>
      <w:r>
        <w:rPr>
          <w:rFonts w:ascii="Times New Roman" w:cs="Times New Roman" w:eastAsia="Times New Roman" w:hAnsi="Times New Roman"/>
          <w:sz w:val="18"/>
          <w:szCs w:val="18"/>
          <w:color w:val="auto"/>
        </w:rPr>
        <w:t>The Managing Director is obliged to prepare a reasonable documentation of their protectable work results, whether they are patentable or pro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tectable by copyright, and the Managing Director is obliged to keep them updated. This documentation has to be made accessible at any time to the Company and the property therein is to be transferred to the Company.</w:t>
      </w:r>
    </w:p>
    <w:p>
      <w:pPr>
        <w:spacing w:after="0" w:line="193" w:lineRule="exact"/>
        <w:rPr>
          <w:sz w:val="20"/>
          <w:szCs w:val="20"/>
          <w:color w:val="auto"/>
        </w:rPr>
      </w:pPr>
    </w:p>
    <w:p>
      <w:pPr>
        <w:jc w:val="both"/>
        <w:ind w:left="721" w:hanging="714"/>
        <w:spacing w:after="0" w:line="248" w:lineRule="auto"/>
        <w:tabs>
          <w:tab w:leader="none" w:pos="700" w:val="left"/>
        </w:tabs>
        <w:rPr>
          <w:sz w:val="20"/>
          <w:szCs w:val="20"/>
          <w:color w:val="auto"/>
        </w:rPr>
      </w:pPr>
      <w:r>
        <w:rPr>
          <w:rFonts w:ascii="Times New Roman" w:cs="Times New Roman" w:eastAsia="Times New Roman" w:hAnsi="Times New Roman"/>
          <w:sz w:val="18"/>
          <w:szCs w:val="18"/>
          <w:color w:val="auto"/>
        </w:rPr>
        <w:t>17.10</w:t>
      </w:r>
      <w:r>
        <w:rPr>
          <w:sz w:val="20"/>
          <w:szCs w:val="20"/>
          <w:color w:val="auto"/>
        </w:rPr>
        <w:tab/>
      </w:r>
      <w:r>
        <w:rPr>
          <w:rFonts w:ascii="Times New Roman" w:cs="Times New Roman" w:eastAsia="Times New Roman" w:hAnsi="Times New Roman"/>
          <w:sz w:val="18"/>
          <w:szCs w:val="18"/>
          <w:color w:val="auto"/>
        </w:rPr>
        <w:t>For the fulfillment of these participation obligations or any other activity in connection with this transfer of rights the Managing Director will not receive any further remuneration in addition to what was stipulated under clause 3 of this Managing Director Agreement during the service relationship. Only such costs will be covered that were created by the demand for activity by the Company. As far as the Managing Director fulfills participation duties after termination of the service relationship, he will receive a reasonable daily rate as well as coverage of all costs which were created by the demands of the Company.</w:t>
      </w:r>
    </w:p>
    <w:p>
      <w:pPr>
        <w:spacing w:after="0" w:line="200" w:lineRule="exact"/>
        <w:rPr>
          <w:sz w:val="20"/>
          <w:szCs w:val="20"/>
          <w:color w:val="auto"/>
        </w:rPr>
      </w:pPr>
    </w:p>
    <w:p>
      <w:pPr>
        <w:spacing w:after="0" w:line="201" w:lineRule="exact"/>
        <w:rPr>
          <w:sz w:val="20"/>
          <w:szCs w:val="20"/>
          <w:color w:val="auto"/>
        </w:rPr>
      </w:pPr>
    </w:p>
    <w:p>
      <w:pPr>
        <w:jc w:val="both"/>
        <w:ind w:left="721" w:hanging="714"/>
        <w:spacing w:after="0" w:line="255" w:lineRule="auto"/>
        <w:tabs>
          <w:tab w:leader="none" w:pos="700" w:val="left"/>
        </w:tabs>
        <w:rPr>
          <w:sz w:val="20"/>
          <w:szCs w:val="20"/>
          <w:color w:val="auto"/>
        </w:rPr>
      </w:pPr>
      <w:r>
        <w:rPr>
          <w:rFonts w:ascii="Times New Roman" w:cs="Times New Roman" w:eastAsia="Times New Roman" w:hAnsi="Times New Roman"/>
          <w:sz w:val="18"/>
          <w:szCs w:val="18"/>
          <w:color w:val="auto"/>
        </w:rPr>
        <w:t>17.11</w:t>
      </w:r>
      <w:r>
        <w:rPr>
          <w:sz w:val="20"/>
          <w:szCs w:val="20"/>
          <w:color w:val="auto"/>
        </w:rPr>
        <w:tab/>
      </w:r>
      <w:r>
        <w:rPr>
          <w:rFonts w:ascii="Times New Roman" w:cs="Times New Roman" w:eastAsia="Times New Roman" w:hAnsi="Times New Roman"/>
          <w:sz w:val="18"/>
          <w:szCs w:val="18"/>
          <w:color w:val="auto"/>
        </w:rPr>
        <w:t>Any utilisation of work results shall be compensated by payment of remuneration to the Managing Director. The Managing Director shall not be entitled to any special inventor's bonus.</w:t>
      </w:r>
    </w:p>
    <w:p>
      <w:pPr>
        <w:spacing w:after="0" w:line="180" w:lineRule="exact"/>
        <w:rPr>
          <w:sz w:val="20"/>
          <w:szCs w:val="20"/>
          <w:color w:val="auto"/>
        </w:rPr>
      </w:pPr>
    </w:p>
    <w:p>
      <w:pPr>
        <w:jc w:val="both"/>
        <w:ind w:left="721" w:hanging="714"/>
        <w:spacing w:after="0" w:line="259" w:lineRule="auto"/>
        <w:tabs>
          <w:tab w:leader="none" w:pos="700" w:val="left"/>
        </w:tabs>
        <w:rPr>
          <w:sz w:val="20"/>
          <w:szCs w:val="20"/>
          <w:color w:val="auto"/>
        </w:rPr>
      </w:pPr>
      <w:r>
        <w:rPr>
          <w:rFonts w:ascii="Times New Roman" w:cs="Times New Roman" w:eastAsia="Times New Roman" w:hAnsi="Times New Roman"/>
          <w:sz w:val="18"/>
          <w:szCs w:val="18"/>
          <w:color w:val="auto"/>
        </w:rPr>
        <w:t>17.12</w:t>
      </w:r>
      <w:r>
        <w:rPr>
          <w:sz w:val="20"/>
          <w:szCs w:val="20"/>
          <w:color w:val="auto"/>
        </w:rPr>
        <w:tab/>
      </w:r>
      <w:r>
        <w:rPr>
          <w:rFonts w:ascii="Times New Roman" w:cs="Times New Roman" w:eastAsia="Times New Roman" w:hAnsi="Times New Roman"/>
          <w:sz w:val="18"/>
          <w:szCs w:val="18"/>
          <w:color w:val="auto"/>
        </w:rPr>
        <w:t>Section 69b Copyright Act (Originator in employment status) shall remain unaffected by this Managing Director Agreement.</w:t>
      </w:r>
    </w:p>
    <w:p>
      <w:pPr>
        <w:spacing w:after="0" w:line="176" w:lineRule="exact"/>
        <w:rPr>
          <w:sz w:val="20"/>
          <w:szCs w:val="20"/>
          <w:color w:val="auto"/>
        </w:rPr>
      </w:pPr>
    </w:p>
    <w:p>
      <w:pPr>
        <w:ind w:left="721" w:hanging="721"/>
        <w:spacing w:after="0"/>
        <w:tabs>
          <w:tab w:leader="none" w:pos="721"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INCAPACITY TO WORK</w:t>
      </w:r>
    </w:p>
    <w:p>
      <w:pPr>
        <w:spacing w:after="0" w:line="217" w:lineRule="exact"/>
        <w:rPr>
          <w:sz w:val="20"/>
          <w:szCs w:val="20"/>
          <w:color w:val="auto"/>
        </w:rPr>
      </w:pPr>
    </w:p>
    <w:p>
      <w:pPr>
        <w:jc w:val="both"/>
        <w:ind w:left="721" w:hanging="714"/>
        <w:spacing w:after="0" w:line="261" w:lineRule="auto"/>
        <w:tabs>
          <w:tab w:leader="none" w:pos="700" w:val="left"/>
        </w:tabs>
        <w:rPr>
          <w:sz w:val="20"/>
          <w:szCs w:val="20"/>
          <w:color w:val="auto"/>
        </w:rPr>
      </w:pPr>
      <w:r>
        <w:rPr>
          <w:rFonts w:ascii="Times New Roman" w:cs="Times New Roman" w:eastAsia="Times New Roman" w:hAnsi="Times New Roman"/>
          <w:sz w:val="18"/>
          <w:szCs w:val="18"/>
          <w:color w:val="auto"/>
        </w:rPr>
        <w:t>18.1</w:t>
      </w:r>
      <w:r>
        <w:rPr>
          <w:sz w:val="20"/>
          <w:szCs w:val="20"/>
          <w:color w:val="auto"/>
        </w:rPr>
        <w:tab/>
      </w:r>
      <w:r>
        <w:rPr>
          <w:rFonts w:ascii="Times New Roman" w:cs="Times New Roman" w:eastAsia="Times New Roman" w:hAnsi="Times New Roman"/>
          <w:sz w:val="18"/>
          <w:szCs w:val="18"/>
          <w:color w:val="auto"/>
        </w:rPr>
        <w:t>In case of incapacity to work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due to illness) the Managing Director shall inform the shareholders without undue delay.</w:t>
      </w:r>
    </w:p>
    <w:p>
      <w:pPr>
        <w:spacing w:after="0" w:line="175" w:lineRule="exact"/>
        <w:rPr>
          <w:sz w:val="20"/>
          <w:szCs w:val="20"/>
          <w:color w:val="auto"/>
        </w:rPr>
      </w:pPr>
    </w:p>
    <w:p>
      <w:pPr>
        <w:jc w:val="both"/>
        <w:ind w:left="721" w:hanging="714"/>
        <w:spacing w:after="0" w:line="252" w:lineRule="auto"/>
        <w:tabs>
          <w:tab w:leader="none" w:pos="700" w:val="left"/>
        </w:tabs>
        <w:rPr>
          <w:sz w:val="20"/>
          <w:szCs w:val="20"/>
          <w:color w:val="auto"/>
        </w:rPr>
      </w:pPr>
      <w:r>
        <w:rPr>
          <w:rFonts w:ascii="Times New Roman" w:cs="Times New Roman" w:eastAsia="Times New Roman" w:hAnsi="Times New Roman"/>
          <w:sz w:val="18"/>
          <w:szCs w:val="18"/>
          <w:color w:val="auto"/>
        </w:rPr>
        <w:t>18.2</w:t>
      </w:r>
      <w:r>
        <w:rPr>
          <w:sz w:val="20"/>
          <w:szCs w:val="20"/>
          <w:color w:val="auto"/>
        </w:rPr>
        <w:tab/>
      </w:r>
      <w:r>
        <w:rPr>
          <w:rFonts w:ascii="Times New Roman" w:cs="Times New Roman" w:eastAsia="Times New Roman" w:hAnsi="Times New Roman"/>
          <w:sz w:val="18"/>
          <w:szCs w:val="18"/>
          <w:color w:val="auto"/>
        </w:rPr>
        <w:t>In case of incapability to work due to illness the Managing Director shall present a medical certificate at the latest on the third day of the incapacity to work, upon request of the Company or earlier. The same shall apply in case of a subsequent illness.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-4071620</wp:posOffset>
            </wp:positionH>
            <wp:positionV relativeFrom="paragraph">
              <wp:posOffset>81915</wp:posOffset>
            </wp:positionV>
            <wp:extent cx="7134860" cy="165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2">
            <w:col w:w="5699" w:space="720"/>
            <w:col w:w="4821"/>
          </w:cols>
          <w:pgMar w:left="320" w:top="559" w:right="339" w:bottom="1440" w:gutter="0" w:footer="0" w:header="0"/>
          <w:type w:val="continuous"/>
        </w:sectPr>
      </w:pPr>
    </w:p>
    <w:bookmarkStart w:id="116" w:name="page117"/>
    <w:bookmarkEnd w:id="116"/>
    <w:p>
      <w:pPr>
        <w:jc w:val="center"/>
        <w:ind w:right="6"/>
        <w:spacing w:after="0"/>
        <w:rPr>
          <w:sz w:val="20"/>
          <w:szCs w:val="20"/>
          <w:color w:val="auto"/>
        </w:rPr>
      </w:pPr>
      <w:r>
        <w:rPr>
          <w:rFonts w:ascii="Times New Roman" w:cs="Times New Roman" w:eastAsia="Times New Roman" w:hAnsi="Times New Roman"/>
          <w:sz w:val="21"/>
          <w:szCs w:val="21"/>
          <w:b w:val="1"/>
          <w:bCs w:val="1"/>
          <w:color w:val="auto"/>
        </w:rPr>
        <w:t>[Letterhead of Cohu GmbH]</w:t>
      </w:r>
    </w:p>
    <w:p>
      <w:pPr>
        <w:sectPr>
          <w:pgSz w:w="11900" w:h="16838" w:orient="portrait"/>
          <w:cols w:equalWidth="0" w:num="1">
            <w:col w:w="11234"/>
          </w:cols>
          <w:pgMar w:left="326" w:top="559" w:right="339" w:bottom="1440" w:gutter="0" w:footer="0" w:header="0"/>
        </w:sectPr>
      </w:pPr>
    </w:p>
    <w:p>
      <w:pPr>
        <w:spacing w:after="0" w:line="222" w:lineRule="exact"/>
        <w:rPr>
          <w:sz w:val="20"/>
          <w:szCs w:val="20"/>
          <w:color w:val="auto"/>
        </w:rPr>
      </w:pPr>
    </w:p>
    <w:p>
      <w:pPr>
        <w:jc w:val="both"/>
        <w:ind w:left="714" w:right="1000" w:hanging="714"/>
        <w:spacing w:after="0" w:line="248" w:lineRule="auto"/>
        <w:tabs>
          <w:tab w:leader="none" w:pos="694" w:val="left"/>
        </w:tabs>
        <w:rPr>
          <w:sz w:val="20"/>
          <w:szCs w:val="20"/>
          <w:color w:val="auto"/>
        </w:rPr>
      </w:pPr>
      <w:r>
        <w:rPr>
          <w:rFonts w:ascii="Times New Roman" w:cs="Times New Roman" w:eastAsia="Times New Roman" w:hAnsi="Times New Roman"/>
          <w:sz w:val="18"/>
          <w:szCs w:val="18"/>
          <w:color w:val="auto"/>
        </w:rPr>
        <w:t>18.3</w:t>
      </w:r>
      <w:r>
        <w:rPr>
          <w:sz w:val="20"/>
          <w:szCs w:val="20"/>
          <w:color w:val="auto"/>
        </w:rPr>
        <w:tab/>
      </w:r>
      <w:r>
        <w:rPr>
          <w:rFonts w:ascii="Times New Roman" w:cs="Times New Roman" w:eastAsia="Times New Roman" w:hAnsi="Times New Roman"/>
          <w:sz w:val="18"/>
          <w:szCs w:val="18"/>
          <w:color w:val="auto"/>
        </w:rPr>
        <w:t>Bei einer durch Krankheit oder Unfall verursachten Arbeitsunfähigkeit wird die feste Vergütung gemäß Ziffer 3.1 für 6 Wochen weitergezahlt, längstens jedoch bis zur Beendigung des Dienstverhältnisses. Ein Anspruch auf eine etwaig vereinbarte variable Vergütung besteht für die Zeit der Entgeltfortzahlung nicht. Dabei erfolgt die Entgeltfortzahlung abzüglich des aus Anlass der Krankheit gewährten Krankengeldes der gesetzlichen Krankenversicherung; falls der Geschäftsführer nicht in der gesetzlichen Krankversicherung ist, wird ein hypothetisch gewährtes Krankengeld der gesetzlichen Krankenversicherung zugrunde gelegt.</w:t>
      </w:r>
    </w:p>
    <w:p>
      <w:pPr>
        <w:spacing w:after="0" w:line="188" w:lineRule="exact"/>
        <w:rPr>
          <w:sz w:val="20"/>
          <w:szCs w:val="20"/>
          <w:color w:val="auto"/>
        </w:rPr>
      </w:pPr>
    </w:p>
    <w:p>
      <w:pPr>
        <w:jc w:val="both"/>
        <w:ind w:left="714" w:right="1000" w:hanging="714"/>
        <w:spacing w:after="0" w:line="271" w:lineRule="auto"/>
        <w:tabs>
          <w:tab w:leader="none" w:pos="694" w:val="left"/>
        </w:tabs>
        <w:rPr>
          <w:sz w:val="20"/>
          <w:szCs w:val="20"/>
          <w:color w:val="auto"/>
        </w:rPr>
      </w:pPr>
      <w:r>
        <w:rPr>
          <w:rFonts w:ascii="Times New Roman" w:cs="Times New Roman" w:eastAsia="Times New Roman" w:hAnsi="Times New Roman"/>
          <w:sz w:val="18"/>
          <w:szCs w:val="18"/>
          <w:color w:val="auto"/>
        </w:rPr>
        <w:t>18.4</w:t>
      </w:r>
      <w:r>
        <w:rPr>
          <w:sz w:val="20"/>
          <w:szCs w:val="20"/>
          <w:color w:val="auto"/>
        </w:rPr>
        <w:tab/>
      </w:r>
      <w:r>
        <w:rPr>
          <w:rFonts w:ascii="Times New Roman" w:cs="Times New Roman" w:eastAsia="Times New Roman" w:hAnsi="Times New Roman"/>
          <w:sz w:val="17"/>
          <w:szCs w:val="17"/>
          <w:color w:val="auto"/>
        </w:rPr>
        <w:t>Der Geschäftsführer tritt bereits jetzt etwaige Ansprüche an die Gesellschaft ab, die ihm gegenüber Dritten wegen der Arbeitsunfähigkeit zustehen, soweit diese Ansprüche nicht die Vergütung, die der Geschäftsführer während seiner Arbeitsunfähigkeit erhält, übersteigen.</w:t>
      </w:r>
    </w:p>
    <w:p>
      <w:pPr>
        <w:spacing w:after="0" w:line="166" w:lineRule="exact"/>
        <w:rPr>
          <w:sz w:val="20"/>
          <w:szCs w:val="20"/>
          <w:color w:val="auto"/>
        </w:rPr>
      </w:pPr>
    </w:p>
    <w:p>
      <w:pPr>
        <w:ind w:left="714" w:hanging="714"/>
        <w:spacing w:after="0"/>
        <w:tabs>
          <w:tab w:leader="none" w:pos="714"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GEHALTSABTRETUNG UND (VER)PF</w:t>
      </w:r>
      <w:r>
        <w:rPr>
          <w:rFonts w:ascii="Times New Roman" w:cs="Times New Roman" w:eastAsia="Times New Roman" w:hAnsi="Times New Roman"/>
          <w:sz w:val="18"/>
          <w:szCs w:val="18"/>
          <w:color w:val="auto"/>
        </w:rPr>
        <w:t>ä</w:t>
      </w:r>
      <w:r>
        <w:rPr>
          <w:rFonts w:ascii="Times New Roman" w:cs="Times New Roman" w:eastAsia="Times New Roman" w:hAnsi="Times New Roman"/>
          <w:sz w:val="18"/>
          <w:szCs w:val="18"/>
          <w:b w:val="1"/>
          <w:bCs w:val="1"/>
          <w:color w:val="auto"/>
        </w:rPr>
        <w:t>NDUNG</w:t>
      </w:r>
    </w:p>
    <w:p>
      <w:pPr>
        <w:spacing w:after="0" w:line="219" w:lineRule="exact"/>
        <w:rPr>
          <w:rFonts w:ascii="Times New Roman" w:cs="Times New Roman" w:eastAsia="Times New Roman" w:hAnsi="Times New Roman"/>
          <w:sz w:val="18"/>
          <w:szCs w:val="18"/>
          <w:b w:val="1"/>
          <w:bCs w:val="1"/>
          <w:color w:val="auto"/>
        </w:rPr>
      </w:pPr>
    </w:p>
    <w:p>
      <w:pPr>
        <w:jc w:val="both"/>
        <w:ind w:left="714" w:right="100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Die Verpfändung, Pfändung oder Abtretung von Gehaltsansprüchen ist nur nach vorheriger schriftlicher Zustimmung der Gesellschaft zulässig.</w:t>
      </w:r>
    </w:p>
    <w:p>
      <w:pPr>
        <w:spacing w:after="0" w:line="175" w:lineRule="exact"/>
        <w:rPr>
          <w:rFonts w:ascii="Times New Roman" w:cs="Times New Roman" w:eastAsia="Times New Roman" w:hAnsi="Times New Roman"/>
          <w:sz w:val="18"/>
          <w:szCs w:val="18"/>
          <w:b w:val="1"/>
          <w:bCs w:val="1"/>
          <w:color w:val="auto"/>
        </w:rPr>
      </w:pPr>
    </w:p>
    <w:p>
      <w:pPr>
        <w:ind w:left="714" w:hanging="714"/>
        <w:spacing w:after="0"/>
        <w:tabs>
          <w:tab w:leader="none" w:pos="714" w:val="left"/>
        </w:tabs>
        <w:numPr>
          <w:ilvl w:val="0"/>
          <w:numId w:val="6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VORAUSZAHLUNGEN, </w:t>
      </w:r>
      <w:r>
        <w:rPr>
          <w:rFonts w:ascii="Times New Roman" w:cs="Times New Roman" w:eastAsia="Times New Roman" w:hAnsi="Times New Roman"/>
          <w:sz w:val="17"/>
          <w:szCs w:val="17"/>
          <w:color w:val="auto"/>
        </w:rPr>
        <w:t>Ü</w:t>
      </w:r>
      <w:r>
        <w:rPr>
          <w:rFonts w:ascii="Times New Roman" w:cs="Times New Roman" w:eastAsia="Times New Roman" w:hAnsi="Times New Roman"/>
          <w:sz w:val="17"/>
          <w:szCs w:val="17"/>
          <w:b w:val="1"/>
          <w:bCs w:val="1"/>
          <w:color w:val="auto"/>
        </w:rPr>
        <w:t>BERZAHLUNGEN UND</w:t>
      </w:r>
    </w:p>
    <w:p>
      <w:pPr>
        <w:spacing w:after="0" w:line="37" w:lineRule="exact"/>
        <w:rPr>
          <w:rFonts w:ascii="Times New Roman" w:cs="Times New Roman" w:eastAsia="Times New Roman" w:hAnsi="Times New Roman"/>
          <w:sz w:val="17"/>
          <w:szCs w:val="17"/>
          <w:b w:val="1"/>
          <w:bCs w:val="1"/>
          <w:color w:val="auto"/>
        </w:rPr>
      </w:pPr>
    </w:p>
    <w:p>
      <w:pPr>
        <w:ind w:left="714"/>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DARLEHEN</w:t>
      </w:r>
    </w:p>
    <w:p>
      <w:pPr>
        <w:spacing w:after="0" w:line="198" w:lineRule="exact"/>
        <w:rPr>
          <w:sz w:val="20"/>
          <w:szCs w:val="20"/>
          <w:color w:val="auto"/>
        </w:rPr>
      </w:pPr>
    </w:p>
    <w:p>
      <w:pPr>
        <w:jc w:val="both"/>
        <w:ind w:left="714" w:right="1000" w:hanging="714"/>
        <w:spacing w:after="0" w:line="249" w:lineRule="auto"/>
        <w:tabs>
          <w:tab w:leader="none" w:pos="694" w:val="left"/>
        </w:tabs>
        <w:rPr>
          <w:sz w:val="20"/>
          <w:szCs w:val="20"/>
          <w:color w:val="auto"/>
        </w:rPr>
      </w:pPr>
      <w:r>
        <w:rPr>
          <w:rFonts w:ascii="Times New Roman" w:cs="Times New Roman" w:eastAsia="Times New Roman" w:hAnsi="Times New Roman"/>
          <w:sz w:val="18"/>
          <w:szCs w:val="18"/>
          <w:color w:val="auto"/>
        </w:rPr>
        <w:t>20.1</w:t>
      </w:r>
      <w:r>
        <w:rPr>
          <w:sz w:val="20"/>
          <w:szCs w:val="20"/>
          <w:color w:val="auto"/>
        </w:rPr>
        <w:tab/>
      </w:r>
      <w:r>
        <w:rPr>
          <w:rFonts w:ascii="Times New Roman" w:cs="Times New Roman" w:eastAsia="Times New Roman" w:hAnsi="Times New Roman"/>
          <w:sz w:val="18"/>
          <w:szCs w:val="18"/>
          <w:color w:val="auto"/>
        </w:rPr>
        <w:t>Vorschüsse und Überzahlungen für Reisekosten, Provisionen, Vergütung oder Ähnliches, und Darlehen, die die Gesellschaft an den Geschäftsführer gezahlt hat, werden mit der Beendigung des Dienstverhältnisses hinsichtlich des noch offenen Restbetrages ohne Rücksicht auf die bei der Hingabe der Leistungen getroffenen Vereinbarungen fällig, es sei denn, dass der Geschäftsführer aus einem von der Gesellschaft zu vertretenden Grund außerordentlich gekündigt hat.</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jc w:val="both"/>
        <w:ind w:left="720" w:hanging="715"/>
        <w:spacing w:after="0" w:line="248" w:lineRule="auto"/>
        <w:tabs>
          <w:tab w:leader="none" w:pos="700" w:val="left"/>
        </w:tabs>
        <w:rPr>
          <w:sz w:val="20"/>
          <w:szCs w:val="20"/>
          <w:color w:val="auto"/>
        </w:rPr>
      </w:pPr>
      <w:r>
        <w:rPr>
          <w:rFonts w:ascii="Times New Roman" w:cs="Times New Roman" w:eastAsia="Times New Roman" w:hAnsi="Times New Roman"/>
          <w:sz w:val="18"/>
          <w:szCs w:val="18"/>
          <w:color w:val="auto"/>
        </w:rPr>
        <w:t>18.3</w:t>
      </w:r>
      <w:r>
        <w:rPr>
          <w:sz w:val="20"/>
          <w:szCs w:val="20"/>
          <w:color w:val="auto"/>
        </w:rPr>
        <w:tab/>
      </w:r>
      <w:r>
        <w:rPr>
          <w:rFonts w:ascii="Times New Roman" w:cs="Times New Roman" w:eastAsia="Times New Roman" w:hAnsi="Times New Roman"/>
          <w:sz w:val="18"/>
          <w:szCs w:val="18"/>
          <w:color w:val="auto"/>
        </w:rPr>
        <w:t>In case of incapability to work due to illness or accident the payment of the fixed salary of clause 3.1 shall continue for 6 weeks, however, maximum until the end of the service relationship. There is no entitlement to variable remuneration, if any, for the time of the continued payment of salary. The continued payment of salary shall be less the sick benefits paid by the statutory health insurance because of this illness; if the Managing Director is not in the statutory health insurance, a hypothetical sick benefit paid by the statutory health insurance shall be deducted.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720" w:hanging="715"/>
        <w:spacing w:after="0" w:line="252" w:lineRule="auto"/>
        <w:tabs>
          <w:tab w:leader="none" w:pos="700" w:val="left"/>
        </w:tabs>
        <w:rPr>
          <w:sz w:val="20"/>
          <w:szCs w:val="20"/>
          <w:color w:val="auto"/>
        </w:rPr>
      </w:pPr>
      <w:r>
        <w:rPr>
          <w:rFonts w:ascii="Times New Roman" w:cs="Times New Roman" w:eastAsia="Times New Roman" w:hAnsi="Times New Roman"/>
          <w:sz w:val="18"/>
          <w:szCs w:val="18"/>
          <w:color w:val="auto"/>
        </w:rPr>
        <w:t>18.4</w:t>
      </w:r>
      <w:r>
        <w:rPr>
          <w:sz w:val="20"/>
          <w:szCs w:val="20"/>
          <w:color w:val="auto"/>
        </w:rPr>
        <w:tab/>
      </w:r>
      <w:r>
        <w:rPr>
          <w:rFonts w:ascii="Times New Roman" w:cs="Times New Roman" w:eastAsia="Times New Roman" w:hAnsi="Times New Roman"/>
          <w:sz w:val="18"/>
          <w:szCs w:val="18"/>
          <w:color w:val="auto"/>
        </w:rPr>
        <w:t>The Managing Director herewith assigns to the Company all claims against third parties due to the incapacity to work to the extent that these claims do not exceed the remuneration that the Managing Director receives during his incapacity to work.</w:t>
      </w:r>
    </w:p>
    <w:p>
      <w:pPr>
        <w:spacing w:after="0" w:line="183" w:lineRule="exact"/>
        <w:rPr>
          <w:sz w:val="20"/>
          <w:szCs w:val="20"/>
          <w:color w:val="auto"/>
        </w:rPr>
      </w:pPr>
    </w:p>
    <w:p>
      <w:pPr>
        <w:ind w:left="720" w:hanging="715"/>
        <w:spacing w:after="0"/>
        <w:tabs>
          <w:tab w:leader="none" w:pos="72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PLEDGING OF SALARY AND ASSIGNMENT</w:t>
      </w:r>
    </w:p>
    <w:p>
      <w:pPr>
        <w:spacing w:after="0" w:line="219" w:lineRule="exact"/>
        <w:rPr>
          <w:rFonts w:ascii="Times New Roman" w:cs="Times New Roman" w:eastAsia="Times New Roman" w:hAnsi="Times New Roman"/>
          <w:sz w:val="18"/>
          <w:szCs w:val="18"/>
          <w:b w:val="1"/>
          <w:bCs w:val="1"/>
          <w:color w:val="auto"/>
        </w:rPr>
      </w:pPr>
    </w:p>
    <w:p>
      <w:pPr>
        <w:ind w:left="720"/>
        <w:spacing w:after="0" w:line="27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Pledging or assignment of salary claims is permissible only with the Company's prior written consent.</w:t>
      </w:r>
    </w:p>
    <w:p>
      <w:pPr>
        <w:spacing w:after="0" w:line="373" w:lineRule="exact"/>
        <w:rPr>
          <w:rFonts w:ascii="Times New Roman" w:cs="Times New Roman" w:eastAsia="Times New Roman" w:hAnsi="Times New Roman"/>
          <w:sz w:val="18"/>
          <w:szCs w:val="18"/>
          <w:b w:val="1"/>
          <w:bCs w:val="1"/>
          <w:color w:val="auto"/>
        </w:rPr>
      </w:pPr>
    </w:p>
    <w:p>
      <w:pPr>
        <w:ind w:left="720" w:hanging="715"/>
        <w:spacing w:after="0" w:line="276" w:lineRule="auto"/>
        <w:tabs>
          <w:tab w:leader="none" w:pos="72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ADVANCE PAYMENTS, OVERPAYMENTS AND LOANS</w:t>
      </w:r>
    </w:p>
    <w:p>
      <w:pPr>
        <w:spacing w:after="0" w:line="162" w:lineRule="exact"/>
        <w:rPr>
          <w:sz w:val="20"/>
          <w:szCs w:val="20"/>
          <w:color w:val="auto"/>
        </w:rPr>
      </w:pPr>
    </w:p>
    <w:p>
      <w:pPr>
        <w:jc w:val="both"/>
        <w:ind w:left="720" w:hanging="715"/>
        <w:spacing w:after="0" w:line="265" w:lineRule="auto"/>
        <w:tabs>
          <w:tab w:leader="none" w:pos="700" w:val="left"/>
        </w:tabs>
        <w:rPr>
          <w:sz w:val="20"/>
          <w:szCs w:val="20"/>
          <w:color w:val="auto"/>
        </w:rPr>
      </w:pPr>
      <w:r>
        <w:rPr>
          <w:rFonts w:ascii="Times New Roman" w:cs="Times New Roman" w:eastAsia="Times New Roman" w:hAnsi="Times New Roman"/>
          <w:sz w:val="18"/>
          <w:szCs w:val="18"/>
          <w:color w:val="auto"/>
        </w:rPr>
        <w:t>20.1</w:t>
      </w:r>
      <w:r>
        <w:rPr>
          <w:sz w:val="20"/>
          <w:szCs w:val="20"/>
          <w:color w:val="auto"/>
        </w:rPr>
        <w:tab/>
      </w:r>
      <w:r>
        <w:rPr>
          <w:rFonts w:ascii="Times New Roman" w:cs="Times New Roman" w:eastAsia="Times New Roman" w:hAnsi="Times New Roman"/>
          <w:sz w:val="17"/>
          <w:szCs w:val="17"/>
          <w:color w:val="auto"/>
        </w:rPr>
        <w:t>Advances and overpayments for travel expenses, commissions, remuneration or similar, and loan of money awarded to the Managing Director by the Company mature immediately according to the remaining amount not repaid on the termination of Managing Director Agreement regardless of the agreements made by the time of granting, unless the Managing Director terminates the service relationship for severe cause due to grounds caused by the Company.</w:t>
      </w:r>
    </w:p>
    <w:p>
      <w:pPr>
        <w:spacing w:after="0" w:line="1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-4110355</wp:posOffset>
            </wp:positionH>
            <wp:positionV relativeFrom="paragraph">
              <wp:posOffset>81915</wp:posOffset>
            </wp:positionV>
            <wp:extent cx="713486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2">
            <w:col w:w="5754" w:space="720"/>
            <w:col w:w="4760"/>
          </w:cols>
          <w:pgMar w:left="326" w:top="559" w:right="339" w:bottom="1440" w:gutter="0" w:footer="0" w:header="0"/>
          <w:type w:val="continuous"/>
        </w:sectPr>
      </w:pPr>
    </w:p>
    <w:bookmarkStart w:id="117" w:name="page118"/>
    <w:bookmarkEnd w:id="117"/>
    <w:p>
      <w:pPr>
        <w:jc w:val="center"/>
        <w:ind w:right="6"/>
        <w:spacing w:after="0"/>
        <w:rPr>
          <w:sz w:val="20"/>
          <w:szCs w:val="20"/>
          <w:color w:val="auto"/>
        </w:rPr>
      </w:pPr>
      <w:r>
        <w:rPr>
          <w:rFonts w:ascii="Times New Roman" w:cs="Times New Roman" w:eastAsia="Times New Roman" w:hAnsi="Times New Roman"/>
          <w:sz w:val="21"/>
          <w:szCs w:val="21"/>
          <w:b w:val="1"/>
          <w:bCs w:val="1"/>
          <w:color w:val="auto"/>
        </w:rPr>
        <w:t>[Letterhead of Cohu GmbH]</w:t>
      </w:r>
    </w:p>
    <w:p>
      <w:pPr>
        <w:sectPr>
          <w:pgSz w:w="11900" w:h="16838" w:orient="portrait"/>
          <w:cols w:equalWidth="0" w:num="1">
            <w:col w:w="11234"/>
          </w:cols>
          <w:pgMar w:left="326" w:top="559" w:right="339" w:bottom="1440" w:gutter="0" w:footer="0" w:header="0"/>
        </w:sectPr>
      </w:pPr>
    </w:p>
    <w:p>
      <w:pPr>
        <w:spacing w:after="0" w:line="222" w:lineRule="exact"/>
        <w:rPr>
          <w:sz w:val="20"/>
          <w:szCs w:val="20"/>
          <w:color w:val="auto"/>
        </w:rPr>
      </w:pPr>
    </w:p>
    <w:p>
      <w:pPr>
        <w:jc w:val="both"/>
        <w:ind w:left="714" w:right="998" w:hanging="714"/>
        <w:spacing w:after="0" w:line="251" w:lineRule="auto"/>
        <w:tabs>
          <w:tab w:leader="none" w:pos="694" w:val="left"/>
        </w:tabs>
        <w:rPr>
          <w:sz w:val="20"/>
          <w:szCs w:val="20"/>
          <w:color w:val="auto"/>
        </w:rPr>
      </w:pPr>
      <w:r>
        <w:rPr>
          <w:rFonts w:ascii="Times New Roman" w:cs="Times New Roman" w:eastAsia="Times New Roman" w:hAnsi="Times New Roman"/>
          <w:sz w:val="18"/>
          <w:szCs w:val="18"/>
          <w:color w:val="auto"/>
        </w:rPr>
        <w:t>20.2</w:t>
      </w:r>
      <w:r>
        <w:rPr>
          <w:sz w:val="20"/>
          <w:szCs w:val="20"/>
          <w:color w:val="auto"/>
        </w:rPr>
        <w:tab/>
      </w:r>
      <w:r>
        <w:rPr>
          <w:rFonts w:ascii="Times New Roman" w:cs="Times New Roman" w:eastAsia="Times New Roman" w:hAnsi="Times New Roman"/>
          <w:sz w:val="18"/>
          <w:szCs w:val="18"/>
          <w:color w:val="auto"/>
        </w:rPr>
        <w:t>Der Geschäftsführer ist verpflichtet, etwaige Überzahlungen nach Ziffer 3 auch dann an die Gesellschaft zurückzuzahlen, wenn der Geschäftsführer diese Zahlungen bereits verbraucht hat. Der Einwand des Wegfalls der Bereicherung gemäß § 818 Abs. 3 BGB ist ausgeschlossen.</w:t>
      </w:r>
    </w:p>
    <w:p>
      <w:pPr>
        <w:spacing w:after="0" w:line="183" w:lineRule="exact"/>
        <w:rPr>
          <w:sz w:val="20"/>
          <w:szCs w:val="20"/>
          <w:color w:val="auto"/>
        </w:rPr>
      </w:pPr>
    </w:p>
    <w:p>
      <w:pPr>
        <w:ind w:left="714" w:hanging="714"/>
        <w:spacing w:after="0"/>
        <w:tabs>
          <w:tab w:leader="none" w:pos="714"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AUSSCHLUSS DES URKUNDENPROZESSES</w:t>
      </w:r>
    </w:p>
    <w:p>
      <w:pPr>
        <w:spacing w:after="0" w:line="200" w:lineRule="exact"/>
        <w:rPr>
          <w:rFonts w:ascii="Times New Roman" w:cs="Times New Roman" w:eastAsia="Times New Roman" w:hAnsi="Times New Roman"/>
          <w:sz w:val="18"/>
          <w:szCs w:val="18"/>
          <w:b w:val="1"/>
          <w:bCs w:val="1"/>
          <w:color w:val="auto"/>
        </w:rPr>
      </w:pPr>
    </w:p>
    <w:p>
      <w:pPr>
        <w:spacing w:after="0" w:line="231" w:lineRule="exact"/>
        <w:rPr>
          <w:rFonts w:ascii="Times New Roman" w:cs="Times New Roman" w:eastAsia="Times New Roman" w:hAnsi="Times New Roman"/>
          <w:sz w:val="18"/>
          <w:szCs w:val="18"/>
          <w:b w:val="1"/>
          <w:bCs w:val="1"/>
          <w:color w:val="auto"/>
        </w:rPr>
      </w:pPr>
    </w:p>
    <w:p>
      <w:pPr>
        <w:jc w:val="both"/>
        <w:ind w:left="714" w:right="998"/>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Keine der Parteien ist berechtigt, Ansprüche aus oder im Zusammenhang mit dem Dienstverhältnis im Wege des Urkundenprozesses gemäß §§ 592 ff. ZPO geltend zu machen.</w:t>
      </w:r>
    </w:p>
    <w:p>
      <w:pPr>
        <w:spacing w:after="0" w:line="178" w:lineRule="exact"/>
        <w:rPr>
          <w:rFonts w:ascii="Times New Roman" w:cs="Times New Roman" w:eastAsia="Times New Roman" w:hAnsi="Times New Roman"/>
          <w:sz w:val="18"/>
          <w:szCs w:val="18"/>
          <w:b w:val="1"/>
          <w:bCs w:val="1"/>
          <w:color w:val="auto"/>
        </w:rPr>
      </w:pPr>
    </w:p>
    <w:p>
      <w:pPr>
        <w:ind w:left="714" w:hanging="714"/>
        <w:spacing w:after="0"/>
        <w:tabs>
          <w:tab w:leader="none" w:pos="714"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KEINE NEBENABREDEN</w:t>
      </w:r>
    </w:p>
    <w:p>
      <w:pPr>
        <w:spacing w:after="0" w:line="219" w:lineRule="exact"/>
        <w:rPr>
          <w:sz w:val="20"/>
          <w:szCs w:val="20"/>
          <w:color w:val="auto"/>
        </w:rPr>
      </w:pPr>
    </w:p>
    <w:p>
      <w:pPr>
        <w:jc w:val="both"/>
        <w:ind w:left="714" w:right="998" w:hanging="714"/>
        <w:spacing w:after="0" w:line="248" w:lineRule="auto"/>
        <w:tabs>
          <w:tab w:leader="none" w:pos="694" w:val="left"/>
        </w:tabs>
        <w:rPr>
          <w:sz w:val="20"/>
          <w:szCs w:val="20"/>
          <w:color w:val="auto"/>
        </w:rPr>
      </w:pPr>
      <w:r>
        <w:rPr>
          <w:rFonts w:ascii="Times New Roman" w:cs="Times New Roman" w:eastAsia="Times New Roman" w:hAnsi="Times New Roman"/>
          <w:sz w:val="18"/>
          <w:szCs w:val="18"/>
          <w:color w:val="auto"/>
        </w:rPr>
        <w:t>22.1</w:t>
      </w:r>
      <w:r>
        <w:rPr>
          <w:sz w:val="20"/>
          <w:szCs w:val="20"/>
          <w:color w:val="auto"/>
        </w:rPr>
        <w:tab/>
      </w:r>
      <w:r>
        <w:rPr>
          <w:rFonts w:ascii="Times New Roman" w:cs="Times New Roman" w:eastAsia="Times New Roman" w:hAnsi="Times New Roman"/>
          <w:sz w:val="18"/>
          <w:szCs w:val="18"/>
          <w:color w:val="auto"/>
        </w:rPr>
        <w:t>Dieser Geschäftsführervertrag ersetzt sämtliche bisherigen Vereinbarungen zwischen den Parteien oder zwischen dem Geschäftsführer und Verbundenen Unternehmen zum Anstellungsverhältnis oder mit der Beschäftigung des Geschäftsführers im Zusammenhang stehende Vereinbarungen. Sämtliche bisherigen möglicherweise zwischen den Parteien oder mit Verbundenen Unternehmen bestehende Dienst- oder Arbeitsverhältnisse werden hiermit aufgehoben.</w:t>
      </w:r>
    </w:p>
    <w:p>
      <w:pPr>
        <w:spacing w:after="0" w:line="2" w:lineRule="exact"/>
        <w:rPr>
          <w:sz w:val="20"/>
          <w:szCs w:val="20"/>
          <w:color w:val="auto"/>
        </w:rPr>
      </w:pPr>
    </w:p>
    <w:p>
      <w:pPr>
        <w:jc w:val="both"/>
        <w:ind w:left="714" w:right="998"/>
        <w:spacing w:after="0" w:line="246" w:lineRule="auto"/>
        <w:rPr>
          <w:sz w:val="20"/>
          <w:szCs w:val="20"/>
          <w:color w:val="auto"/>
        </w:rPr>
      </w:pPr>
      <w:r>
        <w:rPr>
          <w:rFonts w:ascii="Times New Roman" w:cs="Times New Roman" w:eastAsia="Times New Roman" w:hAnsi="Times New Roman"/>
          <w:sz w:val="18"/>
          <w:szCs w:val="18"/>
          <w:color w:val="auto"/>
        </w:rPr>
        <w:t>Die gilt nicht für folgende Vereinbarungen: (a) 2024 Executive Management Compensation Summary zwischen der Cohu, Inc. und dem Geschäftsführer, unterzeichnet vom Geschäftsführer am 27. März 2024; und (b) von der Cohu, Inc. gewährte Aktienzuteilungsvereinbarungen, die auf dem E*trade-Konto des Geschäftsführers ausgewiesen sind.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335280</wp:posOffset>
            </wp:positionV>
            <wp:extent cx="7134860" cy="165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jc w:val="both"/>
        <w:ind w:left="722" w:hanging="715"/>
        <w:spacing w:after="0" w:line="251" w:lineRule="auto"/>
        <w:tabs>
          <w:tab w:leader="none" w:pos="701" w:val="left"/>
        </w:tabs>
        <w:rPr>
          <w:sz w:val="20"/>
          <w:szCs w:val="20"/>
          <w:color w:val="auto"/>
        </w:rPr>
      </w:pPr>
      <w:r>
        <w:rPr>
          <w:rFonts w:ascii="Times New Roman" w:cs="Times New Roman" w:eastAsia="Times New Roman" w:hAnsi="Times New Roman"/>
          <w:sz w:val="18"/>
          <w:szCs w:val="18"/>
          <w:color w:val="auto"/>
        </w:rPr>
        <w:t>20.2</w:t>
      </w:r>
      <w:r>
        <w:rPr>
          <w:sz w:val="20"/>
          <w:szCs w:val="20"/>
          <w:color w:val="auto"/>
        </w:rPr>
        <w:tab/>
      </w:r>
      <w:r>
        <w:rPr>
          <w:rFonts w:ascii="Times New Roman" w:cs="Times New Roman" w:eastAsia="Times New Roman" w:hAnsi="Times New Roman"/>
          <w:sz w:val="18"/>
          <w:szCs w:val="18"/>
          <w:color w:val="auto"/>
        </w:rPr>
        <w:t>The Managing Director shall pay back to the Company any overpayments according to clause 3, even if the Managing Director has already spent these amounts. The defence to claim the omission of enrichment provided under Section 818 para. 3 of the German Civil Code is excluded.</w:t>
      </w:r>
    </w:p>
    <w:p>
      <w:pPr>
        <w:spacing w:after="0" w:line="183" w:lineRule="exact"/>
        <w:rPr>
          <w:sz w:val="20"/>
          <w:szCs w:val="20"/>
          <w:color w:val="auto"/>
        </w:rPr>
      </w:pPr>
    </w:p>
    <w:p>
      <w:pPr>
        <w:ind w:left="722" w:hanging="722"/>
        <w:spacing w:after="0" w:line="276" w:lineRule="auto"/>
        <w:tabs>
          <w:tab w:leader="none" w:pos="722"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EXCLUSION OF PROCEDURE ONLY USING DOCUMENTARY EVIDENCE</w:t>
      </w:r>
    </w:p>
    <w:p>
      <w:pPr>
        <w:spacing w:after="0" w:line="161" w:lineRule="exact"/>
        <w:rPr>
          <w:rFonts w:ascii="Times New Roman" w:cs="Times New Roman" w:eastAsia="Times New Roman" w:hAnsi="Times New Roman"/>
          <w:sz w:val="18"/>
          <w:szCs w:val="18"/>
          <w:b w:val="1"/>
          <w:bCs w:val="1"/>
          <w:color w:val="auto"/>
        </w:rPr>
      </w:pPr>
    </w:p>
    <w:p>
      <w:pPr>
        <w:jc w:val="both"/>
        <w:ind w:left="722"/>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Neither party is entitled to assert claims arising from or in connection with the service relationship by way of documentary proceedings pursuant to Sec. 592 et seq. ZPO (German Code of Civil Procedure).</w:t>
      </w:r>
    </w:p>
    <w:p>
      <w:pPr>
        <w:spacing w:after="0" w:line="178" w:lineRule="exact"/>
        <w:rPr>
          <w:rFonts w:ascii="Times New Roman" w:cs="Times New Roman" w:eastAsia="Times New Roman" w:hAnsi="Times New Roman"/>
          <w:sz w:val="18"/>
          <w:szCs w:val="18"/>
          <w:b w:val="1"/>
          <w:bCs w:val="1"/>
          <w:color w:val="auto"/>
        </w:rPr>
      </w:pPr>
    </w:p>
    <w:p>
      <w:pPr>
        <w:ind w:left="722" w:hanging="722"/>
        <w:spacing w:after="0"/>
        <w:tabs>
          <w:tab w:leader="none" w:pos="722"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SIDE AGREEMENTS</w:t>
      </w:r>
    </w:p>
    <w:p>
      <w:pPr>
        <w:spacing w:after="0" w:line="219" w:lineRule="exact"/>
        <w:rPr>
          <w:sz w:val="20"/>
          <w:szCs w:val="20"/>
          <w:color w:val="auto"/>
        </w:rPr>
      </w:pPr>
    </w:p>
    <w:p>
      <w:pPr>
        <w:jc w:val="both"/>
        <w:ind w:left="722" w:hanging="715"/>
        <w:spacing w:after="0" w:line="247" w:lineRule="auto"/>
        <w:tabs>
          <w:tab w:leader="none" w:pos="701" w:val="left"/>
        </w:tabs>
        <w:rPr>
          <w:sz w:val="20"/>
          <w:szCs w:val="20"/>
          <w:color w:val="auto"/>
        </w:rPr>
      </w:pPr>
      <w:r>
        <w:rPr>
          <w:rFonts w:ascii="Times New Roman" w:cs="Times New Roman" w:eastAsia="Times New Roman" w:hAnsi="Times New Roman"/>
          <w:sz w:val="18"/>
          <w:szCs w:val="18"/>
          <w:color w:val="auto"/>
        </w:rPr>
        <w:t>22.1</w:t>
      </w:r>
      <w:r>
        <w:rPr>
          <w:sz w:val="20"/>
          <w:szCs w:val="20"/>
          <w:color w:val="auto"/>
        </w:rPr>
        <w:tab/>
      </w:r>
      <w:r>
        <w:rPr>
          <w:rFonts w:ascii="Times New Roman" w:cs="Times New Roman" w:eastAsia="Times New Roman" w:hAnsi="Times New Roman"/>
          <w:sz w:val="18"/>
          <w:szCs w:val="18"/>
          <w:color w:val="auto"/>
        </w:rPr>
        <w:t>This Managing Director Agreement shall replace all previous agreements between the parties or between the Managing Director and Affiliated Companies regarding the service relationship or agreements related to the service relationship of the Managing Director. Any previous service or employment agreements existing between the Parties and with an Affiliated Company shall be terminated. As an express exception, the following agreements shall remain in full force and effect: (a) 2024 Executive Management Compensation Summary between Cohu, Inc. and the Managing Director, signed by Managing Director on 27 March 2024; and (b) stock award agreements granted by Cohu Inc. and reflected in Managing Director’s E*trade account.</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2">
            <w:col w:w="5772" w:space="720"/>
            <w:col w:w="4742"/>
          </w:cols>
          <w:pgMar w:left="326" w:top="559" w:right="339" w:bottom="1440" w:gutter="0" w:footer="0" w:header="0"/>
          <w:type w:val="continuous"/>
        </w:sectPr>
      </w:pPr>
    </w:p>
    <w:bookmarkStart w:id="118" w:name="page119"/>
    <w:bookmarkEnd w:id="118"/>
    <w:p>
      <w:pPr>
        <w:jc w:val="center"/>
        <w:ind w:right="6"/>
        <w:spacing w:after="0"/>
        <w:rPr>
          <w:sz w:val="20"/>
          <w:szCs w:val="20"/>
          <w:color w:val="auto"/>
        </w:rPr>
      </w:pPr>
      <w:r>
        <w:rPr>
          <w:rFonts w:ascii="Times New Roman" w:cs="Times New Roman" w:eastAsia="Times New Roman" w:hAnsi="Times New Roman"/>
          <w:sz w:val="21"/>
          <w:szCs w:val="21"/>
          <w:b w:val="1"/>
          <w:bCs w:val="1"/>
          <w:color w:val="auto"/>
        </w:rPr>
        <w:t>[Letterhead of Cohu GmbH]</w:t>
      </w:r>
    </w:p>
    <w:p>
      <w:pPr>
        <w:sectPr>
          <w:pgSz w:w="11900" w:h="16838" w:orient="portrait"/>
          <w:cols w:equalWidth="0" w:num="1">
            <w:col w:w="11234"/>
          </w:cols>
          <w:pgMar w:left="326" w:top="559" w:right="339" w:bottom="1440" w:gutter="0" w:footer="0" w:header="0"/>
        </w:sectPr>
      </w:pPr>
    </w:p>
    <w:p>
      <w:pPr>
        <w:spacing w:after="0" w:line="222" w:lineRule="exact"/>
        <w:rPr>
          <w:sz w:val="20"/>
          <w:szCs w:val="20"/>
          <w:color w:val="auto"/>
        </w:rPr>
      </w:pPr>
    </w:p>
    <w:p>
      <w:pPr>
        <w:jc w:val="both"/>
        <w:ind w:left="714" w:right="985" w:hanging="714"/>
        <w:spacing w:after="0" w:line="252" w:lineRule="auto"/>
        <w:tabs>
          <w:tab w:leader="none" w:pos="694" w:val="left"/>
        </w:tabs>
        <w:rPr>
          <w:sz w:val="20"/>
          <w:szCs w:val="20"/>
          <w:color w:val="auto"/>
        </w:rPr>
      </w:pPr>
      <w:r>
        <w:rPr>
          <w:rFonts w:ascii="Times New Roman" w:cs="Times New Roman" w:eastAsia="Times New Roman" w:hAnsi="Times New Roman"/>
          <w:sz w:val="18"/>
          <w:szCs w:val="18"/>
          <w:color w:val="auto"/>
        </w:rPr>
        <w:t>22.2</w:t>
      </w:r>
      <w:r>
        <w:rPr>
          <w:sz w:val="20"/>
          <w:szCs w:val="20"/>
          <w:color w:val="auto"/>
        </w:rPr>
        <w:tab/>
      </w:r>
      <w:r>
        <w:rPr>
          <w:rFonts w:ascii="Times New Roman" w:cs="Times New Roman" w:eastAsia="Times New Roman" w:hAnsi="Times New Roman"/>
          <w:sz w:val="18"/>
          <w:szCs w:val="18"/>
          <w:color w:val="auto"/>
        </w:rPr>
        <w:t>Darüber hinaus verlieren auch sämtliche dem Geschäftsführer bisher von der Gesellschaft oder einem Verbundenen Unternehmen erteilten Vollmachten, insbesondere die Generalvollmacht vom 23. Mai 2017, ihre Wirkung.</w:t>
      </w:r>
    </w:p>
    <w:p>
      <w:pPr>
        <w:spacing w:after="0" w:line="183" w:lineRule="exact"/>
        <w:rPr>
          <w:sz w:val="20"/>
          <w:szCs w:val="20"/>
          <w:color w:val="auto"/>
        </w:rPr>
      </w:pPr>
    </w:p>
    <w:p>
      <w:pPr>
        <w:ind w:left="714" w:hanging="714"/>
        <w:spacing w:after="0"/>
        <w:tabs>
          <w:tab w:leader="none" w:pos="714"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SCHLUSSBESTIMMUNGEN</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jc w:val="both"/>
        <w:ind w:left="715" w:hanging="715"/>
        <w:spacing w:after="0" w:line="255" w:lineRule="auto"/>
        <w:tabs>
          <w:tab w:leader="none" w:pos="694" w:val="left"/>
        </w:tabs>
        <w:rPr>
          <w:sz w:val="20"/>
          <w:szCs w:val="20"/>
          <w:color w:val="auto"/>
        </w:rPr>
      </w:pPr>
      <w:r>
        <w:rPr>
          <w:rFonts w:ascii="Times New Roman" w:cs="Times New Roman" w:eastAsia="Times New Roman" w:hAnsi="Times New Roman"/>
          <w:sz w:val="18"/>
          <w:szCs w:val="18"/>
          <w:color w:val="auto"/>
        </w:rPr>
        <w:t>22.2</w:t>
      </w:r>
      <w:r>
        <w:rPr>
          <w:sz w:val="20"/>
          <w:szCs w:val="20"/>
          <w:color w:val="auto"/>
        </w:rPr>
        <w:tab/>
      </w:r>
      <w:r>
        <w:rPr>
          <w:rFonts w:ascii="Times New Roman" w:cs="Times New Roman" w:eastAsia="Times New Roman" w:hAnsi="Times New Roman"/>
          <w:sz w:val="18"/>
          <w:szCs w:val="18"/>
          <w:color w:val="auto"/>
        </w:rPr>
        <w:t>In addition, all powers of attorney previously granted to the Managing Director by the Company or an Affiliated Company, in particular the general power of attorney dated 23 May 2017, shall also cease to have effect.</w:t>
      </w:r>
    </w:p>
    <w:p>
      <w:pPr>
        <w:spacing w:after="0" w:line="390" w:lineRule="exact"/>
        <w:rPr>
          <w:sz w:val="20"/>
          <w:szCs w:val="20"/>
          <w:color w:val="auto"/>
        </w:rPr>
      </w:pPr>
    </w:p>
    <w:p>
      <w:pPr>
        <w:ind w:left="715" w:hanging="715"/>
        <w:spacing w:after="0"/>
        <w:tabs>
          <w:tab w:leader="none" w:pos="715"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FINAL PROVISIONS</w:t>
      </w:r>
    </w:p>
    <w:p>
      <w:pPr>
        <w:spacing w:after="0" w:line="200" w:lineRule="exact"/>
        <w:rPr>
          <w:sz w:val="20"/>
          <w:szCs w:val="20"/>
          <w:color w:val="auto"/>
        </w:rPr>
      </w:pPr>
    </w:p>
    <w:p>
      <w:pPr>
        <w:sectPr>
          <w:pgSz w:w="11900" w:h="16838" w:orient="portrait"/>
          <w:cols w:equalWidth="0" w:num="2">
            <w:col w:w="5759" w:space="720"/>
            <w:col w:w="4755"/>
          </w:cols>
          <w:pgMar w:left="326" w:top="559" w:right="339" w:bottom="1440" w:gutter="0" w:footer="0" w:header="0"/>
          <w:type w:val="continuous"/>
        </w:sectPr>
      </w:pPr>
    </w:p>
    <w:p>
      <w:pPr>
        <w:spacing w:after="0" w:line="19" w:lineRule="exact"/>
        <w:rPr>
          <w:sz w:val="20"/>
          <w:szCs w:val="20"/>
          <w:color w:val="auto"/>
        </w:rPr>
      </w:pPr>
    </w:p>
    <w:p>
      <w:pPr>
        <w:jc w:val="both"/>
        <w:ind w:left="714" w:right="985"/>
        <w:spacing w:after="0" w:line="250" w:lineRule="auto"/>
        <w:rPr>
          <w:sz w:val="20"/>
          <w:szCs w:val="20"/>
          <w:color w:val="auto"/>
        </w:rPr>
      </w:pPr>
      <w:r>
        <w:rPr>
          <w:rFonts w:ascii="Times New Roman" w:cs="Times New Roman" w:eastAsia="Times New Roman" w:hAnsi="Times New Roman"/>
          <w:sz w:val="18"/>
          <w:szCs w:val="18"/>
          <w:color w:val="auto"/>
        </w:rPr>
        <w:t>Soweit in diesem Geschäftsführervertrag Ansprüche oder Pflichten des Geschäftsführers gegenüber Verbundenen Unternehmen oder Ansprüche oder Pflichten von Verbundenen Unternehmen gegenüber dem Geschäftsführer geregelt werden, handelt die Gesellschaft im Einverständnis dieser Verbundenen Unternehmen.</w:t>
      </w:r>
    </w:p>
    <w:p>
      <w:pPr>
        <w:spacing w:after="0" w:line="187" w:lineRule="exact"/>
        <w:rPr>
          <w:sz w:val="20"/>
          <w:szCs w:val="20"/>
          <w:color w:val="auto"/>
        </w:rPr>
      </w:pPr>
    </w:p>
    <w:p>
      <w:pPr>
        <w:jc w:val="both"/>
        <w:ind w:left="714" w:right="985" w:hanging="714"/>
        <w:spacing w:after="0" w:line="252" w:lineRule="auto"/>
        <w:tabs>
          <w:tab w:leader="none" w:pos="694"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8"/>
          <w:szCs w:val="18"/>
          <w:color w:val="auto"/>
        </w:rPr>
        <w:t>Änderungen und Ergänzungen dieses Geschäftsführervertrages bedürfen zu ihrer Wirksamkeit der Schriftform. Das gilt auch für die Änderung dieser Klausel. Mündliche Nebenabreden sind nichtig. § 305b BGB bleibt unberührt.</w:t>
      </w:r>
    </w:p>
    <w:p>
      <w:pPr>
        <w:spacing w:after="0" w:line="185" w:lineRule="exact"/>
        <w:rPr>
          <w:sz w:val="20"/>
          <w:szCs w:val="20"/>
          <w:color w:val="auto"/>
        </w:rPr>
      </w:pPr>
    </w:p>
    <w:p>
      <w:pPr>
        <w:jc w:val="both"/>
        <w:ind w:left="714" w:right="985" w:hanging="714"/>
        <w:spacing w:after="0" w:line="265" w:lineRule="auto"/>
        <w:tabs>
          <w:tab w:leader="none" w:pos="694" w:val="left"/>
        </w:tabs>
        <w:rPr>
          <w:sz w:val="20"/>
          <w:szCs w:val="20"/>
          <w:color w:val="auto"/>
        </w:rPr>
      </w:pPr>
      <w:r>
        <w:rPr>
          <w:rFonts w:ascii="Times New Roman" w:cs="Times New Roman" w:eastAsia="Times New Roman" w:hAnsi="Times New Roman"/>
          <w:sz w:val="18"/>
          <w:szCs w:val="18"/>
          <w:color w:val="auto"/>
        </w:rPr>
        <w:t>23.3</w:t>
      </w:r>
      <w:r>
        <w:rPr>
          <w:sz w:val="20"/>
          <w:szCs w:val="20"/>
          <w:color w:val="auto"/>
        </w:rPr>
        <w:tab/>
      </w:r>
      <w:r>
        <w:rPr>
          <w:rFonts w:ascii="Times New Roman" w:cs="Times New Roman" w:eastAsia="Times New Roman" w:hAnsi="Times New Roman"/>
          <w:sz w:val="17"/>
          <w:szCs w:val="17"/>
          <w:color w:val="auto"/>
        </w:rPr>
        <w:t>Sollte eine Bestimmung dieses Geschäftsführervertrages unwirksam sein oder werden, so wird die Wirksamkeit der übrigen Bestimmungen dadurch nicht berührt. Die Parteien sind im Falle einer unwirksamen Bestimmung verpflichtet, über eine wirksame und zumutbare Ersatzregelung zu verhandeln, die dem von den Parteien mit der unwirksamen Bestimmung verfolgten wirtschaftlichen Zweck möglichst nahekommt. Dies gilt entsprechend, wenn sich eine Lücke in diesem Geschäftsführervertrag herausstellt.</w:t>
      </w:r>
    </w:p>
    <w:p>
      <w:pPr>
        <w:spacing w:after="0" w:line="387" w:lineRule="exact"/>
        <w:rPr>
          <w:sz w:val="20"/>
          <w:szCs w:val="20"/>
          <w:color w:val="auto"/>
        </w:rPr>
      </w:pPr>
    </w:p>
    <w:p>
      <w:pPr>
        <w:ind w:left="714" w:right="985" w:hanging="714"/>
        <w:spacing w:after="0" w:line="276" w:lineRule="auto"/>
        <w:tabs>
          <w:tab w:leader="none" w:pos="714"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ANWENDBARES RECHT, MASSGEBLICHE FASSUNG</w:t>
      </w:r>
    </w:p>
    <w:p>
      <w:pPr>
        <w:spacing w:after="0" w:line="161" w:lineRule="exact"/>
        <w:rPr>
          <w:rFonts w:ascii="Times New Roman" w:cs="Times New Roman" w:eastAsia="Times New Roman" w:hAnsi="Times New Roman"/>
          <w:sz w:val="18"/>
          <w:szCs w:val="18"/>
          <w:b w:val="1"/>
          <w:bCs w:val="1"/>
          <w:color w:val="auto"/>
        </w:rPr>
      </w:pPr>
    </w:p>
    <w:p>
      <w:pPr>
        <w:ind w:left="71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Dieser  Geschäftsführervertrag  unterliegt  deutschem</w:t>
      </w:r>
    </w:p>
    <w:p>
      <w:pPr>
        <w:spacing w:after="0" w:line="24" w:lineRule="exact"/>
        <w:rPr>
          <w:rFonts w:ascii="Times New Roman" w:cs="Times New Roman" w:eastAsia="Times New Roman" w:hAnsi="Times New Roman"/>
          <w:sz w:val="18"/>
          <w:szCs w:val="18"/>
          <w:b w:val="1"/>
          <w:bCs w:val="1"/>
          <w:color w:val="auto"/>
        </w:rPr>
      </w:pPr>
    </w:p>
    <w:p>
      <w:pPr>
        <w:ind w:left="714" w:right="985"/>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Recht. Die deutsche Fassung dieses Geschäftsführervertrags ist maßgeblich.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330200</wp:posOffset>
            </wp:positionV>
            <wp:extent cx="713486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715" w:hanging="715"/>
        <w:spacing w:after="0" w:line="251" w:lineRule="auto"/>
        <w:tabs>
          <w:tab w:leader="none" w:pos="694"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8"/>
          <w:szCs w:val="18"/>
          <w:color w:val="auto"/>
        </w:rPr>
        <w:t>To the extent that any claims or obligations of the Managing Director towards Affiliated Companies or claims or obligations of the Affiliated Companies towards the Managing Director art subject to this Managing Director Agreement the Company acts with the consent of these Affiliated Companies.</w:t>
      </w:r>
    </w:p>
    <w:p>
      <w:pPr>
        <w:spacing w:after="0" w:line="397" w:lineRule="exact"/>
        <w:rPr>
          <w:sz w:val="20"/>
          <w:szCs w:val="20"/>
          <w:color w:val="auto"/>
        </w:rPr>
      </w:pPr>
    </w:p>
    <w:p>
      <w:pPr>
        <w:jc w:val="both"/>
        <w:ind w:left="715" w:hanging="715"/>
        <w:spacing w:after="0" w:line="257" w:lineRule="auto"/>
        <w:tabs>
          <w:tab w:leader="none" w:pos="694"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8"/>
          <w:szCs w:val="18"/>
          <w:color w:val="auto"/>
        </w:rPr>
        <w:t>Any amendments or additions to this Agreement must be in writing. This shall also apply to any change in this</w:t>
      </w:r>
    </w:p>
    <w:p>
      <w:pPr>
        <w:jc w:val="both"/>
        <w:ind w:left="715"/>
        <w:spacing w:after="0" w:line="251" w:lineRule="auto"/>
        <w:rPr>
          <w:sz w:val="20"/>
          <w:szCs w:val="20"/>
          <w:color w:val="auto"/>
        </w:rPr>
      </w:pPr>
      <w:r>
        <w:rPr>
          <w:rFonts w:ascii="Times New Roman" w:cs="Times New Roman" w:eastAsia="Times New Roman" w:hAnsi="Times New Roman"/>
          <w:sz w:val="18"/>
          <w:szCs w:val="18"/>
          <w:color w:val="auto"/>
        </w:rPr>
        <w:t>provision. Oral agreements are void. Section 305b German Civil Code shall remain unaffected.</w:t>
      </w:r>
    </w:p>
    <w:p>
      <w:pPr>
        <w:spacing w:after="0" w:line="396" w:lineRule="exact"/>
        <w:rPr>
          <w:sz w:val="20"/>
          <w:szCs w:val="20"/>
          <w:color w:val="auto"/>
        </w:rPr>
      </w:pPr>
    </w:p>
    <w:p>
      <w:pPr>
        <w:jc w:val="both"/>
        <w:ind w:left="715" w:hanging="715"/>
        <w:spacing w:after="0" w:line="249" w:lineRule="auto"/>
        <w:tabs>
          <w:tab w:leader="none" w:pos="694" w:val="left"/>
        </w:tabs>
        <w:rPr>
          <w:sz w:val="20"/>
          <w:szCs w:val="20"/>
          <w:color w:val="auto"/>
        </w:rPr>
      </w:pPr>
      <w:r>
        <w:rPr>
          <w:rFonts w:ascii="Times New Roman" w:cs="Times New Roman" w:eastAsia="Times New Roman" w:hAnsi="Times New Roman"/>
          <w:sz w:val="18"/>
          <w:szCs w:val="18"/>
          <w:color w:val="auto"/>
        </w:rPr>
        <w:t>23.3</w:t>
      </w:r>
      <w:r>
        <w:rPr>
          <w:sz w:val="20"/>
          <w:szCs w:val="20"/>
          <w:color w:val="auto"/>
        </w:rPr>
        <w:tab/>
      </w:r>
      <w:r>
        <w:rPr>
          <w:rFonts w:ascii="Times New Roman" w:cs="Times New Roman" w:eastAsia="Times New Roman" w:hAnsi="Times New Roman"/>
          <w:sz w:val="18"/>
          <w:szCs w:val="18"/>
          <w:color w:val="auto"/>
        </w:rPr>
        <w:t>Should any provision of this Managing Director Agreement be or become void, the validity of the other provisions will not be affected thereby. In the event of an invalid provision, the parties shall be obliged to negotiate a valid and reasonable substitute provision which comes as close as possible to the economic purpose the parties had pursued with the invalid provision. This shall apply accordingly if a gap in this Agreement becomes apparent.</w:t>
      </w:r>
    </w:p>
    <w:p>
      <w:pPr>
        <w:spacing w:after="0" w:line="397" w:lineRule="exact"/>
        <w:rPr>
          <w:sz w:val="20"/>
          <w:szCs w:val="20"/>
          <w:color w:val="auto"/>
        </w:rPr>
      </w:pPr>
    </w:p>
    <w:p>
      <w:pPr>
        <w:ind w:left="715" w:hanging="715"/>
        <w:spacing w:after="0"/>
        <w:tabs>
          <w:tab w:leader="none" w:pos="715" w:val="left"/>
        </w:tabs>
        <w:numPr>
          <w:ilvl w:val="0"/>
          <w:numId w:val="7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GOVERNING LAW, AUTHORITATIVE VERSION</w:t>
      </w:r>
    </w:p>
    <w:p>
      <w:pPr>
        <w:spacing w:after="0" w:line="200" w:lineRule="exact"/>
        <w:rPr>
          <w:rFonts w:ascii="Times New Roman" w:cs="Times New Roman" w:eastAsia="Times New Roman" w:hAnsi="Times New Roman"/>
          <w:sz w:val="17"/>
          <w:szCs w:val="17"/>
          <w:b w:val="1"/>
          <w:bCs w:val="1"/>
          <w:color w:val="auto"/>
        </w:rPr>
      </w:pPr>
    </w:p>
    <w:p>
      <w:pPr>
        <w:spacing w:after="0" w:line="242" w:lineRule="exact"/>
        <w:rPr>
          <w:rFonts w:ascii="Times New Roman" w:cs="Times New Roman" w:eastAsia="Times New Roman" w:hAnsi="Times New Roman"/>
          <w:sz w:val="17"/>
          <w:szCs w:val="17"/>
          <w:b w:val="1"/>
          <w:bCs w:val="1"/>
          <w:color w:val="auto"/>
        </w:rPr>
      </w:pPr>
    </w:p>
    <w:p>
      <w:pPr>
        <w:jc w:val="both"/>
        <w:ind w:left="715"/>
        <w:spacing w:after="0" w:line="25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German law shall apply to this Managing Director Agreement. The German version of this Managing Director Agreement shall be the authoritative version.</w:t>
      </w:r>
    </w:p>
    <w:p>
      <w:pPr>
        <w:spacing w:after="0" w:line="178" w:lineRule="exact"/>
        <w:rPr>
          <w:sz w:val="20"/>
          <w:szCs w:val="20"/>
          <w:color w:val="auto"/>
        </w:rPr>
      </w:pPr>
    </w:p>
    <w:p>
      <w:pPr>
        <w:ind w:left="4575"/>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2">
            <w:col w:w="5759" w:space="720"/>
            <w:col w:w="4755"/>
          </w:cols>
          <w:pgMar w:left="326" w:top="559" w:right="339" w:bottom="1440" w:gutter="0" w:footer="0" w:header="0"/>
          <w:type w:val="continuous"/>
        </w:sectPr>
      </w:pPr>
    </w:p>
    <w:bookmarkStart w:id="119" w:name="page120"/>
    <w:bookmarkEnd w:id="119"/>
    <w:p>
      <w:pPr>
        <w:jc w:val="center"/>
        <w:spacing w:after="0"/>
        <w:rPr>
          <w:sz w:val="20"/>
          <w:szCs w:val="20"/>
          <w:color w:val="auto"/>
        </w:rPr>
      </w:pPr>
      <w:r>
        <w:rPr>
          <w:rFonts w:ascii="Times New Roman" w:cs="Times New Roman" w:eastAsia="Times New Roman" w:hAnsi="Times New Roman"/>
          <w:sz w:val="21"/>
          <w:szCs w:val="21"/>
          <w:b w:val="1"/>
          <w:bCs w:val="1"/>
          <w:color w:val="auto"/>
        </w:rPr>
        <w:t>[Letterhead of Cohu GmbH]</w:t>
      </w:r>
    </w:p>
    <w:p>
      <w:pPr>
        <w:sectPr>
          <w:pgSz w:w="11900" w:h="16838" w:orient="portrait"/>
          <w:cols w:equalWidth="0" w:num="1">
            <w:col w:w="11240"/>
          </w:cols>
          <w:pgMar w:left="320" w:top="559" w:right="339" w:bottom="1440" w:gutter="0" w:footer="0" w:header="0"/>
        </w:sectPr>
      </w:pPr>
    </w:p>
    <w:p>
      <w:pPr>
        <w:spacing w:after="0" w:line="222" w:lineRule="exact"/>
        <w:rPr>
          <w:sz w:val="20"/>
          <w:szCs w:val="20"/>
          <w:color w:val="auto"/>
        </w:rPr>
      </w:pPr>
    </w:p>
    <w:p>
      <w:pPr>
        <w:ind w:right="1840"/>
        <w:spacing w:after="0" w:line="304" w:lineRule="auto"/>
        <w:rPr>
          <w:sz w:val="20"/>
          <w:szCs w:val="20"/>
          <w:color w:val="auto"/>
        </w:rPr>
      </w:pPr>
      <w:r>
        <w:rPr>
          <w:rFonts w:ascii="Times New Roman" w:cs="Times New Roman" w:eastAsia="Times New Roman" w:hAnsi="Times New Roman"/>
          <w:sz w:val="17"/>
          <w:szCs w:val="17"/>
          <w:color w:val="auto"/>
        </w:rPr>
        <w:t>_____________________________________ Ort/Place, Datum/Date</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Ort/Place, Datum/Date</w:t>
      </w:r>
    </w:p>
    <w:p>
      <w:pPr>
        <w:spacing w:after="0" w:line="197" w:lineRule="exact"/>
        <w:rPr>
          <w:sz w:val="20"/>
          <w:szCs w:val="20"/>
          <w:color w:val="auto"/>
        </w:rPr>
      </w:pPr>
    </w:p>
    <w:p>
      <w:pPr>
        <w:sectPr>
          <w:pgSz w:w="11900" w:h="16838" w:orient="portrait"/>
          <w:cols w:equalWidth="0" w:num="2">
            <w:col w:w="5120" w:space="720"/>
            <w:col w:w="5400"/>
          </w:cols>
          <w:pgMar w:left="320" w:top="559"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 Jones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als Vertreter der Gesellschafterversammlung der Cohu GmbH / as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representative of the shareholder meeting of Cohu GmbH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_____________________________________</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Klaus Ilgenfritz</w:t>
      </w:r>
    </w:p>
    <w:p>
      <w:pPr>
        <w:spacing w:after="0" w:line="624" w:lineRule="exact"/>
        <w:rPr>
          <w:sz w:val="20"/>
          <w:szCs w:val="20"/>
          <w:color w:val="auto"/>
        </w:rPr>
      </w:pPr>
    </w:p>
    <w:p>
      <w:pPr>
        <w:sectPr>
          <w:pgSz w:w="11900" w:h="16838" w:orient="portrait"/>
          <w:cols w:equalWidth="0" w:num="2">
            <w:col w:w="5120" w:space="720"/>
            <w:col w:w="5400"/>
          </w:cols>
          <w:pgMar w:left="320" w:top="559" w:right="339" w:bottom="1440" w:gutter="0" w:footer="0" w:header="0"/>
          <w:type w:val="continuous"/>
        </w:sectPr>
      </w:pPr>
    </w:p>
    <w:p>
      <w:pPr>
        <w:spacing w:after="0" w:line="200" w:lineRule="exact"/>
        <w:rPr>
          <w:sz w:val="20"/>
          <w:szCs w:val="20"/>
          <w:color w:val="auto"/>
        </w:rPr>
      </w:pPr>
    </w:p>
    <w:p>
      <w:pPr>
        <w:spacing w:after="0" w:line="2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Der Geschäftsführer bestätigt mit der Unterschrift, eine vollständige Ausführung dieses Geschäftsführervertrages erhalten zu haben, die von beiden Parteien im Original unterschrieben wurde.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Managing Director hereby confirms by signature that the Managing Director has received a complete execution of this Managing Director Agreement that has been signed by both parties with original signatures.</w:t>
      </w:r>
    </w:p>
    <w:p>
      <w:pPr>
        <w:spacing w:after="0" w:line="1" w:lineRule="exact"/>
        <w:rPr>
          <w:sz w:val="20"/>
          <w:szCs w:val="20"/>
          <w:color w:val="auto"/>
        </w:rPr>
      </w:pPr>
    </w:p>
    <w:p>
      <w:pPr>
        <w:sectPr>
          <w:pgSz w:w="11900" w:h="16838" w:orient="portrait"/>
          <w:cols w:equalWidth="0" w:num="2">
            <w:col w:w="5520" w:space="320"/>
            <w:col w:w="5400"/>
          </w:cols>
          <w:pgMar w:left="320" w:top="559" w:right="339" w:bottom="1440" w:gutter="0" w:footer="0" w:header="0"/>
          <w:type w:val="continuous"/>
        </w:sectPr>
      </w:pPr>
    </w:p>
    <w:p>
      <w:pPr>
        <w:ind w:left="4000"/>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Ort/Place, Datum/Date</w:t>
      </w:r>
    </w:p>
    <w:p>
      <w:pPr>
        <w:spacing w:after="0" w:line="5"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Klaus Ilgenfritz</w:t>
      </w:r>
    </w:p>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559" w:right="339" w:bottom="1440" w:gutter="0" w:footer="0" w:header="0"/>
          <w:type w:val="continuous"/>
        </w:sectPr>
      </w:pPr>
    </w:p>
    <w:bookmarkStart w:id="120" w:name="page121"/>
    <w:bookmarkEnd w:id="12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 xml:space="preserve">ERGÄNZUNGSVERTRAG </w:t>
      </w:r>
      <w:r>
        <w:rPr>
          <w:rFonts w:ascii="Times New Roman" w:cs="Times New Roman" w:eastAsia="Times New Roman" w:hAnsi="Times New Roman"/>
          <w:sz w:val="12"/>
          <w:szCs w:val="12"/>
          <w:b w:val="1"/>
          <w:bCs w:val="1"/>
          <w:color w:val="auto"/>
        </w:rPr>
        <w:t>1</w:t>
      </w:r>
      <w:r>
        <w:rPr>
          <w:rFonts w:ascii="Times New Roman" w:cs="Times New Roman" w:eastAsia="Times New Roman" w:hAnsi="Times New Roman"/>
          <w:sz w:val="18"/>
          <w:szCs w:val="18"/>
          <w:b w:val="1"/>
          <w:bCs w:val="1"/>
          <w:color w:val="auto"/>
        </w:rPr>
        <w:t xml:space="preserve"> ZUM</w:t>
      </w:r>
    </w:p>
    <w:p>
      <w:pPr>
        <w:spacing w:after="0" w:line="26"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GESCHÄFTSFÜHRERDIENSTVERTRAG</w:t>
      </w:r>
    </w:p>
    <w:p>
      <w:pPr>
        <w:spacing w:after="0" w:line="19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zwischen der</w:t>
      </w:r>
    </w:p>
    <w:p>
      <w:pPr>
        <w:spacing w:after="0" w:line="215"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Cohu GmbH</w:t>
      </w:r>
    </w:p>
    <w:p>
      <w:pPr>
        <w:spacing w:after="0" w:line="26"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8"/>
          <w:szCs w:val="18"/>
          <w:color w:val="auto"/>
        </w:rPr>
        <w:t>Geiglsteinstr. 6</w:t>
      </w:r>
    </w:p>
    <w:p>
      <w:pPr>
        <w:spacing w:after="0" w:line="5"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8"/>
          <w:szCs w:val="18"/>
          <w:color w:val="auto"/>
        </w:rPr>
        <w:t>83059 Kolbermorr</w:t>
      </w:r>
    </w:p>
    <w:p>
      <w:pPr>
        <w:spacing w:after="0" w:line="196"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("Gesellschaft")</w:t>
      </w:r>
    </w:p>
    <w:p>
      <w:pPr>
        <w:spacing w:after="0" w:line="2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und</w:t>
      </w:r>
    </w:p>
    <w:p>
      <w:pPr>
        <w:spacing w:after="0" w:line="196"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Klaus Ilgenfritz</w:t>
      </w:r>
    </w:p>
    <w:p>
      <w:pPr>
        <w:spacing w:after="0" w:line="26"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8"/>
          <w:szCs w:val="18"/>
          <w:color w:val="auto"/>
        </w:rPr>
        <w:t>Innstr. 12</w:t>
      </w:r>
    </w:p>
    <w:p>
      <w:pPr>
        <w:spacing w:after="0" w:line="5"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8"/>
          <w:szCs w:val="18"/>
          <w:color w:val="auto"/>
        </w:rPr>
        <w:t>83126 Flintsbach</w:t>
      </w:r>
    </w:p>
    <w:p>
      <w:pPr>
        <w:spacing w:after="0" w:line="1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"Gesch</w:t>
      </w:r>
      <w:r>
        <w:rPr>
          <w:rFonts w:ascii="Times New Roman" w:cs="Times New Roman" w:eastAsia="Times New Roman" w:hAnsi="Times New Roman"/>
          <w:sz w:val="18"/>
          <w:szCs w:val="18"/>
          <w:color w:val="auto"/>
        </w:rPr>
        <w:t>ä</w:t>
      </w:r>
      <w:r>
        <w:rPr>
          <w:rFonts w:ascii="Times New Roman" w:cs="Times New Roman" w:eastAsia="Times New Roman" w:hAnsi="Times New Roman"/>
          <w:sz w:val="18"/>
          <w:szCs w:val="18"/>
          <w:b w:val="1"/>
          <w:bCs w:val="1"/>
          <w:color w:val="auto"/>
        </w:rPr>
        <w:t>ftsf</w:t>
      </w:r>
      <w:r>
        <w:rPr>
          <w:rFonts w:ascii="Times New Roman" w:cs="Times New Roman" w:eastAsia="Times New Roman" w:hAnsi="Times New Roman"/>
          <w:sz w:val="18"/>
          <w:szCs w:val="18"/>
          <w:color w:val="auto"/>
        </w:rPr>
        <w:t>ü</w:t>
      </w:r>
      <w:r>
        <w:rPr>
          <w:rFonts w:ascii="Times New Roman" w:cs="Times New Roman" w:eastAsia="Times New Roman" w:hAnsi="Times New Roman"/>
          <w:sz w:val="18"/>
          <w:szCs w:val="18"/>
          <w:b w:val="1"/>
          <w:bCs w:val="1"/>
          <w:color w:val="auto"/>
        </w:rPr>
        <w:t>hrer"</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Präambel</w:t>
      </w:r>
    </w:p>
    <w:p>
      <w:pPr>
        <w:spacing w:after="0" w:line="219" w:lineRule="exact"/>
        <w:rPr>
          <w:sz w:val="20"/>
          <w:szCs w:val="20"/>
          <w:color w:val="auto"/>
        </w:rPr>
      </w:pPr>
    </w:p>
    <w:p>
      <w:pPr>
        <w:jc w:val="both"/>
        <w:ind w:left="800" w:right="1860"/>
        <w:spacing w:after="0" w:line="250" w:lineRule="auto"/>
        <w:rPr>
          <w:sz w:val="20"/>
          <w:szCs w:val="20"/>
          <w:color w:val="auto"/>
        </w:rPr>
      </w:pPr>
      <w:r>
        <w:rPr>
          <w:rFonts w:ascii="Times New Roman" w:cs="Times New Roman" w:eastAsia="Times New Roman" w:hAnsi="Times New Roman"/>
          <w:sz w:val="18"/>
          <w:szCs w:val="18"/>
          <w:color w:val="auto"/>
        </w:rPr>
        <w:t>Die Muttergesellschaft der Gesellschaft, Cohu, Inc. („</w:t>
      </w:r>
      <w:r>
        <w:rPr>
          <w:rFonts w:ascii="Times New Roman" w:cs="Times New Roman" w:eastAsia="Times New Roman" w:hAnsi="Times New Roman"/>
          <w:sz w:val="18"/>
          <w:szCs w:val="18"/>
          <w:b w:val="1"/>
          <w:bCs w:val="1"/>
          <w:color w:val="auto"/>
        </w:rPr>
        <w:t>Cohu</w:t>
      </w:r>
      <w:r>
        <w:rPr>
          <w:rFonts w:ascii="Times New Roman" w:cs="Times New Roman" w:eastAsia="Times New Roman" w:hAnsi="Times New Roman"/>
          <w:sz w:val="18"/>
          <w:szCs w:val="18"/>
          <w:color w:val="auto"/>
        </w:rPr>
        <w:t>“), hat ein Change of Control-Programm eingeführt, um ausgewählte Personen dazu zu motivieren, Wachstum für Aktionäre zu erreichen und gleichzeitig das fortgesetzte Engagement und die Objektivität bestimmter wichtiger Leistungsträger, wie z.B. des Geschäftsführers, sicherzustellen</w:t>
      </w:r>
    </w:p>
    <w:p>
      <w:pPr>
        <w:spacing w:after="0" w:line="18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Vor diesem Hintergrund schließen die Parteien den</w:t>
      </w:r>
    </w:p>
    <w:p>
      <w:pPr>
        <w:spacing w:after="0" w:line="24" w:lineRule="exact"/>
        <w:rPr>
          <w:sz w:val="20"/>
          <w:szCs w:val="20"/>
          <w:color w:val="auto"/>
        </w:rPr>
      </w:pPr>
    </w:p>
    <w:p>
      <w:pPr>
        <w:jc w:val="both"/>
        <w:ind w:left="800" w:right="1860"/>
        <w:spacing w:after="0" w:line="246" w:lineRule="auto"/>
        <w:rPr>
          <w:sz w:val="20"/>
          <w:szCs w:val="20"/>
          <w:color w:val="auto"/>
        </w:rPr>
      </w:pPr>
      <w:r>
        <w:rPr>
          <w:rFonts w:ascii="Times New Roman" w:cs="Times New Roman" w:eastAsia="Times New Roman" w:hAnsi="Times New Roman"/>
          <w:sz w:val="18"/>
          <w:szCs w:val="18"/>
          <w:color w:val="auto"/>
        </w:rPr>
        <w:t>folgenden geänderte und neu gefasste Ergänzungsvertrag (der „</w:t>
      </w:r>
      <w:r>
        <w:rPr>
          <w:rFonts w:ascii="Times New Roman" w:cs="Times New Roman" w:eastAsia="Times New Roman" w:hAnsi="Times New Roman"/>
          <w:sz w:val="18"/>
          <w:szCs w:val="18"/>
          <w:b w:val="1"/>
          <w:bCs w:val="1"/>
          <w:color w:val="auto"/>
        </w:rPr>
        <w:t>Erg</w:t>
      </w:r>
      <w:r>
        <w:rPr>
          <w:rFonts w:ascii="Times New Roman" w:cs="Times New Roman" w:eastAsia="Times New Roman" w:hAnsi="Times New Roman"/>
          <w:sz w:val="18"/>
          <w:szCs w:val="18"/>
          <w:color w:val="auto"/>
        </w:rPr>
        <w:t>ä</w:t>
      </w:r>
      <w:r>
        <w:rPr>
          <w:rFonts w:ascii="Times New Roman" w:cs="Times New Roman" w:eastAsia="Times New Roman" w:hAnsi="Times New Roman"/>
          <w:sz w:val="18"/>
          <w:szCs w:val="18"/>
          <w:b w:val="1"/>
          <w:bCs w:val="1"/>
          <w:color w:val="auto"/>
        </w:rPr>
        <w:t>nzungsvertrag</w:t>
      </w:r>
      <w:r>
        <w:rPr>
          <w:rFonts w:ascii="Times New Roman" w:cs="Times New Roman" w:eastAsia="Times New Roman" w:hAnsi="Times New Roman"/>
          <w:sz w:val="18"/>
          <w:szCs w:val="18"/>
          <w:color w:val="auto"/>
        </w:rPr>
        <w:t>“) zum Geschäftsführer-Dienstvertrag, der am 13 November 2024 zwischen dem Geschäftsführer und der Gesellschaft abgeschlossen wurde (der „</w:t>
      </w:r>
      <w:r>
        <w:rPr>
          <w:rFonts w:ascii="Times New Roman" w:cs="Times New Roman" w:eastAsia="Times New Roman" w:hAnsi="Times New Roman"/>
          <w:sz w:val="18"/>
          <w:szCs w:val="18"/>
          <w:b w:val="1"/>
          <w:bCs w:val="1"/>
          <w:color w:val="auto"/>
        </w:rPr>
        <w:t>GF-Vertrag</w:t>
      </w:r>
      <w:r>
        <w:rPr>
          <w:rFonts w:ascii="Times New Roman" w:cs="Times New Roman" w:eastAsia="Times New Roman" w:hAnsi="Times New Roman"/>
          <w:sz w:val="18"/>
          <w:szCs w:val="18"/>
          <w:color w:val="auto"/>
        </w:rPr>
        <w:t>“), ab</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Incorporated in Traunstein, Germany</w:t>
      </w:r>
    </w:p>
    <w:p>
      <w:pPr>
        <w:spacing w:after="0" w:line="218" w:lineRule="auto"/>
        <w:rPr>
          <w:sz w:val="20"/>
          <w:szCs w:val="20"/>
          <w:color w:val="auto"/>
        </w:rPr>
      </w:pPr>
      <w:r>
        <w:rPr>
          <w:rFonts w:ascii="Times New Roman" w:cs="Times New Roman" w:eastAsia="Times New Roman" w:hAnsi="Times New Roman"/>
          <w:sz w:val="14"/>
          <w:szCs w:val="14"/>
          <w:color w:val="auto"/>
        </w:rPr>
        <w:t>HRB 15878</w:t>
      </w:r>
    </w:p>
    <w:p>
      <w:pPr>
        <w:spacing w:after="0" w:line="217" w:lineRule="auto"/>
        <w:rPr>
          <w:sz w:val="20"/>
          <w:szCs w:val="20"/>
          <w:color w:val="auto"/>
        </w:rPr>
      </w:pPr>
      <w:r>
        <w:rPr>
          <w:rFonts w:ascii="Times New Roman" w:cs="Times New Roman" w:eastAsia="Times New Roman" w:hAnsi="Times New Roman"/>
          <w:sz w:val="14"/>
          <w:szCs w:val="14"/>
          <w:color w:val="auto"/>
        </w:rPr>
        <w:t>VAT ID-No. DE 186 892 081</w:t>
      </w:r>
    </w:p>
    <w:p>
      <w:pPr>
        <w:spacing w:after="0" w:line="217" w:lineRule="auto"/>
        <w:rPr>
          <w:sz w:val="20"/>
          <w:szCs w:val="20"/>
          <w:color w:val="auto"/>
        </w:rPr>
      </w:pPr>
      <w:r>
        <w:rPr>
          <w:rFonts w:ascii="Times New Roman" w:cs="Times New Roman" w:eastAsia="Times New Roman" w:hAnsi="Times New Roman"/>
          <w:sz w:val="14"/>
          <w:szCs w:val="14"/>
          <w:color w:val="auto"/>
        </w:rPr>
        <w:t>WEEE-Ref-No. DE 41206780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Managing Directors: Jeffrey D. Jones, Klaus IIgenfritz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591820</wp:posOffset>
            </wp:positionV>
            <wp:extent cx="7134860" cy="165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984250</wp:posOffset>
            </wp:positionH>
            <wp:positionV relativeFrom="paragraph">
              <wp:posOffset>150495</wp:posOffset>
            </wp:positionV>
            <wp:extent cx="1506220" cy="386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0">
                      <a:extLst>
                        <a:ext uri="{28A0092B-C50C-407E-A947-70E740481C1C}"/>
                      </a:extLst>
                    </a:blip>
                    <a:srcRect/>
                    <a:stretch>
                      <a:fillRect/>
                    </a:stretch>
                  </pic:blipFill>
                  <pic:spPr bwMode="auto">
                    <a:xfrm>
                      <a:off x="0" y="0"/>
                      <a:ext cx="1506220" cy="386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ADDENDUM </w:t>
      </w:r>
      <w:r>
        <w:rPr>
          <w:rFonts w:ascii="Times New Roman" w:cs="Times New Roman" w:eastAsia="Times New Roman" w:hAnsi="Times New Roman"/>
          <w:sz w:val="12"/>
          <w:szCs w:val="12"/>
          <w:b w:val="1"/>
          <w:bCs w:val="1"/>
          <w:color w:val="auto"/>
        </w:rPr>
        <w:t>1</w:t>
      </w:r>
      <w:r>
        <w:rPr>
          <w:rFonts w:ascii="Times New Roman" w:cs="Times New Roman" w:eastAsia="Times New Roman" w:hAnsi="Times New Roman"/>
          <w:sz w:val="18"/>
          <w:szCs w:val="18"/>
          <w:b w:val="1"/>
          <w:bCs w:val="1"/>
          <w:color w:val="auto"/>
        </w:rPr>
        <w:t xml:space="preserve"> TO MANAGING DIRECTOR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SERVICE AGREEMENT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between</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Cohu GmbH</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Geiglsteinstr. 6</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83059 Kolbermorr</w:t>
      </w:r>
    </w:p>
    <w:p>
      <w:pPr>
        <w:spacing w:after="0" w:line="19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Klaus Ilgenfritz</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Innstr. 12</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83126 Flintsbach</w:t>
      </w:r>
    </w:p>
    <w:p>
      <w:pPr>
        <w:spacing w:after="0" w:line="19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"Managing Director"</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Preamble</w:t>
      </w:r>
    </w:p>
    <w:p>
      <w:pPr>
        <w:spacing w:after="0" w:line="2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Company’s ultimate parent company, Cohu, Inc. (“</w:t>
      </w:r>
      <w:r>
        <w:rPr>
          <w:rFonts w:ascii="Times New Roman" w:cs="Times New Roman" w:eastAsia="Times New Roman" w:hAnsi="Times New Roman"/>
          <w:sz w:val="18"/>
          <w:szCs w:val="18"/>
          <w:b w:val="1"/>
          <w:bCs w:val="1"/>
          <w:color w:val="auto"/>
        </w:rPr>
        <w:t>Cohu</w:t>
      </w:r>
      <w:r>
        <w:rPr>
          <w:rFonts w:ascii="Times New Roman" w:cs="Times New Roman" w:eastAsia="Times New Roman" w:hAnsi="Times New Roman"/>
          <w:sz w:val="18"/>
          <w:szCs w:val="18"/>
          <w:color w:val="auto"/>
        </w:rPr>
        <w:t>”), implemented a change in control scheme as an incentive for certain individuals to drive value to shareholders while ensuring the continued dedication and objectivity of certain key contributors, such as Managing Director.</w:t>
      </w:r>
    </w:p>
    <w:p>
      <w:pPr>
        <w:spacing w:after="0" w:line="39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Against this background, the parties conclude the following amended and restated addendum which replaces the version originally signed on November 13, 2024 (“</w:t>
      </w:r>
      <w:r>
        <w:rPr>
          <w:rFonts w:ascii="Times New Roman" w:cs="Times New Roman" w:eastAsia="Times New Roman" w:hAnsi="Times New Roman"/>
          <w:sz w:val="18"/>
          <w:szCs w:val="18"/>
          <w:b w:val="1"/>
          <w:bCs w:val="1"/>
          <w:color w:val="auto"/>
        </w:rPr>
        <w:t>Addendum</w:t>
      </w:r>
      <w:r>
        <w:rPr>
          <w:rFonts w:ascii="Times New Roman" w:cs="Times New Roman" w:eastAsia="Times New Roman" w:hAnsi="Times New Roman"/>
          <w:sz w:val="18"/>
          <w:szCs w:val="18"/>
          <w:color w:val="auto"/>
        </w:rPr>
        <w:t>”) to the Managing Director Services Agreement executed by and between Managing Director and Company on November 13, 2024 (“</w:t>
      </w:r>
      <w:r>
        <w:rPr>
          <w:rFonts w:ascii="Times New Roman" w:cs="Times New Roman" w:eastAsia="Times New Roman" w:hAnsi="Times New Roman"/>
          <w:sz w:val="18"/>
          <w:szCs w:val="18"/>
          <w:b w:val="1"/>
          <w:bCs w:val="1"/>
          <w:color w:val="auto"/>
        </w:rPr>
        <w:t>MD Agreement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Cohu GmbH</w:t>
      </w:r>
    </w:p>
    <w:p>
      <w:pPr>
        <w:jc w:val="right"/>
        <w:spacing w:after="0" w:line="218" w:lineRule="auto"/>
        <w:rPr>
          <w:sz w:val="20"/>
          <w:szCs w:val="20"/>
          <w:color w:val="auto"/>
        </w:rPr>
      </w:pPr>
      <w:r>
        <w:rPr>
          <w:rFonts w:ascii="Times New Roman" w:cs="Times New Roman" w:eastAsia="Times New Roman" w:hAnsi="Times New Roman"/>
          <w:sz w:val="14"/>
          <w:szCs w:val="14"/>
          <w:color w:val="auto"/>
        </w:rPr>
        <w:t>Geigelsteinstr.6</w:t>
      </w:r>
    </w:p>
    <w:p>
      <w:pPr>
        <w:jc w:val="right"/>
        <w:spacing w:after="0" w:line="217" w:lineRule="auto"/>
        <w:rPr>
          <w:sz w:val="20"/>
          <w:szCs w:val="20"/>
          <w:color w:val="auto"/>
        </w:rPr>
      </w:pPr>
      <w:r>
        <w:rPr>
          <w:rFonts w:ascii="Times New Roman" w:cs="Times New Roman" w:eastAsia="Times New Roman" w:hAnsi="Times New Roman"/>
          <w:sz w:val="14"/>
          <w:szCs w:val="14"/>
          <w:color w:val="auto"/>
        </w:rPr>
        <w:t>83059 Kolbermoor</w:t>
      </w:r>
    </w:p>
    <w:p>
      <w:pPr>
        <w:jc w:val="right"/>
        <w:spacing w:after="0" w:line="217" w:lineRule="auto"/>
        <w:rPr>
          <w:sz w:val="20"/>
          <w:szCs w:val="20"/>
          <w:color w:val="auto"/>
        </w:rPr>
      </w:pPr>
      <w:r>
        <w:rPr>
          <w:rFonts w:ascii="Times New Roman" w:cs="Times New Roman" w:eastAsia="Times New Roman" w:hAnsi="Times New Roman"/>
          <w:sz w:val="14"/>
          <w:szCs w:val="14"/>
          <w:color w:val="auto"/>
        </w:rPr>
        <w:t>Germany</w:t>
      </w:r>
    </w:p>
    <w:p>
      <w:pPr>
        <w:jc w:val="right"/>
        <w:spacing w:after="0" w:line="218" w:lineRule="auto"/>
        <w:rPr>
          <w:sz w:val="20"/>
          <w:szCs w:val="20"/>
          <w:color w:val="auto"/>
        </w:rPr>
      </w:pPr>
      <w:r>
        <w:rPr>
          <w:rFonts w:ascii="Times New Roman" w:cs="Times New Roman" w:eastAsia="Times New Roman" w:hAnsi="Times New Roman"/>
          <w:sz w:val="14"/>
          <w:szCs w:val="14"/>
          <w:color w:val="auto"/>
        </w:rPr>
        <w:t>Phone: +49 8031 2337-0</w:t>
      </w:r>
    </w:p>
    <w:p>
      <w:pPr>
        <w:jc w:val="right"/>
        <w:spacing w:after="0"/>
        <w:rPr>
          <w:sz w:val="20"/>
          <w:szCs w:val="20"/>
          <w:color w:val="auto"/>
        </w:rPr>
      </w:pPr>
      <w:r>
        <w:rPr>
          <w:rFonts w:ascii="Times New Roman" w:cs="Times New Roman" w:eastAsia="Times New Roman" w:hAnsi="Times New Roman"/>
          <w:sz w:val="14"/>
          <w:szCs w:val="14"/>
          <w:color w:val="auto"/>
        </w:rPr>
        <w:t>www.cohu.com</w:t>
      </w:r>
    </w:p>
    <w:p>
      <w:pPr>
        <w:sectPr>
          <w:pgSz w:w="11900" w:h="16838" w:orient="portrait"/>
          <w:cols w:equalWidth="0" w:num="2">
            <w:col w:w="6600" w:space="720"/>
            <w:col w:w="3920"/>
          </w:cols>
          <w:pgMar w:left="320" w:top="119" w:right="339" w:bottom="1440" w:gutter="0" w:footer="0" w:header="0"/>
        </w:sectPr>
      </w:pPr>
    </w:p>
    <w:bookmarkStart w:id="121" w:name="page122"/>
    <w:bookmarkEnd w:id="121"/>
    <w:p>
      <w:pPr>
        <w:ind w:left="800" w:hanging="794"/>
        <w:spacing w:after="0"/>
        <w:tabs>
          <w:tab w:leader="none" w:pos="80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LAUFZEIT</w:t>
      </w:r>
    </w:p>
    <w:p>
      <w:pPr>
        <w:spacing w:after="0" w:line="21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Dieser Ergänzungsvertrags beginnt am 9 Dezember</w:t>
      </w:r>
    </w:p>
    <w:p>
      <w:pPr>
        <w:spacing w:after="0" w:line="24" w:lineRule="exact"/>
        <w:rPr>
          <w:sz w:val="20"/>
          <w:szCs w:val="20"/>
          <w:color w:val="auto"/>
        </w:rPr>
      </w:pPr>
    </w:p>
    <w:p>
      <w:pPr>
        <w:jc w:val="both"/>
        <w:ind w:left="800" w:right="1078"/>
        <w:spacing w:after="0" w:line="246" w:lineRule="auto"/>
        <w:rPr>
          <w:sz w:val="20"/>
          <w:szCs w:val="20"/>
          <w:color w:val="auto"/>
        </w:rPr>
      </w:pPr>
      <w:r>
        <w:rPr>
          <w:rFonts w:ascii="Times New Roman" w:cs="Times New Roman" w:eastAsia="Times New Roman" w:hAnsi="Times New Roman"/>
          <w:sz w:val="18"/>
          <w:szCs w:val="18"/>
          <w:color w:val="auto"/>
        </w:rPr>
        <w:t>2024 (der „</w:t>
      </w:r>
      <w:r>
        <w:rPr>
          <w:rFonts w:ascii="Times New Roman" w:cs="Times New Roman" w:eastAsia="Times New Roman" w:hAnsi="Times New Roman"/>
          <w:sz w:val="18"/>
          <w:szCs w:val="18"/>
          <w:b w:val="1"/>
          <w:bCs w:val="1"/>
          <w:color w:val="auto"/>
        </w:rPr>
        <w:t>Laufzeitbeginn</w:t>
      </w:r>
      <w:r>
        <w:rPr>
          <w:rFonts w:ascii="Times New Roman" w:cs="Times New Roman" w:eastAsia="Times New Roman" w:hAnsi="Times New Roman"/>
          <w:sz w:val="18"/>
          <w:szCs w:val="18"/>
          <w:color w:val="auto"/>
        </w:rPr>
        <w:t>“) und dauert bis zum dritten (3.) Jahrestag des Laufzeitbeginns (die „</w:t>
      </w:r>
      <w:r>
        <w:rPr>
          <w:rFonts w:ascii="Times New Roman" w:cs="Times New Roman" w:eastAsia="Times New Roman" w:hAnsi="Times New Roman"/>
          <w:sz w:val="18"/>
          <w:szCs w:val="18"/>
          <w:b w:val="1"/>
          <w:bCs w:val="1"/>
          <w:color w:val="auto"/>
        </w:rPr>
        <w:t>anfängliche Laufzeit</w:t>
      </w:r>
      <w:r>
        <w:rPr>
          <w:rFonts w:ascii="Times New Roman" w:cs="Times New Roman" w:eastAsia="Times New Roman" w:hAnsi="Times New Roman"/>
          <w:sz w:val="18"/>
          <w:szCs w:val="18"/>
          <w:color w:val="auto"/>
        </w:rPr>
        <w:t>“). Die anfängliche Laufzeit verlängert sich automatisch um aufeinanderfolgende Zeiträume von zwei (2) Jahren (jeweils eine „</w:t>
      </w:r>
      <w:r>
        <w:rPr>
          <w:rFonts w:ascii="Times New Roman" w:cs="Times New Roman" w:eastAsia="Times New Roman" w:hAnsi="Times New Roman"/>
          <w:sz w:val="18"/>
          <w:szCs w:val="18"/>
          <w:b w:val="1"/>
          <w:bCs w:val="1"/>
          <w:color w:val="auto"/>
        </w:rPr>
        <w:t>Verlängerungslaufzeit</w:t>
      </w:r>
      <w:r>
        <w:rPr>
          <w:rFonts w:ascii="Times New Roman" w:cs="Times New Roman" w:eastAsia="Times New Roman" w:hAnsi="Times New Roman"/>
          <w:sz w:val="18"/>
          <w:szCs w:val="18"/>
          <w:color w:val="auto"/>
        </w:rPr>
        <w:t>“ und zusammen mit der anfänglichen Laufzeit und jeder solchen Verlängerungslaufzeit die „</w:t>
      </w:r>
      <w:r>
        <w:rPr>
          <w:rFonts w:ascii="Times New Roman" w:cs="Times New Roman" w:eastAsia="Times New Roman" w:hAnsi="Times New Roman"/>
          <w:sz w:val="18"/>
          <w:szCs w:val="18"/>
          <w:b w:val="1"/>
          <w:bCs w:val="1"/>
          <w:color w:val="auto"/>
        </w:rPr>
        <w:t>Laufzeit</w:t>
      </w:r>
      <w:r>
        <w:rPr>
          <w:rFonts w:ascii="Times New Roman" w:cs="Times New Roman" w:eastAsia="Times New Roman" w:hAnsi="Times New Roman"/>
          <w:sz w:val="18"/>
          <w:szCs w:val="18"/>
          <w:color w:val="auto"/>
        </w:rPr>
        <w:t>“), es sei denn, eine der Parteien hat gegenüber der anderen Partei spätestens sechs (6) Monate vor Ablauf der jeweiligen Laufzeit schriftlich erklärt, dass dieser Ergänzungsvertrag nicht verlängert wird</w:t>
      </w:r>
    </w:p>
    <w:p>
      <w:pPr>
        <w:spacing w:after="0" w:line="191" w:lineRule="exact"/>
        <w:rPr>
          <w:sz w:val="20"/>
          <w:szCs w:val="20"/>
          <w:color w:val="auto"/>
        </w:rPr>
      </w:pPr>
    </w:p>
    <w:p>
      <w:pPr>
        <w:jc w:val="both"/>
        <w:ind w:left="800" w:right="1078" w:hanging="794"/>
        <w:spacing w:after="0" w:line="262" w:lineRule="auto"/>
        <w:tabs>
          <w:tab w:leader="none" w:pos="78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Wenn die Gesellschaft dem Geschäftsführer jedoch eine solche schriftliche Mitteilung zustellt, nachdem die Gesellschaft eine finale Vereinbarung in Bezug auf eine Transaktion getroffen hat, die, wenn sie vollzogen wird, zu einem Change of Control Event führen würde, dann läuft die jeweilige Laufzeit frühestens zwölf (12) Monate nach dem Datum dieser finalen Vereinbarung ab. Um Zweifel auszuschließen, sei darauf hingewiesen, dass weder das Auslaufen dieses Ergänzungsvertrags gemäß seinen Bedingungen noch die Nichtverlängerung dieses Ergänzungsvertrags an sich eine Beendigung der Dienstleistungen oder einen Grund für eine Kündigung aus Gutem Grund darstellen. Sofern in diesem Ergänzungsvertrag nichts anderes bestimmt ist, gilt Folgendes: Wenn die Dienste des Geschäftsführers für die Gesellschaft während der dann gültigen Laufzeit aufgrund einer Qualifizierenden Kündigung beendet wurden oder der Geschäftsführer die Gesellschaft schriftlich über ein erstmaliges Ereignis informiert hat, das einen Guten Grund darstellen würde, endet dieser Ergänzungsvertrag erst, wenn dem Geschäftsführer alle Zahlungen und Leistungen gemäß diesem Ergänzungsvertrag gewährt wurden.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479425</wp:posOffset>
            </wp:positionV>
            <wp:extent cx="713486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782" w:hanging="782"/>
        <w:spacing w:after="0"/>
        <w:tabs>
          <w:tab w:leader="none" w:pos="782"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-664845</wp:posOffset>
            </wp:positionV>
            <wp:extent cx="958850" cy="260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2">
                      <a:extLst>
                        <a:ext uri="{28A0092B-C50C-407E-A947-70E740481C1C}"/>
                      </a:extLst>
                    </a:blip>
                    <a:srcRect/>
                    <a:stretch>
                      <a:fillRect/>
                    </a:stretch>
                  </pic:blipFill>
                  <pic:spPr bwMode="auto">
                    <a:xfrm>
                      <a:off x="0" y="0"/>
                      <a:ext cx="958850" cy="260985"/>
                    </a:xfrm>
                    <a:prstGeom prst="rect">
                      <a:avLst/>
                    </a:prstGeom>
                    <a:noFill/>
                  </pic:spPr>
                </pic:pic>
              </a:graphicData>
            </a:graphic>
          </wp:anchor>
        </w:drawing>
      </w:r>
    </w:p>
    <w:p>
      <w:pPr>
        <w:spacing w:after="0" w:line="199" w:lineRule="exact"/>
        <w:rPr>
          <w:sz w:val="20"/>
          <w:szCs w:val="20"/>
          <w:color w:val="auto"/>
        </w:rPr>
      </w:pPr>
    </w:p>
    <w:p>
      <w:pPr>
        <w:jc w:val="both"/>
        <w:ind w:left="782" w:hanging="781"/>
        <w:spacing w:after="0" w:line="248" w:lineRule="auto"/>
        <w:tabs>
          <w:tab w:leader="none" w:pos="761"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The terms and conditions of this Addendum shall have a term commencing as of December 9, 2024 (the “Effective Date”) and continuing until the third (3rd) anniversary thereof (the “</w:t>
      </w:r>
      <w:r>
        <w:rPr>
          <w:rFonts w:ascii="Times New Roman" w:cs="Times New Roman" w:eastAsia="Times New Roman" w:hAnsi="Times New Roman"/>
          <w:sz w:val="18"/>
          <w:szCs w:val="18"/>
          <w:b w:val="1"/>
          <w:bCs w:val="1"/>
          <w:color w:val="auto"/>
        </w:rPr>
        <w:t>Initial Term</w:t>
      </w:r>
      <w:r>
        <w:rPr>
          <w:rFonts w:ascii="Times New Roman" w:cs="Times New Roman" w:eastAsia="Times New Roman" w:hAnsi="Times New Roman"/>
          <w:sz w:val="18"/>
          <w:szCs w:val="18"/>
          <w:color w:val="auto"/>
        </w:rPr>
        <w:t>”). The Initial Term shall be automatically extended for successive two (2) year periods (each a “</w:t>
      </w:r>
      <w:r>
        <w:rPr>
          <w:rFonts w:ascii="Times New Roman" w:cs="Times New Roman" w:eastAsia="Times New Roman" w:hAnsi="Times New Roman"/>
          <w:sz w:val="18"/>
          <w:szCs w:val="18"/>
          <w:b w:val="1"/>
          <w:bCs w:val="1"/>
          <w:color w:val="auto"/>
        </w:rPr>
        <w:t>Renewal Term</w:t>
      </w:r>
      <w:r>
        <w:rPr>
          <w:rFonts w:ascii="Times New Roman" w:cs="Times New Roman" w:eastAsia="Times New Roman" w:hAnsi="Times New Roman"/>
          <w:sz w:val="18"/>
          <w:szCs w:val="18"/>
          <w:color w:val="auto"/>
        </w:rPr>
        <w:t>” and, together with the Initial Term and each such Renewal Term,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unless either party has delivered written notice to the other party no later than six (6) months prior to the completion of the then effective Term that this Addendum will not be extended.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782" w:hanging="781"/>
        <w:spacing w:after="0" w:line="247" w:lineRule="auto"/>
        <w:tabs>
          <w:tab w:leader="none" w:pos="761"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However, if such written notice is delivered by the Company to Managing Director following the Company’s entry into a definitive agreement with respect to a transaction that, if consummated, would result in a Change in Control, then the then effective Term shall not expire sooner than twelve (12) months following the date of such definitive agreement. For the avoidance of doubt, neither the lapse of this Addendum by its terms nor non-renewal of this Addendum will by itself constitute termination of services nor grounds for resignation for Good Reason. Notwithstanding anything herein to the contrary, if, during the then effective Term, Managing Director’s services with the Company has terminated as a result of a Qualifying Termination or Managing Director has given written notice to the Company of an initial event that would constitute Good Reason, this Addendum shall not terminate until all payments and benefits, if any, have been provided to Managing Director in accordance with this Addendum.</w:t>
      </w:r>
    </w:p>
    <w:p>
      <w:pPr>
        <w:sectPr>
          <w:pgSz w:w="11900" w:h="16838" w:orient="portrait"/>
          <w:cols w:equalWidth="0" w:num="2">
            <w:col w:w="5818" w:space="720"/>
            <w:col w:w="4702"/>
          </w:cols>
          <w:pgMar w:left="320" w:top="980" w:right="339" w:bottom="1440" w:gutter="0" w:footer="0" w:header="0"/>
        </w:sectPr>
      </w:pPr>
    </w:p>
    <w:bookmarkStart w:id="122" w:name="page123"/>
    <w:bookmarkEnd w:id="122"/>
    <w:p>
      <w:pPr>
        <w:ind w:left="800" w:hanging="794"/>
        <w:spacing w:after="0"/>
        <w:tabs>
          <w:tab w:leader="none" w:pos="80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BEENDIGUNG DES DIENSTVERTRAGS</w:t>
      </w:r>
    </w:p>
    <w:p>
      <w:pPr>
        <w:spacing w:after="0" w:line="21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b w:val="1"/>
          <w:bCs w:val="1"/>
          <w:color w:val="auto"/>
        </w:rPr>
        <w:t>Qualifizierende K</w:t>
      </w:r>
      <w:r>
        <w:rPr>
          <w:rFonts w:ascii="Times New Roman" w:cs="Times New Roman" w:eastAsia="Times New Roman" w:hAnsi="Times New Roman"/>
          <w:sz w:val="17"/>
          <w:szCs w:val="17"/>
          <w:color w:val="auto"/>
        </w:rPr>
        <w:t>ü</w:t>
      </w:r>
      <w:r>
        <w:rPr>
          <w:rFonts w:ascii="Times New Roman" w:cs="Times New Roman" w:eastAsia="Times New Roman" w:hAnsi="Times New Roman"/>
          <w:sz w:val="17"/>
          <w:szCs w:val="17"/>
          <w:b w:val="1"/>
          <w:bCs w:val="1"/>
          <w:color w:val="auto"/>
        </w:rPr>
        <w:t>ndigung</w:t>
      </w:r>
      <w:r>
        <w:rPr>
          <w:rFonts w:ascii="Times New Roman" w:cs="Times New Roman" w:eastAsia="Times New Roman" w:hAnsi="Times New Roman"/>
          <w:sz w:val="17"/>
          <w:szCs w:val="17"/>
          <w:color w:val="auto"/>
        </w:rPr>
        <w:t>. Im Falle einer</w:t>
      </w:r>
    </w:p>
    <w:p>
      <w:pPr>
        <w:spacing w:after="0" w:line="2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Qualifizierenden Kündigung des Geschäftsführers hat</w:t>
      </w:r>
    </w:p>
    <w:p>
      <w:pPr>
        <w:spacing w:after="0" w:line="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der Geschäftsführer Anspruch auf die Aufgelaufenen</w:t>
      </w:r>
    </w:p>
    <w:p>
      <w:pPr>
        <w:spacing w:after="0" w:line="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Beträge. Darüber hinaus hat der Geschäftsführer,</w:t>
      </w:r>
    </w:p>
    <w:p>
      <w:pPr>
        <w:spacing w:after="0" w:line="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sofern er die Bestimmungen der Ziffern 10, 11, 12, 13</w:t>
      </w:r>
    </w:p>
    <w:p>
      <w:pPr>
        <w:spacing w:after="0" w:line="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und 17 des GF-Vertrags einhält und eine vollständige</w:t>
      </w:r>
    </w:p>
    <w:p>
      <w:pPr>
        <w:spacing w:after="0" w:line="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Erledigungserklärung aller bekannten oder</w:t>
      </w:r>
    </w:p>
    <w:p>
      <w:pPr>
        <w:spacing w:after="0" w:line="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auto"/>
        </w:rPr>
        <w:t>unbekannten Ansprüche, die der Geschäftsführer gegen</w:t>
      </w:r>
    </w:p>
    <w:p>
      <w:pPr>
        <w:spacing w:after="0" w:line="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die Gesellschaft, ihre verbundenen Unternehmen,</w:t>
      </w:r>
    </w:p>
    <w:p>
      <w:pPr>
        <w:spacing w:after="0" w:line="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deren jeweiligen leitenden Angestellten und / oder</w:t>
      </w:r>
    </w:p>
    <w:p>
      <w:pPr>
        <w:spacing w:after="0" w:line="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Geschäftsführer hat (die „</w:t>
      </w:r>
      <w:r>
        <w:rPr>
          <w:rFonts w:ascii="Times New Roman" w:cs="Times New Roman" w:eastAsia="Times New Roman" w:hAnsi="Times New Roman"/>
          <w:sz w:val="18"/>
          <w:szCs w:val="18"/>
          <w:b w:val="1"/>
          <w:bCs w:val="1"/>
          <w:color w:val="auto"/>
        </w:rPr>
        <w:t>Erledigung</w:t>
      </w:r>
      <w:r>
        <w:rPr>
          <w:rFonts w:ascii="Times New Roman" w:cs="Times New Roman" w:eastAsia="Times New Roman" w:hAnsi="Times New Roman"/>
          <w:sz w:val="18"/>
          <w:szCs w:val="18"/>
          <w:color w:val="auto"/>
        </w:rPr>
        <w:t>“), in einer von</w:t>
      </w:r>
    </w:p>
    <w:p>
      <w:pPr>
        <w:spacing w:after="0" w:line="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der Gesellschaft bereitgestellten Form und innerhalb</w:t>
      </w:r>
    </w:p>
    <w:p>
      <w:pPr>
        <w:spacing w:after="0" w:line="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eines festgelegten Zeitraums nach dem</w:t>
      </w:r>
    </w:p>
    <w:p>
      <w:pPr>
        <w:spacing w:after="0" w:line="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Kündigungsdatum (dieser Zeitraum wird als</w:t>
      </w:r>
    </w:p>
    <w:p>
      <w:pPr>
        <w:spacing w:after="0" w:line="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Erledigungsausf</w:t>
      </w:r>
      <w:r>
        <w:rPr>
          <w:rFonts w:ascii="Times New Roman" w:cs="Times New Roman" w:eastAsia="Times New Roman" w:hAnsi="Times New Roman"/>
          <w:sz w:val="18"/>
          <w:szCs w:val="18"/>
          <w:color w:val="auto"/>
        </w:rPr>
        <w:t>ü</w:t>
      </w:r>
      <w:r>
        <w:rPr>
          <w:rFonts w:ascii="Times New Roman" w:cs="Times New Roman" w:eastAsia="Times New Roman" w:hAnsi="Times New Roman"/>
          <w:sz w:val="18"/>
          <w:szCs w:val="18"/>
          <w:b w:val="1"/>
          <w:bCs w:val="1"/>
          <w:color w:val="auto"/>
        </w:rPr>
        <w:t>hrungszeitraum</w:t>
      </w:r>
      <w:r>
        <w:rPr>
          <w:rFonts w:ascii="Times New Roman" w:cs="Times New Roman" w:eastAsia="Times New Roman" w:hAnsi="Times New Roman"/>
          <w:sz w:val="18"/>
          <w:szCs w:val="18"/>
          <w:color w:val="auto"/>
        </w:rPr>
        <w:t>“ bezeichnet)</w:t>
      </w:r>
    </w:p>
    <w:p>
      <w:pPr>
        <w:spacing w:after="0" w:line="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abgibt, Anspruch auf die folgenden</w:t>
      </w:r>
    </w:p>
    <w:p>
      <w:pPr>
        <w:spacing w:after="0" w:line="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Abfindungszahlungen und Leistungen:</w:t>
      </w:r>
    </w:p>
    <w:p>
      <w:pPr>
        <w:spacing w:after="0" w:line="19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8"/>
          <w:szCs w:val="18"/>
          <w:b w:val="1"/>
          <w:bCs w:val="1"/>
          <w:color w:val="auto"/>
        </w:rPr>
        <w:t xml:space="preserve">Abfindung Grundgehalt. </w:t>
      </w:r>
      <w:r>
        <w:rPr>
          <w:rFonts w:ascii="Times New Roman" w:cs="Times New Roman" w:eastAsia="Times New Roman" w:hAnsi="Times New Roman"/>
          <w:sz w:val="18"/>
          <w:szCs w:val="18"/>
          <w:color w:val="auto"/>
        </w:rPr>
        <w:t>Ein Betrag in Höhe von</w:t>
      </w:r>
    </w:p>
    <w:p>
      <w:pPr>
        <w:spacing w:after="0" w:line="26" w:lineRule="exact"/>
        <w:rPr>
          <w:sz w:val="20"/>
          <w:szCs w:val="20"/>
          <w:color w:val="auto"/>
        </w:rPr>
      </w:pPr>
    </w:p>
    <w:p>
      <w:pPr>
        <w:jc w:val="both"/>
        <w:ind w:left="800" w:right="1078"/>
        <w:spacing w:after="0" w:line="246" w:lineRule="auto"/>
        <w:rPr>
          <w:sz w:val="20"/>
          <w:szCs w:val="20"/>
          <w:color w:val="auto"/>
        </w:rPr>
      </w:pPr>
      <w:r>
        <w:rPr>
          <w:rFonts w:ascii="Times New Roman" w:cs="Times New Roman" w:eastAsia="Times New Roman" w:hAnsi="Times New Roman"/>
          <w:sz w:val="18"/>
          <w:szCs w:val="18"/>
          <w:color w:val="auto"/>
        </w:rPr>
        <w:t>150% des Grundgehalts des Geschäftsführers (unabhängig von einer Kürzung des Grundgehalts, die einen Guten Grund darstellen würde) wird mit dem nächsten regulären Gehaltslauf nach Ablauf des Erledigungsausführungszeitraums oder dem Vollzug des Change of Control Events (in keinem Fall jedoch später als nach Ablauf der Short-Term Deferral Period) ausgezahlt.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486410</wp:posOffset>
            </wp:positionV>
            <wp:extent cx="7134860" cy="165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782" w:hanging="782"/>
        <w:spacing w:after="0"/>
        <w:tabs>
          <w:tab w:leader="none" w:pos="782"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OF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-799465</wp:posOffset>
            </wp:positionV>
            <wp:extent cx="958850" cy="2609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4">
                      <a:extLst>
                        <a:ext uri="{28A0092B-C50C-407E-A947-70E740481C1C}"/>
                      </a:extLst>
                    </a:blip>
                    <a:srcRect/>
                    <a:stretch>
                      <a:fillRect/>
                    </a:stretch>
                  </pic:blipFill>
                  <pic:spPr bwMode="auto">
                    <a:xfrm>
                      <a:off x="0" y="0"/>
                      <a:ext cx="958850" cy="260985"/>
                    </a:xfrm>
                    <a:prstGeom prst="rect">
                      <a:avLst/>
                    </a:prstGeom>
                    <a:noFill/>
                  </pic:spPr>
                </pic:pic>
              </a:graphicData>
            </a:graphic>
          </wp:anchor>
        </w:drawing>
      </w:r>
    </w:p>
    <w:p>
      <w:pPr>
        <w:spacing w:after="0" w:line="197" w:lineRule="exact"/>
        <w:rPr>
          <w:sz w:val="20"/>
          <w:szCs w:val="20"/>
          <w:color w:val="auto"/>
        </w:rPr>
      </w:pPr>
    </w:p>
    <w:p>
      <w:pPr>
        <w:jc w:val="both"/>
        <w:ind w:left="782" w:hanging="781"/>
        <w:spacing w:after="0" w:line="247" w:lineRule="auto"/>
        <w:tabs>
          <w:tab w:leader="none" w:pos="761"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b w:val="1"/>
          <w:bCs w:val="1"/>
          <w:color w:val="auto"/>
        </w:rPr>
        <w:t>Qualifying Termination</w:t>
      </w:r>
      <w:r>
        <w:rPr>
          <w:rFonts w:ascii="Times New Roman" w:cs="Times New Roman" w:eastAsia="Times New Roman" w:hAnsi="Times New Roman"/>
          <w:sz w:val="18"/>
          <w:szCs w:val="18"/>
          <w:color w:val="auto"/>
        </w:rPr>
        <w:t>. In the event of Managing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Qualifying Termination, Managing Director shall be entitled to receive the Accrued Amounts. In addition, provided that Managing Director complies with the provisions of Sections 10, 11, 12, 13 &amp; 17 of the MD Agreement and executes a full general release of all claims, known or unknown, that Managing Director may have against the Company, its affiliates and their respective officers and directors in a form provided by the Company (the “</w:t>
      </w:r>
      <w:r>
        <w:rPr>
          <w:rFonts w:ascii="Times New Roman" w:cs="Times New Roman" w:eastAsia="Times New Roman" w:hAnsi="Times New Roman"/>
          <w:sz w:val="18"/>
          <w:szCs w:val="18"/>
          <w:b w:val="1"/>
          <w:bCs w:val="1"/>
          <w:color w:val="auto"/>
        </w:rPr>
        <w:t>Release</w:t>
      </w:r>
      <w:r>
        <w:rPr>
          <w:rFonts w:ascii="Times New Roman" w:cs="Times New Roman" w:eastAsia="Times New Roman" w:hAnsi="Times New Roman"/>
          <w:sz w:val="18"/>
          <w:szCs w:val="18"/>
          <w:color w:val="auto"/>
        </w:rPr>
        <w:t>”) which becomes effective and irrevocable within the time period set for execution of the Release following the Termination Date (such period, the “</w:t>
      </w:r>
      <w:r>
        <w:rPr>
          <w:rFonts w:ascii="Times New Roman" w:cs="Times New Roman" w:eastAsia="Times New Roman" w:hAnsi="Times New Roman"/>
          <w:sz w:val="18"/>
          <w:szCs w:val="18"/>
          <w:b w:val="1"/>
          <w:bCs w:val="1"/>
          <w:color w:val="auto"/>
        </w:rPr>
        <w:t>Release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Execution Period</w:t>
      </w:r>
      <w:r>
        <w:rPr>
          <w:rFonts w:ascii="Times New Roman" w:cs="Times New Roman" w:eastAsia="Times New Roman" w:hAnsi="Times New Roman"/>
          <w:sz w:val="18"/>
          <w:szCs w:val="18"/>
          <w:color w:val="auto"/>
        </w:rPr>
        <w:t>”), Managing Director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entitled to receive the following severance payments and benefits:</w:t>
      </w:r>
    </w:p>
    <w:p>
      <w:pPr>
        <w:spacing w:after="0" w:line="200" w:lineRule="exact"/>
        <w:rPr>
          <w:sz w:val="20"/>
          <w:szCs w:val="20"/>
          <w:color w:val="auto"/>
        </w:rPr>
      </w:pPr>
    </w:p>
    <w:p>
      <w:pPr>
        <w:spacing w:after="0" w:line="208" w:lineRule="exact"/>
        <w:rPr>
          <w:sz w:val="20"/>
          <w:szCs w:val="20"/>
          <w:color w:val="auto"/>
        </w:rPr>
      </w:pPr>
    </w:p>
    <w:p>
      <w:pPr>
        <w:jc w:val="both"/>
        <w:ind w:left="782" w:hanging="781"/>
        <w:spacing w:after="0" w:line="249" w:lineRule="auto"/>
        <w:tabs>
          <w:tab w:leader="none" w:pos="761"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8"/>
          <w:szCs w:val="18"/>
          <w:b w:val="1"/>
          <w:bCs w:val="1"/>
          <w:color w:val="auto"/>
        </w:rPr>
        <w:t xml:space="preserve">Base Salary Severance Benefit. </w:t>
      </w:r>
      <w:r>
        <w:rPr>
          <w:rFonts w:ascii="Times New Roman" w:cs="Times New Roman" w:eastAsia="Times New Roman" w:hAnsi="Times New Roman"/>
          <w:sz w:val="18"/>
          <w:szCs w:val="18"/>
          <w:color w:val="auto"/>
        </w:rPr>
        <w:t>An amount equal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150% of Managing Director’s Base Salary (disregarding any reduction in Base Salary that would constitute Good Reason) shall be paid in cash in a single lump sum on the next regular payroll date following the later of the expiration of the Release Execution Period or the consummation of the Change in Control (but in no event later than the lapsing of the Short-Term Deferral Period).</w:t>
      </w:r>
    </w:p>
    <w:p>
      <w:pPr>
        <w:sectPr>
          <w:pgSz w:w="11900" w:h="16838" w:orient="portrait"/>
          <w:cols w:equalWidth="0" w:num="2">
            <w:col w:w="5818" w:space="720"/>
            <w:col w:w="4702"/>
          </w:cols>
          <w:pgMar w:left="320" w:top="1192" w:right="339" w:bottom="1440" w:gutter="0" w:footer="0" w:header="0"/>
        </w:sectPr>
      </w:pPr>
    </w:p>
    <w:bookmarkStart w:id="123" w:name="page124"/>
    <w:bookmarkEnd w:id="123"/>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2.1.2</w:t>
      </w:r>
      <w:r>
        <w:rPr>
          <w:sz w:val="20"/>
          <w:szCs w:val="20"/>
          <w:color w:val="auto"/>
        </w:rPr>
        <w:tab/>
      </w:r>
      <w:r>
        <w:rPr>
          <w:rFonts w:ascii="Times New Roman" w:cs="Times New Roman" w:eastAsia="Times New Roman" w:hAnsi="Times New Roman"/>
          <w:sz w:val="17"/>
          <w:szCs w:val="17"/>
          <w:b w:val="1"/>
          <w:bCs w:val="1"/>
          <w:color w:val="auto"/>
        </w:rPr>
        <w:t>Abfindung Bonus</w:t>
      </w:r>
    </w:p>
    <w:p>
      <w:pPr>
        <w:spacing w:after="0" w:line="21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2.1.2.1</w:t>
      </w:r>
      <w:r>
        <w:rPr>
          <w:sz w:val="20"/>
          <w:szCs w:val="20"/>
          <w:color w:val="auto"/>
        </w:rPr>
        <w:tab/>
      </w:r>
      <w:r>
        <w:rPr>
          <w:rFonts w:ascii="Times New Roman" w:cs="Times New Roman" w:eastAsia="Times New Roman" w:hAnsi="Times New Roman"/>
          <w:sz w:val="17"/>
          <w:szCs w:val="17"/>
          <w:b w:val="1"/>
          <w:bCs w:val="1"/>
          <w:color w:val="auto"/>
        </w:rPr>
        <w:t xml:space="preserve">Anteiliger Bonus. </w:t>
      </w:r>
      <w:r>
        <w:rPr>
          <w:rFonts w:ascii="Times New Roman" w:cs="Times New Roman" w:eastAsia="Times New Roman" w:hAnsi="Times New Roman"/>
          <w:sz w:val="17"/>
          <w:szCs w:val="17"/>
          <w:color w:val="auto"/>
        </w:rPr>
        <w:t>Ein anteiliger (pro-rata temporis)</w:t>
      </w:r>
    </w:p>
    <w:p>
      <w:pPr>
        <w:spacing w:after="0" w:line="2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Zielbonus des Geschäftsführers (ohne</w:t>
      </w:r>
    </w:p>
    <w:p>
      <w:pPr>
        <w:spacing w:after="0" w:line="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Berücksichtigung einer Kürzung des Zielbonus, die</w:t>
      </w:r>
    </w:p>
    <w:p>
      <w:pPr>
        <w:spacing w:after="0" w:line="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einen Guten Grund darstellen würde) für das</w:t>
      </w:r>
    </w:p>
    <w:p>
      <w:pPr>
        <w:spacing w:after="0" w:line="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Geschäftsjahr, in dem das Kündigungsdatum liegt (der</w:t>
      </w:r>
    </w:p>
    <w:p>
      <w:pPr>
        <w:spacing w:after="0" w:line="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Anteilige Bonus</w:t>
      </w:r>
      <w:r>
        <w:rPr>
          <w:rFonts w:ascii="Times New Roman" w:cs="Times New Roman" w:eastAsia="Times New Roman" w:hAnsi="Times New Roman"/>
          <w:sz w:val="18"/>
          <w:szCs w:val="18"/>
          <w:color w:val="auto"/>
        </w:rPr>
        <w:t>“), wird mit dem nächsten</w:t>
      </w:r>
    </w:p>
    <w:p>
      <w:pPr>
        <w:spacing w:after="0" w:line="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Gehaltslauf nach Ablauf des</w:t>
      </w:r>
    </w:p>
    <w:p>
      <w:pPr>
        <w:spacing w:after="0" w:line="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Erledigungsausführungszeitraums oder dem Vollzug</w:t>
      </w:r>
    </w:p>
    <w:p>
      <w:pPr>
        <w:spacing w:after="0" w:line="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des Change of Control Events (in keinem Fall jedoch</w:t>
      </w:r>
    </w:p>
    <w:p>
      <w:pPr>
        <w:spacing w:after="0" w:line="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auto"/>
        </w:rPr>
        <w:t>später als nach Ablauf der Short-Term Deferral Period)</w:t>
      </w:r>
    </w:p>
    <w:p>
      <w:pPr>
        <w:spacing w:after="0" w:line="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gezahlt. Dieser anteilige Betrag wird durch</w:t>
      </w:r>
    </w:p>
    <w:p>
      <w:pPr>
        <w:spacing w:after="0" w:line="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Multiplikation des vorstehenden Zielbonus mit einem</w:t>
      </w:r>
    </w:p>
    <w:p>
      <w:pPr>
        <w:spacing w:after="0" w:line="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Bruch ermittelt, dessen Zähler der Anzahl der Tage</w:t>
      </w:r>
    </w:p>
    <w:p>
      <w:pPr>
        <w:spacing w:after="0" w:line="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auto"/>
        </w:rPr>
        <w:t>zwischen dem Beginn des betreffenden Geschäftsjahres</w:t>
      </w:r>
    </w:p>
    <w:p>
      <w:pPr>
        <w:spacing w:after="0" w:line="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und dem Kündigungsdatum und dessen Nenner 365</w:t>
      </w:r>
    </w:p>
    <w:p>
      <w:pPr>
        <w:spacing w:after="0" w:line="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entspricht. Der tatsächliche jährliche Leistungsbonus</w:t>
      </w:r>
    </w:p>
    <w:p>
      <w:pPr>
        <w:spacing w:after="0" w:line="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für das Geschäftsjahr, in dem der Geschäftsführer aus</w:t>
      </w:r>
    </w:p>
    <w:p>
      <w:pPr>
        <w:spacing w:after="0" w:line="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dem Dienst ausscheidet, verfällt und der</w:t>
      </w:r>
    </w:p>
    <w:p>
      <w:pPr>
        <w:spacing w:after="0" w:line="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auto"/>
        </w:rPr>
        <w:t>Geschäftsführer hat keinen Anspruch auf eine Zahlung,</w:t>
      </w:r>
    </w:p>
    <w:p>
      <w:pPr>
        <w:spacing w:after="0" w:line="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mit Ausnahme der in diesem Abschnitt 2.1.2.1</w:t>
      </w:r>
    </w:p>
    <w:p>
      <w:pPr>
        <w:spacing w:after="0" w:line="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beschriebenen Abfindungszahlung.</w:t>
      </w:r>
    </w:p>
    <w:p>
      <w:pPr>
        <w:spacing w:after="0" w:line="196" w:lineRule="exact"/>
        <w:rPr>
          <w:sz w:val="20"/>
          <w:szCs w:val="20"/>
          <w:color w:val="auto"/>
        </w:rPr>
      </w:pPr>
    </w:p>
    <w:p>
      <w:pPr>
        <w:jc w:val="both"/>
        <w:ind w:left="800" w:right="1080" w:hanging="794"/>
        <w:spacing w:after="0" w:line="248" w:lineRule="auto"/>
        <w:tabs>
          <w:tab w:leader="none" w:pos="780" w:val="left"/>
        </w:tabs>
        <w:rPr>
          <w:sz w:val="20"/>
          <w:szCs w:val="20"/>
          <w:color w:val="auto"/>
        </w:rPr>
      </w:pPr>
      <w:r>
        <w:rPr>
          <w:rFonts w:ascii="Times New Roman" w:cs="Times New Roman" w:eastAsia="Times New Roman" w:hAnsi="Times New Roman"/>
          <w:sz w:val="18"/>
          <w:szCs w:val="18"/>
          <w:color w:val="auto"/>
        </w:rPr>
        <w:t>2.1.2.2</w:t>
      </w:r>
      <w:r>
        <w:rPr>
          <w:sz w:val="20"/>
          <w:szCs w:val="20"/>
          <w:color w:val="auto"/>
        </w:rPr>
        <w:tab/>
      </w:r>
      <w:r>
        <w:rPr>
          <w:rFonts w:ascii="Times New Roman" w:cs="Times New Roman" w:eastAsia="Times New Roman" w:hAnsi="Times New Roman"/>
          <w:sz w:val="18"/>
          <w:szCs w:val="18"/>
          <w:b w:val="1"/>
          <w:bCs w:val="1"/>
          <w:color w:val="auto"/>
        </w:rPr>
        <w:t xml:space="preserve">Zusätzliche Abfindung. </w:t>
      </w:r>
      <w:r>
        <w:rPr>
          <w:rFonts w:ascii="Times New Roman" w:cs="Times New Roman" w:eastAsia="Times New Roman" w:hAnsi="Times New Roman"/>
          <w:sz w:val="18"/>
          <w:szCs w:val="18"/>
          <w:color w:val="auto"/>
        </w:rPr>
        <w:t>Zusätzlich zur „Abfindung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Grundgehalt“ wird ein Betrag in Höhe von 150% des Zielbonus des Geschäftsführers (ungeachtet einer Kürzung des Zielbonus, die einen Guten Grund darstellen würde) für das Geschäftsjahr, in dem das Kündigungsdatum liegt (oder, falls höher, für das Geschäftsjahr, in dem das Change of Control Event eintritt) erfolgt, wird mit dem nächsten Gehaltslauf nach Ablauf des Erledigungsausführungszeitraums oder dem Vollzug des Change of Control Events (in keinem Fall jedoch später als nach Ablauf der Short-Term Deferral Period) gezahlt. Der Verweis auf den Zielbonus in dieser Bestimmung dient nur zur Berechnung der zusätzlichen Abfindung.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483870</wp:posOffset>
            </wp:positionV>
            <wp:extent cx="713486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2.1.2.</w:t>
      </w:r>
      <w:r>
        <w:rPr>
          <w:sz w:val="20"/>
          <w:szCs w:val="20"/>
          <w:color w:val="auto"/>
        </w:rPr>
        <w:tab/>
      </w:r>
      <w:r>
        <w:rPr>
          <w:rFonts w:ascii="Times New Roman" w:cs="Times New Roman" w:eastAsia="Times New Roman" w:hAnsi="Times New Roman"/>
          <w:sz w:val="17"/>
          <w:szCs w:val="17"/>
          <w:b w:val="1"/>
          <w:bCs w:val="1"/>
          <w:color w:val="auto"/>
        </w:rPr>
        <w:t>Bonus Severance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2018030</wp:posOffset>
            </wp:positionH>
            <wp:positionV relativeFrom="paragraph">
              <wp:posOffset>-664845</wp:posOffset>
            </wp:positionV>
            <wp:extent cx="958850" cy="260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6">
                      <a:extLst>
                        <a:ext uri="{28A0092B-C50C-407E-A947-70E740481C1C}"/>
                      </a:extLst>
                    </a:blip>
                    <a:srcRect/>
                    <a:stretch>
                      <a:fillRect/>
                    </a:stretch>
                  </pic:blipFill>
                  <pic:spPr bwMode="auto">
                    <a:xfrm>
                      <a:off x="0" y="0"/>
                      <a:ext cx="958850" cy="260985"/>
                    </a:xfrm>
                    <a:prstGeom prst="rect">
                      <a:avLst/>
                    </a:prstGeom>
                    <a:noFill/>
                  </pic:spPr>
                </pic:pic>
              </a:graphicData>
            </a:graphic>
          </wp:anchor>
        </w:drawing>
      </w:r>
    </w:p>
    <w:p>
      <w:pPr>
        <w:spacing w:after="0" w:line="197" w:lineRule="exact"/>
        <w:rPr>
          <w:sz w:val="20"/>
          <w:szCs w:val="20"/>
          <w:color w:val="auto"/>
        </w:rPr>
      </w:pPr>
    </w:p>
    <w:p>
      <w:pPr>
        <w:jc w:val="both"/>
        <w:ind w:left="780" w:hanging="781"/>
        <w:spacing w:after="0" w:line="247" w:lineRule="auto"/>
        <w:tabs>
          <w:tab w:leader="none" w:pos="760" w:val="left"/>
        </w:tabs>
        <w:rPr>
          <w:sz w:val="20"/>
          <w:szCs w:val="20"/>
          <w:color w:val="auto"/>
        </w:rPr>
      </w:pPr>
      <w:r>
        <w:rPr>
          <w:rFonts w:ascii="Times New Roman" w:cs="Times New Roman" w:eastAsia="Times New Roman" w:hAnsi="Times New Roman"/>
          <w:sz w:val="18"/>
          <w:szCs w:val="18"/>
          <w:color w:val="auto"/>
        </w:rPr>
        <w:t>2.1.2.1.</w:t>
      </w:r>
      <w:r>
        <w:rPr>
          <w:sz w:val="20"/>
          <w:szCs w:val="20"/>
          <w:color w:val="auto"/>
        </w:rPr>
        <w:tab/>
      </w:r>
      <w:r>
        <w:rPr>
          <w:rFonts w:ascii="Times New Roman" w:cs="Times New Roman" w:eastAsia="Times New Roman" w:hAnsi="Times New Roman"/>
          <w:sz w:val="18"/>
          <w:szCs w:val="18"/>
          <w:b w:val="1"/>
          <w:bCs w:val="1"/>
          <w:color w:val="auto"/>
        </w:rPr>
        <w:t>Prorated Bonus</w:t>
      </w:r>
      <w:r>
        <w:rPr>
          <w:rFonts w:ascii="Times New Roman" w:cs="Times New Roman" w:eastAsia="Times New Roman" w:hAnsi="Times New Roman"/>
          <w:sz w:val="18"/>
          <w:szCs w:val="18"/>
          <w:color w:val="auto"/>
        </w:rPr>
        <w:t>. An amount equal to a prorated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portion of Managing Director’s Target Bonus (disregarding any reduction in Target Bonus that would constitute Good Reason) for the fiscal year in which the Termination Date occurs (the “</w:t>
      </w:r>
      <w:r>
        <w:rPr>
          <w:rFonts w:ascii="Times New Roman" w:cs="Times New Roman" w:eastAsia="Times New Roman" w:hAnsi="Times New Roman"/>
          <w:sz w:val="18"/>
          <w:szCs w:val="18"/>
          <w:b w:val="1"/>
          <w:bCs w:val="1"/>
          <w:color w:val="auto"/>
        </w:rPr>
        <w:t>Prorated Bonus</w:t>
      </w:r>
      <w:r>
        <w:rPr>
          <w:rFonts w:ascii="Times New Roman" w:cs="Times New Roman" w:eastAsia="Times New Roman" w:hAnsi="Times New Roman"/>
          <w:sz w:val="18"/>
          <w:szCs w:val="18"/>
          <w:color w:val="auto"/>
        </w:rPr>
        <w:t>”) shall be paid in cash in a single lump sum on the next regular payroll date following the later of the expiration of the Release Execution Period or the consummation of the Change in Control (but in no event later than the lapsing of the Short-Term Deferral Period). Such prorated portion shall be determined by multiplying the foregoing Target Bonus by a fraction, the numerator of which is equal to the number of days between the start of such fiscal year and the Termination Date and the denominator of which is equal to 365. The actual annual incentive bonus for the fiscal year of Managing Director’s termination of service shall be forfeited, and Managing Director shall not be entitled to any payment thereof, other than the severance benefit payment described in this Section 2.1.2.1</w:t>
      </w:r>
    </w:p>
    <w:p>
      <w:pPr>
        <w:spacing w:after="0" w:line="191" w:lineRule="exact"/>
        <w:rPr>
          <w:sz w:val="20"/>
          <w:szCs w:val="20"/>
          <w:color w:val="auto"/>
        </w:rPr>
      </w:pPr>
    </w:p>
    <w:p>
      <w:pPr>
        <w:jc w:val="both"/>
        <w:ind w:left="780"/>
        <w:spacing w:after="0" w:line="248" w:lineRule="auto"/>
        <w:rPr>
          <w:sz w:val="20"/>
          <w:szCs w:val="20"/>
          <w:color w:val="auto"/>
        </w:rPr>
      </w:pPr>
      <w:r>
        <w:rPr>
          <w:rFonts w:ascii="Times New Roman" w:cs="Times New Roman" w:eastAsia="Times New Roman" w:hAnsi="Times New Roman"/>
          <w:sz w:val="18"/>
          <w:szCs w:val="18"/>
          <w:b w:val="1"/>
          <w:bCs w:val="1"/>
          <w:color w:val="auto"/>
        </w:rPr>
        <w:t xml:space="preserve">Additional Severance Benefit. </w:t>
      </w:r>
      <w:r>
        <w:rPr>
          <w:rFonts w:ascii="Times New Roman" w:cs="Times New Roman" w:eastAsia="Times New Roman" w:hAnsi="Times New Roman"/>
          <w:sz w:val="18"/>
          <w:szCs w:val="18"/>
          <w:color w:val="auto"/>
        </w:rPr>
        <w:t>In addition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 Salary Severance Benefit, an amount equal to 150% of Managing Director’s Target Bonus (disregarding any reduction in Target Bonus that would constitute Good Reason) for the fiscal year in which the Termination Date occurs (or if greater, for the fiscal year in which the Change in Control occurs) shall be paid in cash in a single lump sum on the next regular payroll date following the later of the expiration of the Release Execution Period or the consummation of the Change in Control (but in no event later than the lapsing of the Short-Term Deferral Period). The reference to the Target Bonus under this provision is only a means for calculating the additional severance payment.</w:t>
      </w:r>
    </w:p>
    <w:p>
      <w:pPr>
        <w:sectPr>
          <w:pgSz w:w="11900" w:h="16838" w:orient="portrait"/>
          <w:cols w:equalWidth="0" w:num="2">
            <w:col w:w="5820" w:space="720"/>
            <w:col w:w="4700"/>
          </w:cols>
          <w:pgMar w:left="320" w:top="980" w:right="339" w:bottom="1440" w:gutter="0" w:footer="0" w:header="0"/>
        </w:sectPr>
      </w:pPr>
    </w:p>
    <w:bookmarkStart w:id="124" w:name="page125"/>
    <w:bookmarkEnd w:id="124"/>
    <w:p>
      <w:pPr>
        <w:spacing w:after="0"/>
        <w:tabs>
          <w:tab w:leader="none" w:pos="78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b w:val="1"/>
          <w:bCs w:val="1"/>
          <w:color w:val="auto"/>
        </w:rPr>
        <w:t xml:space="preserve">Nicht-Qualifizierende  Kündigung.  </w:t>
      </w:r>
      <w:r>
        <w:rPr>
          <w:rFonts w:ascii="Times New Roman" w:cs="Times New Roman" w:eastAsia="Times New Roman" w:hAnsi="Times New Roman"/>
          <w:sz w:val="18"/>
          <w:szCs w:val="18"/>
          <w:color w:val="auto"/>
        </w:rPr>
        <w:t>Im  Falle  einer</w:t>
      </w:r>
    </w:p>
    <w:p>
      <w:pPr>
        <w:spacing w:after="0" w:line="26" w:lineRule="exact"/>
        <w:rPr>
          <w:sz w:val="20"/>
          <w:szCs w:val="20"/>
          <w:color w:val="auto"/>
        </w:rPr>
      </w:pPr>
    </w:p>
    <w:p>
      <w:pPr>
        <w:jc w:val="both"/>
        <w:ind w:left="800" w:right="1860"/>
        <w:spacing w:after="0" w:line="245" w:lineRule="auto"/>
        <w:rPr>
          <w:sz w:val="20"/>
          <w:szCs w:val="20"/>
          <w:color w:val="auto"/>
        </w:rPr>
      </w:pPr>
      <w:r>
        <w:rPr>
          <w:rFonts w:ascii="Times New Roman" w:cs="Times New Roman" w:eastAsia="Times New Roman" w:hAnsi="Times New Roman"/>
          <w:sz w:val="18"/>
          <w:szCs w:val="18"/>
          <w:color w:val="auto"/>
        </w:rPr>
        <w:t>Nicht-Qualifizierenden Kündigung des Geschäftsführers hat der Geschäftsführer nur Anspruch auf die Aufgelaufenen Beträge. Wenn die Tätigkeit des Geschäftsführers jedoch aufgrund seines Todes endet und der Erbe / die Erbengemeinschaft des</w:t>
      </w:r>
    </w:p>
    <w:p>
      <w:pPr>
        <w:spacing w:after="0" w:line="4" w:lineRule="exact"/>
        <w:rPr>
          <w:sz w:val="20"/>
          <w:szCs w:val="20"/>
          <w:color w:val="auto"/>
        </w:rPr>
      </w:pPr>
    </w:p>
    <w:p>
      <w:pPr>
        <w:jc w:val="both"/>
        <w:ind w:left="800" w:right="1860"/>
        <w:spacing w:after="0" w:line="246" w:lineRule="auto"/>
        <w:rPr>
          <w:sz w:val="20"/>
          <w:szCs w:val="20"/>
          <w:color w:val="auto"/>
        </w:rPr>
      </w:pPr>
      <w:r>
        <w:rPr>
          <w:rFonts w:ascii="Times New Roman" w:cs="Times New Roman" w:eastAsia="Times New Roman" w:hAnsi="Times New Roman"/>
          <w:sz w:val="18"/>
          <w:szCs w:val="18"/>
          <w:color w:val="auto"/>
        </w:rPr>
        <w:t>Geschäftsführers eine Erledigungserklärung unterzeichnet bzw. unterzeichnen, die während des Erledigungserklärungsausführungszeitraums wirksam und unwiderruflich wird, zahlt die Gesellschaft an den Erben / die Erbengemeinschaft des Geschäftsführers einen Anteiligen Bonus für das Jahr, in dem der Geschäftsführer verstirbt, sobald dies nach Ablauf des Ausübungszeitraums oder dem Vollzug des Change of Control Events (in keinem Fall jedoch später als nach Ablauf der Short-Term Deferral Period) vernünftigerweise möglich ist.</w:t>
      </w:r>
    </w:p>
    <w:p>
      <w:pPr>
        <w:spacing w:after="0" w:line="189" w:lineRule="exact"/>
        <w:rPr>
          <w:sz w:val="20"/>
          <w:szCs w:val="20"/>
          <w:color w:val="auto"/>
        </w:rPr>
      </w:pPr>
    </w:p>
    <w:p>
      <w:pPr>
        <w:ind w:left="800" w:right="1980" w:hanging="794"/>
        <w:spacing w:after="0" w:line="269" w:lineRule="auto"/>
        <w:tabs>
          <w:tab w:leader="none" w:pos="78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b w:val="1"/>
          <w:bCs w:val="1"/>
          <w:color w:val="auto"/>
        </w:rPr>
        <w:t>Kündigung</w:t>
      </w:r>
      <w:r>
        <w:rPr>
          <w:rFonts w:ascii="Times New Roman" w:cs="Times New Roman" w:eastAsia="Times New Roman" w:hAnsi="Times New Roman"/>
          <w:sz w:val="17"/>
          <w:szCs w:val="17"/>
          <w:color w:val="auto"/>
        </w:rPr>
        <w:t>. Jede Kündigung der Dienste des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Geschäftsführers im Rahmen des GF-Vertrags durch die Gesellschaft oder durch den Geschäftsführer während der Laufzeit (mit Ausnahme der Beendigung aufgrund des Todes des Geschäftsführers) bedarf der Schriftform („</w:t>
      </w:r>
      <w:r>
        <w:rPr>
          <w:rFonts w:ascii="Times New Roman" w:cs="Times New Roman" w:eastAsia="Times New Roman" w:hAnsi="Times New Roman"/>
          <w:sz w:val="17"/>
          <w:szCs w:val="17"/>
          <w:b w:val="1"/>
          <w:bCs w:val="1"/>
          <w:color w:val="auto"/>
        </w:rPr>
        <w:t>Kündigung</w:t>
      </w:r>
      <w:r>
        <w:rPr>
          <w:rFonts w:ascii="Times New Roman" w:cs="Times New Roman" w:eastAsia="Times New Roman" w:hAnsi="Times New Roman"/>
          <w:sz w:val="17"/>
          <w:szCs w:val="17"/>
          <w:color w:val="auto"/>
        </w:rPr>
        <w:t>“).</w:t>
      </w:r>
    </w:p>
    <w:p>
      <w:pPr>
        <w:spacing w:after="0" w:line="381" w:lineRule="exact"/>
        <w:rPr>
          <w:sz w:val="20"/>
          <w:szCs w:val="20"/>
          <w:color w:val="auto"/>
        </w:rPr>
      </w:pPr>
    </w:p>
    <w:p>
      <w:pPr>
        <w:ind w:left="800" w:right="2140" w:hanging="794"/>
        <w:spacing w:after="0" w:line="248" w:lineRule="auto"/>
        <w:tabs>
          <w:tab w:leader="none" w:pos="78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b w:val="1"/>
          <w:bCs w:val="1"/>
          <w:color w:val="auto"/>
        </w:rPr>
        <w:t>Rücktritt von allen anderen Positionen</w:t>
      </w:r>
      <w:r>
        <w:rPr>
          <w:rFonts w:ascii="Times New Roman" w:cs="Times New Roman" w:eastAsia="Times New Roman" w:hAnsi="Times New Roman"/>
          <w:sz w:val="18"/>
          <w:szCs w:val="18"/>
          <w:color w:val="auto"/>
        </w:rPr>
        <w:t>. Die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Beendigung der Dienste des Geschäftsführers aus irgendeinem Grund gilt ohne weitere erforderliche Maßnahmen des Geschäftsführers als freiwilliger Rücktritt des Geschäftsführers mit Wirkung zum Kündigungsdatum von allen Positionen, die der Geschäftsführer als Führungskraft oder Organ der Gesellschaft oder eines ihrer verbundenen Unternehmen innehat. Auf Verlangen des Vorstands von Cohu wird der Geschäftsführer alle Dokumente ausfertigen, die zur Bescheinigung dieses Rücktritts erforderlich sind.</w:t>
      </w:r>
    </w:p>
    <w:p>
      <w:pPr>
        <w:spacing w:after="0" w:line="189" w:lineRule="exact"/>
        <w:rPr>
          <w:sz w:val="20"/>
          <w:szCs w:val="20"/>
          <w:color w:val="auto"/>
        </w:rPr>
      </w:pPr>
    </w:p>
    <w:p>
      <w:pPr>
        <w:jc w:val="both"/>
        <w:ind w:left="800" w:right="1860" w:hanging="794"/>
        <w:spacing w:after="0" w:line="249" w:lineRule="auto"/>
        <w:tabs>
          <w:tab w:leader="none" w:pos="78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b w:val="1"/>
          <w:bCs w:val="1"/>
          <w:color w:val="auto"/>
        </w:rPr>
        <w:t xml:space="preserve">Minderung. </w:t>
      </w:r>
      <w:r>
        <w:rPr>
          <w:rFonts w:ascii="Times New Roman" w:cs="Times New Roman" w:eastAsia="Times New Roman" w:hAnsi="Times New Roman"/>
          <w:sz w:val="18"/>
          <w:szCs w:val="18"/>
          <w:color w:val="auto"/>
        </w:rPr>
        <w:t>In keinem Fall ist der Geschäftsführer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verpflichtet, eine Beschäftigung bei einem Dritten zu suchen oder andere Maßnahmen zur Minderung der Beträge zu ergreifen, die dem Geschäftsführer gemäß einer der Bestimmungen dieses Ergänzungsvertrags zu zahlen sind, und die gemäß diesem Abschnitt 2 zu zahlenden Beträge werden nicht durch eine Vergütung gemindert, die der Geschäftsführer aufgrund seiner Tätigkeit bei einem Drittarbeitgeber erhält.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485140</wp:posOffset>
            </wp:positionV>
            <wp:extent cx="7134860" cy="165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hanging="781"/>
        <w:spacing w:after="0" w:line="247" w:lineRule="auto"/>
        <w:rPr>
          <w:sz w:val="20"/>
          <w:szCs w:val="20"/>
          <w:color w:val="auto"/>
        </w:rPr>
      </w:pPr>
      <w:r>
        <w:rPr>
          <w:rFonts w:ascii="Times New Roman" w:cs="Times New Roman" w:eastAsia="Times New Roman" w:hAnsi="Times New Roman"/>
          <w:sz w:val="18"/>
          <w:szCs w:val="18"/>
          <w:color w:val="auto"/>
        </w:rPr>
        <w:t>2.2.</w:t>
      </w:r>
      <w:r>
        <w:rPr>
          <w:sz w:val="20"/>
          <w:szCs w:val="20"/>
          <w:color w:val="auto"/>
        </w:rPr>
        <w:t xml:space="preserve"> </w:t>
      </w:r>
      <w:r>
        <w:rPr>
          <w:rFonts w:ascii="Times New Roman" w:cs="Times New Roman" w:eastAsia="Times New Roman" w:hAnsi="Times New Roman"/>
          <w:sz w:val="18"/>
          <w:szCs w:val="18"/>
          <w:b w:val="1"/>
          <w:bCs w:val="1"/>
          <w:color w:val="auto"/>
        </w:rPr>
        <w:t xml:space="preserve">Non-Qualifying Termination. </w:t>
      </w:r>
      <w:r>
        <w:rPr>
          <w:rFonts w:ascii="Times New Roman" w:cs="Times New Roman" w:eastAsia="Times New Roman" w:hAnsi="Times New Roman"/>
          <w:sz w:val="18"/>
          <w:szCs w:val="18"/>
          <w:color w:val="auto"/>
        </w:rPr>
        <w:t>In the event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Managing Director’s Non-Qualifying Termination, Managing Director shall be entitled to receive only the Accrued Amounts. However, in the event that Managing Director’s services terminates due to Managing Director’s death, and subject to execution by Managing Director’s heir / community of heirs of a Release which becomes effective and irrevocable during the Release Execution Period, the Company shall pay to the Managing Director’s heir / community of heirs a Prorated Bonus for the year in which the Managing Director dies in a single lump sum as soon as reasonably practicable following the later of the expiration of the Release Execution Period or the consummation of the Change in Control (but in no event later than the lapsing of the Short-Term Deferral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1522730</wp:posOffset>
            </wp:positionH>
            <wp:positionV relativeFrom="paragraph">
              <wp:posOffset>-2832735</wp:posOffset>
            </wp:positionV>
            <wp:extent cx="958850" cy="260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8">
                      <a:extLst>
                        <a:ext uri="{28A0092B-C50C-407E-A947-70E740481C1C}"/>
                      </a:extLst>
                    </a:blip>
                    <a:srcRect/>
                    <a:stretch>
                      <a:fillRect/>
                    </a:stretch>
                  </pic:blipFill>
                  <pic:spPr bwMode="auto">
                    <a:xfrm>
                      <a:off x="0" y="0"/>
                      <a:ext cx="958850" cy="260985"/>
                    </a:xfrm>
                    <a:prstGeom prst="rect">
                      <a:avLst/>
                    </a:prstGeom>
                    <a:noFill/>
                  </pic:spPr>
                </pic:pic>
              </a:graphicData>
            </a:graphic>
          </wp:anchor>
        </w:drawing>
      </w:r>
    </w:p>
    <w:p>
      <w:pPr>
        <w:spacing w:after="0" w:line="175" w:lineRule="exact"/>
        <w:rPr>
          <w:sz w:val="20"/>
          <w:szCs w:val="20"/>
          <w:color w:val="auto"/>
        </w:rPr>
      </w:pPr>
    </w:p>
    <w:p>
      <w:pPr>
        <w:jc w:val="both"/>
        <w:ind w:hanging="781"/>
        <w:spacing w:after="0" w:line="268" w:lineRule="auto"/>
        <w:rPr>
          <w:sz w:val="20"/>
          <w:szCs w:val="20"/>
          <w:color w:val="auto"/>
        </w:rPr>
      </w:pPr>
      <w:r>
        <w:rPr>
          <w:rFonts w:ascii="Times New Roman" w:cs="Times New Roman" w:eastAsia="Times New Roman" w:hAnsi="Times New Roman"/>
          <w:sz w:val="18"/>
          <w:szCs w:val="18"/>
          <w:color w:val="auto"/>
        </w:rPr>
        <w:t>2.3.</w:t>
      </w:r>
      <w:r>
        <w:rPr>
          <w:sz w:val="20"/>
          <w:szCs w:val="20"/>
          <w:color w:val="auto"/>
        </w:rPr>
        <w:t xml:space="preserve"> </w:t>
      </w:r>
      <w:r>
        <w:rPr>
          <w:rFonts w:ascii="Times New Roman" w:cs="Times New Roman" w:eastAsia="Times New Roman" w:hAnsi="Times New Roman"/>
          <w:sz w:val="17"/>
          <w:szCs w:val="17"/>
          <w:b w:val="1"/>
          <w:bCs w:val="1"/>
          <w:color w:val="auto"/>
        </w:rPr>
        <w:t>Notice of Termination</w:t>
      </w:r>
      <w:r>
        <w:rPr>
          <w:rFonts w:ascii="Times New Roman" w:cs="Times New Roman" w:eastAsia="Times New Roman" w:hAnsi="Times New Roman"/>
          <w:sz w:val="17"/>
          <w:szCs w:val="17"/>
          <w:color w:val="auto"/>
        </w:rPr>
        <w:t>. Any termination of Managing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Director’s services under the MD Agreement by the Company or by Managing Director during the Term (other than termination on account of Managing Director’s death) shall be communicated by written notice of termination (“</w:t>
      </w:r>
      <w:r>
        <w:rPr>
          <w:rFonts w:ascii="Times New Roman" w:cs="Times New Roman" w:eastAsia="Times New Roman" w:hAnsi="Times New Roman"/>
          <w:sz w:val="17"/>
          <w:szCs w:val="17"/>
          <w:b w:val="1"/>
          <w:bCs w:val="1"/>
          <w:color w:val="auto"/>
        </w:rPr>
        <w:t>Notice of Termination</w:t>
      </w:r>
      <w:r>
        <w:rPr>
          <w:rFonts w:ascii="Times New Roman" w:cs="Times New Roman" w:eastAsia="Times New Roman" w:hAnsi="Times New Roman"/>
          <w:sz w:val="17"/>
          <w:szCs w:val="17"/>
          <w:color w:val="auto"/>
        </w:rPr>
        <w:t>”) to the other party hereto in accordance with applicable law.</w:t>
      </w:r>
    </w:p>
    <w:p>
      <w:pPr>
        <w:spacing w:after="0" w:line="168" w:lineRule="exact"/>
        <w:rPr>
          <w:sz w:val="20"/>
          <w:szCs w:val="20"/>
          <w:color w:val="auto"/>
        </w:rPr>
      </w:pPr>
    </w:p>
    <w:p>
      <w:pPr>
        <w:jc w:val="both"/>
        <w:ind w:hanging="781"/>
        <w:spacing w:after="0" w:line="248" w:lineRule="auto"/>
        <w:rPr>
          <w:sz w:val="20"/>
          <w:szCs w:val="20"/>
          <w:color w:val="auto"/>
        </w:rPr>
      </w:pPr>
      <w:r>
        <w:rPr>
          <w:rFonts w:ascii="Times New Roman" w:cs="Times New Roman" w:eastAsia="Times New Roman" w:hAnsi="Times New Roman"/>
          <w:sz w:val="18"/>
          <w:szCs w:val="18"/>
          <w:color w:val="auto"/>
        </w:rPr>
        <w:t>2.4.</w:t>
      </w:r>
      <w:r>
        <w:rPr>
          <w:sz w:val="20"/>
          <w:szCs w:val="20"/>
          <w:color w:val="auto"/>
        </w:rPr>
        <w:t xml:space="preserve"> </w:t>
      </w:r>
      <w:r>
        <w:rPr>
          <w:rFonts w:ascii="Times New Roman" w:cs="Times New Roman" w:eastAsia="Times New Roman" w:hAnsi="Times New Roman"/>
          <w:sz w:val="18"/>
          <w:szCs w:val="18"/>
          <w:b w:val="1"/>
          <w:bCs w:val="1"/>
          <w:color w:val="auto"/>
        </w:rPr>
        <w:t xml:space="preserve">Resignation of All Other Positions. </w:t>
      </w:r>
      <w:r>
        <w:rPr>
          <w:rFonts w:ascii="Times New Roman" w:cs="Times New Roman" w:eastAsia="Times New Roman" w:hAnsi="Times New Roman"/>
          <w:sz w:val="18"/>
          <w:szCs w:val="18"/>
          <w:color w:val="auto"/>
        </w:rPr>
        <w:t>The 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Managing Director’s services for any reason will be deemed to constitute, without further required action by Managing Director, voluntary resignation by Managing Director, effective on the Termination Date, from all positions that Managing Director holds as an officer or member of the board of directors (or a committee thereof) of the Company or any of its affiliates. At the Board’s request, Managing Director will execute any documents reasonably necessary to reflect such resignation.</w:t>
      </w:r>
    </w:p>
    <w:p>
      <w:pPr>
        <w:spacing w:after="0" w:line="200" w:lineRule="exact"/>
        <w:rPr>
          <w:sz w:val="20"/>
          <w:szCs w:val="20"/>
          <w:color w:val="auto"/>
        </w:rPr>
      </w:pPr>
    </w:p>
    <w:p>
      <w:pPr>
        <w:spacing w:after="0" w:line="203" w:lineRule="exact"/>
        <w:rPr>
          <w:sz w:val="20"/>
          <w:szCs w:val="20"/>
          <w:color w:val="auto"/>
        </w:rPr>
      </w:pPr>
    </w:p>
    <w:p>
      <w:pPr>
        <w:jc w:val="both"/>
        <w:ind w:hanging="781"/>
        <w:spacing w:after="0" w:line="250" w:lineRule="auto"/>
        <w:rPr>
          <w:sz w:val="20"/>
          <w:szCs w:val="20"/>
          <w:color w:val="auto"/>
        </w:rPr>
      </w:pPr>
      <w:r>
        <w:rPr>
          <w:rFonts w:ascii="Times New Roman" w:cs="Times New Roman" w:eastAsia="Times New Roman" w:hAnsi="Times New Roman"/>
          <w:sz w:val="18"/>
          <w:szCs w:val="18"/>
          <w:color w:val="auto"/>
        </w:rPr>
        <w:t>2.5.</w:t>
      </w:r>
      <w:r>
        <w:rPr>
          <w:sz w:val="20"/>
          <w:szCs w:val="20"/>
          <w:color w:val="auto"/>
        </w:rPr>
        <w:t xml:space="preserve"> </w:t>
      </w:r>
      <w:r>
        <w:rPr>
          <w:rFonts w:ascii="Times New Roman" w:cs="Times New Roman" w:eastAsia="Times New Roman" w:hAnsi="Times New Roman"/>
          <w:sz w:val="18"/>
          <w:szCs w:val="18"/>
          <w:b w:val="1"/>
          <w:bCs w:val="1"/>
          <w:color w:val="auto"/>
        </w:rPr>
        <w:t xml:space="preserve">Mitigation. </w:t>
      </w:r>
      <w:r>
        <w:rPr>
          <w:rFonts w:ascii="Times New Roman" w:cs="Times New Roman" w:eastAsia="Times New Roman" w:hAnsi="Times New Roman"/>
          <w:sz w:val="18"/>
          <w:szCs w:val="18"/>
          <w:color w:val="auto"/>
        </w:rPr>
        <w:t>In no event shall Managing Director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obligated to seek employment with a third party or take any other action by way of mitigation of the amounts payable to Managing Director under any of the provisions of this Addendum and any amounts payable pursuant to this Section 2 shall not be reduced by compensation Managing Director earns on account of service with to a third-party employer.</w:t>
      </w:r>
    </w:p>
    <w:p>
      <w:pPr>
        <w:sectPr>
          <w:pgSz w:w="11900" w:h="16838" w:orient="portrait"/>
          <w:cols w:equalWidth="0" w:num="2">
            <w:col w:w="6600" w:space="720"/>
            <w:col w:w="3920"/>
          </w:cols>
          <w:pgMar w:left="320" w:top="980" w:right="339" w:bottom="1440" w:gutter="0" w:footer="0" w:header="0"/>
        </w:sectPr>
      </w:pPr>
    </w:p>
    <w:bookmarkStart w:id="125" w:name="page126"/>
    <w:bookmarkEnd w:id="125"/>
    <w:p>
      <w:pPr>
        <w:ind w:left="800" w:hanging="794"/>
        <w:spacing w:after="0"/>
        <w:tabs>
          <w:tab w:leader="none" w:pos="80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ABSCHLIEßENDER ANSPRUCH</w:t>
      </w:r>
    </w:p>
    <w:p>
      <w:pPr>
        <w:spacing w:after="0" w:line="219" w:lineRule="exact"/>
        <w:rPr>
          <w:rFonts w:ascii="Times New Roman" w:cs="Times New Roman" w:eastAsia="Times New Roman" w:hAnsi="Times New Roman"/>
          <w:sz w:val="18"/>
          <w:szCs w:val="18"/>
          <w:b w:val="1"/>
          <w:bCs w:val="1"/>
          <w:color w:val="auto"/>
        </w:rPr>
      </w:pPr>
    </w:p>
    <w:p>
      <w:pPr>
        <w:jc w:val="both"/>
        <w:ind w:left="800" w:right="1078"/>
        <w:spacing w:after="0" w:line="26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Im Falle eines Change of Control Events sind die Bestimmungen von Abschnitt 2 dieses Ergänzungsvertrags abschließend und treten an die Stelle aller anderen Rechte, auf die der Geschäftsführer im Falle einer berechtigten Kündigung des Geschäftsführers ansonsten Anspruch haben könnte, jedoch unter Ausschluss der Kündigungsfrist gemäß des GF-Vertrags. Unter diesen Umständen hat der Geschäftsführer bei Beendigung seiner Tätigkeit keinen Anspruch auf Leistungen, Entschädigungen oder sonstige Zahlungen oder Rechte, die nicht ausdrücklich in Abschnitt 2.1 festgelegt sind.</w:t>
      </w:r>
    </w:p>
    <w:p>
      <w:pPr>
        <w:spacing w:after="0" w:line="173" w:lineRule="exact"/>
        <w:rPr>
          <w:rFonts w:ascii="Times New Roman" w:cs="Times New Roman" w:eastAsia="Times New Roman" w:hAnsi="Times New Roman"/>
          <w:sz w:val="18"/>
          <w:szCs w:val="18"/>
          <w:b w:val="1"/>
          <w:bCs w:val="1"/>
          <w:color w:val="auto"/>
        </w:rPr>
      </w:pPr>
    </w:p>
    <w:p>
      <w:pPr>
        <w:ind w:left="800" w:right="1078" w:hanging="794"/>
        <w:spacing w:after="0" w:line="276" w:lineRule="auto"/>
        <w:tabs>
          <w:tab w:leader="none" w:pos="80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BEDINGUNGEN FÜR DEN ERHALT DER ABFINDUNGEN</w:t>
      </w:r>
    </w:p>
    <w:p>
      <w:pPr>
        <w:spacing w:after="0" w:line="161" w:lineRule="exact"/>
        <w:rPr>
          <w:rFonts w:ascii="Times New Roman" w:cs="Times New Roman" w:eastAsia="Times New Roman" w:hAnsi="Times New Roman"/>
          <w:sz w:val="18"/>
          <w:szCs w:val="18"/>
          <w:b w:val="1"/>
          <w:bCs w:val="1"/>
          <w:color w:val="auto"/>
        </w:rPr>
      </w:pPr>
    </w:p>
    <w:p>
      <w:pPr>
        <w:jc w:val="both"/>
        <w:ind w:left="800" w:right="1078"/>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Zusätzlich dazu, dass die Erledigungserklärung des Geschäftsführers spätestens mit Ablauf des Erledigungserklärungsausführungszeitraums wirksam und unwiderruflich wird, ist der Anspruch des Geschäftsführers auf die in Abschnitt 2.1 genannten Abfindungen davon abhängig, dass der Geschäftsführer alle folgenden Bedingungen erfüllt:</w:t>
      </w:r>
    </w:p>
    <w:p>
      <w:pPr>
        <w:spacing w:after="0" w:line="185" w:lineRule="exact"/>
        <w:rPr>
          <w:sz w:val="20"/>
          <w:szCs w:val="20"/>
          <w:color w:val="auto"/>
        </w:rPr>
      </w:pPr>
    </w:p>
    <w:p>
      <w:pPr>
        <w:spacing w:after="0"/>
        <w:tabs>
          <w:tab w:leader="none" w:pos="780" w:val="left"/>
          <w:tab w:leader="none" w:pos="2500" w:val="left"/>
          <w:tab w:leader="none" w:pos="338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b w:val="1"/>
          <w:bCs w:val="1"/>
          <w:color w:val="auto"/>
        </w:rPr>
        <w:t>Vertraulichkeit</w:t>
      </w:r>
      <w:r>
        <w:rPr>
          <w:sz w:val="20"/>
          <w:szCs w:val="20"/>
          <w:color w:val="auto"/>
        </w:rPr>
        <w:tab/>
      </w:r>
      <w:r>
        <w:rPr>
          <w:rFonts w:ascii="Times New Roman" w:cs="Times New Roman" w:eastAsia="Times New Roman" w:hAnsi="Times New Roman"/>
          <w:sz w:val="18"/>
          <w:szCs w:val="18"/>
          <w:b w:val="1"/>
          <w:bCs w:val="1"/>
          <w:color w:val="auto"/>
        </w:rPr>
        <w:t>und</w:t>
      </w:r>
      <w:r>
        <w:rPr>
          <w:sz w:val="20"/>
          <w:szCs w:val="20"/>
          <w:color w:val="auto"/>
        </w:rPr>
        <w:tab/>
      </w:r>
      <w:r>
        <w:rPr>
          <w:rFonts w:ascii="Times New Roman" w:cs="Times New Roman" w:eastAsia="Times New Roman" w:hAnsi="Times New Roman"/>
          <w:sz w:val="17"/>
          <w:szCs w:val="17"/>
          <w:b w:val="1"/>
          <w:bCs w:val="1"/>
          <w:color w:val="auto"/>
        </w:rPr>
        <w:t>Eigentumsrechte;</w:t>
      </w:r>
    </w:p>
    <w:p>
      <w:pPr>
        <w:spacing w:after="0" w:line="26" w:lineRule="exact"/>
        <w:rPr>
          <w:sz w:val="20"/>
          <w:szCs w:val="20"/>
          <w:color w:val="auto"/>
        </w:rPr>
      </w:pPr>
    </w:p>
    <w:p>
      <w:pPr>
        <w:ind w:left="800" w:right="1098"/>
        <w:spacing w:after="0" w:line="251" w:lineRule="auto"/>
        <w:rPr>
          <w:sz w:val="20"/>
          <w:szCs w:val="20"/>
          <w:color w:val="auto"/>
        </w:rPr>
      </w:pPr>
      <w:r>
        <w:rPr>
          <w:rFonts w:ascii="Times New Roman" w:cs="Times New Roman" w:eastAsia="Times New Roman" w:hAnsi="Times New Roman"/>
          <w:sz w:val="18"/>
          <w:szCs w:val="18"/>
          <w:b w:val="1"/>
          <w:bCs w:val="1"/>
          <w:color w:val="auto"/>
        </w:rPr>
        <w:t>Abwerbeverbot</w:t>
      </w:r>
      <w:r>
        <w:rPr>
          <w:rFonts w:ascii="Times New Roman" w:cs="Times New Roman" w:eastAsia="Times New Roman" w:hAnsi="Times New Roman"/>
          <w:sz w:val="18"/>
          <w:szCs w:val="18"/>
          <w:color w:val="auto"/>
        </w:rPr>
        <w:t>. Ständige Einhaltung der Abschnitte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 11, 12, 13 und 17 des GF-Vertrags.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347345</wp:posOffset>
            </wp:positionV>
            <wp:extent cx="7134860" cy="165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782" w:hanging="782"/>
        <w:spacing w:after="0"/>
        <w:tabs>
          <w:tab w:leader="none" w:pos="782"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EXCLUSIVE REMEDY</w:t>
      </w:r>
    </w:p>
    <w:p>
      <w:pPr>
        <w:spacing w:after="0" w:line="219" w:lineRule="exact"/>
        <w:rPr>
          <w:rFonts w:ascii="Times New Roman" w:cs="Times New Roman" w:eastAsia="Times New Roman" w:hAnsi="Times New Roman"/>
          <w:sz w:val="18"/>
          <w:szCs w:val="18"/>
          <w:b w:val="1"/>
          <w:bCs w:val="1"/>
          <w:color w:val="auto"/>
        </w:rPr>
      </w:pPr>
    </w:p>
    <w:p>
      <w:pPr>
        <w:jc w:val="both"/>
        <w:ind w:left="782"/>
        <w:spacing w:after="0" w:line="24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of a Change of Control, the provisions of Section 2 of this Addendum are intended to be and are exclusive and in lieu of any other rights or remedies to which Managing Director may otherwise be entitled in the event of Managing Director’s Qualifying Termination, but excluding any notice period under the MD Agreement. In such circumstances, Managing Director shall be entitled to no benefits, compensation or other payments or rights upon termination of services other than those benefits expressly set forth in Section 2.1.</w:t>
      </w:r>
    </w:p>
    <w:p>
      <w:pPr>
        <w:spacing w:after="0" w:line="200" w:lineRule="exact"/>
        <w:rPr>
          <w:rFonts w:ascii="Times New Roman" w:cs="Times New Roman" w:eastAsia="Times New Roman" w:hAnsi="Times New Roman"/>
          <w:sz w:val="18"/>
          <w:szCs w:val="18"/>
          <w:b w:val="1"/>
          <w:bCs w:val="1"/>
          <w:color w:val="auto"/>
        </w:rPr>
      </w:pPr>
    </w:p>
    <w:p>
      <w:pPr>
        <w:spacing w:after="0" w:line="201" w:lineRule="exact"/>
        <w:rPr>
          <w:rFonts w:ascii="Times New Roman" w:cs="Times New Roman" w:eastAsia="Times New Roman" w:hAnsi="Times New Roman"/>
          <w:sz w:val="18"/>
          <w:szCs w:val="18"/>
          <w:b w:val="1"/>
          <w:bCs w:val="1"/>
          <w:color w:val="auto"/>
        </w:rPr>
      </w:pPr>
    </w:p>
    <w:p>
      <w:pPr>
        <w:ind w:left="782" w:hanging="782"/>
        <w:spacing w:after="0" w:line="276" w:lineRule="auto"/>
        <w:tabs>
          <w:tab w:leader="none" w:pos="782"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TO RECEIPT OF SEVERANCE BENEFITS</w:t>
      </w:r>
    </w:p>
    <w:p>
      <w:pPr>
        <w:spacing w:after="0" w:line="161" w:lineRule="exact"/>
        <w:rPr>
          <w:rFonts w:ascii="Times New Roman" w:cs="Times New Roman" w:eastAsia="Times New Roman" w:hAnsi="Times New Roman"/>
          <w:sz w:val="18"/>
          <w:szCs w:val="18"/>
          <w:b w:val="1"/>
          <w:bCs w:val="1"/>
          <w:color w:val="auto"/>
        </w:rPr>
      </w:pPr>
    </w:p>
    <w:p>
      <w:pPr>
        <w:jc w:val="both"/>
        <w:ind w:left="782"/>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addition to Managing Director’s Release becoming effective and irrevocable no later than the expiration of the Release Execution Period, Managing Director’s entitlement to the severance payments and benefits set forth in Section 2.1 shall be subject to Managing Director’s compliance with all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-3782695</wp:posOffset>
            </wp:positionV>
            <wp:extent cx="958850" cy="260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0">
                      <a:extLst>
                        <a:ext uri="{28A0092B-C50C-407E-A947-70E740481C1C}"/>
                      </a:extLst>
                    </a:blip>
                    <a:srcRect/>
                    <a:stretch>
                      <a:fillRect/>
                    </a:stretch>
                  </pic:blipFill>
                  <pic:spPr bwMode="auto">
                    <a:xfrm>
                      <a:off x="0" y="0"/>
                      <a:ext cx="958850" cy="260985"/>
                    </a:xfrm>
                    <a:prstGeom prst="rect">
                      <a:avLst/>
                    </a:prstGeom>
                    <a:noFill/>
                  </pic:spPr>
                </pic:pic>
              </a:graphicData>
            </a:graphic>
          </wp:anchor>
        </w:drawing>
      </w:r>
    </w:p>
    <w:p>
      <w:pPr>
        <w:spacing w:after="0" w:line="375" w:lineRule="exact"/>
        <w:rPr>
          <w:sz w:val="20"/>
          <w:szCs w:val="20"/>
          <w:color w:val="auto"/>
        </w:rPr>
      </w:pPr>
    </w:p>
    <w:p>
      <w:pPr>
        <w:jc w:val="both"/>
        <w:ind w:left="782" w:hanging="781"/>
        <w:spacing w:after="0" w:line="261" w:lineRule="auto"/>
        <w:tabs>
          <w:tab w:leader="none" w:pos="761"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b w:val="1"/>
          <w:bCs w:val="1"/>
          <w:color w:val="auto"/>
        </w:rPr>
        <w:t xml:space="preserve">Confidentiality &amp; Proprietary Rights; Non-Solicitation. </w:t>
      </w:r>
      <w:r>
        <w:rPr>
          <w:rFonts w:ascii="Times New Roman" w:cs="Times New Roman" w:eastAsia="Times New Roman" w:hAnsi="Times New Roman"/>
          <w:sz w:val="18"/>
          <w:szCs w:val="18"/>
          <w:color w:val="auto"/>
        </w:rPr>
        <w:t>Ongoing compliance with Sections 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11, 12, 13 &amp; 17 of the MD Agreement.</w:t>
      </w:r>
    </w:p>
    <w:p>
      <w:pPr>
        <w:sectPr>
          <w:pgSz w:w="11900" w:h="16838" w:orient="portrait"/>
          <w:cols w:equalWidth="0" w:num="2">
            <w:col w:w="5818" w:space="720"/>
            <w:col w:w="4702"/>
          </w:cols>
          <w:pgMar w:left="320" w:top="980" w:right="339" w:bottom="1440" w:gutter="0" w:footer="0" w:header="0"/>
        </w:sectPr>
      </w:pPr>
    </w:p>
    <w:bookmarkStart w:id="126" w:name="page127"/>
    <w:bookmarkEnd w:id="126"/>
    <w:p>
      <w:pPr>
        <w:jc w:val="both"/>
        <w:ind w:right="1860" w:hanging="794"/>
        <w:spacing w:after="0" w:line="248" w:lineRule="auto"/>
        <w:rPr>
          <w:sz w:val="20"/>
          <w:szCs w:val="20"/>
          <w:color w:val="auto"/>
        </w:rPr>
      </w:pPr>
      <w:r>
        <w:rPr>
          <w:rFonts w:ascii="Times New Roman" w:cs="Times New Roman" w:eastAsia="Times New Roman" w:hAnsi="Times New Roman"/>
          <w:sz w:val="18"/>
          <w:szCs w:val="18"/>
          <w:color w:val="auto"/>
        </w:rPr>
        <w:t>4.2.</w:t>
      </w:r>
      <w:r>
        <w:rPr>
          <w:sz w:val="20"/>
          <w:szCs w:val="20"/>
          <w:color w:val="auto"/>
        </w:rPr>
        <w:t xml:space="preserve"> </w:t>
      </w:r>
      <w:r>
        <w:rPr>
          <w:rFonts w:ascii="Times New Roman" w:cs="Times New Roman" w:eastAsia="Times New Roman" w:hAnsi="Times New Roman"/>
          <w:sz w:val="18"/>
          <w:szCs w:val="18"/>
          <w:b w:val="1"/>
          <w:bCs w:val="1"/>
          <w:color w:val="auto"/>
        </w:rPr>
        <w:t>Keine Verunglimpfung</w:t>
      </w:r>
      <w:r>
        <w:rPr>
          <w:rFonts w:ascii="Times New Roman" w:cs="Times New Roman" w:eastAsia="Times New Roman" w:hAnsi="Times New Roman"/>
          <w:sz w:val="18"/>
          <w:szCs w:val="18"/>
          <w:color w:val="auto"/>
        </w:rPr>
        <w:t>. Der Geschäfts-führer stimmt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zu und verpflichtet sich, dass er während des Abfindungszeitraums zu keinem Zeitpunkt verleumderische oder herabwürdigende Bemerkungen, Kommentare oder Aussagen über die Gesellschaft oder ihre Geschäftsbereiche oder über seine Mitarbeiter, leitenden Angestellten, bestehenden und potenziellen Kunden, Lieferanten, Investoren und andere verbundene Dritte macht, veröffentlicht oder an eine Person oder Organisation oder in einem öffentlichen Forum weitergibt.</w:t>
      </w:r>
    </w:p>
    <w:p>
      <w:pPr>
        <w:spacing w:after="0" w:line="193" w:lineRule="exact"/>
        <w:rPr>
          <w:sz w:val="20"/>
          <w:szCs w:val="20"/>
          <w:color w:val="auto"/>
        </w:rPr>
      </w:pPr>
    </w:p>
    <w:p>
      <w:pPr>
        <w:jc w:val="both"/>
        <w:ind w:right="1860" w:hanging="794"/>
        <w:spacing w:after="0" w:line="264" w:lineRule="auto"/>
        <w:rPr>
          <w:sz w:val="20"/>
          <w:szCs w:val="20"/>
          <w:color w:val="auto"/>
        </w:rPr>
      </w:pPr>
      <w:r>
        <w:rPr>
          <w:rFonts w:ascii="Times New Roman" w:cs="Times New Roman" w:eastAsia="Times New Roman" w:hAnsi="Times New Roman"/>
          <w:sz w:val="18"/>
          <w:szCs w:val="18"/>
          <w:color w:val="auto"/>
        </w:rPr>
        <w:t>4.2.1.</w:t>
      </w:r>
      <w:r>
        <w:rPr>
          <w:sz w:val="20"/>
          <w:szCs w:val="20"/>
          <w:color w:val="auto"/>
        </w:rPr>
        <w:t xml:space="preserve"> </w:t>
      </w:r>
      <w:r>
        <w:rPr>
          <w:rFonts w:ascii="Times New Roman" w:cs="Times New Roman" w:eastAsia="Times New Roman" w:hAnsi="Times New Roman"/>
          <w:sz w:val="17"/>
          <w:szCs w:val="17"/>
          <w:color w:val="auto"/>
        </w:rPr>
        <w:t>Dieser Abschnitt 4.2 schränkt den Geschäftsführer in keiner Weise bei der Ausübung geschützter Rechte ein oder behindert ihn daran, soweit auf diese Rechte nicht durch Vereinbarung verzichtet werden kann oder er geltende Gesetze oder Vorschriften oder eine gültige Anordnung eines zuständigen Gerichts oder einer autorisierten Regierungsbehörde einhalten muss, vorausgesetzt, dass diese Einhaltung nicht über das hinausgeht, was das Gesetz, die Vorschrift oder die Anordnung verlangen. Der Geschäftsführer hat den Chief Legal Officer der Gesellschaft unverzüglich schriftlich über eine solche Anordnung zu informieren.</w:t>
      </w:r>
    </w:p>
    <w:p>
      <w:pPr>
        <w:spacing w:after="0" w:line="174" w:lineRule="exact"/>
        <w:rPr>
          <w:sz w:val="20"/>
          <w:szCs w:val="20"/>
          <w:color w:val="auto"/>
        </w:rPr>
      </w:pPr>
    </w:p>
    <w:p>
      <w:pPr>
        <w:jc w:val="both"/>
        <w:ind w:right="1860" w:hanging="794"/>
        <w:spacing w:after="0" w:line="253" w:lineRule="auto"/>
        <w:rPr>
          <w:sz w:val="20"/>
          <w:szCs w:val="20"/>
          <w:color w:val="auto"/>
        </w:rPr>
      </w:pPr>
      <w:r>
        <w:rPr>
          <w:rFonts w:ascii="Times New Roman" w:cs="Times New Roman" w:eastAsia="Times New Roman" w:hAnsi="Times New Roman"/>
          <w:sz w:val="18"/>
          <w:szCs w:val="18"/>
          <w:color w:val="auto"/>
        </w:rPr>
        <w:t>4.3.</w:t>
      </w:r>
      <w:r>
        <w:rPr>
          <w:sz w:val="20"/>
          <w:szCs w:val="20"/>
          <w:color w:val="auto"/>
        </w:rPr>
        <w:t xml:space="preserve"> </w:t>
      </w:r>
      <w:r>
        <w:rPr>
          <w:rFonts w:ascii="Times New Roman" w:cs="Times New Roman" w:eastAsia="Times New Roman" w:hAnsi="Times New Roman"/>
          <w:sz w:val="18"/>
          <w:szCs w:val="18"/>
          <w:b w:val="1"/>
          <w:bCs w:val="1"/>
          <w:color w:val="auto"/>
        </w:rPr>
        <w:t>Fortbestand der Bestimmungen</w:t>
      </w:r>
      <w:r>
        <w:rPr>
          <w:rFonts w:ascii="Times New Roman" w:cs="Times New Roman" w:eastAsia="Times New Roman" w:hAnsi="Times New Roman"/>
          <w:sz w:val="18"/>
          <w:szCs w:val="18"/>
          <w:color w:val="auto"/>
        </w:rPr>
        <w:t>. Die Bestimmungen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dieses Abschnitts 4 gelten auch nach Beendigung oder Ablauf der Tätigkeit des Geschäftsführers für die Gesellschaft und sind auch danach uneingeschränkt durchsetzbar.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346710</wp:posOffset>
            </wp:positionV>
            <wp:extent cx="7134860" cy="165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hanging="781"/>
        <w:spacing w:after="0" w:line="249" w:lineRule="auto"/>
        <w:rPr>
          <w:sz w:val="20"/>
          <w:szCs w:val="20"/>
          <w:color w:val="auto"/>
        </w:rPr>
      </w:pPr>
      <w:r>
        <w:rPr>
          <w:rFonts w:ascii="Times New Roman" w:cs="Times New Roman" w:eastAsia="Times New Roman" w:hAnsi="Times New Roman"/>
          <w:sz w:val="18"/>
          <w:szCs w:val="18"/>
          <w:color w:val="auto"/>
        </w:rPr>
        <w:t>4.2.</w:t>
      </w:r>
      <w:r>
        <w:rPr>
          <w:sz w:val="20"/>
          <w:szCs w:val="20"/>
          <w:color w:val="auto"/>
        </w:rPr>
        <w:t xml:space="preserve"> </w:t>
      </w:r>
      <w:r>
        <w:rPr>
          <w:rFonts w:ascii="Times New Roman" w:cs="Times New Roman" w:eastAsia="Times New Roman" w:hAnsi="Times New Roman"/>
          <w:sz w:val="18"/>
          <w:szCs w:val="18"/>
          <w:b w:val="1"/>
          <w:bCs w:val="1"/>
          <w:color w:val="auto"/>
        </w:rPr>
        <w:t>Non-Disparagement</w:t>
      </w:r>
      <w:r>
        <w:rPr>
          <w:rFonts w:ascii="Times New Roman" w:cs="Times New Roman" w:eastAsia="Times New Roman" w:hAnsi="Times New Roman"/>
          <w:sz w:val="18"/>
          <w:szCs w:val="18"/>
          <w:color w:val="auto"/>
        </w:rPr>
        <w:t>. Managing Director agrees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covenants that Managing Director will not at any time during the Severance Benefit Period make, publish or communicate to any person or entity or in any public forum any defamatory or disparaging remarks, comments or statements concerning the Company or its businesses, or any of its employees, officers, and existing and prospective customers, suppliers, investors and other associated third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1522730</wp:posOffset>
            </wp:positionH>
            <wp:positionV relativeFrom="paragraph">
              <wp:posOffset>-1760855</wp:posOffset>
            </wp:positionV>
            <wp:extent cx="958850" cy="260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2">
                      <a:extLst>
                        <a:ext uri="{28A0092B-C50C-407E-A947-70E740481C1C}"/>
                      </a:extLst>
                    </a:blip>
                    <a:srcRect/>
                    <a:stretch>
                      <a:fillRect/>
                    </a:stretch>
                  </pic:blipFill>
                  <pic:spPr bwMode="auto">
                    <a:xfrm>
                      <a:off x="0" y="0"/>
                      <a:ext cx="958850" cy="26098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jc w:val="both"/>
        <w:ind w:hanging="781"/>
        <w:spacing w:after="0" w:line="265" w:lineRule="auto"/>
        <w:rPr>
          <w:sz w:val="20"/>
          <w:szCs w:val="20"/>
          <w:color w:val="auto"/>
        </w:rPr>
      </w:pPr>
      <w:r>
        <w:rPr>
          <w:rFonts w:ascii="Times New Roman" w:cs="Times New Roman" w:eastAsia="Times New Roman" w:hAnsi="Times New Roman"/>
          <w:sz w:val="18"/>
          <w:szCs w:val="18"/>
          <w:color w:val="auto"/>
        </w:rPr>
        <w:t>4.2.1.</w:t>
      </w:r>
      <w:r>
        <w:rPr>
          <w:sz w:val="20"/>
          <w:szCs w:val="20"/>
          <w:color w:val="auto"/>
        </w:rPr>
        <w:t xml:space="preserve"> </w:t>
      </w:r>
      <w:r>
        <w:rPr>
          <w:rFonts w:ascii="Times New Roman" w:cs="Times New Roman" w:eastAsia="Times New Roman" w:hAnsi="Times New Roman"/>
          <w:sz w:val="17"/>
          <w:szCs w:val="17"/>
          <w:color w:val="auto"/>
        </w:rPr>
        <w:t>This Section 4.2 does not, in any way, restrict or impede Managing Director from exercising protected rights to the extent that such rights cannot be waived by agreement or from complying with any applicable law or regulation or a valid order of a court of competent jurisdiction or an authorized government agency, provided that such compliance does not exceed that required by the law, regulation or order. Managing Director shall promptly provide written notice of any such order to the chief legal officer of the Company.</w:t>
      </w:r>
    </w:p>
    <w:p>
      <w:pPr>
        <w:spacing w:after="0" w:line="200" w:lineRule="exact"/>
        <w:rPr>
          <w:sz w:val="20"/>
          <w:szCs w:val="20"/>
          <w:color w:val="auto"/>
        </w:rPr>
      </w:pPr>
    </w:p>
    <w:p>
      <w:pPr>
        <w:spacing w:after="0" w:line="396" w:lineRule="exact"/>
        <w:rPr>
          <w:sz w:val="20"/>
          <w:szCs w:val="20"/>
          <w:color w:val="auto"/>
        </w:rPr>
      </w:pPr>
    </w:p>
    <w:p>
      <w:pPr>
        <w:jc w:val="both"/>
        <w:ind w:hanging="781"/>
        <w:spacing w:after="0" w:line="256" w:lineRule="auto"/>
        <w:rPr>
          <w:sz w:val="20"/>
          <w:szCs w:val="20"/>
          <w:color w:val="auto"/>
        </w:rPr>
      </w:pPr>
      <w:r>
        <w:rPr>
          <w:rFonts w:ascii="Times New Roman" w:cs="Times New Roman" w:eastAsia="Times New Roman" w:hAnsi="Times New Roman"/>
          <w:sz w:val="18"/>
          <w:szCs w:val="18"/>
          <w:color w:val="auto"/>
        </w:rPr>
        <w:t>4.3.</w:t>
      </w:r>
      <w:r>
        <w:rPr>
          <w:sz w:val="20"/>
          <w:szCs w:val="20"/>
          <w:color w:val="auto"/>
        </w:rPr>
        <w:t xml:space="preserve"> </w:t>
      </w:r>
      <w:r>
        <w:rPr>
          <w:rFonts w:ascii="Times New Roman" w:cs="Times New Roman" w:eastAsia="Times New Roman" w:hAnsi="Times New Roman"/>
          <w:sz w:val="18"/>
          <w:szCs w:val="18"/>
          <w:b w:val="1"/>
          <w:bCs w:val="1"/>
          <w:color w:val="auto"/>
        </w:rPr>
        <w:t>Survival of Provisions</w:t>
      </w:r>
      <w:r>
        <w:rPr>
          <w:rFonts w:ascii="Times New Roman" w:cs="Times New Roman" w:eastAsia="Times New Roman" w:hAnsi="Times New Roman"/>
          <w:sz w:val="18"/>
          <w:szCs w:val="18"/>
          <w:color w:val="auto"/>
        </w:rPr>
        <w:t>. The provisions of this Section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 shall survive the termination or expiration of Managing Director’s services with the Company and shall be fully enforceable thereafter.</w:t>
      </w:r>
    </w:p>
    <w:p>
      <w:pPr>
        <w:sectPr>
          <w:pgSz w:w="11900" w:h="16838" w:orient="portrait"/>
          <w:cols w:equalWidth="0" w:num="2">
            <w:col w:w="5800" w:space="720"/>
            <w:col w:w="3920"/>
          </w:cols>
          <w:pgMar w:left="1120" w:top="980" w:right="339" w:bottom="1440" w:gutter="0" w:footer="0" w:header="0"/>
        </w:sectPr>
      </w:pPr>
    </w:p>
    <w:bookmarkStart w:id="127" w:name="page128"/>
    <w:bookmarkEnd w:id="127"/>
    <w:p>
      <w:pPr>
        <w:spacing w:after="0"/>
        <w:tabs>
          <w:tab w:leader="none" w:pos="780" w:val="left"/>
          <w:tab w:leader="none" w:pos="472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8"/>
          <w:szCs w:val="18"/>
          <w:b w:val="1"/>
          <w:bCs w:val="1"/>
          <w:color w:val="auto"/>
        </w:rPr>
        <w:t>NACHFOLGER</w:t>
      </w:r>
      <w:r>
        <w:rPr>
          <w:sz w:val="20"/>
          <w:szCs w:val="20"/>
          <w:color w:val="auto"/>
        </w:rPr>
        <w:tab/>
      </w:r>
      <w:r>
        <w:rPr>
          <w:rFonts w:ascii="Times New Roman" w:cs="Times New Roman" w:eastAsia="Times New Roman" w:hAnsi="Times New Roman"/>
          <w:sz w:val="17"/>
          <w:szCs w:val="17"/>
          <w:b w:val="1"/>
          <w:bCs w:val="1"/>
          <w:color w:val="auto"/>
        </w:rPr>
        <w:t>21.</w:t>
      </w:r>
    </w:p>
    <w:p>
      <w:pPr>
        <w:spacing w:after="0" w:line="217" w:lineRule="exact"/>
        <w:rPr>
          <w:sz w:val="20"/>
          <w:szCs w:val="20"/>
          <w:color w:val="auto"/>
        </w:rPr>
      </w:pPr>
    </w:p>
    <w:p>
      <w:pPr>
        <w:jc w:val="both"/>
        <w:ind w:left="800" w:right="1078" w:hanging="794"/>
        <w:spacing w:after="0" w:line="263" w:lineRule="auto"/>
        <w:tabs>
          <w:tab w:leader="none" w:pos="78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b w:val="1"/>
          <w:bCs w:val="1"/>
          <w:color w:val="auto"/>
        </w:rPr>
        <w:t xml:space="preserve">Nachfolger der Gesellschaft. </w:t>
      </w:r>
      <w:r>
        <w:rPr>
          <w:rFonts w:ascii="Times New Roman" w:cs="Times New Roman" w:eastAsia="Times New Roman" w:hAnsi="Times New Roman"/>
          <w:sz w:val="17"/>
          <w:szCs w:val="17"/>
          <w:color w:val="auto"/>
        </w:rPr>
        <w:t>Jeder Nachfolger der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Gesellschaft (unabhängig davon, ob direkt oder indirekt und ob durch Kauf, Fusion, Konsolidierung, Liquidation oder anderweitig) für alle oder im Wesentlichen alle Geschäfte und/oder Vermögenswerte der Gesellschaft (ein „Nachfolger“) übernimmt die Verpflichtungen der Gesellschaft aus diesem Ergänzungsvertrag und erklärt sich ausdrücklich damit einverstanden, die Verpflichtungen der Gesellschaft aus diesem Ergänzungsvertrag in der gleichen Weise und im gleichen Umfang zu erfüllen, wie die Gesellschaft diese Verpflichtungen ohne eine Nachfolge zu erfüllen hätte. Für alle Zwecke dieses Ergänzungsvertrags umfasst der Begriff „Gesellschaft" jeden Rechtsnachfolger, der die in diesem Abschnitt 5.1 beschriebene Übernahme-vereinbarung unterzeichnet und zustellt oder der kraft Gesetzes an die Bedingungen dieses Ergänzungsvertrags gebunden ist.</w:t>
      </w:r>
    </w:p>
    <w:p>
      <w:pPr>
        <w:spacing w:after="0" w:line="172" w:lineRule="exact"/>
        <w:rPr>
          <w:sz w:val="20"/>
          <w:szCs w:val="20"/>
          <w:color w:val="auto"/>
        </w:rPr>
      </w:pPr>
    </w:p>
    <w:p>
      <w:pPr>
        <w:jc w:val="both"/>
        <w:ind w:left="800" w:right="1078" w:hanging="794"/>
        <w:spacing w:after="0" w:line="265" w:lineRule="auto"/>
        <w:tabs>
          <w:tab w:leader="none" w:pos="78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b w:val="1"/>
          <w:bCs w:val="1"/>
          <w:color w:val="auto"/>
        </w:rPr>
        <w:t>Nachfolger des Geschäftsführers</w:t>
      </w:r>
      <w:r>
        <w:rPr>
          <w:rFonts w:ascii="Times New Roman" w:cs="Times New Roman" w:eastAsia="Times New Roman" w:hAnsi="Times New Roman"/>
          <w:sz w:val="17"/>
          <w:szCs w:val="17"/>
          <w:color w:val="auto"/>
        </w:rPr>
        <w:t>. Die Bedingungen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dieses Ergänzungsvertrags und alle Rechte des Geschäftsführers gemäß diesem Ergänzungsvertrag kommen den persönlichen oder gesetzlichen Vertretern, Nachlassverwaltern, Nachlasspflegern, Nachfolgern,</w:t>
      </w:r>
    </w:p>
    <w:p>
      <w:pPr>
        <w:spacing w:after="0" w:line="2" w:lineRule="exact"/>
        <w:rPr>
          <w:sz w:val="20"/>
          <w:szCs w:val="20"/>
          <w:color w:val="auto"/>
        </w:rPr>
      </w:pPr>
    </w:p>
    <w:p>
      <w:pPr>
        <w:jc w:val="both"/>
        <w:ind w:left="800" w:right="1098"/>
        <w:spacing w:after="0" w:line="248" w:lineRule="auto"/>
        <w:rPr>
          <w:sz w:val="20"/>
          <w:szCs w:val="20"/>
          <w:color w:val="auto"/>
        </w:rPr>
      </w:pPr>
      <w:r>
        <w:rPr>
          <w:rFonts w:ascii="Times New Roman" w:cs="Times New Roman" w:eastAsia="Times New Roman" w:hAnsi="Times New Roman"/>
          <w:sz w:val="18"/>
          <w:szCs w:val="18"/>
          <w:color w:val="auto"/>
        </w:rPr>
        <w:t>Erben, Miterben, Beschenkten und Vermächtnisnehmern des Geschäftsführers zugute und können von diesen durchgesetzt werden.</w:t>
      </w:r>
    </w:p>
    <w:p>
      <w:pPr>
        <w:spacing w:after="0" w:line="185" w:lineRule="exact"/>
        <w:rPr>
          <w:sz w:val="20"/>
          <w:szCs w:val="20"/>
          <w:color w:val="auto"/>
        </w:rPr>
      </w:pPr>
    </w:p>
    <w:p>
      <w:pPr>
        <w:ind w:left="800" w:hanging="794"/>
        <w:spacing w:after="0"/>
        <w:tabs>
          <w:tab w:leader="none" w:pos="80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 BESTIMMTER BEGRIFFE</w:t>
      </w:r>
    </w:p>
    <w:p>
      <w:pPr>
        <w:spacing w:after="0" w:line="219" w:lineRule="exact"/>
        <w:rPr>
          <w:sz w:val="20"/>
          <w:szCs w:val="20"/>
          <w:color w:val="auto"/>
        </w:rPr>
      </w:pPr>
    </w:p>
    <w:p>
      <w:pPr>
        <w:jc w:val="both"/>
        <w:ind w:left="800" w:right="1078"/>
        <w:spacing w:after="0" w:line="259" w:lineRule="auto"/>
        <w:rPr>
          <w:sz w:val="20"/>
          <w:szCs w:val="20"/>
          <w:color w:val="auto"/>
        </w:rPr>
      </w:pPr>
      <w:r>
        <w:rPr>
          <w:rFonts w:ascii="Times New Roman" w:cs="Times New Roman" w:eastAsia="Times New Roman" w:hAnsi="Times New Roman"/>
          <w:sz w:val="18"/>
          <w:szCs w:val="18"/>
          <w:color w:val="auto"/>
        </w:rPr>
        <w:t>Bestimmte großgeschriebene Begriffe, die in diesem Ergänzungsvertrag nicht anderweitig definiert sind, haben die folgende Bedeutung:</w:t>
      </w:r>
    </w:p>
    <w:p>
      <w:pPr>
        <w:spacing w:after="0" w:line="17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7"/>
          <w:szCs w:val="17"/>
          <w:b w:val="1"/>
          <w:bCs w:val="1"/>
          <w:color w:val="auto"/>
        </w:rPr>
        <w:t xml:space="preserve">„Aufgelaufene Beträge“ </w:t>
      </w:r>
      <w:r>
        <w:rPr>
          <w:rFonts w:ascii="Times New Roman" w:cs="Times New Roman" w:eastAsia="Times New Roman" w:hAnsi="Times New Roman"/>
          <w:sz w:val="17"/>
          <w:szCs w:val="17"/>
          <w:color w:val="auto"/>
        </w:rPr>
        <w:t>bedeutet zusammenfassend:</w:t>
      </w:r>
    </w:p>
    <w:p>
      <w:pPr>
        <w:spacing w:after="0" w:line="219" w:lineRule="exact"/>
        <w:rPr>
          <w:sz w:val="20"/>
          <w:szCs w:val="20"/>
          <w:color w:val="auto"/>
        </w:rPr>
      </w:pPr>
    </w:p>
    <w:p>
      <w:pPr>
        <w:jc w:val="both"/>
        <w:ind w:left="800" w:right="1078" w:hanging="794"/>
        <w:spacing w:after="0" w:line="251" w:lineRule="auto"/>
        <w:tabs>
          <w:tab w:leader="none" w:pos="780" w:val="left"/>
        </w:tabs>
        <w:rPr>
          <w:sz w:val="20"/>
          <w:szCs w:val="20"/>
          <w:color w:val="auto"/>
        </w:rPr>
      </w:pPr>
      <w:r>
        <w:rPr>
          <w:rFonts w:ascii="Times New Roman" w:cs="Times New Roman" w:eastAsia="Times New Roman" w:hAnsi="Times New Roman"/>
          <w:sz w:val="18"/>
          <w:szCs w:val="18"/>
          <w:color w:val="auto"/>
        </w:rPr>
        <w:t>6.1.1.</w:t>
      </w:r>
      <w:r>
        <w:rPr>
          <w:sz w:val="20"/>
          <w:szCs w:val="20"/>
          <w:color w:val="auto"/>
        </w:rPr>
        <w:tab/>
      </w:r>
      <w:r>
        <w:rPr>
          <w:rFonts w:ascii="Times New Roman" w:cs="Times New Roman" w:eastAsia="Times New Roman" w:hAnsi="Times New Roman"/>
          <w:sz w:val="18"/>
          <w:szCs w:val="18"/>
          <w:color w:val="auto"/>
        </w:rPr>
        <w:t>jegliches aufgelaufene, aber nicht ausgezahlte Grundgehalt, das anteilig auf das Kündigungsdatum entfällt, und aufgelaufener, aber nicht in Anspruch genommener Urlaub, die beide am Kündigungsdatum gemäß den üblichen Gehaltsabrechnungsverfahren der Gesellschaft ausgezahlt werden;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347980</wp:posOffset>
            </wp:positionV>
            <wp:extent cx="7134860" cy="165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782" w:hanging="782"/>
        <w:spacing w:after="0"/>
        <w:tabs>
          <w:tab w:leader="none" w:pos="782"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SUCCESSORS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-664845</wp:posOffset>
            </wp:positionV>
            <wp:extent cx="958850" cy="2609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4">
                      <a:extLst>
                        <a:ext uri="{28A0092B-C50C-407E-A947-70E740481C1C}"/>
                      </a:extLst>
                    </a:blip>
                    <a:srcRect/>
                    <a:stretch>
                      <a:fillRect/>
                    </a:stretch>
                  </pic:blipFill>
                  <pic:spPr bwMode="auto">
                    <a:xfrm>
                      <a:off x="0" y="0"/>
                      <a:ext cx="958850" cy="260985"/>
                    </a:xfrm>
                    <a:prstGeom prst="rect">
                      <a:avLst/>
                    </a:prstGeom>
                    <a:noFill/>
                  </pic:spPr>
                </pic:pic>
              </a:graphicData>
            </a:graphic>
          </wp:anchor>
        </w:drawing>
      </w:r>
    </w:p>
    <w:p>
      <w:pPr>
        <w:spacing w:after="0" w:line="197" w:lineRule="exact"/>
        <w:rPr>
          <w:sz w:val="20"/>
          <w:szCs w:val="20"/>
          <w:color w:val="auto"/>
        </w:rPr>
      </w:pPr>
    </w:p>
    <w:p>
      <w:pPr>
        <w:jc w:val="both"/>
        <w:ind w:left="782" w:hanging="781"/>
        <w:spacing w:after="0" w:line="263" w:lineRule="auto"/>
        <w:tabs>
          <w:tab w:leader="none" w:pos="761"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b w:val="1"/>
          <w:bCs w:val="1"/>
          <w:color w:val="auto"/>
        </w:rPr>
        <w:t>Company’s Successors</w:t>
      </w:r>
      <w:r>
        <w:rPr>
          <w:rFonts w:ascii="Times New Roman" w:cs="Times New Roman" w:eastAsia="Times New Roman" w:hAnsi="Times New Roman"/>
          <w:sz w:val="17"/>
          <w:szCs w:val="17"/>
          <w:color w:val="auto"/>
        </w:rPr>
        <w:t>. Any successor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(whether direct or indirect and whether by purchase, merger, consolidation, liquidation or otherwise) to all or substantially all of the Company’s business and/or assets (a “Successor”) shall assume the Company’s obligations under this Addendum and agree expressly to perform the Company’s obligations under this Addendum in the same manner and to the same extent as the Company would be required to perform such obligations in the absence of a succession. For all purposes under this Addendum, the term “Company” shall include any Successor which executes and delivers the assumption agreement described in this Section 5.1 or which becomes bound by the terms of this Addendum by operation of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left="782" w:hanging="781"/>
        <w:spacing w:after="0" w:line="251" w:lineRule="auto"/>
        <w:tabs>
          <w:tab w:leader="none" w:pos="761"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b w:val="1"/>
          <w:bCs w:val="1"/>
          <w:color w:val="auto"/>
        </w:rPr>
        <w:t>Managing Director’s Successors</w:t>
      </w:r>
      <w:r>
        <w:rPr>
          <w:rFonts w:ascii="Times New Roman" w:cs="Times New Roman" w:eastAsia="Times New Roman" w:hAnsi="Times New Roman"/>
          <w:sz w:val="18"/>
          <w:szCs w:val="18"/>
          <w:color w:val="auto"/>
        </w:rPr>
        <w:t>. The terms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Addendum and all rights of Managing Director hereunder shall inure to the benefit of, and be enforceable by, Managing Director’s personal or legal representatives, executors, administrators, successors, heirs, distributees, devisees and legatees.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782" w:hanging="782"/>
        <w:spacing w:after="0"/>
        <w:tabs>
          <w:tab w:leader="none" w:pos="782"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 OF CERTAIN TERMS</w:t>
      </w:r>
    </w:p>
    <w:p>
      <w:pPr>
        <w:spacing w:after="0" w:line="219" w:lineRule="exact"/>
        <w:rPr>
          <w:rFonts w:ascii="Times New Roman" w:cs="Times New Roman" w:eastAsia="Times New Roman" w:hAnsi="Times New Roman"/>
          <w:sz w:val="18"/>
          <w:szCs w:val="18"/>
          <w:b w:val="1"/>
          <w:bCs w:val="1"/>
          <w:color w:val="auto"/>
        </w:rPr>
      </w:pPr>
    </w:p>
    <w:p>
      <w:pPr>
        <w:ind w:left="782"/>
        <w:spacing w:after="0" w:line="27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Certain capitalized terms not otherwise defined by this Addendum shall have the following meanings:</w:t>
      </w:r>
    </w:p>
    <w:p>
      <w:pPr>
        <w:spacing w:after="0" w:line="373" w:lineRule="exact"/>
        <w:rPr>
          <w:sz w:val="20"/>
          <w:szCs w:val="20"/>
          <w:color w:val="auto"/>
        </w:rPr>
      </w:pPr>
    </w:p>
    <w:p>
      <w:pPr>
        <w:ind w:left="2"/>
        <w:spacing w:after="0"/>
        <w:tabs>
          <w:tab w:leader="none" w:pos="761"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7"/>
          <w:szCs w:val="17"/>
          <w:b w:val="1"/>
          <w:bCs w:val="1"/>
          <w:color w:val="auto"/>
        </w:rPr>
        <w:t xml:space="preserve">Accrued Amounts” </w:t>
      </w:r>
      <w:r>
        <w:rPr>
          <w:rFonts w:ascii="Times New Roman" w:cs="Times New Roman" w:eastAsia="Times New Roman" w:hAnsi="Times New Roman"/>
          <w:sz w:val="17"/>
          <w:szCs w:val="17"/>
          <w:color w:val="auto"/>
        </w:rPr>
        <w:t>mean, collectively:</w:t>
      </w:r>
    </w:p>
    <w:p>
      <w:pPr>
        <w:spacing w:after="0" w:line="219" w:lineRule="exact"/>
        <w:rPr>
          <w:sz w:val="20"/>
          <w:szCs w:val="20"/>
          <w:color w:val="auto"/>
        </w:rPr>
      </w:pPr>
    </w:p>
    <w:p>
      <w:pPr>
        <w:jc w:val="both"/>
        <w:ind w:left="782" w:hanging="781"/>
        <w:spacing w:after="0" w:line="252" w:lineRule="auto"/>
        <w:tabs>
          <w:tab w:leader="none" w:pos="761" w:val="left"/>
        </w:tabs>
        <w:rPr>
          <w:sz w:val="20"/>
          <w:szCs w:val="20"/>
          <w:color w:val="auto"/>
        </w:rPr>
      </w:pPr>
      <w:r>
        <w:rPr>
          <w:rFonts w:ascii="Times New Roman" w:cs="Times New Roman" w:eastAsia="Times New Roman" w:hAnsi="Times New Roman"/>
          <w:sz w:val="18"/>
          <w:szCs w:val="18"/>
          <w:color w:val="auto"/>
        </w:rPr>
        <w:t>6.1.1.</w:t>
      </w:r>
      <w:r>
        <w:rPr>
          <w:sz w:val="20"/>
          <w:szCs w:val="20"/>
          <w:color w:val="auto"/>
        </w:rPr>
        <w:tab/>
      </w:r>
      <w:r>
        <w:rPr>
          <w:rFonts w:ascii="Times New Roman" w:cs="Times New Roman" w:eastAsia="Times New Roman" w:hAnsi="Times New Roman"/>
          <w:sz w:val="18"/>
          <w:szCs w:val="18"/>
          <w:color w:val="auto"/>
        </w:rPr>
        <w:t>any accrued but unpaid Base Salary prorated to the Termination Date and accrued but unused vacation, both of which shall be paid on the Termination Date in accordance with the Company’s customary payroll procedures;</w:t>
      </w:r>
    </w:p>
    <w:p>
      <w:pPr>
        <w:sectPr>
          <w:pgSz w:w="11900" w:h="16838" w:orient="portrait"/>
          <w:cols w:equalWidth="0" w:num="2">
            <w:col w:w="5818" w:space="720"/>
            <w:col w:w="4702"/>
          </w:cols>
          <w:pgMar w:left="320" w:top="980" w:right="339" w:bottom="1440" w:gutter="0" w:footer="0" w:header="0"/>
        </w:sectPr>
      </w:pPr>
    </w:p>
    <w:bookmarkStart w:id="128" w:name="page129"/>
    <w:bookmarkEnd w:id="128"/>
    <w:p>
      <w:pPr>
        <w:jc w:val="both"/>
        <w:ind w:right="1860" w:hanging="794"/>
        <w:spacing w:after="0" w:line="255" w:lineRule="auto"/>
        <w:rPr>
          <w:sz w:val="20"/>
          <w:szCs w:val="20"/>
          <w:color w:val="auto"/>
        </w:rPr>
      </w:pPr>
      <w:r>
        <w:rPr>
          <w:rFonts w:ascii="Times New Roman" w:cs="Times New Roman" w:eastAsia="Times New Roman" w:hAnsi="Times New Roman"/>
          <w:sz w:val="18"/>
          <w:szCs w:val="18"/>
          <w:color w:val="auto"/>
        </w:rPr>
        <w:t>6.1.2.</w:t>
      </w:r>
      <w:r>
        <w:rPr>
          <w:sz w:val="20"/>
          <w:szCs w:val="20"/>
          <w:color w:val="auto"/>
        </w:rPr>
        <w:t xml:space="preserve"> </w:t>
      </w:r>
      <w:r>
        <w:rPr>
          <w:rFonts w:ascii="Times New Roman" w:cs="Times New Roman" w:eastAsia="Times New Roman" w:hAnsi="Times New Roman"/>
          <w:sz w:val="18"/>
          <w:szCs w:val="18"/>
          <w:color w:val="auto"/>
        </w:rPr>
        <w:t>Erstattung bisher nicht erstatteter Geschäftsausgaben, die dem Geschäftsführer ordnungsgemäß entstanden sind und die der Spesenrichtlinie der Gesellschaft unterliegen und gemäß dieser bezahlt werden; und</w:t>
      </w:r>
    </w:p>
    <w:p>
      <w:pPr>
        <w:spacing w:after="0" w:line="180" w:lineRule="exact"/>
        <w:rPr>
          <w:sz w:val="20"/>
          <w:szCs w:val="20"/>
          <w:color w:val="auto"/>
        </w:rPr>
      </w:pPr>
    </w:p>
    <w:p>
      <w:pPr>
        <w:jc w:val="both"/>
        <w:ind w:right="1860" w:hanging="794"/>
        <w:spacing w:after="0" w:line="259" w:lineRule="auto"/>
        <w:rPr>
          <w:sz w:val="20"/>
          <w:szCs w:val="20"/>
          <w:color w:val="auto"/>
        </w:rPr>
      </w:pPr>
      <w:r>
        <w:rPr>
          <w:rFonts w:ascii="Times New Roman" w:cs="Times New Roman" w:eastAsia="Times New Roman" w:hAnsi="Times New Roman"/>
          <w:sz w:val="18"/>
          <w:szCs w:val="18"/>
          <w:color w:val="auto"/>
        </w:rPr>
        <w:t>6.1.3.</w:t>
      </w:r>
      <w:r>
        <w:rPr>
          <w:sz w:val="20"/>
          <w:szCs w:val="20"/>
          <w:color w:val="auto"/>
        </w:rPr>
        <w:t xml:space="preserve"> </w:t>
      </w:r>
      <w:r>
        <w:rPr>
          <w:rFonts w:ascii="Times New Roman" w:cs="Times New Roman" w:eastAsia="Times New Roman" w:hAnsi="Times New Roman"/>
          <w:sz w:val="18"/>
          <w:szCs w:val="18"/>
          <w:color w:val="auto"/>
        </w:rPr>
        <w:t>etwaige Leistungen, auf die der Geschäftsführer zum Kündigungsdatum gemäß dem GF-Vertrag Anspruch hat.</w:t>
      </w:r>
    </w:p>
    <w:p>
      <w:pPr>
        <w:spacing w:after="0" w:line="176" w:lineRule="exact"/>
        <w:rPr>
          <w:sz w:val="20"/>
          <w:szCs w:val="20"/>
          <w:color w:val="auto"/>
        </w:rPr>
      </w:pPr>
    </w:p>
    <w:p>
      <w:pPr>
        <w:jc w:val="both"/>
        <w:ind w:right="1860" w:hanging="794"/>
        <w:spacing w:after="0" w:line="253" w:lineRule="auto"/>
        <w:rPr>
          <w:sz w:val="20"/>
          <w:szCs w:val="20"/>
          <w:color w:val="auto"/>
        </w:rPr>
      </w:pPr>
      <w:r>
        <w:rPr>
          <w:rFonts w:ascii="Times New Roman" w:cs="Times New Roman" w:eastAsia="Times New Roman" w:hAnsi="Times New Roman"/>
          <w:sz w:val="18"/>
          <w:szCs w:val="18"/>
          <w:color w:val="auto"/>
        </w:rPr>
        <w:t>6.2.</w:t>
      </w:r>
      <w:r>
        <w:rPr>
          <w:sz w:val="20"/>
          <w:szCs w:val="20"/>
          <w:color w:val="auto"/>
        </w:rPr>
        <w:t xml:space="preserve"> </w:t>
      </w:r>
      <w:r>
        <w:rPr>
          <w:rFonts w:ascii="Times New Roman" w:cs="Times New Roman" w:eastAsia="Times New Roman" w:hAnsi="Times New Roman"/>
          <w:sz w:val="18"/>
          <w:szCs w:val="18"/>
          <w:b w:val="1"/>
          <w:bCs w:val="1"/>
          <w:color w:val="auto"/>
        </w:rPr>
        <w:t xml:space="preserve">„Grundgehalt“ </w:t>
      </w:r>
      <w:r>
        <w:rPr>
          <w:rFonts w:ascii="Times New Roman" w:cs="Times New Roman" w:eastAsia="Times New Roman" w:hAnsi="Times New Roman"/>
          <w:sz w:val="18"/>
          <w:szCs w:val="18"/>
          <w:color w:val="auto"/>
        </w:rPr>
        <w:t>bezeichnet das jährliche Grundgehalt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 Geschäftsführers zu dem unmittelbar vor dem Kündigungsdatum geltenden Satz (unabhängig von einer Kürzung des Grundgehalts, die einen Guten Grund darstellen würde).</w:t>
      </w:r>
    </w:p>
    <w:p>
      <w:pPr>
        <w:spacing w:after="0" w:line="181" w:lineRule="exact"/>
        <w:rPr>
          <w:sz w:val="20"/>
          <w:szCs w:val="20"/>
          <w:color w:val="auto"/>
        </w:rPr>
      </w:pPr>
    </w:p>
    <w:p>
      <w:pPr>
        <w:jc w:val="both"/>
        <w:ind w:right="1880" w:hanging="794"/>
        <w:spacing w:after="0" w:line="276" w:lineRule="auto"/>
        <w:rPr>
          <w:sz w:val="20"/>
          <w:szCs w:val="20"/>
          <w:color w:val="auto"/>
        </w:rPr>
      </w:pPr>
      <w:r>
        <w:rPr>
          <w:rFonts w:ascii="Times New Roman" w:cs="Times New Roman" w:eastAsia="Times New Roman" w:hAnsi="Times New Roman"/>
          <w:sz w:val="18"/>
          <w:szCs w:val="18"/>
          <w:color w:val="auto"/>
        </w:rPr>
        <w:t>6.3.</w:t>
      </w:r>
      <w:r>
        <w:rPr>
          <w:sz w:val="20"/>
          <w:szCs w:val="20"/>
          <w:color w:val="auto"/>
        </w:rPr>
        <w:t xml:space="preserve"> </w:t>
      </w:r>
      <w:r>
        <w:rPr>
          <w:rFonts w:ascii="Times New Roman" w:cs="Times New Roman" w:eastAsia="Times New Roman" w:hAnsi="Times New Roman"/>
          <w:sz w:val="18"/>
          <w:szCs w:val="18"/>
          <w:b w:val="1"/>
          <w:bCs w:val="1"/>
          <w:color w:val="auto"/>
        </w:rPr>
        <w:t xml:space="preserve">„Wichtiger Grund“ </w:t>
      </w:r>
      <w:r>
        <w:rPr>
          <w:rFonts w:ascii="Times New Roman" w:cs="Times New Roman" w:eastAsia="Times New Roman" w:hAnsi="Times New Roman"/>
          <w:sz w:val="18"/>
          <w:szCs w:val="18"/>
          <w:color w:val="auto"/>
        </w:rPr>
        <w:t>bedeutet „Wichtiger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Grund“ gemäß § 626 BGB.</w:t>
      </w:r>
    </w:p>
    <w:p>
      <w:pPr>
        <w:spacing w:after="0" w:line="160" w:lineRule="exact"/>
        <w:rPr>
          <w:sz w:val="20"/>
          <w:szCs w:val="20"/>
          <w:color w:val="auto"/>
        </w:rPr>
      </w:pPr>
    </w:p>
    <w:p>
      <w:pPr>
        <w:jc w:val="both"/>
        <w:ind w:right="1860" w:hanging="794"/>
        <w:spacing w:after="0" w:line="261" w:lineRule="auto"/>
        <w:rPr>
          <w:sz w:val="20"/>
          <w:szCs w:val="20"/>
          <w:color w:val="auto"/>
        </w:rPr>
      </w:pPr>
      <w:r>
        <w:rPr>
          <w:rFonts w:ascii="Times New Roman" w:cs="Times New Roman" w:eastAsia="Times New Roman" w:hAnsi="Times New Roman"/>
          <w:sz w:val="18"/>
          <w:szCs w:val="18"/>
          <w:color w:val="auto"/>
        </w:rPr>
        <w:t>6.4.</w:t>
      </w:r>
      <w:r>
        <w:rPr>
          <w:sz w:val="20"/>
          <w:szCs w:val="20"/>
          <w:color w:val="auto"/>
        </w:rPr>
        <w:t xml:space="preserve"> </w:t>
      </w:r>
      <w:r>
        <w:rPr>
          <w:rFonts w:ascii="Times New Roman" w:cs="Times New Roman" w:eastAsia="Times New Roman" w:hAnsi="Times New Roman"/>
          <w:sz w:val="18"/>
          <w:szCs w:val="18"/>
          <w:b w:val="1"/>
          <w:bCs w:val="1"/>
          <w:color w:val="auto"/>
        </w:rPr>
        <w:t xml:space="preserve">„Change of Control Event" </w:t>
      </w:r>
      <w:r>
        <w:rPr>
          <w:rFonts w:ascii="Times New Roman" w:cs="Times New Roman" w:eastAsia="Times New Roman" w:hAnsi="Times New Roman"/>
          <w:sz w:val="18"/>
          <w:szCs w:val="18"/>
          <w:color w:val="auto"/>
        </w:rPr>
        <w:t>bedeutet das Eintreten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eines der folgenden Ereignisse nach dem Datum des Inkrafttretens in Bezug auf Cohu, Inc. (“Cohu"):</w:t>
      </w:r>
    </w:p>
    <w:p>
      <w:pPr>
        <w:spacing w:after="0" w:line="175" w:lineRule="exact"/>
        <w:rPr>
          <w:sz w:val="20"/>
          <w:szCs w:val="20"/>
          <w:color w:val="auto"/>
        </w:rPr>
      </w:pPr>
    </w:p>
    <w:p>
      <w:pPr>
        <w:jc w:val="both"/>
        <w:ind w:right="1860" w:hanging="794"/>
        <w:spacing w:after="0" w:line="249" w:lineRule="auto"/>
        <w:rPr>
          <w:sz w:val="20"/>
          <w:szCs w:val="20"/>
          <w:color w:val="auto"/>
        </w:rPr>
      </w:pPr>
      <w:r>
        <w:rPr>
          <w:rFonts w:ascii="Times New Roman" w:cs="Times New Roman" w:eastAsia="Times New Roman" w:hAnsi="Times New Roman"/>
          <w:sz w:val="18"/>
          <w:szCs w:val="18"/>
          <w:color w:val="auto"/>
        </w:rPr>
        <w:t>6.4.1.</w:t>
      </w:r>
      <w:r>
        <w:rPr>
          <w:sz w:val="20"/>
          <w:szCs w:val="20"/>
          <w:color w:val="auto"/>
        </w:rPr>
        <w:t xml:space="preserve"> </w:t>
      </w:r>
      <w:r>
        <w:rPr>
          <w:rFonts w:ascii="Times New Roman" w:cs="Times New Roman" w:eastAsia="Times New Roman" w:hAnsi="Times New Roman"/>
          <w:sz w:val="18"/>
          <w:szCs w:val="18"/>
          <w:color w:val="auto"/>
        </w:rPr>
        <w:t>Eine Person oder mehrere Personen, die als Gruppe handeln (eine „Person“), erwerben Eigentum an Wertpapieren von Cohu, die zusammen mit den von dieser Person gehaltenen Aktien mehr als fünfzig Prozent (50%) der gesamten Stimmrechte der zu diesem Zeitpunkt ausstehenden Aktien von Cohu ausmachen. Der Begriff „Person“ umfasst jede</w:t>
      </w:r>
    </w:p>
    <w:p>
      <w:pPr>
        <w:jc w:val="both"/>
        <w:ind w:right="1860"/>
        <w:spacing w:after="0" w:line="246" w:lineRule="auto"/>
        <w:rPr>
          <w:sz w:val="20"/>
          <w:szCs w:val="20"/>
          <w:color w:val="auto"/>
        </w:rPr>
      </w:pPr>
      <w:r>
        <w:rPr>
          <w:rFonts w:ascii="Times New Roman" w:cs="Times New Roman" w:eastAsia="Times New Roman" w:hAnsi="Times New Roman"/>
          <w:sz w:val="18"/>
          <w:szCs w:val="18"/>
          <w:color w:val="auto"/>
        </w:rPr>
        <w:t>natürliche Person, Kapitalgesellschaft, Personengesellschaft, Treuhandgesellschaft oder Vereinigung oder jede Gruppe oder Kombination davon, deren Eigentum an den Wertpapieren von Cohu gemäß § 13(D) des Securities Exchange Act von 1934 in der jeweils gültigen Fassung oder einer ähnlichen Nachfolgeregelung oder -vorschrift gemeldet werden müsste. Für die Zwecke dieser Klausel (i) gilt, dass, wenn davon ausgegangen wird, dass eine Person die tatsächliche Kontrolle über Cohu ausübt, der Erwerb zusätzlicher Kontrolle über Cohu durch dieselbe Person nicht als Kontrollwechsel gilt;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351790</wp:posOffset>
            </wp:positionV>
            <wp:extent cx="713486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hanging="781"/>
        <w:spacing w:after="0" w:line="255" w:lineRule="auto"/>
        <w:rPr>
          <w:sz w:val="20"/>
          <w:szCs w:val="20"/>
          <w:color w:val="auto"/>
        </w:rPr>
      </w:pPr>
      <w:r>
        <w:rPr>
          <w:rFonts w:ascii="Times New Roman" w:cs="Times New Roman" w:eastAsia="Times New Roman" w:hAnsi="Times New Roman"/>
          <w:sz w:val="18"/>
          <w:szCs w:val="18"/>
          <w:color w:val="auto"/>
        </w:rPr>
        <w:t>6.1.2.</w:t>
      </w:r>
      <w:r>
        <w:rPr>
          <w:sz w:val="20"/>
          <w:szCs w:val="20"/>
          <w:color w:val="auto"/>
        </w:rPr>
        <w:t xml:space="preserve"> </w:t>
      </w:r>
      <w:r>
        <w:rPr>
          <w:rFonts w:ascii="Times New Roman" w:cs="Times New Roman" w:eastAsia="Times New Roman" w:hAnsi="Times New Roman"/>
          <w:sz w:val="18"/>
          <w:szCs w:val="18"/>
          <w:color w:val="auto"/>
        </w:rPr>
        <w:t>reimbursement of unreimbursed business expenses properly incurred by Managing Director, which shall be subject to, and paid in accordance with, the Company’s expense reimbursement policy;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1522730</wp:posOffset>
            </wp:positionH>
            <wp:positionV relativeFrom="paragraph">
              <wp:posOffset>-1093470</wp:posOffset>
            </wp:positionV>
            <wp:extent cx="958850" cy="260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6">
                      <a:extLst>
                        <a:ext uri="{28A0092B-C50C-407E-A947-70E740481C1C}"/>
                      </a:extLst>
                    </a:blip>
                    <a:srcRect/>
                    <a:stretch>
                      <a:fillRect/>
                    </a:stretch>
                  </pic:blipFill>
                  <pic:spPr bwMode="auto">
                    <a:xfrm>
                      <a:off x="0" y="0"/>
                      <a:ext cx="958850" cy="260985"/>
                    </a:xfrm>
                    <a:prstGeom prst="rect">
                      <a:avLst/>
                    </a:prstGeom>
                    <a:noFill/>
                  </pic:spPr>
                </pic:pic>
              </a:graphicData>
            </a:graphic>
          </wp:anchor>
        </w:drawing>
      </w:r>
    </w:p>
    <w:p>
      <w:pPr>
        <w:spacing w:after="0" w:line="160" w:lineRule="exact"/>
        <w:rPr>
          <w:sz w:val="20"/>
          <w:szCs w:val="20"/>
          <w:color w:val="auto"/>
        </w:rPr>
      </w:pPr>
    </w:p>
    <w:p>
      <w:pPr>
        <w:jc w:val="both"/>
        <w:ind w:hanging="781"/>
        <w:spacing w:after="0" w:line="259" w:lineRule="auto"/>
        <w:rPr>
          <w:sz w:val="20"/>
          <w:szCs w:val="20"/>
          <w:color w:val="auto"/>
        </w:rPr>
      </w:pPr>
      <w:r>
        <w:rPr>
          <w:rFonts w:ascii="Times New Roman" w:cs="Times New Roman" w:eastAsia="Times New Roman" w:hAnsi="Times New Roman"/>
          <w:sz w:val="18"/>
          <w:szCs w:val="18"/>
          <w:color w:val="auto"/>
        </w:rPr>
        <w:t>6.1.3.</w:t>
      </w:r>
      <w:r>
        <w:rPr>
          <w:sz w:val="20"/>
          <w:szCs w:val="20"/>
          <w:color w:val="auto"/>
        </w:rPr>
        <w:t xml:space="preserve"> </w:t>
      </w:r>
      <w:r>
        <w:rPr>
          <w:rFonts w:ascii="Times New Roman" w:cs="Times New Roman" w:eastAsia="Times New Roman" w:hAnsi="Times New Roman"/>
          <w:sz w:val="18"/>
          <w:szCs w:val="18"/>
          <w:color w:val="auto"/>
        </w:rPr>
        <w:t>such benefits if any, to which Managing Director may be entitled under the MD Agreement as of the Termination Date.</w:t>
      </w:r>
    </w:p>
    <w:p>
      <w:pPr>
        <w:spacing w:after="0" w:line="176" w:lineRule="exact"/>
        <w:rPr>
          <w:sz w:val="20"/>
          <w:szCs w:val="20"/>
          <w:color w:val="auto"/>
        </w:rPr>
      </w:pPr>
    </w:p>
    <w:p>
      <w:pPr>
        <w:jc w:val="both"/>
        <w:ind w:hanging="781"/>
        <w:spacing w:after="0" w:line="256" w:lineRule="auto"/>
        <w:rPr>
          <w:sz w:val="20"/>
          <w:szCs w:val="20"/>
          <w:color w:val="auto"/>
        </w:rPr>
      </w:pPr>
      <w:r>
        <w:rPr>
          <w:rFonts w:ascii="Times New Roman" w:cs="Times New Roman" w:eastAsia="Times New Roman" w:hAnsi="Times New Roman"/>
          <w:sz w:val="18"/>
          <w:szCs w:val="18"/>
          <w:color w:val="auto"/>
        </w:rPr>
        <w:t>6.2.</w:t>
      </w:r>
      <w:r>
        <w:rPr>
          <w:sz w:val="20"/>
          <w:szCs w:val="20"/>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Base Salary</w:t>
      </w:r>
      <w:r>
        <w:rPr>
          <w:rFonts w:ascii="Times New Roman" w:cs="Times New Roman" w:eastAsia="Times New Roman" w:hAnsi="Times New Roman"/>
          <w:sz w:val="18"/>
          <w:szCs w:val="18"/>
          <w:color w:val="auto"/>
        </w:rPr>
        <w:t>” means Managing Director’s annual base salary at the rate in effect immediately prior to the Termination Date (disregarding any reduction in Base Salary that would constitute Good Reason).</w:t>
      </w:r>
    </w:p>
    <w:p>
      <w:pPr>
        <w:spacing w:after="0" w:line="389" w:lineRule="exact"/>
        <w:rPr>
          <w:sz w:val="20"/>
          <w:szCs w:val="20"/>
          <w:color w:val="auto"/>
        </w:rPr>
      </w:pPr>
    </w:p>
    <w:p>
      <w:pPr>
        <w:jc w:val="both"/>
        <w:ind w:hanging="781"/>
        <w:spacing w:after="0" w:line="276" w:lineRule="auto"/>
        <w:rPr>
          <w:sz w:val="20"/>
          <w:szCs w:val="20"/>
          <w:color w:val="auto"/>
        </w:rPr>
      </w:pPr>
      <w:r>
        <w:rPr>
          <w:rFonts w:ascii="Times New Roman" w:cs="Times New Roman" w:eastAsia="Times New Roman" w:hAnsi="Times New Roman"/>
          <w:sz w:val="18"/>
          <w:szCs w:val="18"/>
          <w:color w:val="auto"/>
        </w:rPr>
        <w:t>6.3.</w:t>
      </w:r>
      <w:r>
        <w:rPr>
          <w:sz w:val="20"/>
          <w:szCs w:val="20"/>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means “important cause” in accordance with sec. 626 German Civil Code (BGB).</w:t>
      </w:r>
    </w:p>
    <w:p>
      <w:pPr>
        <w:spacing w:after="0" w:line="160" w:lineRule="exact"/>
        <w:rPr>
          <w:sz w:val="20"/>
          <w:szCs w:val="20"/>
          <w:color w:val="auto"/>
        </w:rPr>
      </w:pPr>
    </w:p>
    <w:p>
      <w:pPr>
        <w:jc w:val="both"/>
        <w:ind w:hanging="781"/>
        <w:spacing w:after="0" w:line="261" w:lineRule="auto"/>
        <w:rPr>
          <w:sz w:val="20"/>
          <w:szCs w:val="20"/>
          <w:color w:val="auto"/>
        </w:rPr>
      </w:pPr>
      <w:r>
        <w:rPr>
          <w:rFonts w:ascii="Times New Roman" w:cs="Times New Roman" w:eastAsia="Times New Roman" w:hAnsi="Times New Roman"/>
          <w:sz w:val="18"/>
          <w:szCs w:val="18"/>
          <w:color w:val="auto"/>
        </w:rPr>
        <w:t>6.4.</w:t>
      </w:r>
      <w:r>
        <w:rPr>
          <w:sz w:val="20"/>
          <w:szCs w:val="20"/>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means the occurrence of any of the following after the Effective Date with respect to Cohu, Inc. (“Cohu”):</w:t>
      </w:r>
    </w:p>
    <w:p>
      <w:pPr>
        <w:spacing w:after="0" w:line="175" w:lineRule="exact"/>
        <w:rPr>
          <w:sz w:val="20"/>
          <w:szCs w:val="20"/>
          <w:color w:val="auto"/>
        </w:rPr>
      </w:pPr>
    </w:p>
    <w:p>
      <w:pPr>
        <w:jc w:val="both"/>
        <w:ind w:hanging="781"/>
        <w:spacing w:after="0" w:line="247" w:lineRule="auto"/>
        <w:rPr>
          <w:sz w:val="20"/>
          <w:szCs w:val="20"/>
          <w:color w:val="auto"/>
        </w:rPr>
      </w:pPr>
      <w:r>
        <w:rPr>
          <w:rFonts w:ascii="Times New Roman" w:cs="Times New Roman" w:eastAsia="Times New Roman" w:hAnsi="Times New Roman"/>
          <w:sz w:val="18"/>
          <w:szCs w:val="18"/>
          <w:color w:val="auto"/>
        </w:rPr>
        <w:t>6.4.1.</w:t>
      </w:r>
      <w:r>
        <w:rPr>
          <w:sz w:val="20"/>
          <w:szCs w:val="20"/>
          <w:color w:val="auto"/>
        </w:rPr>
        <w:t xml:space="preserve"> </w:t>
      </w:r>
      <w:r>
        <w:rPr>
          <w:rFonts w:ascii="Times New Roman" w:cs="Times New Roman" w:eastAsia="Times New Roman" w:hAnsi="Times New Roman"/>
          <w:sz w:val="18"/>
          <w:szCs w:val="18"/>
          <w:color w:val="auto"/>
        </w:rPr>
        <w:t>Any one person, or more than one person acting as a group (a “Person”) acquires ownership of Cohu’s securities that, together with the stock held by such Person, constitutes more than fifty percent (50%) of the total voting power of Cohu’s then outstanding stock. The term “Person” shall include any natural person, corporation, partnership, trust, or association, or any group or combination thereof, whose ownership of the Cohu’s securities would be required to be reported under Regulation 13(D) under the Securities Exchange Act of 1934, as amended, or any similar successor regulation or rule. For purposes of this clause (i), if any Person is considered to be in effective control of Cohu, the acquisition of additional control of Cohu by the same Person will not be considered a Change in Control;</w:t>
      </w:r>
    </w:p>
    <w:p>
      <w:pPr>
        <w:sectPr>
          <w:pgSz w:w="11900" w:h="16838" w:orient="portrait"/>
          <w:cols w:equalWidth="0" w:num="2">
            <w:col w:w="5800" w:space="720"/>
            <w:col w:w="3920"/>
          </w:cols>
          <w:pgMar w:left="1120" w:top="982" w:right="339" w:bottom="1440" w:gutter="0" w:footer="0" w:header="0"/>
        </w:sectPr>
      </w:pPr>
    </w:p>
    <w:bookmarkStart w:id="129" w:name="page130"/>
    <w:bookmarkEnd w:id="129"/>
    <w:p>
      <w:pPr>
        <w:jc w:val="both"/>
        <w:ind w:right="1860" w:hanging="794"/>
        <w:spacing w:after="0" w:line="265" w:lineRule="auto"/>
        <w:rPr>
          <w:sz w:val="20"/>
          <w:szCs w:val="20"/>
          <w:color w:val="auto"/>
        </w:rPr>
      </w:pPr>
      <w:r>
        <w:rPr>
          <w:rFonts w:ascii="Times New Roman" w:cs="Times New Roman" w:eastAsia="Times New Roman" w:hAnsi="Times New Roman"/>
          <w:sz w:val="18"/>
          <w:szCs w:val="18"/>
          <w:color w:val="auto"/>
        </w:rPr>
        <w:t>6.4.2.</w:t>
      </w:r>
      <w:r>
        <w:rPr>
          <w:sz w:val="20"/>
          <w:szCs w:val="20"/>
          <w:color w:val="auto"/>
        </w:rPr>
        <w:t xml:space="preserve"> </w:t>
      </w:r>
      <w:r>
        <w:rPr>
          <w:rFonts w:ascii="Times New Roman" w:cs="Times New Roman" w:eastAsia="Times New Roman" w:hAnsi="Times New Roman"/>
          <w:sz w:val="17"/>
          <w:szCs w:val="17"/>
          <w:color w:val="auto"/>
        </w:rPr>
        <w:t>Eine Änderung der effektiven Kontrolle von Cohu, die an dem Tag eintritt, an dem eine Mehrheit der Vorstandsmitglieder ersetzt wird, mit Ausnahme der Ersetzung von Mitgliedern, die aufgrund von Altersbeschränkungen gemäß den Corporate-Governance-Richtlinien von Cohu in einem Zeitraum von sechs (6) Monaten durch Vorstandsmitglieder ersetzt werden, deren Ernennung oder Wahl nicht von einer Mehrheit der Vorstandsmitglieder vor dem Datum der Ernennung oder Wahl befürwortet wird; oder</w:t>
      </w:r>
    </w:p>
    <w:p>
      <w:pPr>
        <w:spacing w:after="0" w:line="174" w:lineRule="exact"/>
        <w:rPr>
          <w:sz w:val="20"/>
          <w:szCs w:val="20"/>
          <w:color w:val="auto"/>
        </w:rPr>
      </w:pPr>
    </w:p>
    <w:p>
      <w:pPr>
        <w:jc w:val="both"/>
        <w:ind w:right="1860" w:hanging="794"/>
        <w:spacing w:after="0" w:line="247" w:lineRule="auto"/>
        <w:rPr>
          <w:sz w:val="20"/>
          <w:szCs w:val="20"/>
          <w:color w:val="auto"/>
        </w:rPr>
      </w:pPr>
      <w:r>
        <w:rPr>
          <w:rFonts w:ascii="Times New Roman" w:cs="Times New Roman" w:eastAsia="Times New Roman" w:hAnsi="Times New Roman"/>
          <w:sz w:val="18"/>
          <w:szCs w:val="18"/>
          <w:color w:val="auto"/>
        </w:rPr>
        <w:t>6.4.3.</w:t>
      </w:r>
      <w:r>
        <w:rPr>
          <w:sz w:val="20"/>
          <w:szCs w:val="20"/>
          <w:color w:val="auto"/>
        </w:rPr>
        <w:t xml:space="preserve"> </w:t>
      </w:r>
      <w:r>
        <w:rPr>
          <w:rFonts w:ascii="Times New Roman" w:cs="Times New Roman" w:eastAsia="Times New Roman" w:hAnsi="Times New Roman"/>
          <w:sz w:val="18"/>
          <w:szCs w:val="18"/>
          <w:color w:val="auto"/>
        </w:rPr>
        <w:t>Der Abschluss einer Transaktion, die eine Änderung der Eigentumsverhältnisse an einem wesentlichen Teil der Vermögenswerte der Gesellschaft beinhaltet, die an dem Tag stattfindet, an dem eine Person Vermögenswerte von Cohu erwirbt (oder während eines Zeitraums von zwölf (12) Monaten, der am Tag des letzten Erwerbs durch diese Person oder Personen endet, erworben hat), die einen Gesamtbrutto-Marktwert von mindestens fünfzig Prozent (50%) des Gesamtbrutto-Marktwerts aller Vermögenswerte von Cohu unmittelbar vor diesem Erwerb oder diesen Erwerben haben. Für die Zwecke dieses Abschnitts 6.4.3 bedeutet Brutto-Marktwert den Wert der Vermögenswerte von Cohu oder den Wert der</w:t>
      </w:r>
    </w:p>
    <w:p>
      <w:pPr>
        <w:spacing w:after="0" w:line="5" w:lineRule="exact"/>
        <w:rPr>
          <w:sz w:val="20"/>
          <w:szCs w:val="20"/>
          <w:color w:val="auto"/>
        </w:rPr>
      </w:pPr>
    </w:p>
    <w:p>
      <w:pPr>
        <w:jc w:val="both"/>
        <w:ind w:right="1860"/>
        <w:spacing w:after="0" w:line="248" w:lineRule="auto"/>
        <w:rPr>
          <w:sz w:val="20"/>
          <w:szCs w:val="20"/>
          <w:color w:val="auto"/>
        </w:rPr>
      </w:pPr>
      <w:r>
        <w:rPr>
          <w:rFonts w:ascii="Times New Roman" w:cs="Times New Roman" w:eastAsia="Times New Roman" w:hAnsi="Times New Roman"/>
          <w:sz w:val="18"/>
          <w:szCs w:val="18"/>
          <w:color w:val="auto"/>
        </w:rPr>
        <w:t>veräußerten Vermögenswerte, der ohne Berücksichtigung der mit diesen Vermögenswerten verbundenen Verbindlichkeiten ermittelt wird.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483870</wp:posOffset>
            </wp:positionV>
            <wp:extent cx="713486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hanging="781"/>
        <w:spacing w:after="0" w:line="265" w:lineRule="auto"/>
        <w:rPr>
          <w:sz w:val="20"/>
          <w:szCs w:val="20"/>
          <w:color w:val="auto"/>
        </w:rPr>
      </w:pPr>
      <w:r>
        <w:rPr>
          <w:rFonts w:ascii="Times New Roman" w:cs="Times New Roman" w:eastAsia="Times New Roman" w:hAnsi="Times New Roman"/>
          <w:sz w:val="18"/>
          <w:szCs w:val="18"/>
          <w:color w:val="auto"/>
        </w:rPr>
        <w:t>6.4.2.</w:t>
      </w:r>
      <w:r>
        <w:rPr>
          <w:sz w:val="20"/>
          <w:szCs w:val="20"/>
          <w:color w:val="auto"/>
        </w:rPr>
        <w:t xml:space="preserve"> </w:t>
      </w:r>
      <w:r>
        <w:rPr>
          <w:rFonts w:ascii="Times New Roman" w:cs="Times New Roman" w:eastAsia="Times New Roman" w:hAnsi="Times New Roman"/>
          <w:sz w:val="17"/>
          <w:szCs w:val="17"/>
          <w:color w:val="auto"/>
        </w:rPr>
        <w:t>A change in the effective control of Cohu which occurs on the date that a majority of members of the Board is replaced, excepting the replacement of members who retire due to age limitations as specified in the Cohu’s Corporate Governance Guidelines, during any six (6) month period by members of the Board whose appointment or election is not endorsed by a majority of the members of the Board prior to the date of the appointment or election;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1522730</wp:posOffset>
            </wp:positionH>
            <wp:positionV relativeFrom="paragraph">
              <wp:posOffset>-1767840</wp:posOffset>
            </wp:positionV>
            <wp:extent cx="958850" cy="260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8">
                      <a:extLst>
                        <a:ext uri="{28A0092B-C50C-407E-A947-70E740481C1C}"/>
                      </a:extLst>
                    </a:blip>
                    <a:srcRect/>
                    <a:stretch>
                      <a:fillRect/>
                    </a:stretch>
                  </pic:blipFill>
                  <pic:spPr bwMode="auto">
                    <a:xfrm>
                      <a:off x="0" y="0"/>
                      <a:ext cx="958850" cy="260985"/>
                    </a:xfrm>
                    <a:prstGeom prst="rect">
                      <a:avLst/>
                    </a:prstGeom>
                    <a:noFill/>
                  </pic:spPr>
                </pic:pic>
              </a:graphicData>
            </a:graphic>
          </wp:anchor>
        </w:drawing>
      </w:r>
    </w:p>
    <w:p>
      <w:pPr>
        <w:spacing w:after="0" w:line="369" w:lineRule="exact"/>
        <w:rPr>
          <w:sz w:val="20"/>
          <w:szCs w:val="20"/>
          <w:color w:val="auto"/>
        </w:rPr>
      </w:pPr>
    </w:p>
    <w:p>
      <w:pPr>
        <w:jc w:val="both"/>
        <w:ind w:hanging="781"/>
        <w:spacing w:after="0" w:line="247" w:lineRule="auto"/>
        <w:rPr>
          <w:sz w:val="20"/>
          <w:szCs w:val="20"/>
          <w:color w:val="auto"/>
        </w:rPr>
      </w:pPr>
      <w:r>
        <w:rPr>
          <w:rFonts w:ascii="Times New Roman" w:cs="Times New Roman" w:eastAsia="Times New Roman" w:hAnsi="Times New Roman"/>
          <w:sz w:val="18"/>
          <w:szCs w:val="18"/>
          <w:color w:val="auto"/>
        </w:rPr>
        <w:t>6.4.3.</w:t>
      </w:r>
      <w:r>
        <w:rPr>
          <w:sz w:val="20"/>
          <w:szCs w:val="20"/>
          <w:color w:val="auto"/>
        </w:rPr>
        <w:t xml:space="preserve"> </w:t>
      </w:r>
      <w:r>
        <w:rPr>
          <w:rFonts w:ascii="Times New Roman" w:cs="Times New Roman" w:eastAsia="Times New Roman" w:hAnsi="Times New Roman"/>
          <w:sz w:val="18"/>
          <w:szCs w:val="18"/>
          <w:color w:val="auto"/>
        </w:rPr>
        <w:t>The closing of any transaction involving a change in ownership of a substantial portion of the Company’s assets, which occurs on the date that any Person acquires (or has acquired during any twelve (12) month period ending on the date of the most recent acquisition by such Person or Persons) assets from Cohu that have a total gross fair market value equal to or more than fifty percent (50%) of the total gross fair market value of all of the assets of Cohu immediately prior to such acquisition or acquisitions. For purposes of this Section 6.4.3, gross fair market value means the value of the assets of Cohu, or the value of the assets being disposed of, determined without regard to any liabilities associated with such assets.</w:t>
      </w:r>
    </w:p>
    <w:p>
      <w:pPr>
        <w:sectPr>
          <w:pgSz w:w="11900" w:h="16838" w:orient="portrait"/>
          <w:cols w:equalWidth="0" w:num="2">
            <w:col w:w="5800" w:space="720"/>
            <w:col w:w="3920"/>
          </w:cols>
          <w:pgMar w:left="1120" w:top="982" w:right="339" w:bottom="1440" w:gutter="0" w:footer="0" w:header="0"/>
        </w:sectPr>
      </w:pPr>
    </w:p>
    <w:bookmarkStart w:id="130" w:name="page131"/>
    <w:bookmarkEnd w:id="130"/>
    <w:p>
      <w:pPr>
        <w:jc w:val="both"/>
        <w:ind w:right="1860" w:hanging="794"/>
        <w:spacing w:after="0" w:line="248" w:lineRule="auto"/>
        <w:rPr>
          <w:sz w:val="20"/>
          <w:szCs w:val="20"/>
          <w:color w:val="auto"/>
        </w:rPr>
      </w:pPr>
      <w:r>
        <w:rPr>
          <w:rFonts w:ascii="Times New Roman" w:cs="Times New Roman" w:eastAsia="Times New Roman" w:hAnsi="Times New Roman"/>
          <w:sz w:val="18"/>
          <w:szCs w:val="18"/>
          <w:color w:val="auto"/>
        </w:rPr>
        <w:t>6.4.4.</w:t>
      </w:r>
      <w:r>
        <w:rPr>
          <w:sz w:val="20"/>
          <w:szCs w:val="20"/>
          <w:color w:val="auto"/>
        </w:rPr>
        <w:t xml:space="preserve"> </w:t>
      </w:r>
      <w:r>
        <w:rPr>
          <w:rFonts w:ascii="Times New Roman" w:cs="Times New Roman" w:eastAsia="Times New Roman" w:hAnsi="Times New Roman"/>
          <w:sz w:val="18"/>
          <w:szCs w:val="18"/>
          <w:color w:val="auto"/>
        </w:rPr>
        <w:t>Ungeachtet des Vorstehenden umfasst der Begriff „Change of Control“ keine Konsolidierung, Fusion oder sonstige Umstrukturierung, wenn nach Vollzug einer solchen Transaktion alle ausstehenden stimmberechtigten Aktien von Cohu direkt oder indirekt im Besitz einer Holdinggesellschaft sind und die Inhaber von Cohus Stammaktien unmittelbar vor der Transaktion im Wesentlichen den gleichen</w:t>
      </w:r>
    </w:p>
    <w:p>
      <w:pPr>
        <w:spacing w:after="0" w:line="4" w:lineRule="exact"/>
        <w:rPr>
          <w:sz w:val="20"/>
          <w:szCs w:val="20"/>
          <w:color w:val="auto"/>
        </w:rPr>
      </w:pPr>
    </w:p>
    <w:p>
      <w:pPr>
        <w:jc w:val="both"/>
        <w:ind w:right="1860"/>
        <w:spacing w:after="0" w:line="248" w:lineRule="auto"/>
        <w:rPr>
          <w:sz w:val="20"/>
          <w:szCs w:val="20"/>
          <w:color w:val="auto"/>
        </w:rPr>
      </w:pPr>
      <w:r>
        <w:rPr>
          <w:rFonts w:ascii="Times New Roman" w:cs="Times New Roman" w:eastAsia="Times New Roman" w:hAnsi="Times New Roman"/>
          <w:sz w:val="18"/>
          <w:szCs w:val="18"/>
          <w:color w:val="auto"/>
        </w:rPr>
        <w:t>proportionalen Besitz und die gleiche Stimmrechtskontrolle an dieser Holdinggesellschaft haben wie unmittelbar nach dieser Transaktion.</w:t>
      </w:r>
    </w:p>
    <w:p>
      <w:pPr>
        <w:spacing w:after="0" w:line="187" w:lineRule="exact"/>
        <w:rPr>
          <w:sz w:val="20"/>
          <w:szCs w:val="20"/>
          <w:color w:val="auto"/>
        </w:rPr>
      </w:pPr>
    </w:p>
    <w:p>
      <w:pPr>
        <w:jc w:val="both"/>
        <w:ind w:right="1860" w:hanging="794"/>
        <w:spacing w:after="0" w:line="249" w:lineRule="auto"/>
        <w:rPr>
          <w:sz w:val="20"/>
          <w:szCs w:val="20"/>
          <w:color w:val="auto"/>
        </w:rPr>
      </w:pPr>
      <w:r>
        <w:rPr>
          <w:rFonts w:ascii="Times New Roman" w:cs="Times New Roman" w:eastAsia="Times New Roman" w:hAnsi="Times New Roman"/>
          <w:sz w:val="18"/>
          <w:szCs w:val="18"/>
          <w:color w:val="auto"/>
        </w:rPr>
        <w:t>6.4.5.</w:t>
      </w:r>
      <w:r>
        <w:rPr>
          <w:sz w:val="20"/>
          <w:szCs w:val="20"/>
          <w:color w:val="auto"/>
        </w:rPr>
        <w:t xml:space="preserve"> </w:t>
      </w:r>
      <w:r>
        <w:rPr>
          <w:rFonts w:ascii="Times New Roman" w:cs="Times New Roman" w:eastAsia="Times New Roman" w:hAnsi="Times New Roman"/>
          <w:sz w:val="18"/>
          <w:szCs w:val="18"/>
          <w:color w:val="auto"/>
        </w:rPr>
        <w:t>Ungeachtet des Vorstehenden liegt ein Change of Control Event nur dann vor, wenn eine solche Transaktion eine Änderung der Eigentumsverhältnisse der Gesellschaft, eine Änderung der tatsächlichen Kontrolle der Gesellschaft oder eine Änderung der Eigentumsverhältnisse eines wesentlichen Teils der Vermögenswerte der Gesellschaft gemäß Abschnitt 409A des Code darstellt.</w:t>
      </w:r>
    </w:p>
    <w:p>
      <w:pPr>
        <w:spacing w:after="0" w:line="190" w:lineRule="exact"/>
        <w:rPr>
          <w:sz w:val="20"/>
          <w:szCs w:val="20"/>
          <w:color w:val="auto"/>
        </w:rPr>
      </w:pPr>
    </w:p>
    <w:p>
      <w:pPr>
        <w:jc w:val="both"/>
        <w:ind w:right="1860" w:hanging="794"/>
        <w:spacing w:after="0" w:line="251" w:lineRule="auto"/>
        <w:rPr>
          <w:sz w:val="20"/>
          <w:szCs w:val="20"/>
          <w:color w:val="auto"/>
        </w:rPr>
      </w:pPr>
      <w:r>
        <w:rPr>
          <w:rFonts w:ascii="Times New Roman" w:cs="Times New Roman" w:eastAsia="Times New Roman" w:hAnsi="Times New Roman"/>
          <w:sz w:val="18"/>
          <w:szCs w:val="18"/>
          <w:color w:val="auto"/>
        </w:rPr>
        <w:t>6.4.6.</w:t>
      </w:r>
      <w:r>
        <w:rPr>
          <w:sz w:val="20"/>
          <w:szCs w:val="20"/>
          <w:color w:val="auto"/>
        </w:rPr>
        <w:t xml:space="preserve"> </w:t>
      </w:r>
      <w:r>
        <w:rPr>
          <w:rFonts w:ascii="Times New Roman" w:cs="Times New Roman" w:eastAsia="Times New Roman" w:hAnsi="Times New Roman"/>
          <w:sz w:val="18"/>
          <w:szCs w:val="18"/>
          <w:color w:val="auto"/>
        </w:rPr>
        <w:t>Für die Zwecke des Begriffs „Change of Control Event“ gelten Personen als Gruppe, wenn sie Eigentümer eines Unternehmens sind, das eine Fusion, Konsolidierung, einen Kauf oder eine Übernahme von Aktien oder eine ähnliche Geschäftstransaktion mit Cohu eingeht.</w:t>
      </w:r>
    </w:p>
    <w:p>
      <w:pPr>
        <w:spacing w:after="0" w:line="183" w:lineRule="exact"/>
        <w:rPr>
          <w:sz w:val="20"/>
          <w:szCs w:val="20"/>
          <w:color w:val="auto"/>
        </w:rPr>
      </w:pPr>
    </w:p>
    <w:p>
      <w:pPr>
        <w:jc w:val="both"/>
        <w:ind w:right="1860" w:hanging="794"/>
        <w:spacing w:after="0" w:line="251" w:lineRule="auto"/>
        <w:rPr>
          <w:sz w:val="20"/>
          <w:szCs w:val="20"/>
          <w:color w:val="auto"/>
        </w:rPr>
      </w:pPr>
      <w:r>
        <w:rPr>
          <w:rFonts w:ascii="Times New Roman" w:cs="Times New Roman" w:eastAsia="Times New Roman" w:hAnsi="Times New Roman"/>
          <w:sz w:val="18"/>
          <w:szCs w:val="18"/>
          <w:color w:val="auto"/>
        </w:rPr>
        <w:t>6.5.</w:t>
      </w:r>
      <w:r>
        <w:rPr>
          <w:sz w:val="20"/>
          <w:szCs w:val="20"/>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 Period</w:t>
      </w:r>
      <w:r>
        <w:rPr>
          <w:rFonts w:ascii="Times New Roman" w:cs="Times New Roman" w:eastAsia="Times New Roman" w:hAnsi="Times New Roman"/>
          <w:sz w:val="18"/>
          <w:szCs w:val="18"/>
          <w:color w:val="auto"/>
        </w:rPr>
        <w:t>“ bezeichnet den Zeitraum, der sechzig (60) Tage vor dem Datum eines Ereignisses, das ein Change of Control Event darstellt, beginnt und am zweiten Jahrestag des Datums des Ereignisses, das ein solches Change of Control Event darstellt, endet.</w:t>
      </w:r>
    </w:p>
    <w:p>
      <w:pPr>
        <w:spacing w:after="0" w:line="185" w:lineRule="exact"/>
        <w:rPr>
          <w:sz w:val="20"/>
          <w:szCs w:val="20"/>
          <w:color w:val="auto"/>
        </w:rPr>
      </w:pPr>
    </w:p>
    <w:p>
      <w:pPr>
        <w:jc w:val="both"/>
        <w:ind w:right="1860" w:hanging="794"/>
        <w:spacing w:after="0" w:line="261" w:lineRule="auto"/>
        <w:rPr>
          <w:sz w:val="20"/>
          <w:szCs w:val="20"/>
          <w:color w:val="auto"/>
        </w:rPr>
      </w:pPr>
      <w:r>
        <w:rPr>
          <w:rFonts w:ascii="Times New Roman" w:cs="Times New Roman" w:eastAsia="Times New Roman" w:hAnsi="Times New Roman"/>
          <w:sz w:val="18"/>
          <w:szCs w:val="18"/>
          <w:color w:val="auto"/>
        </w:rPr>
        <w:t>6.6.</w:t>
      </w:r>
      <w:r>
        <w:rPr>
          <w:sz w:val="20"/>
          <w:szCs w:val="20"/>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Guter Grund</w:t>
      </w:r>
      <w:r>
        <w:rPr>
          <w:rFonts w:ascii="Times New Roman" w:cs="Times New Roman" w:eastAsia="Times New Roman" w:hAnsi="Times New Roman"/>
          <w:sz w:val="18"/>
          <w:szCs w:val="18"/>
          <w:color w:val="auto"/>
        </w:rPr>
        <w:t>“ bedeutet, dass einer der folgenden Fälle während der Laufzeit ohne schriftliche Zustimmung des Geschäftsführers eintritt:</w:t>
      </w:r>
    </w:p>
    <w:p>
      <w:pPr>
        <w:spacing w:after="0" w:line="175" w:lineRule="exact"/>
        <w:rPr>
          <w:sz w:val="20"/>
          <w:szCs w:val="20"/>
          <w:color w:val="auto"/>
        </w:rPr>
      </w:pPr>
    </w:p>
    <w:p>
      <w:pPr>
        <w:jc w:val="both"/>
        <w:ind w:right="1860" w:hanging="794"/>
        <w:spacing w:after="0" w:line="252" w:lineRule="auto"/>
        <w:rPr>
          <w:sz w:val="20"/>
          <w:szCs w:val="20"/>
          <w:color w:val="auto"/>
        </w:rPr>
      </w:pPr>
      <w:r>
        <w:rPr>
          <w:rFonts w:ascii="Times New Roman" w:cs="Times New Roman" w:eastAsia="Times New Roman" w:hAnsi="Times New Roman"/>
          <w:sz w:val="18"/>
          <w:szCs w:val="18"/>
          <w:color w:val="auto"/>
        </w:rPr>
        <w:t>6.6.1.</w:t>
      </w:r>
      <w:r>
        <w:rPr>
          <w:sz w:val="20"/>
          <w:szCs w:val="20"/>
          <w:color w:val="auto"/>
        </w:rPr>
        <w:t xml:space="preserve"> </w:t>
      </w:r>
      <w:r>
        <w:rPr>
          <w:rFonts w:ascii="Times New Roman" w:cs="Times New Roman" w:eastAsia="Times New Roman" w:hAnsi="Times New Roman"/>
          <w:sz w:val="18"/>
          <w:szCs w:val="18"/>
          <w:color w:val="auto"/>
        </w:rPr>
        <w:t>Eine wesentliche Reduzierung des Grundgehalts des Geschäftsführers, die über eine allgemeine Reduzierung des Grundgehalts hinausgeht, die alle Personen in ähnlicher Lage im Wesentlichen im gleichen Verhältnis betrifft;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482600</wp:posOffset>
            </wp:positionV>
            <wp:extent cx="713486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hanging="781"/>
        <w:spacing w:after="0" w:line="265" w:lineRule="auto"/>
        <w:rPr>
          <w:sz w:val="20"/>
          <w:szCs w:val="20"/>
          <w:color w:val="auto"/>
        </w:rPr>
      </w:pPr>
      <w:r>
        <w:rPr>
          <w:rFonts w:ascii="Times New Roman" w:cs="Times New Roman" w:eastAsia="Times New Roman" w:hAnsi="Times New Roman"/>
          <w:sz w:val="18"/>
          <w:szCs w:val="18"/>
          <w:color w:val="auto"/>
        </w:rPr>
        <w:t>6.4.4.</w:t>
      </w:r>
      <w:r>
        <w:rPr>
          <w:sz w:val="20"/>
          <w:szCs w:val="20"/>
          <w:color w:val="auto"/>
        </w:rPr>
        <w:t xml:space="preserve"> </w:t>
      </w:r>
      <w:r>
        <w:rPr>
          <w:rFonts w:ascii="Times New Roman" w:cs="Times New Roman" w:eastAsia="Times New Roman" w:hAnsi="Times New Roman"/>
          <w:sz w:val="17"/>
          <w:szCs w:val="17"/>
          <w:color w:val="auto"/>
        </w:rPr>
        <w:t>Notwithstanding the foregoing, the term “Change in Control” shall not include a consolidation, merger, or other reorganization if upon consummation of such transaction all of the outstanding voting stock of Cohu is owned, directly or indirectly, by a holding company, and the holders of Cohu’s common stock immediately prior to the transaction have substantially the same proportionate ownership and voting control of such holding company immediately after such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1522730</wp:posOffset>
            </wp:positionH>
            <wp:positionV relativeFrom="paragraph">
              <wp:posOffset>-1767840</wp:posOffset>
            </wp:positionV>
            <wp:extent cx="958850" cy="2609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0">
                      <a:extLst>
                        <a:ext uri="{28A0092B-C50C-407E-A947-70E740481C1C}"/>
                      </a:extLst>
                    </a:blip>
                    <a:srcRect/>
                    <a:stretch>
                      <a:fillRect/>
                    </a:stretch>
                  </pic:blipFill>
                  <pic:spPr bwMode="auto">
                    <a:xfrm>
                      <a:off x="0" y="0"/>
                      <a:ext cx="958850" cy="26098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both"/>
        <w:ind w:hanging="781"/>
        <w:spacing w:after="0" w:line="251" w:lineRule="auto"/>
        <w:rPr>
          <w:sz w:val="20"/>
          <w:szCs w:val="20"/>
          <w:color w:val="auto"/>
        </w:rPr>
      </w:pPr>
      <w:r>
        <w:rPr>
          <w:rFonts w:ascii="Times New Roman" w:cs="Times New Roman" w:eastAsia="Times New Roman" w:hAnsi="Times New Roman"/>
          <w:sz w:val="18"/>
          <w:szCs w:val="18"/>
          <w:color w:val="auto"/>
        </w:rPr>
        <w:t>6.4.5.</w:t>
      </w:r>
      <w:r>
        <w:rPr>
          <w:sz w:val="20"/>
          <w:szCs w:val="20"/>
          <w:color w:val="auto"/>
        </w:rPr>
        <w:t xml:space="preserve"> </w:t>
      </w:r>
      <w:r>
        <w:rPr>
          <w:rFonts w:ascii="Times New Roman" w:cs="Times New Roman" w:eastAsia="Times New Roman" w:hAnsi="Times New Roman"/>
          <w:sz w:val="18"/>
          <w:szCs w:val="18"/>
          <w:color w:val="auto"/>
        </w:rPr>
        <w:t>Notwithstanding the foregoing, a Change in Control shall not occur unless such transaction constitutes a change in the ownership of the Company, a change in effective control of the Company, or a change in the ownership of a substantial portion of the Company’s assets under Section 409A of the Code.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hanging="781"/>
        <w:spacing w:after="0" w:line="252" w:lineRule="auto"/>
        <w:rPr>
          <w:sz w:val="20"/>
          <w:szCs w:val="20"/>
          <w:color w:val="auto"/>
        </w:rPr>
      </w:pPr>
      <w:r>
        <w:rPr>
          <w:rFonts w:ascii="Times New Roman" w:cs="Times New Roman" w:eastAsia="Times New Roman" w:hAnsi="Times New Roman"/>
          <w:sz w:val="18"/>
          <w:szCs w:val="18"/>
          <w:color w:val="auto"/>
        </w:rPr>
        <w:t>6.4.6.</w:t>
      </w:r>
      <w:r>
        <w:rPr>
          <w:sz w:val="20"/>
          <w:szCs w:val="20"/>
          <w:color w:val="auto"/>
        </w:rPr>
        <w:t xml:space="preserve"> </w:t>
      </w:r>
      <w:r>
        <w:rPr>
          <w:rFonts w:ascii="Times New Roman" w:cs="Times New Roman" w:eastAsia="Times New Roman" w:hAnsi="Times New Roman"/>
          <w:sz w:val="18"/>
          <w:szCs w:val="18"/>
          <w:color w:val="auto"/>
        </w:rPr>
        <w:t>For purposes of the term “Change in Control”, Persons will be considered to be acting as a group if they are owners of a corporation that enters into a merger, consolidation, purchase or acquisition of stock, or similar business transaction with Cohu.</w:t>
      </w:r>
    </w:p>
    <w:p>
      <w:pPr>
        <w:spacing w:after="0" w:line="395" w:lineRule="exact"/>
        <w:rPr>
          <w:sz w:val="20"/>
          <w:szCs w:val="20"/>
          <w:color w:val="auto"/>
        </w:rPr>
      </w:pPr>
    </w:p>
    <w:p>
      <w:pPr>
        <w:jc w:val="both"/>
        <w:ind w:hanging="781"/>
        <w:spacing w:after="0" w:line="253" w:lineRule="auto"/>
        <w:rPr>
          <w:sz w:val="20"/>
          <w:szCs w:val="20"/>
          <w:color w:val="auto"/>
        </w:rPr>
      </w:pPr>
      <w:r>
        <w:rPr>
          <w:rFonts w:ascii="Times New Roman" w:cs="Times New Roman" w:eastAsia="Times New Roman" w:hAnsi="Times New Roman"/>
          <w:sz w:val="18"/>
          <w:szCs w:val="18"/>
          <w:color w:val="auto"/>
        </w:rPr>
        <w:t>6.5.</w:t>
      </w:r>
      <w:r>
        <w:rPr>
          <w:sz w:val="20"/>
          <w:szCs w:val="20"/>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Control Period</w:t>
      </w:r>
      <w:r>
        <w:rPr>
          <w:rFonts w:ascii="Times New Roman" w:cs="Times New Roman" w:eastAsia="Times New Roman" w:hAnsi="Times New Roman"/>
          <w:sz w:val="18"/>
          <w:szCs w:val="18"/>
          <w:color w:val="auto"/>
        </w:rPr>
        <w:t>” means the period beginning on the date sixty (60) days preceding the date of an event constituting a Change in Control and ending on the second anniversary of the date of the event constituting such Change in Control.</w:t>
      </w:r>
    </w:p>
    <w:p>
      <w:pPr>
        <w:spacing w:after="0" w:line="393" w:lineRule="exact"/>
        <w:rPr>
          <w:sz w:val="20"/>
          <w:szCs w:val="20"/>
          <w:color w:val="auto"/>
        </w:rPr>
      </w:pPr>
    </w:p>
    <w:p>
      <w:pPr>
        <w:jc w:val="both"/>
        <w:ind w:hanging="781"/>
        <w:spacing w:after="0" w:line="261" w:lineRule="auto"/>
        <w:rPr>
          <w:sz w:val="20"/>
          <w:szCs w:val="20"/>
          <w:color w:val="auto"/>
        </w:rPr>
      </w:pPr>
      <w:r>
        <w:rPr>
          <w:rFonts w:ascii="Times New Roman" w:cs="Times New Roman" w:eastAsia="Times New Roman" w:hAnsi="Times New Roman"/>
          <w:sz w:val="18"/>
          <w:szCs w:val="18"/>
          <w:color w:val="auto"/>
        </w:rPr>
        <w:t>6.6.</w:t>
      </w:r>
      <w:r>
        <w:rPr>
          <w:sz w:val="20"/>
          <w:szCs w:val="20"/>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 Reason</w:t>
      </w:r>
      <w:r>
        <w:rPr>
          <w:rFonts w:ascii="Times New Roman" w:cs="Times New Roman" w:eastAsia="Times New Roman" w:hAnsi="Times New Roman"/>
          <w:sz w:val="18"/>
          <w:szCs w:val="18"/>
          <w:color w:val="auto"/>
        </w:rPr>
        <w:t>” means the occurrence of any of the following, in each case during the Term without Managing Director’s written consent:</w:t>
      </w:r>
    </w:p>
    <w:p>
      <w:pPr>
        <w:spacing w:after="0" w:line="175" w:lineRule="exact"/>
        <w:rPr>
          <w:sz w:val="20"/>
          <w:szCs w:val="20"/>
          <w:color w:val="auto"/>
        </w:rPr>
      </w:pPr>
    </w:p>
    <w:p>
      <w:pPr>
        <w:jc w:val="both"/>
        <w:ind w:hanging="781"/>
        <w:spacing w:after="0" w:line="255" w:lineRule="auto"/>
        <w:rPr>
          <w:sz w:val="20"/>
          <w:szCs w:val="20"/>
          <w:color w:val="auto"/>
        </w:rPr>
      </w:pPr>
      <w:r>
        <w:rPr>
          <w:rFonts w:ascii="Times New Roman" w:cs="Times New Roman" w:eastAsia="Times New Roman" w:hAnsi="Times New Roman"/>
          <w:sz w:val="18"/>
          <w:szCs w:val="18"/>
          <w:color w:val="auto"/>
        </w:rPr>
        <w:t>6.6.1.</w:t>
      </w:r>
      <w:r>
        <w:rPr>
          <w:sz w:val="20"/>
          <w:szCs w:val="20"/>
          <w:color w:val="auto"/>
        </w:rPr>
        <w:t xml:space="preserve"> </w:t>
      </w:r>
      <w:r>
        <w:rPr>
          <w:rFonts w:ascii="Times New Roman" w:cs="Times New Roman" w:eastAsia="Times New Roman" w:hAnsi="Times New Roman"/>
          <w:sz w:val="18"/>
          <w:szCs w:val="18"/>
          <w:color w:val="auto"/>
        </w:rPr>
        <w:t>A material reduction in Managing Director’s Base Salary, other than a general reduction in Base Salary that affects all similarly situated individuals in substantially the same proportions;</w:t>
      </w:r>
    </w:p>
    <w:p>
      <w:pPr>
        <w:sectPr>
          <w:pgSz w:w="11900" w:h="16838" w:orient="portrait"/>
          <w:cols w:equalWidth="0" w:num="2">
            <w:col w:w="5800" w:space="720"/>
            <w:col w:w="3920"/>
          </w:cols>
          <w:pgMar w:left="1120" w:top="982" w:right="339" w:bottom="1440" w:gutter="0" w:footer="0" w:header="0"/>
        </w:sectPr>
      </w:pPr>
    </w:p>
    <w:bookmarkStart w:id="131" w:name="page132"/>
    <w:bookmarkEnd w:id="131"/>
    <w:p>
      <w:pPr>
        <w:jc w:val="both"/>
        <w:ind w:right="1860" w:hanging="794"/>
        <w:spacing w:after="0" w:line="274" w:lineRule="auto"/>
        <w:rPr>
          <w:sz w:val="20"/>
          <w:szCs w:val="20"/>
          <w:color w:val="auto"/>
        </w:rPr>
      </w:pPr>
      <w:r>
        <w:rPr>
          <w:rFonts w:ascii="Times New Roman" w:cs="Times New Roman" w:eastAsia="Times New Roman" w:hAnsi="Times New Roman"/>
          <w:sz w:val="18"/>
          <w:szCs w:val="18"/>
          <w:color w:val="auto"/>
        </w:rPr>
        <w:t>6.6.2.</w:t>
      </w:r>
      <w:r>
        <w:rPr>
          <w:sz w:val="20"/>
          <w:szCs w:val="20"/>
          <w:color w:val="auto"/>
        </w:rPr>
        <w:t xml:space="preserve"> </w:t>
      </w:r>
      <w:r>
        <w:rPr>
          <w:rFonts w:ascii="Times New Roman" w:cs="Times New Roman" w:eastAsia="Times New Roman" w:hAnsi="Times New Roman"/>
          <w:sz w:val="18"/>
          <w:szCs w:val="18"/>
          <w:color w:val="auto"/>
        </w:rPr>
        <w:t>Eine wesentliche Reduzierung der Zielbonus-Möglichkeiten des Geschäftsführers;</w:t>
      </w:r>
    </w:p>
    <w:p>
      <w:pPr>
        <w:spacing w:after="0" w:line="163" w:lineRule="exact"/>
        <w:rPr>
          <w:sz w:val="20"/>
          <w:szCs w:val="20"/>
          <w:color w:val="auto"/>
        </w:rPr>
      </w:pPr>
    </w:p>
    <w:p>
      <w:pPr>
        <w:jc w:val="both"/>
        <w:ind w:right="1860" w:hanging="794"/>
        <w:spacing w:after="0" w:line="259" w:lineRule="auto"/>
        <w:rPr>
          <w:sz w:val="20"/>
          <w:szCs w:val="20"/>
          <w:color w:val="auto"/>
        </w:rPr>
      </w:pPr>
      <w:r>
        <w:rPr>
          <w:rFonts w:ascii="Times New Roman" w:cs="Times New Roman" w:eastAsia="Times New Roman" w:hAnsi="Times New Roman"/>
          <w:sz w:val="18"/>
          <w:szCs w:val="18"/>
          <w:color w:val="auto"/>
        </w:rPr>
        <w:t>6.6.3.</w:t>
      </w:r>
      <w:r>
        <w:rPr>
          <w:sz w:val="20"/>
          <w:szCs w:val="20"/>
          <w:color w:val="auto"/>
        </w:rPr>
        <w:t xml:space="preserve"> </w:t>
      </w:r>
      <w:r>
        <w:rPr>
          <w:rFonts w:ascii="Times New Roman" w:cs="Times New Roman" w:eastAsia="Times New Roman" w:hAnsi="Times New Roman"/>
          <w:sz w:val="18"/>
          <w:szCs w:val="18"/>
          <w:color w:val="auto"/>
        </w:rPr>
        <w:t>Jede wesentliche Verletzung einer wesentlichen Bestimmung dieses Ergänzungsvertrags durch die Gesellschaft;</w:t>
      </w:r>
    </w:p>
    <w:p>
      <w:pPr>
        <w:spacing w:after="0" w:line="178" w:lineRule="exact"/>
        <w:rPr>
          <w:sz w:val="20"/>
          <w:szCs w:val="20"/>
          <w:color w:val="auto"/>
        </w:rPr>
      </w:pPr>
    </w:p>
    <w:p>
      <w:pPr>
        <w:jc w:val="both"/>
        <w:ind w:right="1860" w:hanging="794"/>
        <w:spacing w:after="0" w:line="250" w:lineRule="auto"/>
        <w:rPr>
          <w:sz w:val="20"/>
          <w:szCs w:val="20"/>
          <w:color w:val="auto"/>
        </w:rPr>
      </w:pPr>
      <w:r>
        <w:rPr>
          <w:rFonts w:ascii="Times New Roman" w:cs="Times New Roman" w:eastAsia="Times New Roman" w:hAnsi="Times New Roman"/>
          <w:sz w:val="18"/>
          <w:szCs w:val="18"/>
          <w:color w:val="auto"/>
        </w:rPr>
        <w:t>6.6.4.</w:t>
      </w:r>
      <w:r>
        <w:rPr>
          <w:sz w:val="20"/>
          <w:szCs w:val="20"/>
          <w:color w:val="auto"/>
        </w:rPr>
        <w:t xml:space="preserve"> </w:t>
      </w:r>
      <w:r>
        <w:rPr>
          <w:rFonts w:ascii="Times New Roman" w:cs="Times New Roman" w:eastAsia="Times New Roman" w:hAnsi="Times New Roman"/>
          <w:sz w:val="18"/>
          <w:szCs w:val="18"/>
          <w:color w:val="auto"/>
        </w:rPr>
        <w:t>Das Versäumnis der Gesellschaft, mit einem Nachfolger der Gesellschaft eine Vereinbarung zu erwirken, diesen Ergänzungsvertrag in der gleichen Weise und im gleichen Umfang zu übernehmen und zu erfüllen, wie es die Gesellschaft tun müsste, wenn keine Nachfolge stattgefunden hätte, es sei denn, eine solche Übernahme erfolgt kraft Gesetzes;</w:t>
      </w:r>
    </w:p>
    <w:p>
      <w:pPr>
        <w:spacing w:after="0" w:line="187" w:lineRule="exact"/>
        <w:rPr>
          <w:sz w:val="20"/>
          <w:szCs w:val="20"/>
          <w:color w:val="auto"/>
        </w:rPr>
      </w:pPr>
    </w:p>
    <w:p>
      <w:pPr>
        <w:jc w:val="both"/>
        <w:ind w:right="1860" w:hanging="794"/>
        <w:spacing w:after="0" w:line="249" w:lineRule="auto"/>
        <w:rPr>
          <w:sz w:val="20"/>
          <w:szCs w:val="20"/>
          <w:color w:val="auto"/>
        </w:rPr>
      </w:pPr>
      <w:r>
        <w:rPr>
          <w:rFonts w:ascii="Times New Roman" w:cs="Times New Roman" w:eastAsia="Times New Roman" w:hAnsi="Times New Roman"/>
          <w:sz w:val="18"/>
          <w:szCs w:val="18"/>
          <w:color w:val="auto"/>
        </w:rPr>
        <w:t>6.6.5.</w:t>
      </w:r>
      <w:r>
        <w:rPr>
          <w:sz w:val="20"/>
          <w:szCs w:val="20"/>
          <w:color w:val="auto"/>
        </w:rPr>
        <w:t xml:space="preserve"> </w:t>
      </w:r>
      <w:r>
        <w:rPr>
          <w:rFonts w:ascii="Times New Roman" w:cs="Times New Roman" w:eastAsia="Times New Roman" w:hAnsi="Times New Roman"/>
          <w:sz w:val="18"/>
          <w:szCs w:val="18"/>
          <w:color w:val="auto"/>
        </w:rPr>
        <w:t>Eine wesentliche Änderung des geografischen Standorts, an dem der Geschäftsführer seine Dienste erbringen muss; wobei in keinem Fall der Umzug des Geschäftsführers an eine Einrichtung oder einen Standort, der die Pendelstrecke des Geschäftsführers um fünfzig (50) Meilen (ca. 80 km) oder weniger verlängert, für die Zwecke dieses Ergänzungsvertrags als wesentlich angesehen wird.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485775</wp:posOffset>
            </wp:positionV>
            <wp:extent cx="713486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hanging="781"/>
        <w:spacing w:after="0" w:line="274" w:lineRule="auto"/>
        <w:rPr>
          <w:sz w:val="20"/>
          <w:szCs w:val="20"/>
          <w:color w:val="auto"/>
        </w:rPr>
      </w:pPr>
      <w:r>
        <w:rPr>
          <w:rFonts w:ascii="Times New Roman" w:cs="Times New Roman" w:eastAsia="Times New Roman" w:hAnsi="Times New Roman"/>
          <w:sz w:val="18"/>
          <w:szCs w:val="18"/>
          <w:color w:val="auto"/>
        </w:rPr>
        <w:t>6.6.2.</w:t>
      </w:r>
      <w:r>
        <w:rPr>
          <w:sz w:val="20"/>
          <w:szCs w:val="20"/>
          <w:color w:val="auto"/>
        </w:rPr>
        <w:t xml:space="preserve"> </w:t>
      </w:r>
      <w:r>
        <w:rPr>
          <w:rFonts w:ascii="Times New Roman" w:cs="Times New Roman" w:eastAsia="Times New Roman" w:hAnsi="Times New Roman"/>
          <w:sz w:val="18"/>
          <w:szCs w:val="18"/>
          <w:color w:val="auto"/>
        </w:rPr>
        <w:t>A material reduction in Managing Director’s Target Bonus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1522730</wp:posOffset>
            </wp:positionH>
            <wp:positionV relativeFrom="paragraph">
              <wp:posOffset>-834390</wp:posOffset>
            </wp:positionV>
            <wp:extent cx="958850" cy="2609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2">
                      <a:extLst>
                        <a:ext uri="{28A0092B-C50C-407E-A947-70E740481C1C}"/>
                      </a:extLst>
                    </a:blip>
                    <a:srcRect/>
                    <a:stretch>
                      <a:fillRect/>
                    </a:stretch>
                  </pic:blipFill>
                  <pic:spPr bwMode="auto">
                    <a:xfrm>
                      <a:off x="0" y="0"/>
                      <a:ext cx="958850" cy="260985"/>
                    </a:xfrm>
                    <a:prstGeom prst="rect">
                      <a:avLst/>
                    </a:prstGeom>
                    <a:noFill/>
                  </pic:spPr>
                </pic:pic>
              </a:graphicData>
            </a:graphic>
          </wp:anchor>
        </w:drawing>
      </w:r>
    </w:p>
    <w:p>
      <w:pPr>
        <w:spacing w:after="0" w:line="143" w:lineRule="exact"/>
        <w:rPr>
          <w:sz w:val="20"/>
          <w:szCs w:val="20"/>
          <w:color w:val="auto"/>
        </w:rPr>
      </w:pPr>
    </w:p>
    <w:p>
      <w:pPr>
        <w:jc w:val="both"/>
        <w:ind w:hanging="781"/>
        <w:spacing w:after="0" w:line="274" w:lineRule="auto"/>
        <w:rPr>
          <w:sz w:val="20"/>
          <w:szCs w:val="20"/>
          <w:color w:val="auto"/>
        </w:rPr>
      </w:pPr>
      <w:r>
        <w:rPr>
          <w:rFonts w:ascii="Times New Roman" w:cs="Times New Roman" w:eastAsia="Times New Roman" w:hAnsi="Times New Roman"/>
          <w:sz w:val="18"/>
          <w:szCs w:val="18"/>
          <w:color w:val="auto"/>
        </w:rPr>
        <w:t>6.6.3.</w:t>
      </w:r>
      <w:r>
        <w:rPr>
          <w:sz w:val="20"/>
          <w:szCs w:val="20"/>
          <w:color w:val="auto"/>
        </w:rPr>
        <w:t xml:space="preserve"> </w:t>
      </w:r>
      <w:r>
        <w:rPr>
          <w:rFonts w:ascii="Times New Roman" w:cs="Times New Roman" w:eastAsia="Times New Roman" w:hAnsi="Times New Roman"/>
          <w:sz w:val="18"/>
          <w:szCs w:val="18"/>
          <w:color w:val="auto"/>
        </w:rPr>
        <w:t>Any material breach by the Company of any material provision of this Addendum;</w:t>
      </w:r>
    </w:p>
    <w:p>
      <w:pPr>
        <w:spacing w:after="0" w:line="375" w:lineRule="exact"/>
        <w:rPr>
          <w:sz w:val="20"/>
          <w:szCs w:val="20"/>
          <w:color w:val="auto"/>
        </w:rPr>
      </w:pPr>
    </w:p>
    <w:p>
      <w:pPr>
        <w:jc w:val="both"/>
        <w:ind w:hanging="781"/>
        <w:spacing w:after="0" w:line="251" w:lineRule="auto"/>
        <w:rPr>
          <w:sz w:val="20"/>
          <w:szCs w:val="20"/>
          <w:color w:val="auto"/>
        </w:rPr>
      </w:pPr>
      <w:r>
        <w:rPr>
          <w:rFonts w:ascii="Times New Roman" w:cs="Times New Roman" w:eastAsia="Times New Roman" w:hAnsi="Times New Roman"/>
          <w:sz w:val="18"/>
          <w:szCs w:val="18"/>
          <w:color w:val="auto"/>
        </w:rPr>
        <w:t>6.6.4.</w:t>
      </w:r>
      <w:r>
        <w:rPr>
          <w:sz w:val="20"/>
          <w:szCs w:val="20"/>
          <w:color w:val="auto"/>
        </w:rPr>
        <w:t xml:space="preserve"> </w:t>
      </w:r>
      <w:r>
        <w:rPr>
          <w:rFonts w:ascii="Times New Roman" w:cs="Times New Roman" w:eastAsia="Times New Roman" w:hAnsi="Times New Roman"/>
          <w:sz w:val="18"/>
          <w:szCs w:val="18"/>
          <w:color w:val="auto"/>
        </w:rPr>
        <w:t>The Company’s failure to obtain an agreement from any successor to the Company to assume and agree to perform this Addendum in the same manner and to the same extent that the Company would be required to perform if no succession had taken place, except where such assumption occurs by operation of law;</w:t>
      </w:r>
    </w:p>
    <w:p>
      <w:pPr>
        <w:spacing w:after="0" w:line="397" w:lineRule="exact"/>
        <w:rPr>
          <w:sz w:val="20"/>
          <w:szCs w:val="20"/>
          <w:color w:val="auto"/>
        </w:rPr>
      </w:pPr>
    </w:p>
    <w:p>
      <w:pPr>
        <w:jc w:val="both"/>
        <w:ind w:hanging="781"/>
        <w:spacing w:after="0" w:line="250" w:lineRule="auto"/>
        <w:rPr>
          <w:sz w:val="20"/>
          <w:szCs w:val="20"/>
          <w:color w:val="auto"/>
        </w:rPr>
      </w:pPr>
      <w:r>
        <w:rPr>
          <w:rFonts w:ascii="Times New Roman" w:cs="Times New Roman" w:eastAsia="Times New Roman" w:hAnsi="Times New Roman"/>
          <w:sz w:val="18"/>
          <w:szCs w:val="18"/>
          <w:color w:val="auto"/>
        </w:rPr>
        <w:t>6.6.5.</w:t>
      </w:r>
      <w:r>
        <w:rPr>
          <w:sz w:val="20"/>
          <w:szCs w:val="20"/>
          <w:color w:val="auto"/>
        </w:rPr>
        <w:t xml:space="preserve"> </w:t>
      </w:r>
      <w:r>
        <w:rPr>
          <w:rFonts w:ascii="Times New Roman" w:cs="Times New Roman" w:eastAsia="Times New Roman" w:hAnsi="Times New Roman"/>
          <w:sz w:val="18"/>
          <w:szCs w:val="18"/>
          <w:color w:val="auto"/>
        </w:rPr>
        <w:t>A material change in the geographic location at which Managing Director must perform his services; provided that in no instance will the relocation of Managing Director to a facility or a location that increases Managing Director’s commute by fifty (50) miles (or 80 km) or less be deemed material for purposes of this Addendum.</w:t>
      </w:r>
    </w:p>
    <w:p>
      <w:pPr>
        <w:sectPr>
          <w:pgSz w:w="11900" w:h="16838" w:orient="portrait"/>
          <w:cols w:equalWidth="0" w:num="2">
            <w:col w:w="5800" w:space="720"/>
            <w:col w:w="3920"/>
          </w:cols>
          <w:pgMar w:left="1120" w:top="982" w:right="339" w:bottom="1440" w:gutter="0" w:footer="0" w:header="0"/>
        </w:sectPr>
      </w:pPr>
    </w:p>
    <w:bookmarkStart w:id="132" w:name="page133"/>
    <w:bookmarkEnd w:id="132"/>
    <w:p>
      <w:pPr>
        <w:jc w:val="both"/>
        <w:ind w:right="1860" w:hanging="794"/>
        <w:spacing w:after="0" w:line="262" w:lineRule="auto"/>
        <w:rPr>
          <w:sz w:val="20"/>
          <w:szCs w:val="20"/>
          <w:color w:val="auto"/>
        </w:rPr>
      </w:pPr>
      <w:r>
        <w:rPr>
          <w:rFonts w:ascii="Times New Roman" w:cs="Times New Roman" w:eastAsia="Times New Roman" w:hAnsi="Times New Roman"/>
          <w:sz w:val="18"/>
          <w:szCs w:val="18"/>
          <w:color w:val="auto"/>
        </w:rPr>
        <w:t>6.6.6.</w:t>
      </w:r>
      <w:r>
        <w:rPr>
          <w:sz w:val="20"/>
          <w:szCs w:val="20"/>
          <w:color w:val="auto"/>
        </w:rPr>
        <w:t xml:space="preserve"> </w:t>
      </w:r>
      <w:r>
        <w:rPr>
          <w:rFonts w:ascii="Times New Roman" w:cs="Times New Roman" w:eastAsia="Times New Roman" w:hAnsi="Times New Roman"/>
          <w:sz w:val="17"/>
          <w:szCs w:val="17"/>
          <w:color w:val="auto"/>
        </w:rPr>
        <w:t>Bevor der Geschäftsführer aus Gutem Grund zurücktreten kann, muss er die Gesellschaft innerhalb von neunzig (90) Tagen nach dem erstmaligen Ereignis, das seiner Meinung nach einen „Guten Grund“ darstellt, schriftlich benachrichtigen und dabei die Tatsachen und Umstände, die seiner Meinung nach den Grund für den Rücktritt des Geschäftsführers aus Gutem Grund darstellen, sowie das vorgeschlagene Beendigungsdatum (das ist das Datum 6 Monate zum Ende eines Kalendermonats nach schriftlicher Mitteilung des Geschäftsführers an die Gesellschaft) und (B) die Gesellschaft muss innerhalb von dreißig</w:t>
      </w:r>
    </w:p>
    <w:p>
      <w:pPr>
        <w:spacing w:after="0" w:line="3" w:lineRule="exact"/>
        <w:rPr>
          <w:sz w:val="20"/>
          <w:szCs w:val="20"/>
          <w:color w:val="auto"/>
        </w:rPr>
      </w:pPr>
    </w:p>
    <w:p>
      <w:pPr>
        <w:jc w:val="both"/>
        <w:ind w:right="1860" w:firstLine="1"/>
        <w:spacing w:after="0" w:line="246" w:lineRule="auto"/>
        <w:tabs>
          <w:tab w:leader="none" w:pos="37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Tagen nach Zustellung einer solchen Mitteilung die Möglichkeit haben, den Guten Grund zu beheben, vorausgesetzt, die Gesellschaft kann auf eine solche Behebungsfrist verzichten, indem es dem Geschäftsführer schriftlich mitteilt, dass es nicht beabsichtigt, diesen Zustand zu beheben. Das Versäumnis des Geschäftsführers, in der Mitteilung Tatsachen oder Umstände anzugeben, die einen Guten Grund darstellen, führt nicht zum Verlust von Rechten des Geschäftsführers im Rahmen der Vereinbarung oder hindert den Geschäftsführer nicht daran, diese Tatsachen oder Umstände bei der Durchsetzung seiner Rechte im Rahmen dieses Ergänzungsvertrags geltend zu machen. Ungeachtet des Vorstehenden gilt: Wenn festgestellt wird, dass der Geschäftsführer eine Behinderung hat, und wenn die Gesellschaft dem Geschäftsführer die Möglichkeit bietet, seine Dienste in einer anderen Funktion, die der Behinderung des Geschäftsführers Rechnung trägt, mit anderen Aufgaben und einer anderen Vergütungsstruktur anstelle einer Kündigung zu erbringen, stellt eine solche Änderung der Verantwortlichkeiten und der Vergütung keinen Guten Grund dar.</w:t>
      </w:r>
    </w:p>
    <w:p>
      <w:pPr>
        <w:spacing w:after="0" w:line="187" w:lineRule="exact"/>
        <w:rPr>
          <w:sz w:val="20"/>
          <w:szCs w:val="20"/>
          <w:color w:val="auto"/>
        </w:rPr>
      </w:pPr>
    </w:p>
    <w:p>
      <w:pPr>
        <w:jc w:val="both"/>
        <w:ind w:right="1860" w:hanging="794"/>
        <w:spacing w:after="0" w:line="261" w:lineRule="auto"/>
        <w:rPr>
          <w:sz w:val="20"/>
          <w:szCs w:val="20"/>
          <w:color w:val="auto"/>
        </w:rPr>
      </w:pPr>
      <w:r>
        <w:rPr>
          <w:rFonts w:ascii="Times New Roman" w:cs="Times New Roman" w:eastAsia="Times New Roman" w:hAnsi="Times New Roman"/>
          <w:sz w:val="18"/>
          <w:szCs w:val="18"/>
          <w:color w:val="auto"/>
        </w:rPr>
        <w:t>6.7.</w:t>
      </w:r>
      <w:r>
        <w:rPr>
          <w:sz w:val="20"/>
          <w:szCs w:val="20"/>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Nicht-Qualifizierende Kündigung</w:t>
      </w:r>
      <w:r>
        <w:rPr>
          <w:rFonts w:ascii="Times New Roman" w:cs="Times New Roman" w:eastAsia="Times New Roman" w:hAnsi="Times New Roman"/>
          <w:sz w:val="18"/>
          <w:szCs w:val="18"/>
          <w:color w:val="auto"/>
        </w:rPr>
        <w:t>“ bezeichnet jede Kündigung der Dienste des Geschäftsführers für die Gesellschaft, die keine Qualifizierende Kündigung ist.</w:t>
      </w:r>
    </w:p>
    <w:p>
      <w:pPr>
        <w:spacing w:after="0" w:line="173" w:lineRule="exact"/>
        <w:rPr>
          <w:sz w:val="20"/>
          <w:szCs w:val="20"/>
          <w:color w:val="auto"/>
        </w:rPr>
      </w:pPr>
    </w:p>
    <w:p>
      <w:pPr>
        <w:jc w:val="both"/>
        <w:ind w:right="1860" w:hanging="794"/>
        <w:spacing w:after="0" w:line="256" w:lineRule="auto"/>
        <w:rPr>
          <w:sz w:val="20"/>
          <w:szCs w:val="20"/>
          <w:color w:val="auto"/>
        </w:rPr>
      </w:pPr>
      <w:r>
        <w:rPr>
          <w:rFonts w:ascii="Times New Roman" w:cs="Times New Roman" w:eastAsia="Times New Roman" w:hAnsi="Times New Roman"/>
          <w:sz w:val="18"/>
          <w:szCs w:val="18"/>
          <w:color w:val="auto"/>
        </w:rPr>
        <w:t>6.8.</w:t>
      </w:r>
      <w:r>
        <w:rPr>
          <w:sz w:val="20"/>
          <w:szCs w:val="20"/>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Kündigungsfrist</w:t>
      </w:r>
      <w:r>
        <w:rPr>
          <w:rFonts w:ascii="Times New Roman" w:cs="Times New Roman" w:eastAsia="Times New Roman" w:hAnsi="Times New Roman"/>
          <w:sz w:val="18"/>
          <w:szCs w:val="18"/>
          <w:color w:val="auto"/>
        </w:rPr>
        <w:t>“ bezeichnet einen Zeitraum von 6 Monaten bis zum Ende eines Kalendermonats, beginnend mit dem Datum der Zustellung einer Kündigungserklärung.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478790</wp:posOffset>
            </wp:positionV>
            <wp:extent cx="7134860" cy="165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hanging="781"/>
        <w:spacing w:after="0" w:line="246" w:lineRule="auto"/>
        <w:rPr>
          <w:sz w:val="20"/>
          <w:szCs w:val="20"/>
          <w:color w:val="auto"/>
        </w:rPr>
      </w:pPr>
      <w:r>
        <w:rPr>
          <w:rFonts w:ascii="Times New Roman" w:cs="Times New Roman" w:eastAsia="Times New Roman" w:hAnsi="Times New Roman"/>
          <w:sz w:val="18"/>
          <w:szCs w:val="18"/>
          <w:color w:val="auto"/>
        </w:rPr>
        <w:t>6.6.6.</w:t>
      </w:r>
      <w:r>
        <w:rPr>
          <w:sz w:val="20"/>
          <w:szCs w:val="20"/>
          <w:color w:val="auto"/>
        </w:rPr>
        <w:t xml:space="preserve"> </w:t>
      </w:r>
      <w:r>
        <w:rPr>
          <w:rFonts w:ascii="Times New Roman" w:cs="Times New Roman" w:eastAsia="Times New Roman" w:hAnsi="Times New Roman"/>
          <w:sz w:val="18"/>
          <w:szCs w:val="18"/>
          <w:color w:val="auto"/>
        </w:rPr>
        <w:t>Before Managing Director may resign for Good Reason, Managing Director must provide the Company with written notice within ninety (90) days of the initial event that Managing Director believes constitutes “Good Reason” specifically identifying the facts and circumstances claimed to constitute the grounds for Managing Director’s resignation for Good Reason and the proposed termination date (which will be the date 6 months to the end of a calendar month after the giving of written notice hereunder by Managing Director to the Company), and (B) the Company must have an opportunity within thirty (30) days following delivery of such notice to cure the Good Reason condition, provided that the Company may waive such cure period by giving written notice to the Managing Director that it does not intend to cure such condition. The failure by the Managing Director to include in the notice any fact or circumstance that contributes to a showing of Good Reason will not waive any right of the Managing Director under the Agreement or preclude the Managing Director from asserting such fact or circumstance in enforcing the Managing Director’s rights under this Addendum. Notwithstanding the foregoing, if Managing Director is determined to have a disability, and if Company offers Managing Director the opportunity to remain providing services in a different capacity that accommodates Managing Director’s disability, with different duties and compensation structure in lieu of termination, such change in responsibilities and compensation shall not constitute Good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1522730</wp:posOffset>
            </wp:positionH>
            <wp:positionV relativeFrom="paragraph">
              <wp:posOffset>-4845685</wp:posOffset>
            </wp:positionV>
            <wp:extent cx="958850" cy="2609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4">
                      <a:extLst>
                        <a:ext uri="{28A0092B-C50C-407E-A947-70E740481C1C}"/>
                      </a:extLst>
                    </a:blip>
                    <a:srcRect/>
                    <a:stretch>
                      <a:fillRect/>
                    </a:stretch>
                  </pic:blipFill>
                  <pic:spPr bwMode="auto">
                    <a:xfrm>
                      <a:off x="0" y="0"/>
                      <a:ext cx="958850" cy="260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hanging="781"/>
        <w:spacing w:after="0" w:line="261" w:lineRule="auto"/>
        <w:rPr>
          <w:sz w:val="20"/>
          <w:szCs w:val="20"/>
          <w:color w:val="auto"/>
        </w:rPr>
      </w:pPr>
      <w:r>
        <w:rPr>
          <w:rFonts w:ascii="Times New Roman" w:cs="Times New Roman" w:eastAsia="Times New Roman" w:hAnsi="Times New Roman"/>
          <w:sz w:val="18"/>
          <w:szCs w:val="18"/>
          <w:color w:val="auto"/>
        </w:rPr>
        <w:t>6.7.</w:t>
      </w:r>
      <w:r>
        <w:rPr>
          <w:sz w:val="20"/>
          <w:szCs w:val="20"/>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Non-Qualifying Termination</w:t>
      </w:r>
      <w:r>
        <w:rPr>
          <w:rFonts w:ascii="Times New Roman" w:cs="Times New Roman" w:eastAsia="Times New Roman" w:hAnsi="Times New Roman"/>
          <w:sz w:val="18"/>
          <w:szCs w:val="18"/>
          <w:color w:val="auto"/>
        </w:rPr>
        <w:t>” means any termination of Managing Director’s services with the Company which is not a Qualifying Termination.</w:t>
      </w:r>
    </w:p>
    <w:p>
      <w:pPr>
        <w:spacing w:after="0" w:line="173" w:lineRule="exact"/>
        <w:rPr>
          <w:sz w:val="20"/>
          <w:szCs w:val="20"/>
          <w:color w:val="auto"/>
        </w:rPr>
      </w:pPr>
    </w:p>
    <w:p>
      <w:pPr>
        <w:jc w:val="both"/>
        <w:ind w:hanging="781"/>
        <w:spacing w:after="0" w:line="261" w:lineRule="auto"/>
        <w:rPr>
          <w:sz w:val="20"/>
          <w:szCs w:val="20"/>
          <w:color w:val="auto"/>
        </w:rPr>
      </w:pPr>
      <w:r>
        <w:rPr>
          <w:rFonts w:ascii="Times New Roman" w:cs="Times New Roman" w:eastAsia="Times New Roman" w:hAnsi="Times New Roman"/>
          <w:sz w:val="18"/>
          <w:szCs w:val="18"/>
          <w:color w:val="auto"/>
        </w:rPr>
        <w:t>6.8.</w:t>
      </w:r>
      <w:r>
        <w:rPr>
          <w:sz w:val="20"/>
          <w:szCs w:val="20"/>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Period</w:t>
      </w:r>
      <w:r>
        <w:rPr>
          <w:rFonts w:ascii="Times New Roman" w:cs="Times New Roman" w:eastAsia="Times New Roman" w:hAnsi="Times New Roman"/>
          <w:sz w:val="18"/>
          <w:szCs w:val="18"/>
          <w:color w:val="auto"/>
        </w:rPr>
        <w:t>” means a period of 6 months to the end of a calendar month commencing on the date of delivery of a Notice of Termination.</w:t>
      </w:r>
    </w:p>
    <w:p>
      <w:pPr>
        <w:sectPr>
          <w:pgSz w:w="11900" w:h="16838" w:orient="portrait"/>
          <w:cols w:equalWidth="0" w:num="2">
            <w:col w:w="5800" w:space="720"/>
            <w:col w:w="3920"/>
          </w:cols>
          <w:pgMar w:left="1120" w:top="982" w:right="339" w:bottom="1440" w:gutter="0" w:footer="0" w:header="0"/>
        </w:sectPr>
      </w:pPr>
    </w:p>
    <w:bookmarkStart w:id="133" w:name="page134"/>
    <w:bookmarkEnd w:id="133"/>
    <w:p>
      <w:pPr>
        <w:jc w:val="both"/>
        <w:ind w:left="800" w:right="1080" w:hanging="794"/>
        <w:spacing w:after="0" w:line="248" w:lineRule="auto"/>
        <w:tabs>
          <w:tab w:leader="none" w:pos="780" w:val="left"/>
        </w:tabs>
        <w:rPr>
          <w:sz w:val="20"/>
          <w:szCs w:val="20"/>
          <w:color w:val="auto"/>
        </w:rPr>
      </w:pPr>
      <w:r>
        <w:rPr>
          <w:rFonts w:ascii="Times New Roman" w:cs="Times New Roman" w:eastAsia="Times New Roman" w:hAnsi="Times New Roman"/>
          <w:sz w:val="18"/>
          <w:szCs w:val="18"/>
          <w:color w:val="auto"/>
        </w:rPr>
        <w:t>6.9.</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Qualifizierende Kündigung</w:t>
      </w:r>
      <w:r>
        <w:rPr>
          <w:rFonts w:ascii="Times New Roman" w:cs="Times New Roman" w:eastAsia="Times New Roman" w:hAnsi="Times New Roman"/>
          <w:sz w:val="18"/>
          <w:szCs w:val="18"/>
          <w:color w:val="auto"/>
        </w:rPr>
        <w:t>“ bedeutet, dass während der Change of Control Period entweder (i) die Gesellschaft den GF-Vertrag mit der Gesellschaft aus einem anderen Grund als einem Wichtigen Grund kündigt oder (ii) der Geschäftsführer sein Amt als Geschäftsführer der Gesellschaft aus einem Guten Grund niederlegt. Eine Qualifizierende Kündigung umfasst jedoch keine Beendigung der Dienste des Geschäftsführers, die (x) auf den Tod oder die</w:t>
      </w:r>
    </w:p>
    <w:p>
      <w:pPr>
        <w:spacing w:after="0" w:line="4" w:lineRule="exact"/>
        <w:rPr>
          <w:sz w:val="20"/>
          <w:szCs w:val="20"/>
          <w:color w:val="auto"/>
        </w:rPr>
      </w:pPr>
    </w:p>
    <w:p>
      <w:pPr>
        <w:jc w:val="both"/>
        <w:ind w:left="800" w:right="1080"/>
        <w:spacing w:after="0" w:line="247" w:lineRule="auto"/>
        <w:rPr>
          <w:sz w:val="20"/>
          <w:szCs w:val="20"/>
          <w:color w:val="auto"/>
        </w:rPr>
      </w:pPr>
      <w:r>
        <w:rPr>
          <w:rFonts w:ascii="Times New Roman" w:cs="Times New Roman" w:eastAsia="Times New Roman" w:hAnsi="Times New Roman"/>
          <w:sz w:val="18"/>
          <w:szCs w:val="18"/>
          <w:color w:val="auto"/>
        </w:rPr>
        <w:t>Berufsunfähigkeit des Geschäftsführers zurückzuführen ist oder (y) auf die freiwillige Kündigung des GF-Vertrags durch den Geschäftsführer zurückzuführen ist, bei der es sich nicht um eine Kündigung aus Gutem Grund handelt.</w:t>
      </w:r>
    </w:p>
    <w:p>
      <w:pPr>
        <w:spacing w:after="0" w:line="188" w:lineRule="exact"/>
        <w:rPr>
          <w:sz w:val="20"/>
          <w:szCs w:val="20"/>
          <w:color w:val="auto"/>
        </w:rPr>
      </w:pPr>
    </w:p>
    <w:p>
      <w:pPr>
        <w:jc w:val="both"/>
        <w:ind w:left="800" w:right="1080" w:hanging="794"/>
        <w:spacing w:after="0" w:line="250" w:lineRule="auto"/>
        <w:tabs>
          <w:tab w:leader="none" w:pos="780" w:val="left"/>
        </w:tabs>
        <w:rPr>
          <w:sz w:val="20"/>
          <w:szCs w:val="20"/>
          <w:color w:val="auto"/>
        </w:rPr>
      </w:pPr>
      <w:r>
        <w:rPr>
          <w:rFonts w:ascii="Times New Roman" w:cs="Times New Roman" w:eastAsia="Times New Roman" w:hAnsi="Times New Roman"/>
          <w:sz w:val="18"/>
          <w:szCs w:val="18"/>
          <w:color w:val="auto"/>
        </w:rPr>
        <w:t>6.10.</w:t>
      </w:r>
      <w:r>
        <w:rPr>
          <w:sz w:val="20"/>
          <w:szCs w:val="20"/>
          <w:color w:val="auto"/>
        </w:rPr>
        <w:tab/>
      </w:r>
      <w:r>
        <w:rPr>
          <w:rFonts w:ascii="Times New Roman" w:cs="Times New Roman" w:eastAsia="Times New Roman" w:hAnsi="Times New Roman"/>
          <w:sz w:val="18"/>
          <w:szCs w:val="18"/>
          <w:color w:val="auto"/>
        </w:rPr>
        <w:t>„Zielbonus“ bezeichnet den Zielbetrag des jährlichen Leistungsbonus des Geschäftsführers, vorausgesetzt, alle Leistungsziele der Gesellschaft und die individuellen Leistungsziele werden auf ihrem Zielniveau gemäß dem jährlichen Bonusplan der Gesellschaft und wie vom Ausschuss festgelegt erreicht.</w:t>
      </w:r>
    </w:p>
    <w:p>
      <w:pPr>
        <w:spacing w:after="0" w:line="18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6.11.</w:t>
      </w:r>
      <w:r>
        <w:rPr>
          <w:sz w:val="20"/>
          <w:szCs w:val="20"/>
          <w:color w:val="auto"/>
        </w:rPr>
        <w:tab/>
      </w:r>
      <w:r>
        <w:rPr>
          <w:rFonts w:ascii="Times New Roman" w:cs="Times New Roman" w:eastAsia="Times New Roman" w:hAnsi="Times New Roman"/>
          <w:sz w:val="17"/>
          <w:szCs w:val="17"/>
          <w:color w:val="auto"/>
        </w:rPr>
        <w:t>„Beendigungsdatum“ bedeutet:</w:t>
      </w:r>
    </w:p>
    <w:p>
      <w:pPr>
        <w:spacing w:after="0" w:line="217" w:lineRule="exact"/>
        <w:rPr>
          <w:sz w:val="20"/>
          <w:szCs w:val="20"/>
          <w:color w:val="auto"/>
        </w:rPr>
      </w:pPr>
    </w:p>
    <w:p>
      <w:pPr>
        <w:jc w:val="both"/>
        <w:ind w:left="800" w:right="1080" w:hanging="794"/>
        <w:spacing w:after="0" w:line="263" w:lineRule="auto"/>
        <w:tabs>
          <w:tab w:leader="none" w:pos="780" w:val="left"/>
        </w:tabs>
        <w:rPr>
          <w:sz w:val="20"/>
          <w:szCs w:val="20"/>
          <w:color w:val="auto"/>
        </w:rPr>
      </w:pPr>
      <w:r>
        <w:rPr>
          <w:rFonts w:ascii="Times New Roman" w:cs="Times New Roman" w:eastAsia="Times New Roman" w:hAnsi="Times New Roman"/>
          <w:sz w:val="18"/>
          <w:szCs w:val="18"/>
          <w:color w:val="auto"/>
        </w:rPr>
        <w:t>6.11.1.</w:t>
      </w:r>
      <w:r>
        <w:rPr>
          <w:sz w:val="20"/>
          <w:szCs w:val="20"/>
          <w:color w:val="auto"/>
        </w:rPr>
        <w:tab/>
      </w:r>
      <w:r>
        <w:rPr>
          <w:rFonts w:ascii="Times New Roman" w:cs="Times New Roman" w:eastAsia="Times New Roman" w:hAnsi="Times New Roman"/>
          <w:sz w:val="17"/>
          <w:szCs w:val="17"/>
          <w:color w:val="auto"/>
        </w:rPr>
        <w:t>wenn die Gesellschaft den GF-Vertrag ohne Wichtigen Grund kündigt, gilt das in dem Kündigungsschreiben angegebene Datum, das der Tag ist, der unmittelbar auf den Ablauf der Kündigungsfrist folgt, die an dem Tag beginnt, an dem das Kündigungsschreiben an den Geschäftsführer zugestellt wird; vorausgesetzt, die Gesellschaft hat die Möglichkeit, den Geschäftsführer für die gesamte Kündigungsfrist oder einen Teil davon</w:t>
      </w:r>
    </w:p>
    <w:p>
      <w:pPr>
        <w:spacing w:after="0" w:line="2" w:lineRule="exact"/>
        <w:rPr>
          <w:sz w:val="20"/>
          <w:szCs w:val="20"/>
          <w:color w:val="auto"/>
        </w:rPr>
      </w:pPr>
    </w:p>
    <w:p>
      <w:pPr>
        <w:jc w:val="both"/>
        <w:ind w:left="800" w:right="1100"/>
        <w:spacing w:after="0" w:line="251" w:lineRule="auto"/>
        <w:rPr>
          <w:sz w:val="20"/>
          <w:szCs w:val="20"/>
          <w:color w:val="auto"/>
        </w:rPr>
      </w:pPr>
      <w:r>
        <w:rPr>
          <w:rFonts w:ascii="Times New Roman" w:cs="Times New Roman" w:eastAsia="Times New Roman" w:hAnsi="Times New Roman"/>
          <w:sz w:val="18"/>
          <w:szCs w:val="18"/>
          <w:color w:val="auto"/>
        </w:rPr>
        <w:t>von allen Aufgaben, Positionen und Verantwortlichkeiten zu entbinden; und</w:t>
      </w:r>
    </w:p>
    <w:p>
      <w:pPr>
        <w:spacing w:after="0" w:line="184" w:lineRule="exact"/>
        <w:rPr>
          <w:sz w:val="20"/>
          <w:szCs w:val="20"/>
          <w:color w:val="auto"/>
        </w:rPr>
      </w:pPr>
    </w:p>
    <w:p>
      <w:pPr>
        <w:jc w:val="right"/>
        <w:ind w:right="1080"/>
        <w:spacing w:after="0" w:line="257" w:lineRule="auto"/>
        <w:rPr>
          <w:sz w:val="20"/>
          <w:szCs w:val="20"/>
          <w:color w:val="auto"/>
        </w:rPr>
      </w:pPr>
      <w:r>
        <w:rPr>
          <w:rFonts w:ascii="Times New Roman" w:cs="Times New Roman" w:eastAsia="Times New Roman" w:hAnsi="Times New Roman"/>
          <w:sz w:val="18"/>
          <w:szCs w:val="18"/>
          <w:color w:val="auto"/>
        </w:rPr>
        <w:t>6.11.2.    wenn der Geschäftsführer den GF-Vertrag mit oder ohne  Guten  Grund  kündigt,  gilt  das  in  dem</w:t>
      </w:r>
    </w:p>
    <w:p>
      <w:pPr>
        <w:jc w:val="both"/>
        <w:ind w:left="800" w:right="1080"/>
        <w:spacing w:after="0" w:line="247" w:lineRule="auto"/>
        <w:rPr>
          <w:sz w:val="20"/>
          <w:szCs w:val="20"/>
          <w:color w:val="auto"/>
        </w:rPr>
      </w:pPr>
      <w:r>
        <w:rPr>
          <w:rFonts w:ascii="Times New Roman" w:cs="Times New Roman" w:eastAsia="Times New Roman" w:hAnsi="Times New Roman"/>
          <w:sz w:val="18"/>
          <w:szCs w:val="18"/>
          <w:color w:val="auto"/>
        </w:rPr>
        <w:t>Kündigungsschreiben des Geschäfts-führers angegebene Datum, das der Tag ist, der unmittelbar auf den Ablauf der Kündigungsfrist folgt, die an dem Tag beginnt, an dem das Kündigungsschreiben an die Gesellschaft zugestellt wird.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483870</wp:posOffset>
            </wp:positionV>
            <wp:extent cx="713486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780" w:hanging="781"/>
        <w:spacing w:after="0" w:line="252" w:lineRule="auto"/>
        <w:tabs>
          <w:tab w:leader="none" w:pos="760" w:val="left"/>
        </w:tabs>
        <w:rPr>
          <w:sz w:val="20"/>
          <w:szCs w:val="20"/>
          <w:color w:val="auto"/>
        </w:rPr>
      </w:pPr>
      <w:r>
        <w:rPr>
          <w:rFonts w:ascii="Times New Roman" w:cs="Times New Roman" w:eastAsia="Times New Roman" w:hAnsi="Times New Roman"/>
          <w:sz w:val="18"/>
          <w:szCs w:val="18"/>
          <w:color w:val="auto"/>
        </w:rPr>
        <w:t>6.9.</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Qualifying Termination</w:t>
      </w:r>
      <w:r>
        <w:rPr>
          <w:rFonts w:ascii="Times New Roman" w:cs="Times New Roman" w:eastAsia="Times New Roman" w:hAnsi="Times New Roman"/>
          <w:sz w:val="18"/>
          <w:szCs w:val="18"/>
          <w:color w:val="auto"/>
        </w:rPr>
        <w:t>” means the occurrence during a Change in Control Period of either (i) termination by the Company of the MD Agreement with the Company for any reason other than Cause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2018030</wp:posOffset>
            </wp:positionH>
            <wp:positionV relativeFrom="paragraph">
              <wp:posOffset>-1085215</wp:posOffset>
            </wp:positionV>
            <wp:extent cx="958850" cy="2609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6">
                      <a:extLst>
                        <a:ext uri="{28A0092B-C50C-407E-A947-70E740481C1C}"/>
                      </a:extLst>
                    </a:blip>
                    <a:srcRect/>
                    <a:stretch>
                      <a:fillRect/>
                    </a:stretch>
                  </pic:blipFill>
                  <pic:spPr bwMode="auto">
                    <a:xfrm>
                      <a:off x="0" y="0"/>
                      <a:ext cx="958850" cy="260985"/>
                    </a:xfrm>
                    <a:prstGeom prst="rect">
                      <a:avLst/>
                    </a:prstGeom>
                    <a:noFill/>
                  </pic:spPr>
                </pic:pic>
              </a:graphicData>
            </a:graphic>
          </wp:anchor>
        </w:drawing>
      </w:r>
    </w:p>
    <w:p>
      <w:pPr>
        <w:jc w:val="both"/>
        <w:ind w:left="780"/>
        <w:spacing w:after="0" w:line="246" w:lineRule="auto"/>
        <w:tabs>
          <w:tab w:leader="none" w:pos="1053"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Director’s resignation from serving as a managing director with the Company for Good Reason; provided, however that a Qualifying Termination shall not include any termination of Managing Director’s services which is (x) on account of Managing Director’s death or disability, or (y) a result of Managing Director’s voluntary termination of the MD Agreement which is not a resignation for Good Reason.</w:t>
      </w:r>
    </w:p>
    <w:p>
      <w:pPr>
        <w:spacing w:after="0" w:line="200" w:lineRule="exact"/>
        <w:rPr>
          <w:sz w:val="20"/>
          <w:szCs w:val="20"/>
          <w:color w:val="auto"/>
        </w:rPr>
      </w:pPr>
    </w:p>
    <w:p>
      <w:pPr>
        <w:spacing w:after="0" w:line="203" w:lineRule="exact"/>
        <w:rPr>
          <w:sz w:val="20"/>
          <w:szCs w:val="20"/>
          <w:color w:val="auto"/>
        </w:rPr>
      </w:pPr>
    </w:p>
    <w:p>
      <w:pPr>
        <w:jc w:val="both"/>
        <w:ind w:left="780" w:hanging="781"/>
        <w:spacing w:after="0" w:line="251" w:lineRule="auto"/>
        <w:tabs>
          <w:tab w:leader="none" w:pos="760" w:val="left"/>
        </w:tabs>
        <w:rPr>
          <w:sz w:val="20"/>
          <w:szCs w:val="20"/>
          <w:color w:val="auto"/>
        </w:rPr>
      </w:pPr>
      <w:r>
        <w:rPr>
          <w:rFonts w:ascii="Times New Roman" w:cs="Times New Roman" w:eastAsia="Times New Roman" w:hAnsi="Times New Roman"/>
          <w:sz w:val="18"/>
          <w:szCs w:val="18"/>
          <w:color w:val="auto"/>
        </w:rPr>
        <w:t>6.10.</w:t>
      </w:r>
      <w:r>
        <w:rPr>
          <w:sz w:val="20"/>
          <w:szCs w:val="20"/>
          <w:color w:val="auto"/>
        </w:rPr>
        <w:tab/>
      </w:r>
      <w:r>
        <w:rPr>
          <w:rFonts w:ascii="Times New Roman" w:cs="Times New Roman" w:eastAsia="Times New Roman" w:hAnsi="Times New Roman"/>
          <w:sz w:val="18"/>
          <w:szCs w:val="18"/>
          <w:color w:val="auto"/>
        </w:rPr>
        <w:t>“Target Bonus” means the target amount of Managing Director’s annual incentive bonus, assuming achievement of all Company performance goals and individual performance goals at their target levels in accordance with the Company’s annual bonus plan and as established by the Committee.</w:t>
      </w:r>
    </w:p>
    <w:p>
      <w:pPr>
        <w:spacing w:after="0" w:line="39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6.11.</w:t>
      </w:r>
      <w:r>
        <w:rPr>
          <w:sz w:val="20"/>
          <w:szCs w:val="20"/>
          <w:color w:val="auto"/>
        </w:rPr>
        <w:tab/>
      </w:r>
      <w:r>
        <w:rPr>
          <w:rFonts w:ascii="Times New Roman" w:cs="Times New Roman" w:eastAsia="Times New Roman" w:hAnsi="Times New Roman"/>
          <w:sz w:val="17"/>
          <w:szCs w:val="17"/>
          <w:color w:val="auto"/>
        </w:rPr>
        <w:t>“Termination Date” means:</w:t>
      </w:r>
    </w:p>
    <w:p>
      <w:pPr>
        <w:spacing w:after="0" w:line="217" w:lineRule="exact"/>
        <w:rPr>
          <w:sz w:val="20"/>
          <w:szCs w:val="20"/>
          <w:color w:val="auto"/>
        </w:rPr>
      </w:pPr>
    </w:p>
    <w:p>
      <w:pPr>
        <w:jc w:val="both"/>
        <w:ind w:left="780" w:hanging="781"/>
        <w:spacing w:after="0" w:line="265" w:lineRule="auto"/>
        <w:tabs>
          <w:tab w:leader="none" w:pos="760" w:val="left"/>
        </w:tabs>
        <w:rPr>
          <w:sz w:val="20"/>
          <w:szCs w:val="20"/>
          <w:color w:val="auto"/>
        </w:rPr>
      </w:pPr>
      <w:r>
        <w:rPr>
          <w:rFonts w:ascii="Times New Roman" w:cs="Times New Roman" w:eastAsia="Times New Roman" w:hAnsi="Times New Roman"/>
          <w:sz w:val="18"/>
          <w:szCs w:val="18"/>
          <w:color w:val="auto"/>
        </w:rPr>
        <w:t>6.11.1.</w:t>
      </w:r>
      <w:r>
        <w:rPr>
          <w:sz w:val="20"/>
          <w:szCs w:val="20"/>
          <w:color w:val="auto"/>
        </w:rPr>
        <w:tab/>
      </w:r>
      <w:r>
        <w:rPr>
          <w:rFonts w:ascii="Times New Roman" w:cs="Times New Roman" w:eastAsia="Times New Roman" w:hAnsi="Times New Roman"/>
          <w:sz w:val="17"/>
          <w:szCs w:val="17"/>
          <w:color w:val="auto"/>
        </w:rPr>
        <w:t>if the Company terminates the MD Agreement without Cause, the date specified in the Notice of Termination, which shall be the day immediately following completion of the Notice Period commencing on the date on which the Notice of Termination is delivered to Managing Director; provided that the Company shall have the option to relieve Managing Director of all job duties, positions and responsibilities for all or any part of the Notice Period; and</w:t>
      </w:r>
    </w:p>
    <w:p>
      <w:pPr>
        <w:spacing w:after="0" w:line="389" w:lineRule="exact"/>
        <w:rPr>
          <w:sz w:val="20"/>
          <w:szCs w:val="20"/>
          <w:color w:val="auto"/>
        </w:rPr>
      </w:pPr>
    </w:p>
    <w:p>
      <w:pPr>
        <w:jc w:val="both"/>
        <w:ind w:left="780" w:hanging="781"/>
        <w:spacing w:after="0" w:line="269" w:lineRule="auto"/>
        <w:tabs>
          <w:tab w:leader="none" w:pos="760" w:val="left"/>
        </w:tabs>
        <w:rPr>
          <w:sz w:val="20"/>
          <w:szCs w:val="20"/>
          <w:color w:val="auto"/>
        </w:rPr>
      </w:pPr>
      <w:r>
        <w:rPr>
          <w:rFonts w:ascii="Times New Roman" w:cs="Times New Roman" w:eastAsia="Times New Roman" w:hAnsi="Times New Roman"/>
          <w:sz w:val="18"/>
          <w:szCs w:val="18"/>
          <w:color w:val="auto"/>
        </w:rPr>
        <w:t>6.11.2.</w:t>
      </w:r>
      <w:r>
        <w:rPr>
          <w:sz w:val="20"/>
          <w:szCs w:val="20"/>
          <w:color w:val="auto"/>
        </w:rPr>
        <w:tab/>
      </w:r>
      <w:r>
        <w:rPr>
          <w:rFonts w:ascii="Times New Roman" w:cs="Times New Roman" w:eastAsia="Times New Roman" w:hAnsi="Times New Roman"/>
          <w:sz w:val="17"/>
          <w:szCs w:val="17"/>
          <w:color w:val="auto"/>
        </w:rPr>
        <w:t>if Managing Director terminates the MD Agreement with or without Good Reason, the date specified in Managing Director’s Notice of Termination, which shall be the day immediately following completion of the Notice Period commencing on the date on which the Notice of Termination is delivered to the Company.</w:t>
      </w:r>
    </w:p>
    <w:p>
      <w:pPr>
        <w:sectPr>
          <w:pgSz w:w="11900" w:h="16838" w:orient="portrait"/>
          <w:cols w:equalWidth="0" w:num="2">
            <w:col w:w="5820" w:space="720"/>
            <w:col w:w="4700"/>
          </w:cols>
          <w:pgMar w:left="320" w:top="980" w:right="339" w:bottom="1440" w:gutter="0" w:footer="0" w:header="0"/>
        </w:sectPr>
      </w:pPr>
    </w:p>
    <w:bookmarkStart w:id="134" w:name="page135"/>
    <w:bookmarkEnd w:id="134"/>
    <w:p>
      <w:pPr>
        <w:ind w:left="794" w:hanging="794"/>
        <w:spacing w:after="0"/>
        <w:tabs>
          <w:tab w:leader="none" w:pos="794"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ALLGEMEINE BESTIMMUNGEN</w:t>
      </w:r>
    </w:p>
    <w:p>
      <w:pPr>
        <w:spacing w:after="0" w:line="217" w:lineRule="exact"/>
        <w:rPr>
          <w:sz w:val="20"/>
          <w:szCs w:val="20"/>
          <w:color w:val="auto"/>
        </w:rPr>
      </w:pPr>
    </w:p>
    <w:p>
      <w:pPr>
        <w:jc w:val="both"/>
        <w:ind w:left="794" w:right="1078" w:hanging="794"/>
        <w:spacing w:after="0" w:line="251" w:lineRule="auto"/>
        <w:tabs>
          <w:tab w:leader="none" w:pos="774"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b w:val="1"/>
          <w:bCs w:val="1"/>
          <w:color w:val="auto"/>
        </w:rPr>
        <w:t>Änderung und Verzicht</w:t>
      </w:r>
      <w:r>
        <w:rPr>
          <w:rFonts w:ascii="Times New Roman" w:cs="Times New Roman" w:eastAsia="Times New Roman" w:hAnsi="Times New Roman"/>
          <w:sz w:val="18"/>
          <w:szCs w:val="18"/>
          <w:color w:val="auto"/>
        </w:rPr>
        <w:t>. Abweichungen von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und/oder Änderungen an diesem Ergänzungsvertrag, die nicht individuell zwischen den Parteien vereinbart wurden, bedürfen zu ihrer Wirksamkeit der Schriftform. Dies gilt auch für den Verzicht auf dieses Schriftformerfordernis.</w:t>
      </w:r>
    </w:p>
    <w:p>
      <w:pPr>
        <w:spacing w:after="0" w:line="187" w:lineRule="exact"/>
        <w:rPr>
          <w:sz w:val="20"/>
          <w:szCs w:val="20"/>
          <w:color w:val="auto"/>
        </w:rPr>
      </w:pPr>
    </w:p>
    <w:p>
      <w:pPr>
        <w:jc w:val="both"/>
        <w:ind w:left="794" w:right="1078" w:hanging="794"/>
        <w:spacing w:after="0" w:line="274" w:lineRule="auto"/>
        <w:tabs>
          <w:tab w:leader="none" w:pos="774"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7"/>
          <w:szCs w:val="17"/>
          <w:color w:val="auto"/>
        </w:rPr>
        <w:t>Anwaltskosten. Jede Partei trägt ihre eigenen Anwaltskosten in einem Rechtsstreit, es sei denn, eine in Frage kommende gesetzliche Regelung erlaubt die Erstattung der Anwaltskosten an die obsiegende Partei.</w:t>
      </w:r>
    </w:p>
    <w:p>
      <w:pPr>
        <w:spacing w:after="0" w:line="165" w:lineRule="exact"/>
        <w:rPr>
          <w:sz w:val="20"/>
          <w:szCs w:val="20"/>
          <w:color w:val="auto"/>
        </w:rPr>
      </w:pPr>
    </w:p>
    <w:p>
      <w:pPr>
        <w:jc w:val="both"/>
        <w:ind w:left="794" w:right="1078" w:hanging="794"/>
        <w:spacing w:after="0" w:line="248" w:lineRule="auto"/>
        <w:tabs>
          <w:tab w:leader="none" w:pos="774"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8"/>
          <w:szCs w:val="18"/>
          <w:b w:val="1"/>
          <w:bCs w:val="1"/>
          <w:color w:val="auto"/>
        </w:rPr>
        <w:t>Salvatorische Klausel</w:t>
      </w:r>
      <w:r>
        <w:rPr>
          <w:rFonts w:ascii="Times New Roman" w:cs="Times New Roman" w:eastAsia="Times New Roman" w:hAnsi="Times New Roman"/>
          <w:sz w:val="18"/>
          <w:szCs w:val="18"/>
          <w:color w:val="auto"/>
        </w:rPr>
        <w:t>. Sollte eine Bestimmung dieses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Ergänzungsvertrags unwirksam sein oder werden oder sollte sich in diesem Ergänzungsvertrag eine Lücke herausstellen, so wird die Wirksamkeit der übrigen Bestimmungen nicht berührt. Im Falle einer unwirksamen Bestimmung sind die Parteien dieses Ergänzungsvertrags dazu verpflichtet, eine wirksame und angemessene Ersatzbestimmung zu vereinbaren, die dem wirtschaftlichen Zweck, den die Parteien dieses Ergänzungsvertrags mit der unwirksamen Bestimmung verfolgt haben, möglichst nahe kommt. Dies gilt entsprechend, wenn sich in diesem Ergänzungsvertrag eine Lücke herausstellt.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485140</wp:posOffset>
            </wp:positionV>
            <wp:extent cx="713486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782" w:hanging="782"/>
        <w:spacing w:after="0"/>
        <w:tabs>
          <w:tab w:leader="none" w:pos="782"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-664845</wp:posOffset>
            </wp:positionV>
            <wp:extent cx="958850" cy="2609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8">
                      <a:extLst>
                        <a:ext uri="{28A0092B-C50C-407E-A947-70E740481C1C}"/>
                      </a:extLst>
                    </a:blip>
                    <a:srcRect/>
                    <a:stretch>
                      <a:fillRect/>
                    </a:stretch>
                  </pic:blipFill>
                  <pic:spPr bwMode="auto">
                    <a:xfrm>
                      <a:off x="0" y="0"/>
                      <a:ext cx="958850" cy="260985"/>
                    </a:xfrm>
                    <a:prstGeom prst="rect">
                      <a:avLst/>
                    </a:prstGeom>
                    <a:noFill/>
                  </pic:spPr>
                </pic:pic>
              </a:graphicData>
            </a:graphic>
          </wp:anchor>
        </w:drawing>
      </w:r>
    </w:p>
    <w:p>
      <w:pPr>
        <w:spacing w:after="0" w:line="197" w:lineRule="exact"/>
        <w:rPr>
          <w:sz w:val="20"/>
          <w:szCs w:val="20"/>
          <w:color w:val="auto"/>
        </w:rPr>
      </w:pPr>
    </w:p>
    <w:p>
      <w:pPr>
        <w:jc w:val="both"/>
        <w:ind w:left="782" w:hanging="781"/>
        <w:spacing w:after="0" w:line="251" w:lineRule="auto"/>
        <w:tabs>
          <w:tab w:leader="none" w:pos="761"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b w:val="1"/>
          <w:bCs w:val="1"/>
          <w:color w:val="auto"/>
        </w:rPr>
        <w:t>Modification and Waiver</w:t>
      </w:r>
      <w:r>
        <w:rPr>
          <w:rFonts w:ascii="Times New Roman" w:cs="Times New Roman" w:eastAsia="Times New Roman" w:hAnsi="Times New Roman"/>
          <w:sz w:val="18"/>
          <w:szCs w:val="18"/>
          <w:color w:val="auto"/>
        </w:rPr>
        <w:t>. Variations of and/or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amendments to this Addendum, which were not agreed upon individually among the parties, must be confirmed in writing in order to become effective. This applies also to any waiver of this written form requirement.</w:t>
      </w:r>
    </w:p>
    <w:p>
      <w:pPr>
        <w:spacing w:after="0" w:line="185" w:lineRule="exact"/>
        <w:rPr>
          <w:sz w:val="20"/>
          <w:szCs w:val="20"/>
          <w:color w:val="auto"/>
        </w:rPr>
      </w:pPr>
    </w:p>
    <w:p>
      <w:pPr>
        <w:jc w:val="both"/>
        <w:ind w:left="782" w:hanging="781"/>
        <w:spacing w:after="0" w:line="256" w:lineRule="auto"/>
        <w:tabs>
          <w:tab w:leader="none" w:pos="761"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b w:val="1"/>
          <w:bCs w:val="1"/>
          <w:color w:val="auto"/>
        </w:rPr>
        <w:t>Attorneys’ Fees</w:t>
      </w:r>
      <w:r>
        <w:rPr>
          <w:rFonts w:ascii="Times New Roman" w:cs="Times New Roman" w:eastAsia="Times New Roman" w:hAnsi="Times New Roman"/>
          <w:sz w:val="18"/>
          <w:szCs w:val="18"/>
          <w:color w:val="auto"/>
        </w:rPr>
        <w:t>. Each party will bear its own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attorneys’ fees in any dispute unless a statutory section at issue, if any, authorizes the award of attorneys’ fees to the prevailing party.</w:t>
      </w:r>
    </w:p>
    <w:p>
      <w:pPr>
        <w:spacing w:after="0" w:line="177" w:lineRule="exact"/>
        <w:rPr>
          <w:sz w:val="20"/>
          <w:szCs w:val="20"/>
          <w:color w:val="auto"/>
        </w:rPr>
      </w:pPr>
    </w:p>
    <w:p>
      <w:pPr>
        <w:jc w:val="both"/>
        <w:ind w:left="782" w:hanging="781"/>
        <w:spacing w:after="0" w:line="248" w:lineRule="auto"/>
        <w:tabs>
          <w:tab w:leader="none" w:pos="761"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Should any provision of this Addendum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or become void or should a gap in this Addendum become apparent, the validity of the other provisions will not be affected. In the event of an invalid provision, the parties to this Addendum shall be obliged to negotiate a valid and reasonable substitute provision which comes as close as possible to the economic purpose the parties of this Addendum had pursued with the invalid provision. This shall apply accordingly if a gap in this Addendum becomes apparent.</w:t>
      </w:r>
    </w:p>
    <w:p>
      <w:pPr>
        <w:sectPr>
          <w:pgSz w:w="11900" w:h="16838" w:orient="portrait"/>
          <w:cols w:equalWidth="0" w:num="2">
            <w:col w:w="5812" w:space="720"/>
            <w:col w:w="4702"/>
          </w:cols>
          <w:pgMar w:left="326" w:top="980" w:right="33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14"/>
        </w:trPr>
        <w:tc>
          <w:tcPr>
            <w:tcW w:w="5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96"/>
              </w:rPr>
              <w:t>7.4.</w:t>
            </w:r>
          </w:p>
        </w:tc>
        <w:tc>
          <w:tcPr>
            <w:tcW w:w="10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Geltendes</w:t>
            </w:r>
          </w:p>
        </w:tc>
        <w:tc>
          <w:tcPr>
            <w:tcW w:w="10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Recht</w:t>
            </w:r>
            <w:r>
              <w:rPr>
                <w:rFonts w:ascii="Times New Roman" w:cs="Times New Roman" w:eastAsia="Times New Roman" w:hAnsi="Times New Roman"/>
                <w:sz w:val="18"/>
                <w:szCs w:val="18"/>
                <w:color w:val="auto"/>
              </w:rPr>
              <w:t>:</w:t>
            </w:r>
          </w:p>
        </w:tc>
        <w:tc>
          <w:tcPr>
            <w:tcW w:w="1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Gerichtsbarkeit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und</w:t>
            </w:r>
          </w:p>
        </w:tc>
      </w:tr>
      <w:tr>
        <w:trPr>
          <w:trHeight w:val="212"/>
        </w:trPr>
        <w:tc>
          <w:tcPr>
            <w:tcW w:w="540" w:type="dxa"/>
            <w:vAlign w:val="bottom"/>
          </w:tcPr>
          <w:p>
            <w:pPr>
              <w:spacing w:after="0"/>
              <w:rPr>
                <w:sz w:val="18"/>
                <w:szCs w:val="18"/>
                <w:color w:val="auto"/>
              </w:rPr>
            </w:pPr>
          </w:p>
        </w:tc>
        <w:tc>
          <w:tcPr>
            <w:tcW w:w="420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Gerichtsstand.   Für  diesen  Ergänzungsvertrag  gilt</w:t>
            </w:r>
          </w:p>
        </w:tc>
      </w:tr>
      <w:tr>
        <w:trPr>
          <w:trHeight w:val="212"/>
        </w:trPr>
        <w:tc>
          <w:tcPr>
            <w:tcW w:w="540" w:type="dxa"/>
            <w:vAlign w:val="bottom"/>
          </w:tcPr>
          <w:p>
            <w:pPr>
              <w:spacing w:after="0"/>
              <w:rPr>
                <w:sz w:val="18"/>
                <w:szCs w:val="18"/>
                <w:color w:val="auto"/>
              </w:rPr>
            </w:pPr>
          </w:p>
        </w:tc>
        <w:tc>
          <w:tcPr>
            <w:tcW w:w="1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deutsches</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Recht.  Die</w:t>
            </w:r>
          </w:p>
        </w:tc>
        <w:tc>
          <w:tcPr>
            <w:tcW w:w="1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englische  Version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dieses</w:t>
            </w:r>
          </w:p>
        </w:tc>
      </w:tr>
      <w:tr>
        <w:trPr>
          <w:trHeight w:val="231"/>
        </w:trPr>
        <w:tc>
          <w:tcPr>
            <w:tcW w:w="540" w:type="dxa"/>
            <w:vAlign w:val="bottom"/>
          </w:tcPr>
          <w:p>
            <w:pPr>
              <w:spacing w:after="0"/>
              <w:rPr>
                <w:sz w:val="20"/>
                <w:szCs w:val="20"/>
                <w:color w:val="auto"/>
              </w:rPr>
            </w:pPr>
          </w:p>
        </w:tc>
        <w:tc>
          <w:tcPr>
            <w:tcW w:w="420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Ergänzungsvertrags ist die maßgebliche Version.</w:t>
            </w:r>
          </w:p>
        </w:tc>
      </w:tr>
      <w:tr>
        <w:trPr>
          <w:trHeight w:val="405"/>
        </w:trPr>
        <w:tc>
          <w:tcPr>
            <w:tcW w:w="5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96"/>
              </w:rPr>
              <w:t>7.5.</w:t>
            </w:r>
          </w:p>
        </w:tc>
        <w:tc>
          <w:tcPr>
            <w:tcW w:w="4200" w:type="dxa"/>
            <w:vAlign w:val="bottom"/>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Einbehaltung</w:t>
            </w:r>
            <w:r>
              <w:rPr>
                <w:rFonts w:ascii="Times New Roman" w:cs="Times New Roman" w:eastAsia="Times New Roman" w:hAnsi="Times New Roman"/>
                <w:sz w:val="18"/>
                <w:szCs w:val="18"/>
                <w:color w:val="auto"/>
              </w:rPr>
              <w:t>.  Die Gesellschaft hat das Recht, von</w:t>
            </w:r>
          </w:p>
        </w:tc>
      </w:tr>
      <w:tr>
        <w:trPr>
          <w:trHeight w:val="212"/>
        </w:trPr>
        <w:tc>
          <w:tcPr>
            <w:tcW w:w="540" w:type="dxa"/>
            <w:vAlign w:val="bottom"/>
          </w:tcPr>
          <w:p>
            <w:pPr>
              <w:spacing w:after="0"/>
              <w:rPr>
                <w:sz w:val="18"/>
                <w:szCs w:val="18"/>
                <w:color w:val="auto"/>
              </w:rPr>
            </w:pPr>
          </w:p>
        </w:tc>
        <w:tc>
          <w:tcPr>
            <w:tcW w:w="420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jedem  im  Rahmen  dieser  Vereinbarung  zahlbaren</w:t>
            </w:r>
          </w:p>
        </w:tc>
      </w:tr>
      <w:tr>
        <w:trPr>
          <w:trHeight w:val="212"/>
        </w:trPr>
        <w:tc>
          <w:tcPr>
            <w:tcW w:w="540" w:type="dxa"/>
            <w:vAlign w:val="bottom"/>
          </w:tcPr>
          <w:p>
            <w:pPr>
              <w:spacing w:after="0"/>
              <w:rPr>
                <w:sz w:val="18"/>
                <w:szCs w:val="18"/>
                <w:color w:val="auto"/>
              </w:rPr>
            </w:pPr>
          </w:p>
        </w:tc>
        <w:tc>
          <w:tcPr>
            <w:tcW w:w="420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Beträgen  Bundes-,  Landes-  und  Kommunalsteuern</w:t>
            </w:r>
          </w:p>
        </w:tc>
      </w:tr>
      <w:tr>
        <w:trPr>
          <w:trHeight w:val="212"/>
        </w:trPr>
        <w:tc>
          <w:tcPr>
            <w:tcW w:w="540" w:type="dxa"/>
            <w:vAlign w:val="bottom"/>
          </w:tcPr>
          <w:p>
            <w:pPr>
              <w:spacing w:after="0"/>
              <w:rPr>
                <w:sz w:val="18"/>
                <w:szCs w:val="18"/>
                <w:color w:val="auto"/>
              </w:rPr>
            </w:pPr>
          </w:p>
        </w:tc>
        <w:tc>
          <w:tcPr>
            <w:tcW w:w="21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einzubehalten,</w:t>
            </w:r>
          </w:p>
        </w:tc>
        <w:tc>
          <w:tcPr>
            <w:tcW w:w="1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um</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etwaige</w:t>
            </w:r>
          </w:p>
        </w:tc>
      </w:tr>
      <w:tr>
        <w:trPr>
          <w:trHeight w:val="212"/>
        </w:trPr>
        <w:tc>
          <w:tcPr>
            <w:tcW w:w="540" w:type="dxa"/>
            <w:vAlign w:val="bottom"/>
          </w:tcPr>
          <w:p>
            <w:pPr>
              <w:spacing w:after="0"/>
              <w:rPr>
                <w:sz w:val="18"/>
                <w:szCs w:val="18"/>
                <w:color w:val="auto"/>
              </w:rPr>
            </w:pPr>
          </w:p>
        </w:tc>
        <w:tc>
          <w:tcPr>
            <w:tcW w:w="420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Quellensteuerverpflichtungen zu erfüllen, die ihr nach</w:t>
            </w:r>
          </w:p>
        </w:tc>
      </w:tr>
      <w:tr>
        <w:trPr>
          <w:trHeight w:val="231"/>
        </w:trPr>
        <w:tc>
          <w:tcPr>
            <w:tcW w:w="540" w:type="dxa"/>
            <w:vAlign w:val="bottom"/>
          </w:tcPr>
          <w:p>
            <w:pPr>
              <w:spacing w:after="0"/>
              <w:rPr>
                <w:sz w:val="20"/>
                <w:szCs w:val="20"/>
                <w:color w:val="auto"/>
              </w:rPr>
            </w:pPr>
          </w:p>
        </w:tc>
        <w:tc>
          <w:tcPr>
            <w:tcW w:w="420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w w:val="98"/>
              </w:rPr>
              <w:t>geltendem Recht oder geltenden Vorschriften obliegen.</w:t>
            </w:r>
          </w:p>
        </w:tc>
      </w:tr>
    </w:tbl>
    <w:p>
      <w:pPr>
        <w:spacing w:after="0" w:line="191" w:lineRule="exact"/>
        <w:rPr>
          <w:sz w:val="20"/>
          <w:szCs w:val="20"/>
          <w:color w:val="auto"/>
        </w:rPr>
      </w:pPr>
    </w:p>
    <w:p>
      <w:pPr>
        <w:ind w:left="800" w:hanging="794"/>
        <w:spacing w:after="0"/>
        <w:tabs>
          <w:tab w:leader="none" w:pos="80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GESAMTE VEREINBARUNG</w:t>
      </w:r>
    </w:p>
    <w:p>
      <w:pPr>
        <w:spacing w:after="0" w:line="219" w:lineRule="exact"/>
        <w:rPr>
          <w:rFonts w:ascii="Times New Roman" w:cs="Times New Roman" w:eastAsia="Times New Roman" w:hAnsi="Times New Roman"/>
          <w:sz w:val="18"/>
          <w:szCs w:val="18"/>
          <w:b w:val="1"/>
          <w:bCs w:val="1"/>
          <w:color w:val="auto"/>
        </w:rPr>
      </w:pPr>
    </w:p>
    <w:p>
      <w:pPr>
        <w:jc w:val="both"/>
        <w:ind w:left="800" w:right="1078"/>
        <w:spacing w:after="0" w:line="26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Sofern hierin nicht abweichend geregelt, enthält dieser Ergänzungsvertrag alle Vereinbarungen und Zusicherungen zwischen dem Geschäftsführer und der Gesellschaft in Bezug auf den Vertragsgegenstand und ersetzt alle vorherigen und gleichzeitigen schriftlichen und mündlichen Vereinbarungen, Zusicherungen und Gewährleistungen in Bezug auf diesen Vertragsgegenstand. Diese Leistungen treten im Falle eines Kontrollwechsels an die Stelle aller anderen Leistungen aus dem GF-Vertrag, falls zutreffend.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744220</wp:posOffset>
            </wp:positionV>
            <wp:extent cx="713486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782" w:hanging="781"/>
        <w:spacing w:after="0" w:line="283" w:lineRule="auto"/>
        <w:tabs>
          <w:tab w:leader="none" w:pos="761"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7"/>
          <w:szCs w:val="17"/>
          <w:b w:val="1"/>
          <w:bCs w:val="1"/>
          <w:color w:val="auto"/>
        </w:rPr>
        <w:t>Governing Law</w:t>
      </w:r>
      <w:r>
        <w:rPr>
          <w:rFonts w:ascii="Times New Roman" w:cs="Times New Roman" w:eastAsia="Times New Roman" w:hAnsi="Times New Roman"/>
          <w:sz w:val="17"/>
          <w:szCs w:val="17"/>
          <w:color w:val="auto"/>
        </w:rPr>
        <w:t>: Jurisdiction and Venue. German law</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apply to this Addendum. The English version of this Addendum shall be the authoritative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-972185</wp:posOffset>
            </wp:positionV>
            <wp:extent cx="958850" cy="2609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0">
                      <a:extLst>
                        <a:ext uri="{28A0092B-C50C-407E-A947-70E740481C1C}"/>
                      </a:extLst>
                    </a:blip>
                    <a:srcRect/>
                    <a:stretch>
                      <a:fillRect/>
                    </a:stretch>
                  </pic:blipFill>
                  <pic:spPr bwMode="auto">
                    <a:xfrm>
                      <a:off x="0" y="0"/>
                      <a:ext cx="958850" cy="260985"/>
                    </a:xfrm>
                    <a:prstGeom prst="rect">
                      <a:avLst/>
                    </a:prstGeom>
                    <a:noFill/>
                  </pic:spPr>
                </pic:pic>
              </a:graphicData>
            </a:graphic>
          </wp:anchor>
        </w:drawing>
      </w:r>
    </w:p>
    <w:p>
      <w:pPr>
        <w:spacing w:after="0" w:line="348" w:lineRule="exact"/>
        <w:rPr>
          <w:sz w:val="20"/>
          <w:szCs w:val="20"/>
          <w:color w:val="auto"/>
        </w:rPr>
      </w:pPr>
    </w:p>
    <w:p>
      <w:pPr>
        <w:jc w:val="both"/>
        <w:ind w:left="782" w:hanging="781"/>
        <w:spacing w:after="0" w:line="253" w:lineRule="auto"/>
        <w:tabs>
          <w:tab w:leader="none" w:pos="761"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8"/>
          <w:szCs w:val="18"/>
          <w:b w:val="1"/>
          <w:bCs w:val="1"/>
          <w:color w:val="auto"/>
        </w:rPr>
        <w:t>Withholding</w:t>
      </w:r>
      <w:r>
        <w:rPr>
          <w:rFonts w:ascii="Times New Roman" w:cs="Times New Roman" w:eastAsia="Times New Roman" w:hAnsi="Times New Roman"/>
          <w:sz w:val="18"/>
          <w:szCs w:val="18"/>
          <w:color w:val="auto"/>
        </w:rPr>
        <w:t>. The Company shall have the right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withhold from any amount payable hereunder any Federal, state and local taxes in order for the Company to satisfy any withholding tax obligation it may have under any applicable law or regulation.</w:t>
      </w:r>
    </w:p>
    <w:p>
      <w:pPr>
        <w:spacing w:after="0" w:line="393" w:lineRule="exact"/>
        <w:rPr>
          <w:sz w:val="20"/>
          <w:szCs w:val="20"/>
          <w:color w:val="auto"/>
        </w:rPr>
      </w:pPr>
    </w:p>
    <w:p>
      <w:pPr>
        <w:ind w:left="782" w:hanging="782"/>
        <w:spacing w:after="0"/>
        <w:tabs>
          <w:tab w:leader="none" w:pos="782"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ENTIRE AGREEMENT</w:t>
      </w:r>
    </w:p>
    <w:p>
      <w:pPr>
        <w:spacing w:after="0" w:line="219" w:lineRule="exact"/>
        <w:rPr>
          <w:rFonts w:ascii="Times New Roman" w:cs="Times New Roman" w:eastAsia="Times New Roman" w:hAnsi="Times New Roman"/>
          <w:sz w:val="18"/>
          <w:szCs w:val="18"/>
          <w:b w:val="1"/>
          <w:bCs w:val="1"/>
          <w:color w:val="auto"/>
        </w:rPr>
      </w:pPr>
    </w:p>
    <w:p>
      <w:pPr>
        <w:jc w:val="both"/>
        <w:ind w:left="782"/>
        <w:spacing w:after="0" w:line="24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specifically provided herein, this Addendum contains all of the understandings and representations between Managing Director and the Company pertaining to the subject matter hereof and supersedes all prior and contemporaneous understandings, agreements, representations and warranties, both written and oral, with respect to such subject matter, and such benefits shall be in lieu of any other benefits under the MD Agreement, if applicable, in the case of a Change in Control. The parties mutually agree that the Addendum can be specifically enforced in court and can be cited as evidence in legal proceedings alleging breach of the Addendum.</w:t>
      </w:r>
    </w:p>
    <w:p>
      <w:pPr>
        <w:sectPr>
          <w:pgSz w:w="11900" w:h="16838" w:orient="portrait"/>
          <w:cols w:equalWidth="0" w:num="2">
            <w:col w:w="5818" w:space="720"/>
            <w:col w:w="4702"/>
          </w:cols>
          <w:pgMar w:left="320" w:top="980" w:right="33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12"/>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w:t>
            </w:r>
          </w:p>
        </w:tc>
        <w:tc>
          <w:tcPr>
            <w:tcW w:w="48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BESTÄTIGUNG    DES    VOLL-STÄNDIGEN</w:t>
            </w:r>
          </w:p>
        </w:tc>
        <w:tc>
          <w:tcPr>
            <w:tcW w:w="138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9.</w:t>
            </w:r>
          </w:p>
        </w:tc>
        <w:tc>
          <w:tcPr>
            <w:tcW w:w="26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ACKNOWLEDGEMENT</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OF</w:t>
            </w:r>
          </w:p>
        </w:tc>
        <w:tc>
          <w:tcPr>
            <w:tcW w:w="7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w w:val="95"/>
              </w:rPr>
              <w:t>FULL</w:t>
            </w:r>
          </w:p>
        </w:tc>
      </w:tr>
      <w:tr>
        <w:trPr>
          <w:trHeight w:val="233"/>
        </w:trPr>
        <w:tc>
          <w:tcPr>
            <w:tcW w:w="760" w:type="dxa"/>
            <w:vAlign w:val="bottom"/>
          </w:tcPr>
          <w:p>
            <w:pPr>
              <w:spacing w:after="0"/>
              <w:rPr>
                <w:sz w:val="20"/>
                <w:szCs w:val="20"/>
                <w:color w:val="auto"/>
              </w:rPr>
            </w:pPr>
          </w:p>
        </w:tc>
        <w:tc>
          <w:tcPr>
            <w:tcW w:w="48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VERSTÄNDNISSES</w:t>
            </w:r>
          </w:p>
        </w:tc>
        <w:tc>
          <w:tcPr>
            <w:tcW w:w="1380" w:type="dxa"/>
            <w:vAlign w:val="bottom"/>
          </w:tcPr>
          <w:p>
            <w:pPr>
              <w:spacing w:after="0"/>
              <w:rPr>
                <w:sz w:val="20"/>
                <w:szCs w:val="20"/>
                <w:color w:val="auto"/>
              </w:rPr>
            </w:pPr>
          </w:p>
        </w:tc>
        <w:tc>
          <w:tcPr>
            <w:tcW w:w="26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UNDERSTANDING</w:t>
            </w: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829"/>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_____________________________________</w:t>
            </w:r>
          </w:p>
        </w:tc>
        <w:tc>
          <w:tcPr>
            <w:tcW w:w="406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_____________________________________</w:t>
            </w: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31"/>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Ort/Place, Datum/Date</w:t>
            </w:r>
          </w:p>
        </w:tc>
        <w:tc>
          <w:tcPr>
            <w:tcW w:w="40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Ort/Place, Datum/Date</w:t>
            </w: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05"/>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_____________________________________</w:t>
            </w:r>
          </w:p>
        </w:tc>
        <w:tc>
          <w:tcPr>
            <w:tcW w:w="406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_____________________________________</w:t>
            </w: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Jeff Jones</w:t>
            </w:r>
          </w:p>
        </w:tc>
        <w:tc>
          <w:tcPr>
            <w:tcW w:w="4860" w:type="dxa"/>
            <w:vAlign w:val="bottom"/>
          </w:tcPr>
          <w:p>
            <w:pPr>
              <w:spacing w:after="0"/>
              <w:rPr>
                <w:sz w:val="18"/>
                <w:szCs w:val="18"/>
                <w:color w:val="auto"/>
              </w:rPr>
            </w:pPr>
          </w:p>
        </w:tc>
        <w:tc>
          <w:tcPr>
            <w:tcW w:w="40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Klaus Ilgenfritz</w:t>
            </w: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2"/>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als Vertreter der Gesellschafterversammlung der Cohu GmbH / as</w:t>
            </w:r>
          </w:p>
        </w:tc>
        <w:tc>
          <w:tcPr>
            <w:tcW w:w="1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1"/>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representative of the shareholder meeting of Cohu GmbH</w:t>
            </w:r>
          </w:p>
        </w:tc>
        <w:tc>
          <w:tcPr>
            <w:tcW w:w="13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r>
    </w:tbl>
    <w:p>
      <w:pPr>
        <w:spacing w:after="0"/>
        <w:rPr>
          <w:sz w:val="20"/>
          <w:szCs w:val="20"/>
          <w:color w:val="auto"/>
        </w:rPr>
        <w:sectPr>
          <w:pgSz w:w="11900" w:h="16838" w:orient="portrait"/>
          <w:cols w:equalWidth="0" w:num="1">
            <w:col w:w="11240"/>
          </w:cols>
          <w:pgMar w:left="320" w:top="980" w:right="339" w:bottom="1440" w:gutter="0" w:footer="0" w:header="0"/>
        </w:sectPr>
      </w:pPr>
      <w:r>
        <w:rPr>
          <w:sz w:val="20"/>
          <w:szCs w:val="20"/>
          <w:color w:val="auto"/>
        </w:rPr>
        <w:drawing>
          <wp:anchor simplePos="0" relativeHeight="251657728" behindDoc="1" locked="0" layoutInCell="0" allowOverlap="1">
            <wp:simplePos x="0" y="0"/>
            <wp:positionH relativeFrom="page">
              <wp:posOffset>6374130</wp:posOffset>
            </wp:positionH>
            <wp:positionV relativeFrom="page">
              <wp:posOffset>88900</wp:posOffset>
            </wp:positionV>
            <wp:extent cx="958850" cy="2609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1">
                      <a:clrChange>
                        <a:clrFrom>
                          <a:srgbClr val="FFFFFF"/>
                        </a:clrFrom>
                        <a:clrTo>
                          <a:srgbClr val="FFFFFF">
                            <a:alpha val="0"/>
                          </a:srgbClr>
                        </a:clrTo>
                      </a:clrChange>
                      <a:extLst>
                        <a:ext uri="{28A0092B-C50C-407E-A947-70E740481C1C}"/>
                      </a:extLst>
                    </a:blip>
                    <a:srcRect/>
                    <a:stretch>
                      <a:fillRect/>
                    </a:stretch>
                  </pic:blipFill>
                  <pic:spPr bwMode="auto">
                    <a:xfrm>
                      <a:off x="0" y="0"/>
                      <a:ext cx="958850" cy="260985"/>
                    </a:xfrm>
                    <a:prstGeom prst="rect">
                      <a:avLst/>
                    </a:prstGeom>
                    <a:noFill/>
                  </pic:spPr>
                </pic:pic>
              </a:graphicData>
            </a:graphic>
          </wp:anchor>
        </w:drawing>
      </w:r>
    </w:p>
    <w:p>
      <w:pPr>
        <w:spacing w:after="0" w:line="193" w:lineRule="exact"/>
        <w:rPr>
          <w:sz w:val="20"/>
          <w:szCs w:val="20"/>
          <w:color w:val="auto"/>
        </w:rPr>
      </w:pPr>
    </w:p>
    <w:p>
      <w:pPr>
        <w:jc w:val="both"/>
        <w:ind w:right="420"/>
        <w:spacing w:after="0" w:line="259" w:lineRule="auto"/>
        <w:rPr>
          <w:sz w:val="20"/>
          <w:szCs w:val="20"/>
          <w:color w:val="auto"/>
        </w:rPr>
      </w:pPr>
      <w:r>
        <w:rPr>
          <w:rFonts w:ascii="Times New Roman" w:cs="Times New Roman" w:eastAsia="Times New Roman" w:hAnsi="Times New Roman"/>
          <w:sz w:val="18"/>
          <w:szCs w:val="18"/>
          <w:color w:val="auto"/>
        </w:rPr>
        <w:t>Der Geschäftsführer bestätigt mit der Unterschrift, eine vollständige Ausführung dieser Änderungsvereinbarung erhalten zu haben, die von beiden Parteien im Original unterschrieben wurde.</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Managing Director hereby confirms by signature that the Managing Director has received a complete execution of this Addendum that has been signed by both parties with original signatures.</w:t>
      </w:r>
    </w:p>
    <w:p>
      <w:pPr>
        <w:spacing w:after="0" w:line="180" w:lineRule="exact"/>
        <w:rPr>
          <w:sz w:val="20"/>
          <w:szCs w:val="20"/>
          <w:color w:val="auto"/>
        </w:rPr>
      </w:pPr>
    </w:p>
    <w:p>
      <w:pPr>
        <w:sectPr>
          <w:pgSz w:w="11900" w:h="16838" w:orient="portrait"/>
          <w:cols w:equalWidth="0" w:num="2">
            <w:col w:w="5480" w:space="720"/>
            <w:col w:w="5040"/>
          </w:cols>
          <w:pgMar w:left="320" w:top="980" w:right="339" w:bottom="1440" w:gutter="0" w:footer="0" w:header="0"/>
          <w:type w:val="continuous"/>
        </w:sectPr>
      </w:pPr>
    </w:p>
    <w:p>
      <w:pPr>
        <w:ind w:left="4000"/>
        <w:spacing w:after="0"/>
        <w:rPr>
          <w:sz w:val="20"/>
          <w:szCs w:val="20"/>
          <w:color w:val="auto"/>
        </w:rPr>
      </w:pPr>
      <w:r>
        <w:rPr>
          <w:rFonts w:ascii="Times New Roman" w:cs="Times New Roman" w:eastAsia="Times New Roman" w:hAnsi="Times New Roman"/>
          <w:sz w:val="17"/>
          <w:szCs w:val="17"/>
          <w:color w:val="auto"/>
        </w:rPr>
        <w:t>_____________________________________</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Ort/Place, Datum/Date</w:t>
      </w:r>
    </w:p>
    <w:p>
      <w:pPr>
        <w:spacing w:after="0" w:line="198"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7"/>
          <w:szCs w:val="17"/>
          <w:color w:val="auto"/>
        </w:rPr>
        <w:t>_____________________________________</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Klaus Ilgenfritz</w:t>
      </w:r>
    </w:p>
    <w:p>
      <w:pPr>
        <w:sectPr>
          <w:pgSz w:w="11900" w:h="16838" w:orient="portrait"/>
          <w:cols w:equalWidth="0" w:num="1">
            <w:col w:w="11240"/>
          </w:cols>
          <w:pgMar w:left="320" w:top="980" w:right="339" w:bottom="1440" w:gutter="0" w:footer="0" w:header="0"/>
          <w:type w:val="continuous"/>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b w:val="1"/>
          <w:bCs w:val="1"/>
          <w:color w:val="auto"/>
        </w:rPr>
        <w:t>Exhibit 19</w:t>
      </w:r>
    </w:p>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Version March 11, 2 0 2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42"/>
          <w:szCs w:val="42"/>
          <w:b w:val="1"/>
          <w:bCs w:val="1"/>
          <w:color w:val="auto"/>
        </w:rPr>
        <w:t>Cohu, Inc.</w:t>
      </w:r>
    </w:p>
    <w:p>
      <w:pPr>
        <w:spacing w:after="0" w:line="21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42"/>
          <w:szCs w:val="42"/>
          <w:b w:val="1"/>
          <w:bCs w:val="1"/>
          <w:color w:val="auto"/>
        </w:rPr>
        <w:t>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2615565</wp:posOffset>
            </wp:positionH>
            <wp:positionV relativeFrom="paragraph">
              <wp:posOffset>339090</wp:posOffset>
            </wp:positionV>
            <wp:extent cx="178371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2">
                      <a:extLst>
                        <a:ext uri="{28A0092B-C50C-407E-A947-70E740481C1C}"/>
                      </a:extLst>
                    </a:blip>
                    <a:srcRect/>
                    <a:stretch>
                      <a:fillRect/>
                    </a:stretch>
                  </pic:blipFill>
                  <pic:spPr bwMode="auto">
                    <a:xfrm>
                      <a:off x="0" y="0"/>
                      <a:ext cx="17837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00"/>
        <w:spacing w:after="0" w:line="269" w:lineRule="auto"/>
        <w:rPr>
          <w:sz w:val="20"/>
          <w:szCs w:val="20"/>
          <w:color w:val="auto"/>
        </w:rPr>
      </w:pPr>
      <w:r>
        <w:rPr>
          <w:rFonts w:ascii="Times New Roman" w:cs="Times New Roman" w:eastAsia="Times New Roman" w:hAnsi="Times New Roman"/>
          <w:sz w:val="32"/>
          <w:szCs w:val="32"/>
          <w:b w:val="1"/>
          <w:bCs w:val="1"/>
          <w:i w:val="1"/>
          <w:iCs w:val="1"/>
          <w:color w:val="auto"/>
        </w:rPr>
        <w:t>It is a violation of the policy to trade Cohu securities while in possession of material, nonpublic information related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2225040</wp:posOffset>
            </wp:positionV>
            <wp:extent cx="7134860" cy="165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3">
                      <a:extLst>
                        <a:ext uri="{28A0092B-C50C-407E-A947-70E740481C1C}"/>
                      </a:extLst>
                    </a:blip>
                    <a:srcRect/>
                    <a:stretch>
                      <a:fillRect/>
                    </a:stretch>
                  </pic:blipFill>
                  <pic:spPr bwMode="auto">
                    <a:xfrm>
                      <a:off x="0" y="0"/>
                      <a:ext cx="7134860" cy="16510"/>
                    </a:xfrm>
                    <a:prstGeom prst="rect">
                      <a:avLst/>
                    </a:prstGeom>
                    <a:noFill/>
                  </pic:spPr>
                </pic:pic>
              </a:graphicData>
            </a:graphic>
          </wp:anchor>
        </w:drawing>
        <w:drawing>
          <wp:anchor simplePos="0" relativeHeight="251657728" behindDoc="1" locked="0" layoutInCell="0" allowOverlap="1">
            <wp:simplePos x="0" y="0"/>
            <wp:positionH relativeFrom="column">
              <wp:posOffset>2211705</wp:posOffset>
            </wp:positionH>
            <wp:positionV relativeFrom="paragraph">
              <wp:posOffset>870585</wp:posOffset>
            </wp:positionV>
            <wp:extent cx="2599690" cy="6229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4">
                      <a:extLst>
                        <a:ext uri="{28A0092B-C50C-407E-A947-70E740481C1C}"/>
                      </a:extLst>
                    </a:blip>
                    <a:srcRect/>
                    <a:stretch>
                      <a:fillRect/>
                    </a:stretch>
                  </pic:blipFill>
                  <pic:spPr bwMode="auto">
                    <a:xfrm>
                      <a:off x="0" y="0"/>
                      <a:ext cx="2599690" cy="622935"/>
                    </a:xfrm>
                    <a:prstGeom prst="rect">
                      <a:avLst/>
                    </a:prstGeom>
                    <a:noFill/>
                  </pic:spPr>
                </pic:pic>
              </a:graphicData>
            </a:graphic>
          </wp:anchor>
        </w:drawing>
      </w:r>
    </w:p>
    <w:p>
      <w:pPr>
        <w:sectPr>
          <w:pgSz w:w="11900" w:h="16838" w:orient="portrait"/>
          <w:cols w:equalWidth="0" w:num="1">
            <w:col w:w="11140"/>
          </w:cols>
          <w:pgMar w:left="420" w:top="119"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6525895</wp:posOffset>
            </wp:positionH>
            <wp:positionV relativeFrom="page">
              <wp:posOffset>88900</wp:posOffset>
            </wp:positionV>
            <wp:extent cx="807720" cy="2273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5">
                      <a:clrChange>
                        <a:clrFrom>
                          <a:srgbClr val="FFFFFF"/>
                        </a:clrFrom>
                        <a:clrTo>
                          <a:srgbClr val="FFFFFF">
                            <a:alpha val="0"/>
                          </a:srgbClr>
                        </a:clrTo>
                      </a:clrChange>
                      <a:extLst>
                        <a:ext uri="{28A0092B-C50C-407E-A947-70E740481C1C}"/>
                      </a:extLst>
                    </a:blip>
                    <a:srcRect/>
                    <a:stretch>
                      <a:fillRect/>
                    </a:stretch>
                  </pic:blipFill>
                  <pic:spPr bwMode="auto">
                    <a:xfrm>
                      <a:off x="0" y="0"/>
                      <a:ext cx="807720" cy="22733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51435</wp:posOffset>
            </wp:positionV>
            <wp:extent cx="71501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6">
                      <a:extLst>
                        <a:ext uri="{28A0092B-C50C-407E-A947-70E740481C1C}"/>
                      </a:extLst>
                    </a:blip>
                    <a:srcRect/>
                    <a:stretch>
                      <a:fillRect/>
                    </a:stretch>
                  </pic:blipFill>
                  <pic:spPr bwMode="auto">
                    <a:xfrm>
                      <a:off x="0" y="0"/>
                      <a:ext cx="715010"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w:t>
            </w:r>
          </w:p>
        </w:tc>
        <w:tc>
          <w:tcPr>
            <w:tcW w:w="10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PROHIBITIONS APPLICABLE WHILE IN POSSESSION OF MATERIAL NONPUBLIC INFORMATION</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0" w:type="dxa"/>
            <w:vAlign w:val="bottom"/>
          </w:tcPr>
          <w:p>
            <w:pPr>
              <w:spacing w:after="0"/>
              <w:rPr>
                <w:sz w:val="18"/>
                <w:szCs w:val="18"/>
                <w:color w:val="auto"/>
              </w:rPr>
            </w:pPr>
          </w:p>
        </w:tc>
        <w:tc>
          <w:tcPr>
            <w:tcW w:w="10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II.</w:t>
            </w:r>
          </w:p>
        </w:tc>
        <w:tc>
          <w:tcPr>
            <w:tcW w:w="10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PERSONS SUBJECT TO THIS POLICY</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0" w:type="dxa"/>
            <w:vAlign w:val="bottom"/>
          </w:tcPr>
          <w:p>
            <w:pPr>
              <w:spacing w:after="0"/>
              <w:rPr>
                <w:sz w:val="18"/>
                <w:szCs w:val="18"/>
                <w:color w:val="auto"/>
              </w:rPr>
            </w:pPr>
          </w:p>
        </w:tc>
        <w:tc>
          <w:tcPr>
            <w:tcW w:w="10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46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III.</w:t>
            </w:r>
          </w:p>
        </w:tc>
        <w:tc>
          <w:tcPr>
            <w:tcW w:w="10080" w:type="dxa"/>
            <w:vAlign w:val="bottom"/>
            <w:shd w:val="clear" w:color="auto" w:fill="CCEEFF"/>
          </w:tcPr>
          <w:p>
            <w:pPr>
              <w:ind w:left="60"/>
              <w:spacing w:after="0" w:line="192" w:lineRule="exact"/>
              <w:rPr>
                <w:sz w:val="20"/>
                <w:szCs w:val="20"/>
                <w:color w:val="auto"/>
              </w:rPr>
            </w:pPr>
            <w:r>
              <w:rPr>
                <w:rFonts w:ascii="Times New Roman" w:cs="Times New Roman" w:eastAsia="Times New Roman" w:hAnsi="Times New Roman"/>
                <w:sz w:val="18"/>
                <w:szCs w:val="18"/>
                <w:b w:val="1"/>
                <w:bCs w:val="1"/>
                <w:color w:val="auto"/>
              </w:rPr>
              <w:t>EXECUTIVE OFFICERS, DIRECTORS AND CERTAIN DESIGNATED EMPLOYEES ARE SUBJECT TO ADDITIONAL</w:t>
            </w:r>
          </w:p>
        </w:tc>
        <w:tc>
          <w:tcPr>
            <w:tcW w:w="700" w:type="dxa"/>
            <w:vAlign w:val="bottom"/>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b w:val="1"/>
                <w:bCs w:val="1"/>
                <w:color w:val="auto"/>
              </w:rPr>
              <w:t>4</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60" w:type="dxa"/>
            <w:vAlign w:val="bottom"/>
            <w:shd w:val="clear" w:color="auto" w:fill="CCEEFF"/>
          </w:tcPr>
          <w:p>
            <w:pPr>
              <w:spacing w:after="0"/>
              <w:rPr>
                <w:sz w:val="20"/>
                <w:szCs w:val="20"/>
                <w:color w:val="auto"/>
              </w:rPr>
            </w:pPr>
          </w:p>
        </w:tc>
        <w:tc>
          <w:tcPr>
            <w:tcW w:w="10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RESTRICTIONS</w:t>
            </w:r>
          </w:p>
        </w:tc>
        <w:tc>
          <w:tcPr>
            <w:tcW w:w="7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60" w:type="dxa"/>
            <w:vAlign w:val="bottom"/>
          </w:tcPr>
          <w:p>
            <w:pPr>
              <w:spacing w:after="0"/>
              <w:rPr>
                <w:sz w:val="18"/>
                <w:szCs w:val="18"/>
                <w:color w:val="auto"/>
              </w:rPr>
            </w:pPr>
          </w:p>
        </w:tc>
        <w:tc>
          <w:tcPr>
            <w:tcW w:w="10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IV.</w:t>
            </w:r>
          </w:p>
        </w:tc>
        <w:tc>
          <w:tcPr>
            <w:tcW w:w="10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APPLICABILITY OF THIS POLICY TO TRANSACTIONS IN COMPANY SECURITIES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0" w:type="dxa"/>
            <w:vAlign w:val="bottom"/>
          </w:tcPr>
          <w:p>
            <w:pPr>
              <w:spacing w:after="0"/>
              <w:rPr>
                <w:sz w:val="18"/>
                <w:szCs w:val="18"/>
                <w:color w:val="auto"/>
              </w:rPr>
            </w:pPr>
          </w:p>
        </w:tc>
        <w:tc>
          <w:tcPr>
            <w:tcW w:w="10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w:t>
            </w:r>
          </w:p>
        </w:tc>
        <w:tc>
          <w:tcPr>
            <w:tcW w:w="10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DEFINITION OF “MATERIAL NONPUBLIC INFORMATION”</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0" w:type="dxa"/>
            <w:vAlign w:val="bottom"/>
          </w:tcPr>
          <w:p>
            <w:pPr>
              <w:spacing w:after="0"/>
              <w:rPr>
                <w:sz w:val="18"/>
                <w:szCs w:val="18"/>
                <w:color w:val="auto"/>
              </w:rPr>
            </w:pPr>
          </w:p>
        </w:tc>
        <w:tc>
          <w:tcPr>
            <w:tcW w:w="10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VI.</w:t>
            </w:r>
          </w:p>
        </w:tc>
        <w:tc>
          <w:tcPr>
            <w:tcW w:w="10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EMPLOYEES MAY NOT PARTICIPATE IN CHAT ROOMS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0" w:type="dxa"/>
            <w:vAlign w:val="bottom"/>
          </w:tcPr>
          <w:p>
            <w:pPr>
              <w:spacing w:after="0"/>
              <w:rPr>
                <w:sz w:val="18"/>
                <w:szCs w:val="18"/>
                <w:color w:val="auto"/>
              </w:rPr>
            </w:pPr>
          </w:p>
        </w:tc>
        <w:tc>
          <w:tcPr>
            <w:tcW w:w="10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46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VII.</w:t>
            </w:r>
          </w:p>
        </w:tc>
        <w:tc>
          <w:tcPr>
            <w:tcW w:w="10080" w:type="dxa"/>
            <w:vAlign w:val="bottom"/>
            <w:shd w:val="clear" w:color="auto" w:fill="CCEEFF"/>
          </w:tcPr>
          <w:p>
            <w:pPr>
              <w:ind w:left="60"/>
              <w:spacing w:after="0" w:line="192" w:lineRule="exact"/>
              <w:rPr>
                <w:sz w:val="20"/>
                <w:szCs w:val="20"/>
                <w:color w:val="auto"/>
              </w:rPr>
            </w:pPr>
            <w:r>
              <w:rPr>
                <w:rFonts w:ascii="Times New Roman" w:cs="Times New Roman" w:eastAsia="Times New Roman" w:hAnsi="Times New Roman"/>
                <w:sz w:val="18"/>
                <w:szCs w:val="18"/>
                <w:b w:val="1"/>
                <w:bCs w:val="1"/>
                <w:color w:val="auto"/>
              </w:rPr>
              <w:t>ONLY DESIGNATED COMPANY SPOKESPERSONS ARE AUTHORIZED TO DISCLOSE MATERIAL NONPUBLIC</w:t>
            </w:r>
          </w:p>
        </w:tc>
        <w:tc>
          <w:tcPr>
            <w:tcW w:w="700" w:type="dxa"/>
            <w:vAlign w:val="bottom"/>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b w:val="1"/>
                <w:bCs w:val="1"/>
                <w:color w:val="auto"/>
              </w:rPr>
              <w:t>6</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60" w:type="dxa"/>
            <w:vAlign w:val="bottom"/>
            <w:shd w:val="clear" w:color="auto" w:fill="CCEEFF"/>
          </w:tcPr>
          <w:p>
            <w:pPr>
              <w:spacing w:after="0"/>
              <w:rPr>
                <w:sz w:val="20"/>
                <w:szCs w:val="20"/>
                <w:color w:val="auto"/>
              </w:rPr>
            </w:pPr>
          </w:p>
        </w:tc>
        <w:tc>
          <w:tcPr>
            <w:tcW w:w="10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INFORMATION</w:t>
            </w:r>
          </w:p>
        </w:tc>
        <w:tc>
          <w:tcPr>
            <w:tcW w:w="7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10540" w:type="dxa"/>
            <w:vAlign w:val="bottom"/>
            <w:gridSpan w:val="2"/>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VIII.  CERTAIN TYPES OF TRANSACTIONS ARE PROHIBITED</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0" w:type="dxa"/>
            <w:vAlign w:val="bottom"/>
          </w:tcPr>
          <w:p>
            <w:pPr>
              <w:spacing w:after="0"/>
              <w:rPr>
                <w:sz w:val="18"/>
                <w:szCs w:val="18"/>
                <w:color w:val="auto"/>
              </w:rPr>
            </w:pPr>
          </w:p>
        </w:tc>
        <w:tc>
          <w:tcPr>
            <w:tcW w:w="10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IX.</w:t>
            </w:r>
          </w:p>
        </w:tc>
        <w:tc>
          <w:tcPr>
            <w:tcW w:w="10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THE COMPANY MAY SUSPEND ALL TRADING ACTIVITIES BY EMPLOYEES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0" w:type="dxa"/>
            <w:vAlign w:val="bottom"/>
          </w:tcPr>
          <w:p>
            <w:pPr>
              <w:spacing w:after="0"/>
              <w:rPr>
                <w:sz w:val="18"/>
                <w:szCs w:val="18"/>
                <w:color w:val="auto"/>
              </w:rPr>
            </w:pPr>
          </w:p>
        </w:tc>
        <w:tc>
          <w:tcPr>
            <w:tcW w:w="10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X.</w:t>
            </w:r>
          </w:p>
        </w:tc>
        <w:tc>
          <w:tcPr>
            <w:tcW w:w="10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VIOLATIONS OF INSIDER TRADING LAWS OR THIS POLICY CAN RESULT IN SEVERE CONSEQUENCES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0" w:type="dxa"/>
            <w:vAlign w:val="bottom"/>
          </w:tcPr>
          <w:p>
            <w:pPr>
              <w:spacing w:after="0"/>
              <w:rPr>
                <w:sz w:val="18"/>
                <w:szCs w:val="18"/>
                <w:color w:val="auto"/>
              </w:rPr>
            </w:pPr>
          </w:p>
        </w:tc>
        <w:tc>
          <w:tcPr>
            <w:tcW w:w="10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XI.</w:t>
            </w:r>
          </w:p>
        </w:tc>
        <w:tc>
          <w:tcPr>
            <w:tcW w:w="10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INSIDER TRADING COMPLIANCE OFFICER</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0" w:type="dxa"/>
            <w:vAlign w:val="bottom"/>
          </w:tcPr>
          <w:p>
            <w:pPr>
              <w:spacing w:after="0"/>
              <w:rPr>
                <w:sz w:val="18"/>
                <w:szCs w:val="18"/>
                <w:color w:val="auto"/>
              </w:rPr>
            </w:pPr>
          </w:p>
        </w:tc>
        <w:tc>
          <w:tcPr>
            <w:tcW w:w="10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XII.</w:t>
            </w:r>
          </w:p>
        </w:tc>
        <w:tc>
          <w:tcPr>
            <w:tcW w:w="10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EVERY INDIVIDUAL IS RESPONSIBLE</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0" w:type="dxa"/>
            <w:vAlign w:val="bottom"/>
          </w:tcPr>
          <w:p>
            <w:pPr>
              <w:spacing w:after="0"/>
              <w:rPr>
                <w:sz w:val="18"/>
                <w:szCs w:val="18"/>
                <w:color w:val="auto"/>
              </w:rPr>
            </w:pPr>
          </w:p>
        </w:tc>
        <w:tc>
          <w:tcPr>
            <w:tcW w:w="10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XIII.</w:t>
            </w:r>
          </w:p>
        </w:tc>
        <w:tc>
          <w:tcPr>
            <w:tcW w:w="10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APPLICATION FOLLOWING TERMINATION OF EMPLOYMENT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0" w:type="dxa"/>
            <w:vAlign w:val="bottom"/>
          </w:tcPr>
          <w:p>
            <w:pPr>
              <w:spacing w:after="0"/>
              <w:rPr>
                <w:sz w:val="18"/>
                <w:szCs w:val="18"/>
                <w:color w:val="auto"/>
              </w:rPr>
            </w:pPr>
          </w:p>
        </w:tc>
        <w:tc>
          <w:tcPr>
            <w:tcW w:w="10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XIV.</w:t>
            </w:r>
          </w:p>
        </w:tc>
        <w:tc>
          <w:tcPr>
            <w:tcW w:w="10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THE COMPLIANCE OFFICER IS AVAILABLE TO ANSWER QUESTIONS ABOUT THIS POLICY</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0" w:type="dxa"/>
            <w:vAlign w:val="bottom"/>
          </w:tcPr>
          <w:p>
            <w:pPr>
              <w:spacing w:after="0"/>
              <w:rPr>
                <w:sz w:val="18"/>
                <w:szCs w:val="18"/>
                <w:color w:val="auto"/>
              </w:rPr>
            </w:pPr>
          </w:p>
        </w:tc>
        <w:tc>
          <w:tcPr>
            <w:tcW w:w="10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XV.</w:t>
            </w:r>
          </w:p>
        </w:tc>
        <w:tc>
          <w:tcPr>
            <w:tcW w:w="10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THIS POLICY IS SUBJECT TO REVISION</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540" w:type="dxa"/>
            <w:vAlign w:val="bottom"/>
            <w:gridSpan w:val="2"/>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XVI.  ALL EMPLOYEES MUST ACKNOWLEDGE THEIR AGREEMENT TO COMPLY WITH THIS POLICY</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540" w:type="dxa"/>
            <w:vAlign w:val="bottom"/>
            <w:gridSpan w:val="2"/>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XVII. APPENDIX</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540" w:type="dxa"/>
            <w:vAlign w:val="bottom"/>
            <w:gridSpan w:val="2"/>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XVIII.CERTIFICATION</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37"/>
        </w:trPr>
        <w:tc>
          <w:tcPr>
            <w:tcW w:w="105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Insider Trading Policy - Cohu, Inc</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350"/>
        </w:trPr>
        <w:tc>
          <w:tcPr>
            <w:tcW w:w="460" w:type="dxa"/>
            <w:vAlign w:val="bottom"/>
            <w:tcBorders>
              <w:bottom w:val="single" w:sz="8" w:color="auto"/>
            </w:tcBorders>
          </w:tcPr>
          <w:p>
            <w:pPr>
              <w:spacing w:after="0"/>
              <w:rPr>
                <w:sz w:val="24"/>
                <w:szCs w:val="24"/>
                <w:color w:val="auto"/>
              </w:rPr>
            </w:pPr>
          </w:p>
        </w:tc>
        <w:tc>
          <w:tcPr>
            <w:tcW w:w="100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16" w:right="339" w:bottom="1440" w:gutter="0" w:footer="0" w:header="0"/>
        </w:sectPr>
      </w:pPr>
    </w:p>
    <w:bookmarkStart w:id="139" w:name="page140"/>
    <w:bookmarkEnd w:id="139"/>
    <w:p>
      <w:pPr>
        <w:ind w:left="620" w:hanging="614"/>
        <w:spacing w:after="0"/>
        <w:tabs>
          <w:tab w:leader="none" w:pos="620" w:val="left"/>
        </w:tabs>
        <w:numPr>
          <w:ilvl w:val="0"/>
          <w:numId w:val="92"/>
        </w:numPr>
        <w:rPr>
          <w:rFonts w:ascii="Times New Roman" w:cs="Times New Roman" w:eastAsia="Times New Roman" w:hAnsi="Times New Roman"/>
          <w:sz w:val="21"/>
          <w:szCs w:val="21"/>
          <w:b w:val="1"/>
          <w:bCs w:val="1"/>
          <w:u w:val="single" w:color="auto"/>
          <w:color w:val="auto"/>
        </w:rPr>
      </w:pPr>
      <w:r>
        <w:rPr>
          <w:rFonts w:ascii="Times New Roman" w:cs="Times New Roman" w:eastAsia="Times New Roman" w:hAnsi="Times New Roman"/>
          <w:sz w:val="21"/>
          <w:szCs w:val="21"/>
          <w:b w:val="1"/>
          <w:bCs w:val="1"/>
          <w:u w:val="single" w:color="auto"/>
          <w:color w:val="auto"/>
        </w:rPr>
        <w:drawing>
          <wp:anchor simplePos="0" relativeHeight="251657728" behindDoc="1" locked="0" layoutInCell="0" allowOverlap="1">
            <wp:simplePos x="0" y="0"/>
            <wp:positionH relativeFrom="page">
              <wp:posOffset>6525895</wp:posOffset>
            </wp:positionH>
            <wp:positionV relativeFrom="page">
              <wp:posOffset>88900</wp:posOffset>
            </wp:positionV>
            <wp:extent cx="807720" cy="2273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7">
                      <a:clrChange>
                        <a:clrFrom>
                          <a:srgbClr val="FFFFFF"/>
                        </a:clrFrom>
                        <a:clrTo>
                          <a:srgbClr val="FFFFFF">
                            <a:alpha val="0"/>
                          </a:srgbClr>
                        </a:clrTo>
                      </a:clrChange>
                      <a:extLst>
                        <a:ext uri="{28A0092B-C50C-407E-A947-70E740481C1C}"/>
                      </a:extLst>
                    </a:blip>
                    <a:srcRect/>
                    <a:stretch>
                      <a:fillRect/>
                    </a:stretch>
                  </pic:blipFill>
                  <pic:spPr bwMode="auto">
                    <a:xfrm>
                      <a:off x="0" y="0"/>
                      <a:ext cx="807720" cy="227330"/>
                    </a:xfrm>
                    <a:prstGeom prst="rect">
                      <a:avLst/>
                    </a:prstGeom>
                    <a:noFill/>
                  </pic:spPr>
                </pic:pic>
              </a:graphicData>
            </a:graphic>
          </wp:anchor>
        </w:drawing>
        <w:t>PROHIBITIONS APPLICABLE WHILE IN POSSESSION OF MATERIAL NONPUBLIC INFORMATION</w:t>
      </w:r>
    </w:p>
    <w:p>
      <w:pPr>
        <w:spacing w:after="0" w:line="222"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8"/>
          <w:szCs w:val="18"/>
          <w:color w:val="auto"/>
        </w:rPr>
        <w:t>The purchase or sale of securities by any person who possesses material nonpublic information may violate federal and state securities laws. Furthermore, it is important that any appearance of trading on the basis of material nonpublic information also be avoided.</w:t>
      </w:r>
    </w:p>
    <w:p>
      <w:pPr>
        <w:spacing w:after="0" w:line="163"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Therefore, it is the policy of Cohu, Inc. (the “Company”) that any person subject to this Policy who possesses material nonpublic information pertaining to the Company may not trade in the Company’s securities, advise anyone else to do so, or tip the information to anyone else until that information has been disseminated to the public.</w:t>
      </w:r>
    </w:p>
    <w:p>
      <w:pPr>
        <w:spacing w:after="0" w:line="178"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8"/>
          <w:szCs w:val="18"/>
          <w:color w:val="auto"/>
        </w:rPr>
        <w:t>Specifically, no director, officer or employee of the Company or other person subject to this Policy who is aware of material nonpublic information relating to the Company may directly or through family members or other persons or entities:</w:t>
      </w:r>
    </w:p>
    <w:p>
      <w:pPr>
        <w:spacing w:after="0" w:line="163" w:lineRule="exact"/>
        <w:rPr>
          <w:sz w:val="20"/>
          <w:szCs w:val="20"/>
          <w:color w:val="auto"/>
        </w:rPr>
      </w:pPr>
    </w:p>
    <w:p>
      <w:pPr>
        <w:ind w:left="640" w:right="60" w:hanging="316"/>
        <w:spacing w:after="0" w:line="257" w:lineRule="auto"/>
        <w:tabs>
          <w:tab w:leader="none" w:pos="6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 sell or otherwise transact in securities of the Company, other than pursuant to a trading plan that complies with Rule 10b5-1 promulgated by the Securities and Exchange Commission (“SEC”),</w:t>
      </w:r>
    </w:p>
    <w:p>
      <w:pPr>
        <w:ind w:left="640" w:hanging="316"/>
        <w:spacing w:after="0"/>
        <w:tabs>
          <w:tab w:leader="none" w:pos="6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 that information on to others outside the Company, including friends and family (a practice referred to as “tipping”), or</w:t>
      </w:r>
    </w:p>
    <w:p>
      <w:pPr>
        <w:spacing w:after="0" w:line="12" w:lineRule="exact"/>
        <w:rPr>
          <w:rFonts w:ascii="Times New Roman" w:cs="Times New Roman" w:eastAsia="Times New Roman" w:hAnsi="Times New Roman"/>
          <w:sz w:val="18"/>
          <w:szCs w:val="18"/>
          <w:color w:val="auto"/>
        </w:rPr>
      </w:pPr>
    </w:p>
    <w:p>
      <w:pPr>
        <w:ind w:left="640" w:right="520" w:hanging="316"/>
        <w:spacing w:after="0" w:line="274" w:lineRule="auto"/>
        <w:tabs>
          <w:tab w:leader="none" w:pos="6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recommendations or express opinions as to trading in the Company’s securities, except such person may advise others not to trade in the Company’s securities if such trading might violate the law or this Policy.</w:t>
      </w:r>
    </w:p>
    <w:p>
      <w:pPr>
        <w:spacing w:after="0" w:line="163" w:lineRule="exact"/>
        <w:rPr>
          <w:sz w:val="20"/>
          <w:szCs w:val="20"/>
          <w:color w:val="auto"/>
        </w:rPr>
      </w:pPr>
    </w:p>
    <w:p>
      <w:pPr>
        <w:jc w:val="both"/>
        <w:ind w:right="140"/>
        <w:spacing w:after="0" w:line="259" w:lineRule="auto"/>
        <w:rPr>
          <w:sz w:val="20"/>
          <w:szCs w:val="20"/>
          <w:color w:val="auto"/>
        </w:rPr>
      </w:pPr>
      <w:r>
        <w:rPr>
          <w:rFonts w:ascii="Times New Roman" w:cs="Times New Roman" w:eastAsia="Times New Roman" w:hAnsi="Times New Roman"/>
          <w:sz w:val="18"/>
          <w:szCs w:val="18"/>
          <w:color w:val="auto"/>
        </w:rPr>
        <w:t>In addition, it is the policy of the Company that no person subject to this Policy who, in the course of working for the Company, learns of material nonpublic information of another company, such as a customer or supplier, may trade in that company’s securities (or tip or make recommendations to others) until that information becomes public or is no longer material.</w:t>
      </w:r>
    </w:p>
    <w:p>
      <w:pPr>
        <w:spacing w:after="0" w:line="165" w:lineRule="exact"/>
        <w:rPr>
          <w:sz w:val="20"/>
          <w:szCs w:val="20"/>
          <w:color w:val="auto"/>
        </w:rPr>
      </w:pPr>
    </w:p>
    <w:p>
      <w:pPr>
        <w:ind w:left="700" w:hanging="694"/>
        <w:spacing w:after="0"/>
        <w:tabs>
          <w:tab w:leader="none" w:pos="700" w:val="left"/>
        </w:tabs>
        <w:numPr>
          <w:ilvl w:val="0"/>
          <w:numId w:val="94"/>
        </w:numPr>
        <w:rPr>
          <w:rFonts w:ascii="Times New Roman" w:cs="Times New Roman" w:eastAsia="Times New Roman" w:hAnsi="Times New Roman"/>
          <w:sz w:val="21"/>
          <w:szCs w:val="21"/>
          <w:b w:val="1"/>
          <w:bCs w:val="1"/>
          <w:u w:val="single" w:color="auto"/>
          <w:color w:val="auto"/>
        </w:rPr>
      </w:pPr>
      <w:r>
        <w:rPr>
          <w:rFonts w:ascii="Times New Roman" w:cs="Times New Roman" w:eastAsia="Times New Roman" w:hAnsi="Times New Roman"/>
          <w:sz w:val="21"/>
          <w:szCs w:val="21"/>
          <w:b w:val="1"/>
          <w:bCs w:val="1"/>
          <w:u w:val="single" w:color="auto"/>
          <w:color w:val="auto"/>
        </w:rPr>
        <w:t>PERSONS SUBJECT TO THIS POLICY</w:t>
      </w:r>
    </w:p>
    <w:p>
      <w:pPr>
        <w:spacing w:after="0" w:line="222"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This Policy applies to all directors, officers and employees of the Company and entities (such as trusts, limited partnerships and corporations) over which such individuals have or share voting or investment control. For the purposes of this Policy, persons subject to this Policy are included within the term “employee.” This Policy also applies to any other persons, including consultants, whom the Company’s Insider Trading Compliance Officer (the “Compliance Officer”) may designate because they have access to material nonpublic information concerning the Company, as well as any person who receives material nonpublic information from any Company insider. Persons subject to this Policy are responsible for ensuring compliance by family members and members of their households and by entities over which they exercise voting or investment control.</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8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Insider Trading Policy - Cohu, Inc</w:t>
            </w:r>
          </w:p>
        </w:tc>
        <w:tc>
          <w:tcPr>
            <w:tcW w:w="4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50"/>
        </w:trPr>
        <w:tc>
          <w:tcPr>
            <w:tcW w:w="680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16" w:right="339" w:bottom="1440" w:gutter="0" w:footer="0" w:header="0"/>
        </w:sectPr>
      </w:pPr>
    </w:p>
    <w:bookmarkStart w:id="140" w:name="page141"/>
    <w:bookmarkEnd w:id="140"/>
    <w:p>
      <w:pPr>
        <w:ind w:right="500" w:firstLine="6"/>
        <w:spacing w:after="0" w:line="276" w:lineRule="auto"/>
        <w:tabs>
          <w:tab w:leader="none" w:pos="777" w:val="left"/>
        </w:tabs>
        <w:numPr>
          <w:ilvl w:val="0"/>
          <w:numId w:val="95"/>
        </w:numPr>
        <w:rPr>
          <w:rFonts w:ascii="Times New Roman" w:cs="Times New Roman" w:eastAsia="Times New Roman" w:hAnsi="Times New Roman"/>
          <w:sz w:val="21"/>
          <w:szCs w:val="21"/>
          <w:b w:val="1"/>
          <w:bCs w:val="1"/>
          <w:u w:val="single" w:color="auto"/>
          <w:color w:val="auto"/>
        </w:rPr>
      </w:pPr>
      <w:r>
        <w:rPr>
          <w:rFonts w:ascii="Times New Roman" w:cs="Times New Roman" w:eastAsia="Times New Roman" w:hAnsi="Times New Roman"/>
          <w:sz w:val="21"/>
          <w:szCs w:val="21"/>
          <w:b w:val="1"/>
          <w:bCs w:val="1"/>
          <w:u w:val="single" w:color="auto"/>
          <w:color w:val="auto"/>
        </w:rPr>
        <w:drawing>
          <wp:anchor simplePos="0" relativeHeight="251657728" behindDoc="1" locked="0" layoutInCell="0" allowOverlap="1">
            <wp:simplePos x="0" y="0"/>
            <wp:positionH relativeFrom="page">
              <wp:posOffset>6525895</wp:posOffset>
            </wp:positionH>
            <wp:positionV relativeFrom="page">
              <wp:posOffset>88900</wp:posOffset>
            </wp:positionV>
            <wp:extent cx="807720" cy="2273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8">
                      <a:clrChange>
                        <a:clrFrom>
                          <a:srgbClr val="FFFFFF"/>
                        </a:clrFrom>
                        <a:clrTo>
                          <a:srgbClr val="FFFFFF">
                            <a:alpha val="0"/>
                          </a:srgbClr>
                        </a:clrTo>
                      </a:clrChange>
                      <a:extLst>
                        <a:ext uri="{28A0092B-C50C-407E-A947-70E740481C1C}"/>
                      </a:extLst>
                    </a:blip>
                    <a:srcRect/>
                    <a:stretch>
                      <a:fillRect/>
                    </a:stretch>
                  </pic:blipFill>
                  <pic:spPr bwMode="auto">
                    <a:xfrm>
                      <a:off x="0" y="0"/>
                      <a:ext cx="807720" cy="227330"/>
                    </a:xfrm>
                    <a:prstGeom prst="rect">
                      <a:avLst/>
                    </a:prstGeom>
                    <a:noFill/>
                  </pic:spPr>
                </pic:pic>
              </a:graphicData>
            </a:graphic>
          </wp:anchor>
        </w:drawing>
        <w:t>EXECUTIVE OFFICERS, DIRECTORS AND CERTAIN DESIGNATED EMPLOYEES ARE SUBJECT TO ADDITIONAL RESTRICTIONS</w:t>
      </w:r>
    </w:p>
    <w:p>
      <w:pPr>
        <w:spacing w:after="0" w:line="147"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Because Section 16 Insiders (i.e., the Company’s executive officers and members of the Company’s Board of Directors (“Section 16 Insiders”)), who are subject to the reporting provisions and trading restrictions of Section 16 of the Securities Exchange Act of 1934 (the “Exchange Act”) and Insider Employees (i.e., those employees that the Company has designated as employees who have frequent access to material nonpublic information concerning the Company) are more likely than other employees to possess material nonpublic information about the Company, and in light of the reporting requirements to which Section 16 Insiders are subject under Section 16 of the Exchange Act, Section 16 Insiders and Insider Employees are subject to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additional restrictions set forth in Appendix I hereto. For purposes of this Policy, Section 16 Insiders and Insider Employees are each referred to as “Insiders.”</w:t>
      </w:r>
    </w:p>
    <w:p>
      <w:pPr>
        <w:spacing w:after="0" w:line="196"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1"/>
          <w:szCs w:val="21"/>
          <w:b w:val="1"/>
          <w:bCs w:val="1"/>
          <w:u w:val="single" w:color="auto"/>
          <w:color w:val="auto"/>
        </w:rPr>
        <w:t>IV.</w:t>
      </w:r>
      <w:r>
        <w:rPr>
          <w:sz w:val="20"/>
          <w:szCs w:val="20"/>
          <w:color w:val="auto"/>
        </w:rPr>
        <w:tab/>
      </w:r>
      <w:r>
        <w:rPr>
          <w:rFonts w:ascii="Times New Roman" w:cs="Times New Roman" w:eastAsia="Times New Roman" w:hAnsi="Times New Roman"/>
          <w:sz w:val="21"/>
          <w:szCs w:val="21"/>
          <w:b w:val="1"/>
          <w:bCs w:val="1"/>
          <w:u w:val="single" w:color="auto"/>
          <w:color w:val="auto"/>
        </w:rPr>
        <w:t>APPLICABILITY OF THIS POLICY TO TRANSACTIONS IN COMPANY SECURITIES</w:t>
      </w:r>
    </w:p>
    <w:p>
      <w:pPr>
        <w:spacing w:after="0" w:line="220" w:lineRule="exact"/>
        <w:rPr>
          <w:sz w:val="20"/>
          <w:szCs w:val="20"/>
          <w:color w:val="auto"/>
        </w:rPr>
      </w:pPr>
    </w:p>
    <w:p>
      <w:pPr>
        <w:ind w:left="320" w:hanging="314"/>
        <w:spacing w:after="0"/>
        <w:tabs>
          <w:tab w:leader="none" w:pos="32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Rule</w:t>
      </w:r>
    </w:p>
    <w:p>
      <w:pPr>
        <w:spacing w:after="0" w:line="21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This Policy applies to all transactions in the Company’s securities, including common stock and any other securities the Company may issue from time to time, such as preferred stock, warrants and convertible debentures, as well as to derivative securities relating to the Company’s stock, whether or not issued by the Company, such as exchange traded options. For purposes of this Policy, the term “trade” includes any transaction in the Company’s securities, including gifts and pledges.</w:t>
      </w:r>
    </w:p>
    <w:p>
      <w:pPr>
        <w:spacing w:after="0" w:line="178" w:lineRule="exact"/>
        <w:rPr>
          <w:sz w:val="20"/>
          <w:szCs w:val="20"/>
          <w:color w:val="auto"/>
        </w:rPr>
      </w:pPr>
    </w:p>
    <w:p>
      <w:pPr>
        <w:ind w:left="320" w:hanging="314"/>
        <w:spacing w:after="0"/>
        <w:tabs>
          <w:tab w:leader="none" w:pos="32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Plans</w:t>
      </w:r>
    </w:p>
    <w:p>
      <w:pPr>
        <w:spacing w:after="0" w:line="215" w:lineRule="exact"/>
        <w:rPr>
          <w:sz w:val="20"/>
          <w:szCs w:val="20"/>
          <w:color w:val="auto"/>
        </w:rPr>
      </w:pPr>
    </w:p>
    <w:p>
      <w:pPr>
        <w:jc w:val="both"/>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 Option Plans. </w:t>
      </w:r>
      <w:r>
        <w:rPr>
          <w:rFonts w:ascii="Times New Roman" w:cs="Times New Roman" w:eastAsia="Times New Roman" w:hAnsi="Times New Roman"/>
          <w:sz w:val="18"/>
          <w:szCs w:val="18"/>
          <w:color w:val="auto"/>
        </w:rPr>
        <w:t>The trading prohibitions and restrictions set forth in this Policy do not apply to the exercise of stock options for cash, but do apply to 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sales of securities acquired through the exercise of stock options. Thus, this Policy does apply to the “same-day sale” or cashless exercise of Company stock options.</w:t>
      </w:r>
    </w:p>
    <w:p>
      <w:pPr>
        <w:spacing w:after="0" w:line="170"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Employee Stock Purchase and Benefit Plans. </w:t>
      </w:r>
      <w:r>
        <w:rPr>
          <w:rFonts w:ascii="Times New Roman" w:cs="Times New Roman" w:eastAsia="Times New Roman" w:hAnsi="Times New Roman"/>
          <w:sz w:val="18"/>
          <w:szCs w:val="18"/>
          <w:color w:val="auto"/>
        </w:rPr>
        <w:t>The trading prohibitions and restrictions set forth in this Policy do not apply to periodic contributions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or employees to employee stock purchase plans or employee benefit plans (e.g., a pension or 401(k) plan) which are used to purchase Company securities pursuant to the employee’s advance instructions. However, no officers or employees may alter their instructions regarding the level of withholding or the purchase of Company securities in such plans while in the possession of material nonpublic information. Any sale of securities acquired under such plans is subject to the prohibitions and restrictions of this Policy.</w:t>
      </w:r>
    </w:p>
    <w:p>
      <w:pPr>
        <w:spacing w:after="0" w:line="179" w:lineRule="exact"/>
        <w:rPr>
          <w:sz w:val="20"/>
          <w:szCs w:val="20"/>
          <w:color w:val="auto"/>
        </w:rPr>
      </w:pPr>
    </w:p>
    <w:p>
      <w:pPr>
        <w:ind w:left="320" w:hanging="314"/>
        <w:spacing w:after="0"/>
        <w:tabs>
          <w:tab w:leader="none" w:pos="32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Withholding Transactions</w:t>
      </w:r>
    </w:p>
    <w:p>
      <w:pPr>
        <w:spacing w:after="0" w:line="21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This policy does not apply to the surrender of shares directly to the Company to satisfy tax withholding obligations as a result of the issuance of shares upon vesting or exercise of restricted stock units, options or other equity awards granted under the Company’s equity compensation plans. However, any market sale of the stock received upon exercise or vesting of any such equity awards remains subject to all provisions of this Policy whether or not for the purpose of generating the cash needed to pay the exercise price or pay taxes.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8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Insider Trading Policy - Cohu, Inc</w:t>
            </w:r>
          </w:p>
        </w:tc>
        <w:tc>
          <w:tcPr>
            <w:tcW w:w="4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50"/>
        </w:trPr>
        <w:tc>
          <w:tcPr>
            <w:tcW w:w="680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16" w:right="339" w:bottom="1440" w:gutter="0" w:footer="0" w:header="0"/>
        </w:sectPr>
      </w:pPr>
    </w:p>
    <w:bookmarkStart w:id="141" w:name="page142"/>
    <w:bookmarkEnd w:id="141"/>
    <w:p>
      <w:pPr>
        <w:ind w:left="660" w:hanging="654"/>
        <w:spacing w:after="0"/>
        <w:tabs>
          <w:tab w:leader="none" w:pos="660" w:val="left"/>
        </w:tabs>
        <w:numPr>
          <w:ilvl w:val="0"/>
          <w:numId w:val="99"/>
        </w:numPr>
        <w:rPr>
          <w:rFonts w:ascii="Times New Roman" w:cs="Times New Roman" w:eastAsia="Times New Roman" w:hAnsi="Times New Roman"/>
          <w:sz w:val="21"/>
          <w:szCs w:val="21"/>
          <w:b w:val="1"/>
          <w:bCs w:val="1"/>
          <w:u w:val="single" w:color="auto"/>
          <w:color w:val="auto"/>
        </w:rPr>
      </w:pPr>
      <w:r>
        <w:rPr>
          <w:rFonts w:ascii="Times New Roman" w:cs="Times New Roman" w:eastAsia="Times New Roman" w:hAnsi="Times New Roman"/>
          <w:sz w:val="21"/>
          <w:szCs w:val="21"/>
          <w:b w:val="1"/>
          <w:bCs w:val="1"/>
          <w:u w:val="single" w:color="auto"/>
          <w:color w:val="auto"/>
        </w:rPr>
        <w:drawing>
          <wp:anchor simplePos="0" relativeHeight="251657728" behindDoc="1" locked="0" layoutInCell="0" allowOverlap="1">
            <wp:simplePos x="0" y="0"/>
            <wp:positionH relativeFrom="page">
              <wp:posOffset>6525895</wp:posOffset>
            </wp:positionH>
            <wp:positionV relativeFrom="page">
              <wp:posOffset>88900</wp:posOffset>
            </wp:positionV>
            <wp:extent cx="807720" cy="2273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9">
                      <a:clrChange>
                        <a:clrFrom>
                          <a:srgbClr val="FFFFFF"/>
                        </a:clrFrom>
                        <a:clrTo>
                          <a:srgbClr val="FFFFFF">
                            <a:alpha val="0"/>
                          </a:srgbClr>
                        </a:clrTo>
                      </a:clrChange>
                      <a:extLst>
                        <a:ext uri="{28A0092B-C50C-407E-A947-70E740481C1C}"/>
                      </a:extLst>
                    </a:blip>
                    <a:srcRect/>
                    <a:stretch>
                      <a:fillRect/>
                    </a:stretch>
                  </pic:blipFill>
                  <pic:spPr bwMode="auto">
                    <a:xfrm>
                      <a:off x="0" y="0"/>
                      <a:ext cx="807720" cy="227330"/>
                    </a:xfrm>
                    <a:prstGeom prst="rect">
                      <a:avLst/>
                    </a:prstGeom>
                    <a:noFill/>
                  </pic:spPr>
                </pic:pic>
              </a:graphicData>
            </a:graphic>
          </wp:anchor>
        </w:drawing>
        <w:t xml:space="preserve">DEFINITION OF </w:t>
      </w:r>
      <w:r>
        <w:rPr>
          <w:rFonts w:ascii="Times New Roman" w:cs="Times New Roman" w:eastAsia="Times New Roman" w:hAnsi="Times New Roman"/>
          <w:sz w:val="21"/>
          <w:szCs w:val="21"/>
          <w:u w:val="single" w:color="auto"/>
          <w:color w:val="auto"/>
        </w:rPr>
        <w:t>“</w:t>
      </w:r>
      <w:r>
        <w:rPr>
          <w:rFonts w:ascii="Times New Roman" w:cs="Times New Roman" w:eastAsia="Times New Roman" w:hAnsi="Times New Roman"/>
          <w:sz w:val="21"/>
          <w:szCs w:val="21"/>
          <w:b w:val="1"/>
          <w:bCs w:val="1"/>
          <w:u w:val="single" w:color="auto"/>
          <w:color w:val="auto"/>
        </w:rPr>
        <w:t>MATERIAL NONPUBLIC INFORMATION</w:t>
      </w:r>
      <w:r>
        <w:rPr>
          <w:rFonts w:ascii="Times New Roman" w:cs="Times New Roman" w:eastAsia="Times New Roman" w:hAnsi="Times New Roman"/>
          <w:sz w:val="21"/>
          <w:szCs w:val="21"/>
          <w:u w:val="single" w:color="auto"/>
          <w:color w:val="auto"/>
        </w:rPr>
        <w:t>”</w:t>
      </w:r>
    </w:p>
    <w:p>
      <w:pPr>
        <w:spacing w:after="0" w:line="220" w:lineRule="exact"/>
        <w:rPr>
          <w:sz w:val="20"/>
          <w:szCs w:val="20"/>
          <w:color w:val="auto"/>
        </w:rPr>
      </w:pPr>
    </w:p>
    <w:p>
      <w:pPr>
        <w:ind w:left="320" w:hanging="314"/>
        <w:spacing w:after="0"/>
        <w:tabs>
          <w:tab w:leader="none" w:pos="32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Information about the Company is “material” if it would be expected to affect the investment or voting decisions of a reasonable shareholder or investor, or if the disclosure of the information would be expected to significantly alter the total mix of the information in the marketplace about the Company. In simple terms, material information is any type of information which could reasonably be expected to affect the market price of the Company’s securities. Both positive and negative information may be material. While it is not possible to identify all information that would be deemed material, the following types of information ordinarily would be considered material:</w:t>
      </w:r>
    </w:p>
    <w:p>
      <w:pPr>
        <w:spacing w:after="0" w:line="185" w:lineRule="exact"/>
        <w:rPr>
          <w:sz w:val="20"/>
          <w:szCs w:val="20"/>
          <w:color w:val="auto"/>
        </w:rPr>
      </w:pPr>
    </w:p>
    <w:p>
      <w:pPr>
        <w:ind w:left="640" w:hanging="316"/>
        <w:spacing w:after="0"/>
        <w:tabs>
          <w:tab w:leader="none" w:pos="64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performance, especially quarterly and year-end earnings, and significant changes in financial performance or liquidity.</w:t>
      </w:r>
    </w:p>
    <w:p>
      <w:pPr>
        <w:spacing w:after="0" w:line="3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projections and strategic plans.</w:t>
      </w:r>
    </w:p>
    <w:p>
      <w:pPr>
        <w:spacing w:after="0" w:line="3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mergers or acquisitions, the sale of Company assets or subsidiaries or major partnering agreements.</w:t>
      </w:r>
    </w:p>
    <w:p>
      <w:pPr>
        <w:spacing w:after="0" w:line="3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major contracts, orders, suppliers, customers or finance sources or the loss thereof.</w:t>
      </w:r>
    </w:p>
    <w:p>
      <w:pPr>
        <w:spacing w:after="0" w:line="3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discoveries or significant changes or developments in products or product lines, research or technologies.</w:t>
      </w:r>
    </w:p>
    <w:p>
      <w:pPr>
        <w:spacing w:after="0" w:line="3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or developments in supplies or inventory, including significant product defects, recalls or product returns.</w:t>
      </w:r>
    </w:p>
    <w:p>
      <w:pPr>
        <w:spacing w:after="0" w:line="3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pricing changes.</w:t>
      </w:r>
    </w:p>
    <w:p>
      <w:pPr>
        <w:spacing w:after="0" w:line="3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splits, public or private securities/debt offerings, or changes in Company dividend policies or amounts.</w:t>
      </w:r>
    </w:p>
    <w:p>
      <w:pPr>
        <w:spacing w:after="0" w:line="3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senior management or membership of the Board of Directors.</w:t>
      </w:r>
    </w:p>
    <w:p>
      <w:pPr>
        <w:spacing w:after="0" w:line="3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labor disputes or negotiations.</w:t>
      </w:r>
    </w:p>
    <w:p>
      <w:pPr>
        <w:spacing w:after="0" w:line="3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threatened major litigation, or the resolution of such litigation.</w:t>
      </w:r>
    </w:p>
    <w:p>
      <w:pPr>
        <w:spacing w:after="0" w:line="3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or denial of regulatory approval for products.</w:t>
      </w:r>
    </w:p>
    <w:p>
      <w:pPr>
        <w:spacing w:after="0" w:line="3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risks and incidents, including vulnerabilities and breaches.</w:t>
      </w:r>
    </w:p>
    <w:p>
      <w:pPr>
        <w:spacing w:after="0" w:line="241"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Nonpublic</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8"/>
          <w:szCs w:val="18"/>
          <w:color w:val="auto"/>
        </w:rPr>
        <w:t>Material information is “nonpublic” if it has not been widely disseminated to the general public through a report filed with the SEC or through major newswire services, national news services or financial news services. For the purpose of this Policy, information will be considered public after the close of trading on the second full trading day following the Company’s widespread public release of the information.</w:t>
      </w:r>
    </w:p>
    <w:p>
      <w:pPr>
        <w:spacing w:after="0" w:line="176" w:lineRule="exact"/>
        <w:rPr>
          <w:sz w:val="20"/>
          <w:szCs w:val="20"/>
          <w:color w:val="auto"/>
        </w:rPr>
      </w:pPr>
    </w:p>
    <w:p>
      <w:pPr>
        <w:ind w:left="320" w:hanging="314"/>
        <w:spacing w:after="0"/>
        <w:tabs>
          <w:tab w:leader="none" w:pos="32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Consult the Compliance Officer When in Doubt</w:t>
      </w:r>
    </w:p>
    <w:p>
      <w:pPr>
        <w:spacing w:after="0" w:line="219" w:lineRule="exact"/>
        <w:rPr>
          <w:sz w:val="20"/>
          <w:szCs w:val="20"/>
          <w:color w:val="auto"/>
        </w:rPr>
      </w:pPr>
    </w:p>
    <w:p>
      <w:pPr>
        <w:ind w:right="220"/>
        <w:spacing w:after="0" w:line="274" w:lineRule="auto"/>
        <w:rPr>
          <w:sz w:val="20"/>
          <w:szCs w:val="20"/>
          <w:color w:val="auto"/>
        </w:rPr>
      </w:pPr>
      <w:r>
        <w:rPr>
          <w:rFonts w:ascii="Times New Roman" w:cs="Times New Roman" w:eastAsia="Times New Roman" w:hAnsi="Times New Roman"/>
          <w:sz w:val="18"/>
          <w:szCs w:val="18"/>
          <w:color w:val="auto"/>
        </w:rPr>
        <w:t>Any employees who are unsure whether the information that they possess is material or nonpublic must consult the Compliance Officer for guidance before trading in any Company securities.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8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Insider Trading Policy - Cohu, Inc</w:t>
            </w:r>
          </w:p>
        </w:tc>
        <w:tc>
          <w:tcPr>
            <w:tcW w:w="4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50"/>
        </w:trPr>
        <w:tc>
          <w:tcPr>
            <w:tcW w:w="680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16" w:right="339" w:bottom="1440" w:gutter="0" w:footer="0" w:header="0"/>
        </w:sectPr>
      </w:pPr>
    </w:p>
    <w:bookmarkStart w:id="142" w:name="page143"/>
    <w:bookmarkEnd w:id="142"/>
    <w:p>
      <w:pPr>
        <w:spacing w:after="0"/>
        <w:tabs>
          <w:tab w:leader="none" w:pos="760" w:val="left"/>
        </w:tabs>
        <w:rPr>
          <w:sz w:val="20"/>
          <w:szCs w:val="20"/>
          <w:color w:val="auto"/>
        </w:rPr>
      </w:pPr>
      <w:r>
        <w:rPr>
          <w:rFonts w:ascii="Times New Roman" w:cs="Times New Roman" w:eastAsia="Times New Roman" w:hAnsi="Times New Roman"/>
          <w:sz w:val="21"/>
          <w:szCs w:val="21"/>
          <w:b w:val="1"/>
          <w:bCs w:val="1"/>
          <w:u w:val="single" w:color="auto"/>
          <w:color w:val="auto"/>
        </w:rPr>
        <w:drawing>
          <wp:anchor simplePos="0" relativeHeight="251657728" behindDoc="1" locked="0" layoutInCell="0" allowOverlap="1">
            <wp:simplePos x="0" y="0"/>
            <wp:positionH relativeFrom="page">
              <wp:posOffset>6525895</wp:posOffset>
            </wp:positionH>
            <wp:positionV relativeFrom="page">
              <wp:posOffset>88900</wp:posOffset>
            </wp:positionV>
            <wp:extent cx="807720" cy="2273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0">
                      <a:clrChange>
                        <a:clrFrom>
                          <a:srgbClr val="FFFFFF"/>
                        </a:clrFrom>
                        <a:clrTo>
                          <a:srgbClr val="FFFFFF">
                            <a:alpha val="0"/>
                          </a:srgbClr>
                        </a:clrTo>
                      </a:clrChange>
                      <a:extLst>
                        <a:ext uri="{28A0092B-C50C-407E-A947-70E740481C1C}"/>
                      </a:extLst>
                    </a:blip>
                    <a:srcRect/>
                    <a:stretch>
                      <a:fillRect/>
                    </a:stretch>
                  </pic:blipFill>
                  <pic:spPr bwMode="auto">
                    <a:xfrm>
                      <a:off x="0" y="0"/>
                      <a:ext cx="807720" cy="227330"/>
                    </a:xfrm>
                    <a:prstGeom prst="rect">
                      <a:avLst/>
                    </a:prstGeom>
                    <a:noFill/>
                  </pic:spPr>
                </pic:pic>
              </a:graphicData>
            </a:graphic>
          </wp:anchor>
        </w:drawing>
        <w:t>VI.</w:t>
      </w:r>
      <w:r>
        <w:rPr>
          <w:sz w:val="20"/>
          <w:szCs w:val="20"/>
          <w:color w:val="auto"/>
        </w:rPr>
        <w:tab/>
      </w:r>
      <w:r>
        <w:rPr>
          <w:rFonts w:ascii="Times New Roman" w:cs="Times New Roman" w:eastAsia="Times New Roman" w:hAnsi="Times New Roman"/>
          <w:sz w:val="21"/>
          <w:szCs w:val="21"/>
          <w:b w:val="1"/>
          <w:bCs w:val="1"/>
          <w:color w:val="auto"/>
        </w:rPr>
        <w:t>EMPLOYEES MAY NOT PARTICIPATE IN CHAT ROOMS</w:t>
      </w:r>
    </w:p>
    <w:p>
      <w:pPr>
        <w:spacing w:after="0" w:line="222" w:lineRule="exact"/>
        <w:rPr>
          <w:sz w:val="20"/>
          <w:szCs w:val="20"/>
          <w:color w:val="auto"/>
        </w:rPr>
      </w:pPr>
    </w:p>
    <w:p>
      <w:pPr>
        <w:ind w:right="240"/>
        <w:spacing w:after="0" w:line="304" w:lineRule="auto"/>
        <w:rPr>
          <w:sz w:val="20"/>
          <w:szCs w:val="20"/>
          <w:color w:val="auto"/>
        </w:rPr>
      </w:pPr>
      <w:r>
        <w:rPr>
          <w:rFonts w:ascii="Times New Roman" w:cs="Times New Roman" w:eastAsia="Times New Roman" w:hAnsi="Times New Roman"/>
          <w:sz w:val="17"/>
          <w:szCs w:val="17"/>
          <w:color w:val="auto"/>
        </w:rPr>
        <w:t>Employees are prohibited from participating in chat room discussions or other social media or Internet forums regarding Company confidential information and from making disparaging statements relating to the Company’s operations or regarding its customers, suppliers, vendors or stockholders.</w:t>
      </w:r>
    </w:p>
    <w:p>
      <w:pPr>
        <w:spacing w:after="0" w:line="128" w:lineRule="exact"/>
        <w:rPr>
          <w:sz w:val="20"/>
          <w:szCs w:val="20"/>
          <w:color w:val="auto"/>
        </w:rPr>
      </w:pPr>
    </w:p>
    <w:p>
      <w:pPr>
        <w:ind w:right="660"/>
        <w:spacing w:after="0" w:line="276" w:lineRule="auto"/>
        <w:rPr>
          <w:sz w:val="20"/>
          <w:szCs w:val="20"/>
          <w:color w:val="auto"/>
        </w:rPr>
      </w:pPr>
      <w:r>
        <w:rPr>
          <w:rFonts w:ascii="Times New Roman" w:cs="Times New Roman" w:eastAsia="Times New Roman" w:hAnsi="Times New Roman"/>
          <w:sz w:val="21"/>
          <w:szCs w:val="21"/>
          <w:b w:val="1"/>
          <w:bCs w:val="1"/>
          <w:u w:val="single" w:color="auto"/>
          <w:color w:val="auto"/>
        </w:rPr>
        <w:t>VII. ONLY DESIGNATED COMPANY SPOKESPERSONS ARE AUTHORIZED TO DISCLOSE MATERIAL NONPUBLIC INFORMATION</w:t>
      </w:r>
    </w:p>
    <w:p>
      <w:pPr>
        <w:spacing w:after="0" w:line="147"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The Company is required under the federal securities laws to avoid the selective disclosure of material nonpublic information. The Company has established procedures for releasing material information in a manner that is designed to achieve broad dissemination of the information immediately upon its release. Employees may not, therefore, disclose material information to anyone outside the Company, including family members and friends, other than in accordance with those established procedures. Any inquiries from outsiders regarding material nonpublic information about the Company should be forwarded to the Compliance Officer, the Chief Executive Officer or the Chief Financial Officer.</w:t>
      </w:r>
    </w:p>
    <w:p>
      <w:pPr>
        <w:spacing w:after="0" w:line="17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1"/>
          <w:szCs w:val="21"/>
          <w:b w:val="1"/>
          <w:bCs w:val="1"/>
          <w:u w:val="single" w:color="auto"/>
          <w:color w:val="auto"/>
        </w:rPr>
        <w:t>VIII.</w:t>
      </w:r>
      <w:r>
        <w:rPr>
          <w:sz w:val="20"/>
          <w:szCs w:val="20"/>
          <w:color w:val="auto"/>
        </w:rPr>
        <w:tab/>
      </w:r>
      <w:r>
        <w:rPr>
          <w:rFonts w:ascii="Times New Roman" w:cs="Times New Roman" w:eastAsia="Times New Roman" w:hAnsi="Times New Roman"/>
          <w:sz w:val="21"/>
          <w:szCs w:val="21"/>
          <w:b w:val="1"/>
          <w:bCs w:val="1"/>
          <w:u w:val="single" w:color="auto"/>
          <w:color w:val="auto"/>
        </w:rPr>
        <w:t>CERTAIN TYPES OF TRANSACTIONS ARE PROHIBITED</w:t>
      </w:r>
    </w:p>
    <w:p>
      <w:pPr>
        <w:spacing w:after="0" w:line="220" w:lineRule="exact"/>
        <w:rPr>
          <w:sz w:val="20"/>
          <w:szCs w:val="20"/>
          <w:color w:val="auto"/>
        </w:rPr>
      </w:pPr>
    </w:p>
    <w:p>
      <w:pPr>
        <w:ind w:left="320" w:hanging="314"/>
        <w:spacing w:after="0"/>
        <w:tabs>
          <w:tab w:leader="none" w:pos="32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Short Sales</w:t>
      </w:r>
    </w:p>
    <w:p>
      <w:pPr>
        <w:spacing w:after="0" w:line="219"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Short sales of the Company’s securities evidence an expectation on the part of the seller that the securities will decline in value, and therefore signal to the market that the seller has no confidence in the Company or its short-term prospects. In addition, short sales may reduce the seller’s incentive to improve the Company’s performance. For these reasons, short sales of the Company’s securities are prohibited by this Policy. In addition, Section 16(c) of the Exchange Act expressly prohibits executive officers and directors from engaging in short sales.</w:t>
      </w:r>
    </w:p>
    <w:p>
      <w:pPr>
        <w:spacing w:after="0" w:line="178" w:lineRule="exact"/>
        <w:rPr>
          <w:sz w:val="20"/>
          <w:szCs w:val="20"/>
          <w:color w:val="auto"/>
        </w:rPr>
      </w:pPr>
    </w:p>
    <w:p>
      <w:pPr>
        <w:ind w:left="320" w:hanging="314"/>
        <w:spacing w:after="0"/>
        <w:tabs>
          <w:tab w:leader="none" w:pos="32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Publicly Traded Options</w:t>
      </w:r>
    </w:p>
    <w:p>
      <w:pPr>
        <w:spacing w:after="0" w:line="219"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A transaction in options is, in effect, a bet on the short-term movement of the Company’s stock and therefore creates the appearance that the employee is trading based on inside information. Transactions in options also may focus the employee’s attention on short-term performance at the expense of the Company’s long-term objectives. Accordingly, transactions in puts, calls or other derivative securities involving the Company’s stock, on an exchange or in any other organized market, are prohibited by this Policy.</w:t>
      </w:r>
    </w:p>
    <w:p>
      <w:pPr>
        <w:spacing w:after="0" w:line="178" w:lineRule="exact"/>
        <w:rPr>
          <w:sz w:val="20"/>
          <w:szCs w:val="20"/>
          <w:color w:val="auto"/>
        </w:rPr>
      </w:pPr>
    </w:p>
    <w:p>
      <w:pPr>
        <w:ind w:left="320" w:hanging="314"/>
        <w:spacing w:after="0"/>
        <w:tabs>
          <w:tab w:leader="none" w:pos="32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Hedging Transactions</w:t>
      </w:r>
    </w:p>
    <w:p>
      <w:pPr>
        <w:spacing w:after="0" w:line="21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Certain forms of hedging or monetization transactions, such as zero-cost collars and forward sale contracts, allow an employee to lock in much of the value of his or her stock holdings, often in exchange for all or part of the potential for upside appreciation in the stock. These transactions allow the employee to continue</w:t>
      </w:r>
    </w:p>
    <w:p>
      <w:pPr>
        <w:spacing w:after="0" w:line="1"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to own the covered securities, but without the full risks and rewards of ownership. When that occurs, the employee may no longer have the same objectives as the Company’s other shareholders. Therefore, such transactions involving the Company’s securities are prohibited by this Policy.</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8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Insider Trading Policy - Cohu, Inc</w:t>
            </w:r>
          </w:p>
        </w:tc>
        <w:tc>
          <w:tcPr>
            <w:tcW w:w="4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50"/>
        </w:trPr>
        <w:tc>
          <w:tcPr>
            <w:tcW w:w="680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16" w:right="339" w:bottom="1440" w:gutter="0" w:footer="0" w:header="0"/>
        </w:sectPr>
      </w:pPr>
    </w:p>
    <w:bookmarkStart w:id="143" w:name="page144"/>
    <w:bookmarkEnd w:id="143"/>
    <w:p>
      <w:pPr>
        <w:ind w:left="320" w:hanging="314"/>
        <w:spacing w:after="0"/>
        <w:tabs>
          <w:tab w:leader="none" w:pos="32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6525895</wp:posOffset>
            </wp:positionH>
            <wp:positionV relativeFrom="page">
              <wp:posOffset>88900</wp:posOffset>
            </wp:positionV>
            <wp:extent cx="807720" cy="2273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1">
                      <a:clrChange>
                        <a:clrFrom>
                          <a:srgbClr val="FFFFFF"/>
                        </a:clrFrom>
                        <a:clrTo>
                          <a:srgbClr val="FFFFFF">
                            <a:alpha val="0"/>
                          </a:srgbClr>
                        </a:clrTo>
                      </a:clrChange>
                      <a:extLst>
                        <a:ext uri="{28A0092B-C50C-407E-A947-70E740481C1C}"/>
                      </a:extLst>
                    </a:blip>
                    <a:srcRect/>
                    <a:stretch>
                      <a:fillRect/>
                    </a:stretch>
                  </pic:blipFill>
                  <pic:spPr bwMode="auto">
                    <a:xfrm>
                      <a:off x="0" y="0"/>
                      <a:ext cx="807720" cy="227330"/>
                    </a:xfrm>
                    <a:prstGeom prst="rect">
                      <a:avLst/>
                    </a:prstGeom>
                    <a:noFill/>
                  </pic:spPr>
                </pic:pic>
              </a:graphicData>
            </a:graphic>
          </wp:anchor>
        </w:drawing>
        <w:t>Margin Accounts and Pledges</w:t>
      </w:r>
    </w:p>
    <w:p>
      <w:pPr>
        <w:spacing w:after="0" w:line="219"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7"/>
          <w:szCs w:val="17"/>
          <w:color w:val="auto"/>
        </w:rPr>
        <w:t>Securities held in a margin account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Company securities, directors, officers and other employees are prohibited from holding Company securities in a margin account or pledging Company securities as collateral for a loan.</w:t>
      </w:r>
    </w:p>
    <w:p>
      <w:pPr>
        <w:spacing w:after="0" w:line="165" w:lineRule="exact"/>
        <w:rPr>
          <w:sz w:val="20"/>
          <w:szCs w:val="20"/>
          <w:color w:val="auto"/>
        </w:rPr>
      </w:pPr>
    </w:p>
    <w:p>
      <w:pPr>
        <w:ind w:left="320" w:hanging="314"/>
        <w:spacing w:after="0"/>
        <w:tabs>
          <w:tab w:leader="none" w:pos="32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Short-Swing Trading, Control Stock and Section 16 Reports.</w:t>
      </w:r>
    </w:p>
    <w:p>
      <w:pPr>
        <w:spacing w:after="0" w:line="219"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Officers and directors subject to the reporting obligations under Section 16 of the Exchange Act should take care to avoid short-swing transactions (within the meaning of Section 16(b) of the Exchange Act) and the restrictions on sales by control persons (Rule144 under the Securities Act of 1933,as amended), and should file all appropriate Section 16(a) reports (Forms 3, 4 and 5) and any notices of sale required by Rule 144.</w:t>
      </w:r>
    </w:p>
    <w:p>
      <w:pPr>
        <w:spacing w:after="0" w:line="16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1"/>
          <w:szCs w:val="21"/>
          <w:b w:val="1"/>
          <w:bCs w:val="1"/>
          <w:u w:val="single" w:color="auto"/>
          <w:color w:val="auto"/>
        </w:rPr>
        <w:t>IX.</w:t>
      </w:r>
      <w:r>
        <w:rPr>
          <w:sz w:val="20"/>
          <w:szCs w:val="20"/>
          <w:color w:val="auto"/>
        </w:rPr>
        <w:tab/>
      </w:r>
      <w:r>
        <w:rPr>
          <w:rFonts w:ascii="Times New Roman" w:cs="Times New Roman" w:eastAsia="Times New Roman" w:hAnsi="Times New Roman"/>
          <w:sz w:val="21"/>
          <w:szCs w:val="21"/>
          <w:b w:val="1"/>
          <w:bCs w:val="1"/>
          <w:u w:val="single" w:color="auto"/>
          <w:color w:val="auto"/>
        </w:rPr>
        <w:t>THE COMPANY MAY SUSPEND ALL TRADING ACTIVITIES BY EMPLOYEES</w:t>
      </w:r>
    </w:p>
    <w:p>
      <w:pPr>
        <w:spacing w:after="0" w:line="22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order to avoid any questions and to protect both employees and the Company from any potential liability, from time to time the Company may impose a “blackout” period during which some or all of the Company’s employees may not trade the Company’s securities. The Compliance Officer will impose such a blackout period if, in his or her judgment, there exists nonpublic information that would make trades by the Company’s employees (or certain of the Company’s employees) inappropriate in light of the risk that such trades could be viewed as violating applicable securities laws.</w:t>
      </w:r>
    </w:p>
    <w:p>
      <w:pPr>
        <w:spacing w:after="0" w:line="167" w:lineRule="exact"/>
        <w:rPr>
          <w:sz w:val="20"/>
          <w:szCs w:val="20"/>
          <w:color w:val="auto"/>
        </w:rPr>
      </w:pPr>
    </w:p>
    <w:p>
      <w:pPr>
        <w:ind w:left="680" w:hanging="674"/>
        <w:spacing w:after="0"/>
        <w:tabs>
          <w:tab w:leader="none" w:pos="680" w:val="left"/>
        </w:tabs>
        <w:numPr>
          <w:ilvl w:val="0"/>
          <w:numId w:val="108"/>
        </w:numPr>
        <w:rPr>
          <w:rFonts w:ascii="Times New Roman" w:cs="Times New Roman" w:eastAsia="Times New Roman" w:hAnsi="Times New Roman"/>
          <w:sz w:val="21"/>
          <w:szCs w:val="21"/>
          <w:b w:val="1"/>
          <w:bCs w:val="1"/>
          <w:u w:val="single" w:color="auto"/>
          <w:color w:val="auto"/>
        </w:rPr>
      </w:pPr>
      <w:r>
        <w:rPr>
          <w:rFonts w:ascii="Times New Roman" w:cs="Times New Roman" w:eastAsia="Times New Roman" w:hAnsi="Times New Roman"/>
          <w:sz w:val="21"/>
          <w:szCs w:val="21"/>
          <w:b w:val="1"/>
          <w:bCs w:val="1"/>
          <w:u w:val="single" w:color="auto"/>
          <w:color w:val="auto"/>
        </w:rPr>
        <w:t>VIOLATIONS OF INSIDER TRADING LAWS OR THIS POLICY CAN RESULT IN SEVERE CONSEQUENCES</w:t>
      </w:r>
    </w:p>
    <w:p>
      <w:pPr>
        <w:spacing w:after="0" w:line="220" w:lineRule="exact"/>
        <w:rPr>
          <w:sz w:val="20"/>
          <w:szCs w:val="20"/>
          <w:color w:val="auto"/>
        </w:rPr>
      </w:pPr>
    </w:p>
    <w:p>
      <w:pPr>
        <w:ind w:left="320" w:hanging="314"/>
        <w:spacing w:after="0"/>
        <w:tabs>
          <w:tab w:leader="none" w:pos="32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Civil and Criminal Penalties</w:t>
      </w:r>
    </w:p>
    <w:p>
      <w:pPr>
        <w:spacing w:after="0" w:line="21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consequences of prohibited insider trading or tipping can be severe. Persons violating insider trading or tipping rules may be required to disgorge the profit made or the loss avoided by the trading, pay civil penalties up to three times the profit made or loss avoided, face private action for damages, as well as being subject to criminal penalties, including up to 20 years in prison and fines of up to $5 million or three times the gain from the offense or loss avoided. The Company and/or the supervisors of the person violating the rules may also be required to pay major civil or criminal penalties.</w:t>
      </w:r>
    </w:p>
    <w:p>
      <w:pPr>
        <w:spacing w:after="0" w:line="178" w:lineRule="exact"/>
        <w:rPr>
          <w:sz w:val="20"/>
          <w:szCs w:val="20"/>
          <w:color w:val="auto"/>
        </w:rPr>
      </w:pPr>
    </w:p>
    <w:p>
      <w:pPr>
        <w:ind w:left="320" w:hanging="314"/>
        <w:spacing w:after="0"/>
        <w:tabs>
          <w:tab w:leader="none" w:pos="32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Company Discipline</w:t>
      </w:r>
    </w:p>
    <w:p>
      <w:pPr>
        <w:spacing w:after="0" w:line="219" w:lineRule="exact"/>
        <w:rPr>
          <w:sz w:val="20"/>
          <w:szCs w:val="20"/>
          <w:color w:val="auto"/>
        </w:rPr>
      </w:pPr>
    </w:p>
    <w:p>
      <w:pPr>
        <w:ind w:right="420"/>
        <w:spacing w:after="0" w:line="274" w:lineRule="auto"/>
        <w:rPr>
          <w:sz w:val="20"/>
          <w:szCs w:val="20"/>
          <w:color w:val="auto"/>
        </w:rPr>
      </w:pPr>
      <w:r>
        <w:rPr>
          <w:rFonts w:ascii="Times New Roman" w:cs="Times New Roman" w:eastAsia="Times New Roman" w:hAnsi="Times New Roman"/>
          <w:sz w:val="18"/>
          <w:szCs w:val="18"/>
          <w:color w:val="auto"/>
        </w:rPr>
        <w:t>Violation of this Policy or federal or state insider trading laws may subject persons subject to the Policy to disciplinary action by the Company, including termination for cause (or, in the case of directors, removal proceedings).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8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Insider Trading Policy - Cohu, Inc</w:t>
            </w:r>
          </w:p>
        </w:tc>
        <w:tc>
          <w:tcPr>
            <w:tcW w:w="4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50"/>
        </w:trPr>
        <w:tc>
          <w:tcPr>
            <w:tcW w:w="680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7" w:right="339" w:bottom="1440" w:gutter="0" w:footer="0" w:header="0"/>
        </w:sectPr>
      </w:pPr>
    </w:p>
    <w:bookmarkStart w:id="144" w:name="page145"/>
    <w:bookmarkEnd w:id="144"/>
    <w:p>
      <w:pPr>
        <w:ind w:left="320" w:hanging="314"/>
        <w:spacing w:after="0"/>
        <w:tabs>
          <w:tab w:leader="none" w:pos="32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6525895</wp:posOffset>
            </wp:positionH>
            <wp:positionV relativeFrom="page">
              <wp:posOffset>88900</wp:posOffset>
            </wp:positionV>
            <wp:extent cx="807720" cy="2273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2">
                      <a:clrChange>
                        <a:clrFrom>
                          <a:srgbClr val="FFFFFF"/>
                        </a:clrFrom>
                        <a:clrTo>
                          <a:srgbClr val="FFFFFF">
                            <a:alpha val="0"/>
                          </a:srgbClr>
                        </a:clrTo>
                      </a:clrChange>
                      <a:extLst>
                        <a:ext uri="{28A0092B-C50C-407E-A947-70E740481C1C}"/>
                      </a:extLst>
                    </a:blip>
                    <a:srcRect/>
                    <a:stretch>
                      <a:fillRect/>
                    </a:stretch>
                  </pic:blipFill>
                  <pic:spPr bwMode="auto">
                    <a:xfrm>
                      <a:off x="0" y="0"/>
                      <a:ext cx="807720" cy="227330"/>
                    </a:xfrm>
                    <a:prstGeom prst="rect">
                      <a:avLst/>
                    </a:prstGeom>
                    <a:noFill/>
                  </pic:spPr>
                </pic:pic>
              </a:graphicData>
            </a:graphic>
          </wp:anchor>
        </w:drawing>
        <w:t>Reporting Violations</w:t>
      </w:r>
    </w:p>
    <w:p>
      <w:pPr>
        <w:spacing w:after="0" w:line="2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Any person who violates this Policy or any federal or state laws governing insider trading, or knows of any such violation by any other person, must report the violation immediately to the Compliance Officer or the Audit Committee of the Company’s Board of Directors. Upon learning of any such violation, the Compliance Officer or Audit Committee, in consultation with the Company’s legal counsel, will determine whether the Company should release any material nonpublic information or whether the Company should report the violation to the SEC or other appropriate governmental authority.</w:t>
      </w:r>
    </w:p>
    <w:p>
      <w:pPr>
        <w:spacing w:after="0" w:line="16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1"/>
          <w:szCs w:val="21"/>
          <w:b w:val="1"/>
          <w:bCs w:val="1"/>
          <w:u w:val="single" w:color="auto"/>
          <w:color w:val="auto"/>
        </w:rPr>
        <w:t>XI.</w:t>
      </w:r>
      <w:r>
        <w:rPr>
          <w:sz w:val="20"/>
          <w:szCs w:val="20"/>
          <w:color w:val="auto"/>
        </w:rPr>
        <w:tab/>
      </w:r>
      <w:r>
        <w:rPr>
          <w:rFonts w:ascii="Times New Roman" w:cs="Times New Roman" w:eastAsia="Times New Roman" w:hAnsi="Times New Roman"/>
          <w:sz w:val="21"/>
          <w:szCs w:val="21"/>
          <w:b w:val="1"/>
          <w:bCs w:val="1"/>
          <w:u w:val="single" w:color="auto"/>
          <w:color w:val="auto"/>
        </w:rPr>
        <w:t>INSIDER TRADING COMPLIANCE OFFICER</w:t>
      </w:r>
    </w:p>
    <w:p>
      <w:pPr>
        <w:spacing w:after="0" w:line="222"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Company’s Chief Financial Officer shall act as the Company’s Insider Trading Compliance Officer; provided, however, that if the Chief Financial Officer is a party to a proposed trade, transaction or inquiry relating to this Policy, the Company’s Chief Executive Officer and General Counsel shall jointly act as the Compliance Officer with respect to such proposed trade, transaction or inquiry. The Compliance Officer may delegate his or her authority to act as the Compliance Officer as he or she deems necessary or appropriate in his or her sole discretion. The duties and powers of the Compliance Officer and his or her delegees may include the following:</w:t>
      </w:r>
    </w:p>
    <w:p>
      <w:pPr>
        <w:spacing w:after="0" w:line="185" w:lineRule="exact"/>
        <w:rPr>
          <w:sz w:val="20"/>
          <w:szCs w:val="20"/>
          <w:color w:val="auto"/>
        </w:rPr>
      </w:pPr>
    </w:p>
    <w:p>
      <w:pPr>
        <w:ind w:left="640" w:hanging="316"/>
        <w:spacing w:after="0"/>
        <w:tabs>
          <w:tab w:leader="none" w:pos="6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monitoring and enforcing compliance with this Policy.</w:t>
      </w:r>
    </w:p>
    <w:p>
      <w:pPr>
        <w:spacing w:after="0" w:line="3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Responding to all inquiries relating to this Policy.</w:t>
      </w:r>
    </w:p>
    <w:p>
      <w:pPr>
        <w:spacing w:after="0" w:line="3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Designating and announcing special trading blackout periods during which specified persons may trade in Company securities.</w:t>
      </w:r>
    </w:p>
    <w:p>
      <w:pPr>
        <w:spacing w:after="0" w:line="31" w:lineRule="exact"/>
        <w:rPr>
          <w:rFonts w:ascii="Times New Roman" w:cs="Times New Roman" w:eastAsia="Times New Roman" w:hAnsi="Times New Roman"/>
          <w:sz w:val="18"/>
          <w:szCs w:val="18"/>
          <w:color w:val="auto"/>
        </w:rPr>
      </w:pPr>
    </w:p>
    <w:p>
      <w:pPr>
        <w:ind w:left="640" w:right="60" w:hanging="316"/>
        <w:spacing w:after="0" w:line="257" w:lineRule="auto"/>
        <w:tabs>
          <w:tab w:leader="none" w:pos="6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copies of this Policy and other appropriate materials to all current and new directors, officers and employees, and such other persons as the Compliance Officer determines to have access to material nonpublic information concerning the Company.</w:t>
      </w:r>
    </w:p>
    <w:p>
      <w:pPr>
        <w:ind w:left="640" w:hanging="316"/>
        <w:spacing w:after="0"/>
        <w:tabs>
          <w:tab w:leader="none" w:pos="6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monitoring and enforcing compliance with federal and state insider trading laws and regulations.</w:t>
      </w:r>
    </w:p>
    <w:p>
      <w:pPr>
        <w:spacing w:after="0" w:line="12" w:lineRule="exact"/>
        <w:rPr>
          <w:rFonts w:ascii="Times New Roman" w:cs="Times New Roman" w:eastAsia="Times New Roman" w:hAnsi="Times New Roman"/>
          <w:sz w:val="18"/>
          <w:szCs w:val="18"/>
          <w:color w:val="auto"/>
        </w:rPr>
      </w:pPr>
    </w:p>
    <w:p>
      <w:pPr>
        <w:ind w:left="640" w:right="20" w:hanging="316"/>
        <w:spacing w:after="0" w:line="257" w:lineRule="auto"/>
        <w:tabs>
          <w:tab w:leader="none" w:pos="6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as Company records originals or copies of all documents required by the provisions of this Policy, and copies of all required SEC reports relating to insider trading, including Forms 3, 4, 5 and 144 and Schedules 13D and 13G.</w:t>
      </w:r>
    </w:p>
    <w:p>
      <w:pPr>
        <w:ind w:left="640" w:hanging="316"/>
        <w:spacing w:after="0"/>
        <w:tabs>
          <w:tab w:leader="none" w:pos="6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revisions to this Policy for consideration by the Nominating and Governance Committee of the Board of Directors (the “Board”).</w:t>
      </w:r>
    </w:p>
    <w:p>
      <w:pPr>
        <w:spacing w:after="0" w:line="12"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the accuracy of the list of roles/titles of Insiders and updating such list periodically as necessary to reflect additions or deletions.</w:t>
      </w:r>
    </w:p>
    <w:p>
      <w:pPr>
        <w:spacing w:after="0" w:line="3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and requiring training about the obligations of this Policy as the Compliance Officer considers appropriate.</w:t>
      </w:r>
    </w:p>
    <w:p>
      <w:pPr>
        <w:spacing w:after="0" w:line="23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1"/>
          <w:szCs w:val="21"/>
          <w:b w:val="1"/>
          <w:bCs w:val="1"/>
          <w:u w:val="single" w:color="auto"/>
          <w:color w:val="auto"/>
        </w:rPr>
        <w:t>XII.</w:t>
      </w:r>
      <w:r>
        <w:rPr>
          <w:sz w:val="20"/>
          <w:szCs w:val="20"/>
          <w:color w:val="auto"/>
        </w:rPr>
        <w:tab/>
      </w:r>
      <w:r>
        <w:rPr>
          <w:rFonts w:ascii="Times New Roman" w:cs="Times New Roman" w:eastAsia="Times New Roman" w:hAnsi="Times New Roman"/>
          <w:sz w:val="21"/>
          <w:szCs w:val="21"/>
          <w:b w:val="1"/>
          <w:bCs w:val="1"/>
          <w:u w:val="single" w:color="auto"/>
          <w:color w:val="auto"/>
        </w:rPr>
        <w:t>EVERY INDIVIDUAL IS RESPONSIBLE</w:t>
      </w:r>
    </w:p>
    <w:p>
      <w:pPr>
        <w:spacing w:after="0" w:line="222"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color w:val="auto"/>
        </w:rPr>
        <w:t>Every employee has the individual responsibility to comply with this Policy against illegal insider trading. An employee may, from time to time, forego a proposed transaction in the Company’s securities even if he or she planned to make the transaction before learning of the material nonpublic information and even though the employee believes that he or she may suffer an economic loss or forego anticipated profit by waiting.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8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Insider Trading Policy - Cohu, Inc</w:t>
            </w:r>
          </w:p>
        </w:tc>
        <w:tc>
          <w:tcPr>
            <w:tcW w:w="4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50"/>
        </w:trPr>
        <w:tc>
          <w:tcPr>
            <w:tcW w:w="680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7" w:right="339" w:bottom="1440" w:gutter="0" w:footer="0" w:header="0"/>
        </w:sectPr>
      </w:pPr>
    </w:p>
    <w:bookmarkStart w:id="145" w:name="page146"/>
    <w:bookmarkEnd w:id="145"/>
    <w:p>
      <w:pPr>
        <w:spacing w:after="0"/>
        <w:tabs>
          <w:tab w:leader="none" w:pos="920" w:val="left"/>
        </w:tabs>
        <w:rPr>
          <w:sz w:val="20"/>
          <w:szCs w:val="20"/>
          <w:color w:val="auto"/>
        </w:rPr>
      </w:pPr>
      <w:r>
        <w:rPr>
          <w:rFonts w:ascii="Times New Roman" w:cs="Times New Roman" w:eastAsia="Times New Roman" w:hAnsi="Times New Roman"/>
          <w:sz w:val="21"/>
          <w:szCs w:val="21"/>
          <w:b w:val="1"/>
          <w:bCs w:val="1"/>
          <w:u w:val="single" w:color="auto"/>
          <w:color w:val="auto"/>
        </w:rPr>
        <w:drawing>
          <wp:anchor simplePos="0" relativeHeight="251657728" behindDoc="1" locked="0" layoutInCell="0" allowOverlap="1">
            <wp:simplePos x="0" y="0"/>
            <wp:positionH relativeFrom="page">
              <wp:posOffset>6525895</wp:posOffset>
            </wp:positionH>
            <wp:positionV relativeFrom="page">
              <wp:posOffset>88900</wp:posOffset>
            </wp:positionV>
            <wp:extent cx="807720" cy="2273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3">
                      <a:clrChange>
                        <a:clrFrom>
                          <a:srgbClr val="FFFFFF"/>
                        </a:clrFrom>
                        <a:clrTo>
                          <a:srgbClr val="FFFFFF">
                            <a:alpha val="0"/>
                          </a:srgbClr>
                        </a:clrTo>
                      </a:clrChange>
                      <a:extLst>
                        <a:ext uri="{28A0092B-C50C-407E-A947-70E740481C1C}"/>
                      </a:extLst>
                    </a:blip>
                    <a:srcRect/>
                    <a:stretch>
                      <a:fillRect/>
                    </a:stretch>
                  </pic:blipFill>
                  <pic:spPr bwMode="auto">
                    <a:xfrm>
                      <a:off x="0" y="0"/>
                      <a:ext cx="807720" cy="227330"/>
                    </a:xfrm>
                    <a:prstGeom prst="rect">
                      <a:avLst/>
                    </a:prstGeom>
                    <a:noFill/>
                  </pic:spPr>
                </pic:pic>
              </a:graphicData>
            </a:graphic>
          </wp:anchor>
        </w:drawing>
        <w:t>XIII.</w:t>
      </w:r>
      <w:r>
        <w:rPr>
          <w:sz w:val="20"/>
          <w:szCs w:val="20"/>
          <w:color w:val="auto"/>
        </w:rPr>
        <w:tab/>
      </w:r>
      <w:r>
        <w:rPr>
          <w:rFonts w:ascii="Times New Roman" w:cs="Times New Roman" w:eastAsia="Times New Roman" w:hAnsi="Times New Roman"/>
          <w:sz w:val="21"/>
          <w:szCs w:val="21"/>
          <w:b w:val="1"/>
          <w:bCs w:val="1"/>
          <w:u w:val="single" w:color="auto"/>
          <w:color w:val="auto"/>
        </w:rPr>
        <w:t>APPLICATION FOLLOWING TERMINATION OF EMPLOYMENT</w:t>
      </w:r>
    </w:p>
    <w:p>
      <w:pPr>
        <w:spacing w:after="0" w:line="22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If an employee is in possession of material nonpublic information when his or her employment terminates, he or she may not trade in the Company’s securities until that information has become public or is no longer material.</w:t>
      </w:r>
    </w:p>
    <w:p>
      <w:pPr>
        <w:spacing w:after="0" w:line="15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1"/>
          <w:szCs w:val="21"/>
          <w:b w:val="1"/>
          <w:bCs w:val="1"/>
          <w:u w:val="single" w:color="auto"/>
          <w:color w:val="auto"/>
        </w:rPr>
        <w:t>XIV.</w:t>
      </w:r>
      <w:r>
        <w:rPr>
          <w:sz w:val="20"/>
          <w:szCs w:val="20"/>
          <w:color w:val="auto"/>
        </w:rPr>
        <w:tab/>
      </w:r>
      <w:r>
        <w:rPr>
          <w:rFonts w:ascii="Times New Roman" w:cs="Times New Roman" w:eastAsia="Times New Roman" w:hAnsi="Times New Roman"/>
          <w:sz w:val="21"/>
          <w:szCs w:val="21"/>
          <w:b w:val="1"/>
          <w:bCs w:val="1"/>
          <w:u w:val="single" w:color="auto"/>
          <w:color w:val="auto"/>
        </w:rPr>
        <w:t>THE COMPLIANCE OFFICER IS AVAILABLE TO ANSWER QUESTIONS ABOUT THIS POLICY,</w:t>
      </w:r>
    </w:p>
    <w:p>
      <w:pPr>
        <w:spacing w:after="0" w:line="222" w:lineRule="exact"/>
        <w:rPr>
          <w:sz w:val="20"/>
          <w:szCs w:val="20"/>
          <w:color w:val="auto"/>
        </w:rPr>
      </w:pPr>
    </w:p>
    <w:p>
      <w:pPr>
        <w:ind w:right="1000"/>
        <w:spacing w:after="0" w:line="274" w:lineRule="auto"/>
        <w:rPr>
          <w:sz w:val="20"/>
          <w:szCs w:val="20"/>
          <w:color w:val="auto"/>
        </w:rPr>
      </w:pPr>
      <w:r>
        <w:rPr>
          <w:rFonts w:ascii="Times New Roman" w:cs="Times New Roman" w:eastAsia="Times New Roman" w:hAnsi="Times New Roman"/>
          <w:sz w:val="18"/>
          <w:szCs w:val="18"/>
          <w:color w:val="auto"/>
        </w:rPr>
        <w:t xml:space="preserve">Please direct all inquiries regarding any of the provisions or procedures of this Policy to the Compliance Officer, who can be reached by email at </w:t>
      </w:r>
      <w:r>
        <w:rPr>
          <w:rFonts w:ascii="Times New Roman" w:cs="Times New Roman" w:eastAsia="Times New Roman" w:hAnsi="Times New Roman"/>
          <w:sz w:val="18"/>
          <w:szCs w:val="18"/>
          <w:u w:val="single" w:color="auto"/>
          <w:color w:val="auto"/>
        </w:rPr>
        <w:t>insidertrading@cohu.com</w:t>
      </w:r>
      <w:r>
        <w:rPr>
          <w:rFonts w:ascii="Times New Roman" w:cs="Times New Roman" w:eastAsia="Times New Roman" w:hAnsi="Times New Roman"/>
          <w:sz w:val="18"/>
          <w:szCs w:val="18"/>
          <w:color w:val="auto"/>
        </w:rPr>
        <w:t>.</w:t>
      </w:r>
    </w:p>
    <w:p>
      <w:pPr>
        <w:spacing w:after="0" w:line="15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21"/>
          <w:szCs w:val="21"/>
          <w:b w:val="1"/>
          <w:bCs w:val="1"/>
          <w:u w:val="single" w:color="auto"/>
          <w:color w:val="auto"/>
        </w:rPr>
        <w:t>XV.</w:t>
      </w:r>
      <w:r>
        <w:rPr>
          <w:sz w:val="20"/>
          <w:szCs w:val="20"/>
          <w:color w:val="auto"/>
        </w:rPr>
        <w:tab/>
      </w:r>
      <w:r>
        <w:rPr>
          <w:rFonts w:ascii="Times New Roman" w:cs="Times New Roman" w:eastAsia="Times New Roman" w:hAnsi="Times New Roman"/>
          <w:sz w:val="21"/>
          <w:szCs w:val="21"/>
          <w:b w:val="1"/>
          <w:bCs w:val="1"/>
          <w:u w:val="single" w:color="auto"/>
          <w:color w:val="auto"/>
        </w:rPr>
        <w:t>THIS POLICY IS SUBJECT TO REVISION</w:t>
      </w:r>
    </w:p>
    <w:p>
      <w:pPr>
        <w:spacing w:after="0" w:line="222"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8"/>
          <w:szCs w:val="18"/>
          <w:color w:val="auto"/>
        </w:rPr>
        <w:t>The Company may change the terms of this Policy from time to time to respond to developments in law and practice. The Company will take steps to inform all affected persons of any material change to this Policy.</w:t>
      </w:r>
    </w:p>
    <w:p>
      <w:pPr>
        <w:spacing w:after="0" w:line="15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1"/>
          <w:szCs w:val="21"/>
          <w:b w:val="1"/>
          <w:bCs w:val="1"/>
          <w:u w:val="single" w:color="auto"/>
          <w:color w:val="auto"/>
        </w:rPr>
        <w:t>XVI.</w:t>
      </w:r>
      <w:r>
        <w:rPr>
          <w:sz w:val="20"/>
          <w:szCs w:val="20"/>
          <w:color w:val="auto"/>
        </w:rPr>
        <w:tab/>
      </w:r>
      <w:r>
        <w:rPr>
          <w:rFonts w:ascii="Times New Roman" w:cs="Times New Roman" w:eastAsia="Times New Roman" w:hAnsi="Times New Roman"/>
          <w:sz w:val="21"/>
          <w:szCs w:val="21"/>
          <w:b w:val="1"/>
          <w:bCs w:val="1"/>
          <w:u w:val="single" w:color="auto"/>
          <w:color w:val="auto"/>
        </w:rPr>
        <w:t>ALL EMPLOYEES MUST ACKNOWLEDGE THEIR AGREEMENT TO COMPLY WITH THIS POLICY</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Policy will be delivered to all employees upon its adoption by the Company, and to all new other employees at the start of their employment or</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relationship with the Company. Upon first receiving a copy of the Policy or any revised versions, each employee must sign an acknowledgment that he or she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received a copy and agrees to comply with the Policy’s terms. This acknowledgment and agreement will constitute consent for the Company to impose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sanctions for violation of this Policy and to issue any necessary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stop-transfer orders to the Company’s transfer agent to enforce compliance with this Policy.</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8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Insider Trading Policy - Cohu, Inc</w:t>
            </w:r>
          </w:p>
        </w:tc>
        <w:tc>
          <w:tcPr>
            <w:tcW w:w="4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50"/>
        </w:trPr>
        <w:tc>
          <w:tcPr>
            <w:tcW w:w="680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16" w:right="339" w:bottom="1440" w:gutter="0" w:footer="0" w:header="0"/>
        </w:sectPr>
      </w:pPr>
    </w:p>
    <w:bookmarkStart w:id="146" w:name="page147"/>
    <w:bookmarkEnd w:id="146"/>
    <w:p>
      <w:pPr>
        <w:spacing w:after="0"/>
        <w:tabs>
          <w:tab w:leader="none" w:pos="980" w:val="left"/>
        </w:tabs>
        <w:rPr>
          <w:sz w:val="20"/>
          <w:szCs w:val="20"/>
          <w:color w:val="auto"/>
        </w:rPr>
      </w:pPr>
      <w:r>
        <w:rPr>
          <w:rFonts w:ascii="Times New Roman" w:cs="Times New Roman" w:eastAsia="Times New Roman" w:hAnsi="Times New Roman"/>
          <w:sz w:val="21"/>
          <w:szCs w:val="21"/>
          <w:b w:val="1"/>
          <w:bCs w:val="1"/>
          <w:u w:val="single" w:color="auto"/>
          <w:color w:val="auto"/>
        </w:rPr>
        <w:drawing>
          <wp:anchor simplePos="0" relativeHeight="251657728" behindDoc="1" locked="0" layoutInCell="0" allowOverlap="1">
            <wp:simplePos x="0" y="0"/>
            <wp:positionH relativeFrom="page">
              <wp:posOffset>6525895</wp:posOffset>
            </wp:positionH>
            <wp:positionV relativeFrom="page">
              <wp:posOffset>88900</wp:posOffset>
            </wp:positionV>
            <wp:extent cx="807720" cy="2273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4">
                      <a:clrChange>
                        <a:clrFrom>
                          <a:srgbClr val="FFFFFF"/>
                        </a:clrFrom>
                        <a:clrTo>
                          <a:srgbClr val="FFFFFF">
                            <a:alpha val="0"/>
                          </a:srgbClr>
                        </a:clrTo>
                      </a:clrChange>
                      <a:extLst>
                        <a:ext uri="{28A0092B-C50C-407E-A947-70E740481C1C}"/>
                      </a:extLst>
                    </a:blip>
                    <a:srcRect/>
                    <a:stretch>
                      <a:fillRect/>
                    </a:stretch>
                  </pic:blipFill>
                  <pic:spPr bwMode="auto">
                    <a:xfrm>
                      <a:off x="0" y="0"/>
                      <a:ext cx="807720" cy="227330"/>
                    </a:xfrm>
                    <a:prstGeom prst="rect">
                      <a:avLst/>
                    </a:prstGeom>
                    <a:noFill/>
                  </pic:spPr>
                </pic:pic>
              </a:graphicData>
            </a:graphic>
          </wp:anchor>
        </w:drawing>
        <w:t>XVII.</w:t>
      </w:r>
      <w:r>
        <w:rPr>
          <w:sz w:val="20"/>
          <w:szCs w:val="20"/>
          <w:color w:val="auto"/>
        </w:rPr>
        <w:tab/>
      </w:r>
      <w:r>
        <w:rPr>
          <w:rFonts w:ascii="Times New Roman" w:cs="Times New Roman" w:eastAsia="Times New Roman" w:hAnsi="Times New Roman"/>
          <w:sz w:val="21"/>
          <w:szCs w:val="21"/>
          <w:b w:val="1"/>
          <w:bCs w:val="1"/>
          <w:u w:val="single" w:color="auto"/>
          <w:color w:val="auto"/>
        </w:rPr>
        <w:t>APPENDIX</w:t>
      </w:r>
    </w:p>
    <w:p>
      <w:pPr>
        <w:spacing w:after="0" w:line="209" w:lineRule="exact"/>
        <w:rPr>
          <w:sz w:val="20"/>
          <w:szCs w:val="20"/>
          <w:color w:val="auto"/>
        </w:rPr>
      </w:pPr>
    </w:p>
    <w:p>
      <w:pPr>
        <w:ind w:right="140"/>
        <w:spacing w:after="0" w:line="276" w:lineRule="auto"/>
        <w:rPr>
          <w:sz w:val="20"/>
          <w:szCs w:val="20"/>
          <w:color w:val="auto"/>
        </w:rPr>
      </w:pPr>
      <w:r>
        <w:rPr>
          <w:rFonts w:ascii="Times New Roman" w:cs="Times New Roman" w:eastAsia="Times New Roman" w:hAnsi="Times New Roman"/>
          <w:sz w:val="21"/>
          <w:szCs w:val="21"/>
          <w:b w:val="1"/>
          <w:bCs w:val="1"/>
          <w:u w:val="single" w:color="auto"/>
          <w:color w:val="auto"/>
        </w:rPr>
        <w:t>ADDITIONAL RESTRICTIONS ON TRANSACTIONS IN COMPANY SECURITIES BY SECTION 16 INSIDERS AND INSIDER EMPLOYEES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OVERVIEW</w:t>
      </w:r>
    </w:p>
    <w:p>
      <w:pPr>
        <w:spacing w:after="0" w:line="222"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To minimize the risk of apparent or actual violations of the rules governing insider trading, we have adopted these additional restrictions relating to transactions in Company securities by Insiders. As with the other provisions of this Policy, Insiders are responsible for ensuring compliance with this Appendix I, including restrictions on all trading during certain periods, by family members and members of their households and by entities over which they exercise voting or investment control. Insiders should make each of these persons or entities aware of the requirements of this Policy.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TRADING WINDOW</w:t>
      </w:r>
    </w:p>
    <w:p>
      <w:pPr>
        <w:spacing w:after="0" w:line="222"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8"/>
          <w:szCs w:val="18"/>
          <w:color w:val="auto"/>
        </w:rPr>
        <w:t xml:space="preserve">In addition to the restrictions that are applicable to all employees, any trade by an Insider that is subject to the Insider Trading Policy will be permitted only during an open “trading window.” The trading window generally opens following the close of trading on the second full trading day following the public issuance of the Company’s earnings release for the most recent fiscal quarter (which generally occurs approximately 5 weeks following the close of each of the first three quarters or approximately 7 weeks following the close of the fourth quarter) and closes at the close of trading on the last day of the month preceding the last month of a fiscal quarter. In addition to the times when the trading window is scheduled to be closed, the Company may impose a “special blackout period” at its discretion due to the existence of material nonpublic information, such as a pending acquisition. Following termination of employment or other service, Insiders will remain subject to the trading window until the expiration of the blackout period, if any, in effect at the time of termination. </w:t>
      </w:r>
      <w:r>
        <w:rPr>
          <w:rFonts w:ascii="Times New Roman" w:cs="Times New Roman" w:eastAsia="Times New Roman" w:hAnsi="Times New Roman"/>
          <w:sz w:val="18"/>
          <w:szCs w:val="18"/>
          <w:b w:val="1"/>
          <w:bCs w:val="1"/>
          <w:color w:val="auto"/>
        </w:rPr>
        <w:t>Even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when the window is open, Insiders and other Company personnel are prohibited from trading in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securities while in possession of material nonpublic information.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HARDSHIP EXEMPTIONS</w:t>
      </w:r>
    </w:p>
    <w:p>
      <w:pPr>
        <w:spacing w:after="0" w:line="222"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The Compliance Officer may, on a case-by-case basis, authorize a transaction in the Company’s securities outside of the trading window (but in no event during a special blackout period) due to financial or other hardship. Any request for a hardship exemption must be in writing and must describe the amount and nature of the proposed transaction and the circumstances of the hardship. The request may be made as part of a pre-clearance request, so long as it is in writing. The Insider requesting the hardship exemption must also certify to the Compliance Officer that he or she is not in possession of material nonpublic information concerning the Company. The existence of the foregoing procedure does not in any way obligate the Compliance Officer to approve any hardship exemption requested by an Insider.</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Appendix - Insider Trading Policy - Cohu, Inc</w:t>
            </w: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50"/>
        </w:trPr>
        <w:tc>
          <w:tcPr>
            <w:tcW w:w="716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16"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21"/>
          <w:szCs w:val="21"/>
          <w:b w:val="1"/>
          <w:bCs w:val="1"/>
          <w:u w:val="single" w:color="auto"/>
          <w:color w:val="auto"/>
        </w:rPr>
        <w:drawing>
          <wp:anchor simplePos="0" relativeHeight="251657728" behindDoc="1" locked="0" layoutInCell="0" allowOverlap="1">
            <wp:simplePos x="0" y="0"/>
            <wp:positionH relativeFrom="page">
              <wp:posOffset>6525895</wp:posOffset>
            </wp:positionH>
            <wp:positionV relativeFrom="page">
              <wp:posOffset>88900</wp:posOffset>
            </wp:positionV>
            <wp:extent cx="807720" cy="2273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5">
                      <a:clrChange>
                        <a:clrFrom>
                          <a:srgbClr val="FFFFFF"/>
                        </a:clrFrom>
                        <a:clrTo>
                          <a:srgbClr val="FFFFFF">
                            <a:alpha val="0"/>
                          </a:srgbClr>
                        </a:clrTo>
                      </a:clrChange>
                      <a:extLst>
                        <a:ext uri="{28A0092B-C50C-407E-A947-70E740481C1C}"/>
                      </a:extLst>
                    </a:blip>
                    <a:srcRect/>
                    <a:stretch>
                      <a:fillRect/>
                    </a:stretch>
                  </pic:blipFill>
                  <pic:spPr bwMode="auto">
                    <a:xfrm>
                      <a:off x="0" y="0"/>
                      <a:ext cx="807720" cy="227330"/>
                    </a:xfrm>
                    <a:prstGeom prst="rect">
                      <a:avLst/>
                    </a:prstGeom>
                    <a:noFill/>
                  </pic:spPr>
                </pic:pic>
              </a:graphicData>
            </a:graphic>
          </wp:anchor>
        </w:drawing>
        <w:t>INDIVIDUAL ACCOUNT PLAN BLACKOUT PERIODS</w:t>
      </w:r>
    </w:p>
    <w:p>
      <w:pPr>
        <w:spacing w:after="0" w:line="222"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Certain trading restrictions apply during a pension-related blackout period applicable to any Company individual account plan in which participants may hold Company stock. For the purpose of such restrictions, a “blackout period” is a period in which the plan participants are temporarily restricted from making trades in Company stock. During any blackout period, directors and executive officers are prohibited from trading in shares of the Company’s stock that were acquired in connection with such director’s or executive officer’s service or employment with the Company. Such trading restriction is required by law, and no hardship</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exemptions are available. The Company will notify directors and executive officers in the event of any blackout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PRE-CLEARANCE OF TRADES</w:t>
      </w:r>
    </w:p>
    <w:p>
      <w:pPr>
        <w:spacing w:after="0" w:line="222"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7"/>
          <w:szCs w:val="17"/>
          <w:color w:val="auto"/>
        </w:rPr>
        <w:t>As part of the Company’s Insider Trading Policy, all transactions involving equity securities of the Company by Section 16 Insiders, other than transactions that are not subject to the Policy or transactions pursuant to a Rule 10b5-1 trading plan, must be pre-cleared by the Compliance Officer. Requests for pre-clearance must be submitted to the Compliance Officer in writing or email at least two business days in advance of each proposed transaction. If the Insider leaves a voicemail message or submits the request by email and does not receive a response from the Compliance Officer within 24 hours, the Insider will be responsible for following up to ensure that the message was received. Each Insider’s request for pre-clearance should include the following information:</w:t>
      </w:r>
    </w:p>
    <w:p>
      <w:pPr>
        <w:spacing w:after="0" w:line="168" w:lineRule="exact"/>
        <w:rPr>
          <w:sz w:val="20"/>
          <w:szCs w:val="20"/>
          <w:color w:val="auto"/>
        </w:rPr>
      </w:pPr>
    </w:p>
    <w:p>
      <w:pPr>
        <w:ind w:left="640" w:hanging="316"/>
        <w:spacing w:after="0"/>
        <w:tabs>
          <w:tab w:leader="none" w:pos="6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the proposed transaction.</w:t>
      </w:r>
    </w:p>
    <w:p>
      <w:pPr>
        <w:spacing w:after="0" w:line="3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the expected transaction.</w:t>
      </w:r>
    </w:p>
    <w:p>
      <w:pPr>
        <w:spacing w:after="0" w:line="3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involved.</w:t>
      </w:r>
    </w:p>
    <w:p>
      <w:pPr>
        <w:spacing w:after="0" w:line="3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transaction involves a stock option exercise, the specific option to be exercised.</w:t>
      </w:r>
    </w:p>
    <w:p>
      <w:pPr>
        <w:spacing w:after="0" w:line="3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Contact information for the broker who will execute the transaction.</w:t>
      </w:r>
    </w:p>
    <w:p>
      <w:pPr>
        <w:spacing w:after="0" w:line="31" w:lineRule="exact"/>
        <w:rPr>
          <w:rFonts w:ascii="Times New Roman" w:cs="Times New Roman" w:eastAsia="Times New Roman" w:hAnsi="Times New Roman"/>
          <w:sz w:val="18"/>
          <w:szCs w:val="18"/>
          <w:color w:val="auto"/>
        </w:rPr>
      </w:pPr>
    </w:p>
    <w:p>
      <w:pPr>
        <w:ind w:left="640" w:right="560" w:hanging="316"/>
        <w:spacing w:after="0" w:line="257" w:lineRule="auto"/>
        <w:tabs>
          <w:tab w:leader="none" w:pos="6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confirmation that the Insider has carefully considered whether he or she may be aware of any material nonpublic information relating to the Company (describing any borderline matters or items of potential concern) and has concluded that he or she does not.</w:t>
      </w:r>
    </w:p>
    <w:p>
      <w:pPr>
        <w:ind w:left="640" w:right="80" w:hanging="316"/>
        <w:spacing w:after="0" w:line="245" w:lineRule="auto"/>
        <w:tabs>
          <w:tab w:leader="none" w:pos="6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Confirmation that, to the Insider’s knowledge, the transaction complies with all SEC rules and regulations applicable to securities transactions by the Insider.</w:t>
      </w:r>
    </w:p>
    <w:p>
      <w:pPr>
        <w:spacing w:after="0" w:line="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that is material to the Compliance Officer’s consideration of the proposed transaction.</w:t>
      </w:r>
    </w:p>
    <w:p>
      <w:pPr>
        <w:spacing w:after="0" w:line="22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Once the proposed transaction is pre-cleared, the Section 16 Insider may proceed with it on the approved terms, provided that he or she complies with all other securities law requirements, such as Rule 144 and prohibitions regarding trading on the basis of inside information, and with any special trading blackout imposed by the Company prior to the time of the transaction. Even if a transaction has been pre-cleared, the transaction may not proceed if you become aware of material non-public information prior to the time of the transaction</w:t>
      </w:r>
    </w:p>
    <w:p>
      <w:pPr>
        <w:spacing w:after="0" w:line="180" w:lineRule="exact"/>
        <w:rPr>
          <w:sz w:val="20"/>
          <w:szCs w:val="20"/>
          <w:color w:val="auto"/>
        </w:rPr>
      </w:pPr>
    </w:p>
    <w:p>
      <w:pPr>
        <w:ind w:right="280"/>
        <w:spacing w:after="0" w:line="274" w:lineRule="auto"/>
        <w:rPr>
          <w:sz w:val="20"/>
          <w:szCs w:val="20"/>
          <w:color w:val="auto"/>
        </w:rPr>
      </w:pPr>
      <w:r>
        <w:rPr>
          <w:rFonts w:ascii="Times New Roman" w:cs="Times New Roman" w:eastAsia="Times New Roman" w:hAnsi="Times New Roman"/>
          <w:sz w:val="18"/>
          <w:szCs w:val="18"/>
          <w:color w:val="auto"/>
        </w:rPr>
        <w:t>Any transactions by the Compliance Officer shall be subject to pre-clearance by the Chief Executive Officer or, in the event of his or her unavailability, the Company’s General Counsel.</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Appendix - Insider Trading Policy - Cohu, Inc</w:t>
            </w: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50"/>
        </w:trPr>
        <w:tc>
          <w:tcPr>
            <w:tcW w:w="716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16"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21"/>
          <w:szCs w:val="21"/>
          <w:b w:val="1"/>
          <w:bCs w:val="1"/>
          <w:u w:val="single" w:color="auto"/>
          <w:color w:val="auto"/>
        </w:rPr>
        <w:drawing>
          <wp:anchor simplePos="0" relativeHeight="251657728" behindDoc="1" locked="0" layoutInCell="0" allowOverlap="1">
            <wp:simplePos x="0" y="0"/>
            <wp:positionH relativeFrom="page">
              <wp:posOffset>6525895</wp:posOffset>
            </wp:positionH>
            <wp:positionV relativeFrom="page">
              <wp:posOffset>88900</wp:posOffset>
            </wp:positionV>
            <wp:extent cx="807720" cy="2273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6">
                      <a:clrChange>
                        <a:clrFrom>
                          <a:srgbClr val="FFFFFF"/>
                        </a:clrFrom>
                        <a:clrTo>
                          <a:srgbClr val="FFFFFF">
                            <a:alpha val="0"/>
                          </a:srgbClr>
                        </a:clrTo>
                      </a:clrChange>
                      <a:extLst>
                        <a:ext uri="{28A0092B-C50C-407E-A947-70E740481C1C}"/>
                      </a:extLst>
                    </a:blip>
                    <a:srcRect/>
                    <a:stretch>
                      <a:fillRect/>
                    </a:stretch>
                  </pic:blipFill>
                  <pic:spPr bwMode="auto">
                    <a:xfrm>
                      <a:off x="0" y="0"/>
                      <a:ext cx="807720" cy="227330"/>
                    </a:xfrm>
                    <a:prstGeom prst="rect">
                      <a:avLst/>
                    </a:prstGeom>
                    <a:noFill/>
                  </pic:spPr>
                </pic:pic>
              </a:graphicData>
            </a:graphic>
          </wp:anchor>
        </w:drawing>
        <w:t>PRE-CLEARANCE OF RULE 10B5-1 TRADING PLANS</w:t>
      </w:r>
    </w:p>
    <w:p>
      <w:pPr>
        <w:spacing w:after="0" w:line="249" w:lineRule="exact"/>
        <w:rPr>
          <w:sz w:val="20"/>
          <w:szCs w:val="20"/>
          <w:color w:val="auto"/>
        </w:rPr>
      </w:pPr>
    </w:p>
    <w:p>
      <w:pPr>
        <w:ind w:right="480"/>
        <w:spacing w:after="0" w:line="304" w:lineRule="auto"/>
        <w:rPr>
          <w:sz w:val="20"/>
          <w:szCs w:val="20"/>
          <w:color w:val="auto"/>
        </w:rPr>
      </w:pPr>
      <w:r>
        <w:rPr>
          <w:rFonts w:ascii="Times New Roman" w:cs="Times New Roman" w:eastAsia="Times New Roman" w:hAnsi="Times New Roman"/>
          <w:sz w:val="17"/>
          <w:szCs w:val="17"/>
          <w:color w:val="auto"/>
        </w:rPr>
        <w:t>In addition, pre-clearance is required for the establishment of a Rule 10b5-1 trading plan (“10b5-1 Trading Plan”) pursuant to the procedures set forth in Section IX, below. However, pre-clearance will not be required for individual transactions effected pursuant to a pre-cleared 10b5-1 Trading Plan.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DESIGNATED BROKERS</w:t>
      </w:r>
    </w:p>
    <w:p>
      <w:pPr>
        <w:spacing w:after="0" w:line="249"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8"/>
          <w:szCs w:val="18"/>
          <w:color w:val="auto"/>
        </w:rPr>
        <w:t>Each market transaction in the Company’s stock by a Section 16 Insider, or any person whose trades must be reported by that Insider on Form 4 (such as a member of the Insider’s immediate family who lives in the Insider’s household), must be executed by a broker designated by the Company.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REPORTING TRANSACTIONS</w:t>
      </w:r>
    </w:p>
    <w:p>
      <w:pPr>
        <w:spacing w:after="0" w:line="24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To facilitate timely reporting under Section 16 of the Exchange Act, Section 16 Insiders are required to on the same day as the trade date, or, with respect to transactions effected pursuant to a 10b5-1 Trading Plan, on the day the Insider is advised of the terms of the transaction, (a) report the details of each transaction to the Compliance Officer and (b) arrange with persons whose trades must be reported by the Insider under Section 16 (such as immediate family members living in the Insider’s household) to immediately report directly to the Company and to the Insider the following transaction details:</w:t>
      </w:r>
    </w:p>
    <w:p>
      <w:pPr>
        <w:spacing w:after="0" w:line="180" w:lineRule="exact"/>
        <w:rPr>
          <w:sz w:val="20"/>
          <w:szCs w:val="20"/>
          <w:color w:val="auto"/>
        </w:rPr>
      </w:pPr>
    </w:p>
    <w:p>
      <w:pPr>
        <w:ind w:left="640" w:hanging="316"/>
        <w:spacing w:after="0"/>
        <w:tabs>
          <w:tab w:leader="none" w:pos="6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date (trade date).</w:t>
      </w:r>
    </w:p>
    <w:p>
      <w:pPr>
        <w:spacing w:after="0" w:line="3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involved.</w:t>
      </w:r>
    </w:p>
    <w:p>
      <w:pPr>
        <w:spacing w:after="0" w:line="2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per share at which the transaction was executed (before addition or deduction of brokerage commission and other transaction fees).</w:t>
      </w:r>
    </w:p>
    <w:p>
      <w:pPr>
        <w:spacing w:after="0" w:line="12"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stock option exercises, the specific option exercised.</w:t>
      </w:r>
    </w:p>
    <w:p>
      <w:pPr>
        <w:spacing w:after="0" w:line="3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Confirmation that the trade was made the Company’s designated broker.</w:t>
      </w:r>
    </w:p>
    <w:p>
      <w:pPr>
        <w:spacing w:after="0" w:line="3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representation that the Insider is not in possession of material non-public information.</w:t>
      </w:r>
    </w:p>
    <w:p>
      <w:pPr>
        <w:spacing w:after="0" w:line="31" w:lineRule="exact"/>
        <w:rPr>
          <w:rFonts w:ascii="Times New Roman" w:cs="Times New Roman" w:eastAsia="Times New Roman" w:hAnsi="Times New Roman"/>
          <w:sz w:val="18"/>
          <w:szCs w:val="18"/>
          <w:color w:val="auto"/>
        </w:rPr>
      </w:pPr>
    </w:p>
    <w:p>
      <w:pPr>
        <w:ind w:left="640" w:right="280" w:hanging="316"/>
        <w:spacing w:after="0" w:line="257" w:lineRule="auto"/>
        <w:tabs>
          <w:tab w:leader="none" w:pos="6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Section 16 Insider, a specific representation whether the transaction was intended to satisfy the affirmative defense conditions of Rule 10b5-1(c).</w:t>
      </w:r>
    </w:p>
    <w:p>
      <w:pPr>
        <w:ind w:left="640" w:right="420" w:hanging="316"/>
        <w:spacing w:after="0" w:line="251" w:lineRule="auto"/>
        <w:tabs>
          <w:tab w:leader="none" w:pos="6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details must be reported to the Compliance Officer, with copies to Company personnel (if any) who assist Section 16 Insiders in preparing his or her Form 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SPECIAL GUIDELINES FOR 10B5-1 TRADING PLANS</w:t>
      </w:r>
    </w:p>
    <w:p>
      <w:pPr>
        <w:spacing w:after="0" w:line="22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Notwithstanding the foregoing, an Insider will not be deemed to have violated this Policy for transactions pursuant to a 10b5-1 Trading Plan that has been pre-cleared by the Compliance Officer. The Compliance Officer may withhold or condition pre-clearance of any proposed 10b5-1 Plan (each, a “Proposed Plan”) for any reason, in his or her sole discretion.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Appendix - Insider Trading Policy - Cohu, Inc</w:t>
            </w: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50"/>
        </w:trPr>
        <w:tc>
          <w:tcPr>
            <w:tcW w:w="716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16" w:right="339" w:bottom="1440" w:gutter="0" w:footer="0" w:header="0"/>
        </w:sectPr>
      </w:pPr>
    </w:p>
    <w:bookmarkStart w:id="149" w:name="page150"/>
    <w:bookmarkEnd w:id="149"/>
    <w:p>
      <w:pPr>
        <w:ind w:left="320" w:hanging="314"/>
        <w:spacing w:after="0"/>
        <w:tabs>
          <w:tab w:leader="none" w:pos="32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6525895</wp:posOffset>
            </wp:positionH>
            <wp:positionV relativeFrom="page">
              <wp:posOffset>88900</wp:posOffset>
            </wp:positionV>
            <wp:extent cx="807720" cy="2273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7">
                      <a:clrChange>
                        <a:clrFrom>
                          <a:srgbClr val="FFFFFF"/>
                        </a:clrFrom>
                        <a:clrTo>
                          <a:srgbClr val="FFFFFF">
                            <a:alpha val="0"/>
                          </a:srgbClr>
                        </a:clrTo>
                      </a:clrChange>
                      <a:extLst>
                        <a:ext uri="{28A0092B-C50C-407E-A947-70E740481C1C}"/>
                      </a:extLst>
                    </a:blip>
                    <a:srcRect/>
                    <a:stretch>
                      <a:fillRect/>
                    </a:stretch>
                  </pic:blipFill>
                  <pic:spPr bwMode="auto">
                    <a:xfrm>
                      <a:off x="0" y="0"/>
                      <a:ext cx="807720" cy="227330"/>
                    </a:xfrm>
                    <a:prstGeom prst="rect">
                      <a:avLst/>
                    </a:prstGeom>
                    <a:noFill/>
                  </pic:spPr>
                </pic:pic>
              </a:graphicData>
            </a:graphic>
          </wp:anchor>
        </w:drawing>
        <w:t>The Compliance Officer will not pre-clear a Proposed Plan if he or she concludes that the Proposed Plan:</w:t>
      </w:r>
    </w:p>
    <w:p>
      <w:pPr>
        <w:spacing w:after="0" w:line="217" w:lineRule="exact"/>
        <w:rPr>
          <w:rFonts w:ascii="Times New Roman" w:cs="Times New Roman" w:eastAsia="Times New Roman" w:hAnsi="Times New Roman"/>
          <w:sz w:val="18"/>
          <w:szCs w:val="18"/>
          <w:b w:val="1"/>
          <w:bCs w:val="1"/>
          <w:color w:val="auto"/>
        </w:rPr>
      </w:pPr>
    </w:p>
    <w:p>
      <w:pPr>
        <w:ind w:left="640" w:hanging="316"/>
        <w:spacing w:after="0"/>
        <w:tabs>
          <w:tab w:leader="none" w:pos="64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comply with the requirements of Rule 10b5-1, as amended from time to time;</w:t>
      </w:r>
    </w:p>
    <w:p>
      <w:pPr>
        <w:spacing w:after="0" w:line="243" w:lineRule="exact"/>
        <w:rPr>
          <w:rFonts w:ascii="Times New Roman" w:cs="Times New Roman" w:eastAsia="Times New Roman" w:hAnsi="Times New Roman"/>
          <w:sz w:val="18"/>
          <w:szCs w:val="18"/>
          <w:color w:val="auto"/>
        </w:rPr>
      </w:pPr>
    </w:p>
    <w:p>
      <w:pPr>
        <w:ind w:left="640" w:right="180" w:hanging="316"/>
        <w:spacing w:after="0" w:line="253" w:lineRule="auto"/>
        <w:tabs>
          <w:tab w:leader="none" w:pos="64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permit a transaction to occur before the later of (i) 90 days after adoption (including deemed adoption) of the Proposed Plan or (ii) two business days after disclosure of the issuer’s financial results in a Form 10-Q or Form 10-K for the quarter in which the Proposed Plan was adopted (subject to a maximum of 120 days after adoption of the Proposed Plan);</w:t>
      </w:r>
    </w:p>
    <w:p>
      <w:pPr>
        <w:ind w:left="640" w:right="780" w:hanging="316"/>
        <w:spacing w:after="0" w:line="245" w:lineRule="auto"/>
        <w:tabs>
          <w:tab w:leader="none" w:pos="64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established during a “closed” window period or a special “blackout” period, or the Insider is unable to represent to the satisfaction of the Compliance Officer that the Insider is not in possession of material nonpublic information regarding the Company;</w:t>
      </w:r>
    </w:p>
    <w:p>
      <w:pPr>
        <w:spacing w:after="0" w:line="1" w:lineRule="exact"/>
        <w:rPr>
          <w:rFonts w:ascii="Times New Roman" w:cs="Times New Roman" w:eastAsia="Times New Roman" w:hAnsi="Times New Roman"/>
          <w:sz w:val="18"/>
          <w:szCs w:val="18"/>
          <w:color w:val="auto"/>
        </w:rPr>
      </w:pPr>
    </w:p>
    <w:p>
      <w:pPr>
        <w:ind w:left="640" w:right="560" w:hanging="316"/>
        <w:spacing w:after="0" w:line="245" w:lineRule="auto"/>
        <w:tabs>
          <w:tab w:leader="none" w:pos="64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Lacks appropriate mechanisms to ensure that the Insider complies with all rules and regulations, including Rule 144, Rule 701, Form S-8, and Section 16 of the Exchange Act, applicable to securities transactions by the Insider;</w:t>
      </w:r>
    </w:p>
    <w:p>
      <w:pPr>
        <w:spacing w:after="0" w:line="1" w:lineRule="exact"/>
        <w:rPr>
          <w:rFonts w:ascii="Times New Roman" w:cs="Times New Roman" w:eastAsia="Times New Roman" w:hAnsi="Times New Roman"/>
          <w:sz w:val="18"/>
          <w:szCs w:val="18"/>
          <w:color w:val="auto"/>
        </w:rPr>
      </w:pPr>
    </w:p>
    <w:p>
      <w:pPr>
        <w:ind w:left="640" w:right="80" w:hanging="316"/>
        <w:spacing w:after="0" w:line="245" w:lineRule="auto"/>
        <w:tabs>
          <w:tab w:leader="none" w:pos="64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provide the Company the right to suspend all transactions under the Proposed Plan if the Compliance Officer, in his or her sole discretion, deems such suspension necessary or advisable, including suspensions to comply with any “lock-up” agreement the Company agrees to in connection with a financing or other similar events;</w:t>
      </w:r>
    </w:p>
    <w:p>
      <w:pPr>
        <w:spacing w:after="0" w:line="2"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Exposes the Company to liability under any other applicable state or federal rule, regulation or law; or</w:t>
      </w:r>
    </w:p>
    <w:p>
      <w:pPr>
        <w:spacing w:after="0" w:line="12"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meet other guidelines established by the Company.</w:t>
      </w:r>
    </w:p>
    <w:p>
      <w:pPr>
        <w:spacing w:after="0" w:line="243" w:lineRule="exact"/>
        <w:rPr>
          <w:rFonts w:ascii="Times New Roman" w:cs="Times New Roman" w:eastAsia="Times New Roman" w:hAnsi="Times New Roman"/>
          <w:sz w:val="18"/>
          <w:szCs w:val="18"/>
          <w:color w:val="auto"/>
        </w:rPr>
      </w:pPr>
    </w:p>
    <w:p>
      <w:pPr>
        <w:ind w:left="320" w:right="260" w:hanging="314"/>
        <w:spacing w:after="0" w:line="259" w:lineRule="auto"/>
        <w:tabs>
          <w:tab w:leader="none" w:pos="32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Proposed Plan must be approved prior to the effective time of any transactions under such Proposed Plan by the Company’s Rule 10b5-1 Trading Plan Review Committee, which shall be composed of persons selected by and serving at the discretion of the Company’s Chief Executive Officer (the “10b5-1 Committee”).</w:t>
      </w:r>
    </w:p>
    <w:p>
      <w:pPr>
        <w:spacing w:after="0" w:line="177" w:lineRule="exact"/>
        <w:rPr>
          <w:rFonts w:ascii="Times New Roman" w:cs="Times New Roman" w:eastAsia="Times New Roman" w:hAnsi="Times New Roman"/>
          <w:sz w:val="18"/>
          <w:szCs w:val="18"/>
          <w:b w:val="1"/>
          <w:bCs w:val="1"/>
          <w:color w:val="auto"/>
        </w:rPr>
      </w:pPr>
    </w:p>
    <w:p>
      <w:pPr>
        <w:ind w:left="320" w:right="80" w:hanging="314"/>
        <w:spacing w:after="0" w:line="255" w:lineRule="auto"/>
        <w:tabs>
          <w:tab w:leader="none" w:pos="32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modifications to or deviations from a 10b5-1 Trading Plan are deemed to be the Insider entering into a new 10b5-1 Trading Plan and, accordingly, require pre-clearance of such modification or deviation pursuant to the procedures set forth herein. A 10b5-1 Trading Plan may be amended by an Insider only during a period when such Insider can sell Cohu stock pursuant to Cohu’s Insider Trading Policy and Insider is not aware of any material, nonpublic information concerning Cohu or its securities.</w:t>
      </w:r>
    </w:p>
    <w:p>
      <w:pPr>
        <w:spacing w:after="0" w:line="180" w:lineRule="exact"/>
        <w:rPr>
          <w:rFonts w:ascii="Times New Roman" w:cs="Times New Roman" w:eastAsia="Times New Roman" w:hAnsi="Times New Roman"/>
          <w:sz w:val="18"/>
          <w:szCs w:val="18"/>
          <w:b w:val="1"/>
          <w:bCs w:val="1"/>
          <w:color w:val="auto"/>
        </w:rPr>
      </w:pPr>
    </w:p>
    <w:p>
      <w:pPr>
        <w:ind w:left="320" w:right="20" w:hanging="314"/>
        <w:spacing w:after="0" w:line="282" w:lineRule="auto"/>
        <w:tabs>
          <w:tab w:leader="none" w:pos="320" w:val="left"/>
        </w:tabs>
        <w:numPr>
          <w:ilvl w:val="0"/>
          <w:numId w:val="1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Any termination of a 10b5-1 Trading Plan must be immediately reported to the Compliance Officer. If an Insider has pre-cleared a new 10b5-1 Trading Plan (the “Second Plan”) intended to succeed an earlier pre-cleared 10b5-1 Trading Plan (the “First Plan”), the Insider may not affirmatively terminate the First Plan without pre-clearance pursuant to the procedures set forth herein, because such termination is deemed to be entering into the Second Plan.</w:t>
      </w:r>
    </w:p>
    <w:p>
      <w:pPr>
        <w:spacing w:after="0" w:line="158" w:lineRule="exact"/>
        <w:rPr>
          <w:rFonts w:ascii="Times New Roman" w:cs="Times New Roman" w:eastAsia="Times New Roman" w:hAnsi="Times New Roman"/>
          <w:sz w:val="17"/>
          <w:szCs w:val="17"/>
          <w:b w:val="1"/>
          <w:bCs w:val="1"/>
          <w:color w:val="auto"/>
        </w:rPr>
      </w:pPr>
    </w:p>
    <w:p>
      <w:pPr>
        <w:ind w:left="320" w:right="100" w:hanging="314"/>
        <w:spacing w:after="0" w:line="252" w:lineRule="auto"/>
        <w:tabs>
          <w:tab w:leader="none" w:pos="32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10b5-1 Trading Plan must be established at a time when the trading window is open and provide that no trades under the 10b5-1 Trading Plan may occur until the later of (i) 90 days after adoption (including deemed adoption) of the 10b5-1 Trading Plan or (ii) two business days after disclosure of the issuer’s financial results in a Form 10-Q or Form 10-K for the quarter in which the 10B5-1 Trading Plan was adopted (subject to a maximum of 120 days after adoption of the 10B5-1 Trading Plan) (the “waiting period”). Once the waiting period is met the 10b5-1 Trading Plan may provide for trading to occur during Cohu’s designated “blackout periods.”</w:t>
      </w:r>
    </w:p>
    <w:p>
      <w:pPr>
        <w:spacing w:after="0" w:line="185" w:lineRule="exact"/>
        <w:rPr>
          <w:rFonts w:ascii="Times New Roman" w:cs="Times New Roman" w:eastAsia="Times New Roman" w:hAnsi="Times New Roman"/>
          <w:sz w:val="18"/>
          <w:szCs w:val="18"/>
          <w:b w:val="1"/>
          <w:bCs w:val="1"/>
          <w:color w:val="auto"/>
        </w:rPr>
      </w:pPr>
    </w:p>
    <w:p>
      <w:pPr>
        <w:ind w:left="320" w:right="280" w:hanging="314"/>
        <w:spacing w:after="0" w:line="274" w:lineRule="auto"/>
        <w:tabs>
          <w:tab w:leader="none" w:pos="32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10b5-1 Trading Plan must provide appropriate mechanisms to ensure that the Insider complies with all rules and regulations, including Rule 144, Rule 701 and Section 16(b), applicable to securities transactions under the 10b5-1 Trading Plan by the Insider.</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Appendix - Insider Trading Policy - Cohu, Inc</w:t>
            </w: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50"/>
        </w:trPr>
        <w:tc>
          <w:tcPr>
            <w:tcW w:w="716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9" w:right="339" w:bottom="1440" w:gutter="0" w:footer="0" w:header="0"/>
        </w:sectPr>
      </w:pPr>
    </w:p>
    <w:bookmarkStart w:id="150" w:name="page151"/>
    <w:bookmarkEnd w:id="150"/>
    <w:p>
      <w:pPr>
        <w:jc w:val="both"/>
        <w:ind w:left="320" w:right="220" w:hanging="314"/>
        <w:spacing w:after="0" w:line="259" w:lineRule="auto"/>
        <w:tabs>
          <w:tab w:leader="none" w:pos="32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6525895</wp:posOffset>
            </wp:positionH>
            <wp:positionV relativeFrom="page">
              <wp:posOffset>88900</wp:posOffset>
            </wp:positionV>
            <wp:extent cx="807720" cy="2273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8">
                      <a:clrChange>
                        <a:clrFrom>
                          <a:srgbClr val="FFFFFF"/>
                        </a:clrFrom>
                        <a:clrTo>
                          <a:srgbClr val="FFFFFF">
                            <a:alpha val="0"/>
                          </a:srgbClr>
                        </a:clrTo>
                      </a:clrChange>
                      <a:extLst>
                        <a:ext uri="{28A0092B-C50C-407E-A947-70E740481C1C}"/>
                      </a:extLst>
                    </a:blip>
                    <a:srcRect/>
                    <a:stretch>
                      <a:fillRect/>
                    </a:stretch>
                  </pic:blipFill>
                  <pic:spPr bwMode="auto">
                    <a:xfrm>
                      <a:off x="0" y="0"/>
                      <a:ext cx="807720" cy="227330"/>
                    </a:xfrm>
                    <a:prstGeom prst="rect">
                      <a:avLst/>
                    </a:prstGeom>
                    <a:noFill/>
                  </pic:spPr>
                </pic:pic>
              </a:graphicData>
            </a:graphic>
          </wp:anchor>
        </w:drawing>
        <w:t>Each 10b5-1 Trading Plan must provide for the suspension of all transactions under such 10b5-1 Trading Plan in the event that the Company, in its sole discretion, deems such suspension necessary and advisable, including suspensions necessary to comply with trading restrictions imposed in connection with any lock-up agreement required in connection with a securities issuance transaction or other similar events.</w:t>
      </w:r>
    </w:p>
    <w:p>
      <w:pPr>
        <w:spacing w:after="0" w:line="177" w:lineRule="exact"/>
        <w:rPr>
          <w:rFonts w:ascii="Times New Roman" w:cs="Times New Roman" w:eastAsia="Times New Roman" w:hAnsi="Times New Roman"/>
          <w:sz w:val="18"/>
          <w:szCs w:val="18"/>
          <w:b w:val="1"/>
          <w:bCs w:val="1"/>
          <w:color w:val="auto"/>
        </w:rPr>
      </w:pPr>
    </w:p>
    <w:p>
      <w:pPr>
        <w:ind w:left="320" w:hanging="314"/>
        <w:spacing w:after="0" w:line="259" w:lineRule="auto"/>
        <w:tabs>
          <w:tab w:leader="none" w:pos="32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None of the Company, the 10b5-1 Committee nor any of the Company’s officers, employees or other representatives shall be deemed, solely by their approval of an Insider’s 10b5-1 Trading Plan, to have represented that any 10b5-1 Trading Plan complies with the Rule or to have assumed any liability or responsibility to the Insider or any other party if such 10b5-1 Trading Plan fails to comply with the Rule.</w:t>
      </w:r>
    </w:p>
    <w:p>
      <w:pPr>
        <w:spacing w:after="0" w:line="177" w:lineRule="exact"/>
        <w:rPr>
          <w:rFonts w:ascii="Times New Roman" w:cs="Times New Roman" w:eastAsia="Times New Roman" w:hAnsi="Times New Roman"/>
          <w:sz w:val="18"/>
          <w:szCs w:val="18"/>
          <w:b w:val="1"/>
          <w:bCs w:val="1"/>
          <w:color w:val="auto"/>
        </w:rPr>
      </w:pPr>
    </w:p>
    <w:p>
      <w:pPr>
        <w:ind w:left="320" w:right="140" w:hanging="314"/>
        <w:spacing w:after="0" w:line="255" w:lineRule="auto"/>
        <w:tabs>
          <w:tab w:leader="none" w:pos="32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entering into or amending a 10b5-1 Trading Plan, the director or officer must promptly provide a copy of the 10b5-1 Trading Plan to the Company and, upon request, confirm the Company’s planned disclosure regarding the entry into or termination of a 10b5-1 Trading Plan (including the date of adoption or termination of the 10b5-1 Trading Plan, duration of the 10b5-1 Trading Plan, and aggregate number of securities to be sold or purchased under the 10b5-1 Trading Plan.</w:t>
      </w:r>
    </w:p>
    <w:p>
      <w:pPr>
        <w:spacing w:after="0" w:line="180" w:lineRule="exact"/>
        <w:rPr>
          <w:rFonts w:ascii="Times New Roman" w:cs="Times New Roman" w:eastAsia="Times New Roman" w:hAnsi="Times New Roman"/>
          <w:sz w:val="18"/>
          <w:szCs w:val="18"/>
          <w:b w:val="1"/>
          <w:bCs w:val="1"/>
          <w:color w:val="auto"/>
        </w:rPr>
      </w:pPr>
    </w:p>
    <w:p>
      <w:pPr>
        <w:ind w:left="320" w:right="280" w:hanging="314"/>
        <w:spacing w:after="0" w:line="274" w:lineRule="auto"/>
        <w:tabs>
          <w:tab w:leader="none" w:pos="32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10b5-1 Trading Plan are generally expected to have a term of no less than six (6) months nor longer than two (2) years. Multiple 10b5-1 Trading Plans with overlapping terms are not permitted.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Appendix - Insider Trading Policy - Cohu, Inc</w:t>
            </w: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50"/>
        </w:trPr>
        <w:tc>
          <w:tcPr>
            <w:tcW w:w="716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9" w:right="339" w:bottom="1440" w:gutter="0" w:footer="0" w:header="0"/>
        </w:sectPr>
      </w:pPr>
    </w:p>
    <w:bookmarkStart w:id="151" w:name="page152"/>
    <w:bookmarkEnd w:id="151"/>
    <w:p>
      <w:pPr>
        <w:spacing w:after="0"/>
        <w:tabs>
          <w:tab w:leader="none" w:pos="1060" w:val="left"/>
        </w:tabs>
        <w:rPr>
          <w:sz w:val="20"/>
          <w:szCs w:val="20"/>
          <w:color w:val="auto"/>
        </w:rPr>
      </w:pPr>
      <w:r>
        <w:rPr>
          <w:rFonts w:ascii="Times New Roman" w:cs="Times New Roman" w:eastAsia="Times New Roman" w:hAnsi="Times New Roman"/>
          <w:sz w:val="21"/>
          <w:szCs w:val="21"/>
          <w:b w:val="1"/>
          <w:bCs w:val="1"/>
          <w:u w:val="single" w:color="auto"/>
          <w:color w:val="auto"/>
        </w:rPr>
        <w:drawing>
          <wp:anchor simplePos="0" relativeHeight="251657728" behindDoc="1" locked="0" layoutInCell="0" allowOverlap="1">
            <wp:simplePos x="0" y="0"/>
            <wp:positionH relativeFrom="page">
              <wp:posOffset>6525895</wp:posOffset>
            </wp:positionH>
            <wp:positionV relativeFrom="page">
              <wp:posOffset>88900</wp:posOffset>
            </wp:positionV>
            <wp:extent cx="807720" cy="2273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9">
                      <a:clrChange>
                        <a:clrFrom>
                          <a:srgbClr val="FFFFFF"/>
                        </a:clrFrom>
                        <a:clrTo>
                          <a:srgbClr val="FFFFFF">
                            <a:alpha val="0"/>
                          </a:srgbClr>
                        </a:clrTo>
                      </a:clrChange>
                      <a:extLst>
                        <a:ext uri="{28A0092B-C50C-407E-A947-70E740481C1C}"/>
                      </a:extLst>
                    </a:blip>
                    <a:srcRect/>
                    <a:stretch>
                      <a:fillRect/>
                    </a:stretch>
                  </pic:blipFill>
                  <pic:spPr bwMode="auto">
                    <a:xfrm>
                      <a:off x="0" y="0"/>
                      <a:ext cx="807720" cy="227330"/>
                    </a:xfrm>
                    <a:prstGeom prst="rect">
                      <a:avLst/>
                    </a:prstGeom>
                    <a:noFill/>
                  </pic:spPr>
                </pic:pic>
              </a:graphicData>
            </a:graphic>
          </wp:anchor>
        </w:drawing>
        <w:t>XVIII.</w:t>
      </w:r>
      <w:r>
        <w:rPr>
          <w:sz w:val="20"/>
          <w:szCs w:val="20"/>
          <w:color w:val="auto"/>
        </w:rPr>
        <w:tab/>
      </w:r>
      <w:r>
        <w:rPr>
          <w:rFonts w:ascii="Times New Roman" w:cs="Times New Roman" w:eastAsia="Times New Roman" w:hAnsi="Times New Roman"/>
          <w:sz w:val="21"/>
          <w:szCs w:val="21"/>
          <w:b w:val="1"/>
          <w:bCs w:val="1"/>
          <w:u w:val="single" w:color="auto"/>
          <w:color w:val="auto"/>
        </w:rPr>
        <w:t>CERTIFICATION</w:t>
      </w:r>
    </w:p>
    <w:p>
      <w:pPr>
        <w:spacing w:after="0" w:line="24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The undersigned certifies that the undersigned has read, understands and agrees to comply with the Insider Trading Policy of Cohu, Inc. (the “Company”). The undersigned agrees that he/she will be subject to sanctions, including, as to employees of the Company, termination of employment, that may be imposed by the Company, in its discretion, for violation of the Company’s policy, and that the Company may give stop-transfer and other instructions to the Company’s transfer agent against the transfer of Company securities by the undersigned in a transaction that the Company considers to be in contravention of its policy.</w:t>
      </w:r>
    </w:p>
    <w:p>
      <w:pPr>
        <w:spacing w:after="0" w:line="167"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Employee or Insider:</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4050665</wp:posOffset>
            </wp:positionH>
            <wp:positionV relativeFrom="paragraph">
              <wp:posOffset>-127635</wp:posOffset>
            </wp:positionV>
            <wp:extent cx="308800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0">
                      <a:extLst>
                        <a:ext uri="{28A0092B-C50C-407E-A947-70E740481C1C}"/>
                      </a:extLst>
                    </a:blip>
                    <a:srcRect/>
                    <a:stretch>
                      <a:fillRect/>
                    </a:stretch>
                  </pic:blipFill>
                  <pic:spPr bwMode="auto">
                    <a:xfrm>
                      <a:off x="0" y="0"/>
                      <a:ext cx="3088005"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4050665</wp:posOffset>
            </wp:positionH>
            <wp:positionV relativeFrom="paragraph">
              <wp:posOffset>-127635</wp:posOffset>
            </wp:positionV>
            <wp:extent cx="308800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1">
                      <a:extLst>
                        <a:ext uri="{28A0092B-C50C-407E-A947-70E740481C1C}"/>
                      </a:extLst>
                    </a:blip>
                    <a:srcRect/>
                    <a:stretch>
                      <a:fillRect/>
                    </a:stretch>
                  </pic:blipFill>
                  <pic:spPr bwMode="auto">
                    <a:xfrm>
                      <a:off x="0" y="0"/>
                      <a:ext cx="3088005"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4050665</wp:posOffset>
            </wp:positionH>
            <wp:positionV relativeFrom="paragraph">
              <wp:posOffset>-127635</wp:posOffset>
            </wp:positionV>
            <wp:extent cx="308800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2">
                      <a:extLst>
                        <a:ext uri="{28A0092B-C50C-407E-A947-70E740481C1C}"/>
                      </a:extLst>
                    </a:blip>
                    <a:srcRect/>
                    <a:stretch>
                      <a:fillRect/>
                    </a:stretch>
                  </pic:blipFill>
                  <pic:spPr bwMode="auto">
                    <a:xfrm>
                      <a:off x="0" y="0"/>
                      <a:ext cx="3088005" cy="8255"/>
                    </a:xfrm>
                    <a:prstGeom prst="rect">
                      <a:avLst/>
                    </a:prstGeom>
                    <a:noFill/>
                  </pic:spPr>
                </pic:pic>
              </a:graphicData>
            </a:graphic>
          </wp:anchor>
        </w:drawing>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Appendix - Insider Trading Policy - Cohu, Inc</w:t>
            </w: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bl>
    <w:p>
      <w:pPr>
        <w:sectPr>
          <w:pgSz w:w="11900" w:h="16838" w:orient="portrait"/>
          <w:cols w:equalWidth="0" w:num="1">
            <w:col w:w="11240"/>
          </w:cols>
          <w:pgMar w:left="320" w:top="916" w:right="339" w:bottom="1440" w:gutter="0" w:footer="0" w:header="0"/>
        </w:sectPr>
      </w:pPr>
    </w:p>
    <w:bookmarkStart w:id="152" w:name="page153"/>
    <w:bookmarkEnd w:id="1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240" w:type="dxa"/>
            <w:vAlign w:val="bottom"/>
          </w:tcPr>
          <w:p>
            <w:pPr>
              <w:spacing w:after="0"/>
              <w:rPr>
                <w:sz w:val="20"/>
                <w:szCs w:val="20"/>
                <w:color w:val="auto"/>
              </w:rPr>
            </w:pPr>
          </w:p>
        </w:tc>
        <w:tc>
          <w:tcPr>
            <w:tcW w:w="300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95"/>
              </w:rPr>
              <w:t>Exhibit 21</w:t>
            </w:r>
          </w:p>
        </w:tc>
      </w:tr>
      <w:tr>
        <w:trPr>
          <w:trHeight w:val="424"/>
        </w:trPr>
        <w:tc>
          <w:tcPr>
            <w:tcW w:w="8240" w:type="dxa"/>
            <w:vAlign w:val="bottom"/>
          </w:tcPr>
          <w:p>
            <w:pPr>
              <w:ind w:left="4340"/>
              <w:spacing w:after="0"/>
              <w:rPr>
                <w:sz w:val="20"/>
                <w:szCs w:val="20"/>
                <w:color w:val="auto"/>
              </w:rPr>
            </w:pPr>
            <w:r>
              <w:rPr>
                <w:rFonts w:ascii="Times New Roman" w:cs="Times New Roman" w:eastAsia="Times New Roman" w:hAnsi="Times New Roman"/>
                <w:sz w:val="18"/>
                <w:szCs w:val="18"/>
                <w:b w:val="1"/>
                <w:bCs w:val="1"/>
                <w:color w:val="auto"/>
              </w:rPr>
              <w:t>SUBSIDIARIES OF COHU, INC.</w:t>
            </w:r>
          </w:p>
        </w:tc>
        <w:tc>
          <w:tcPr>
            <w:tcW w:w="3000" w:type="dxa"/>
            <w:vAlign w:val="bottom"/>
          </w:tcPr>
          <w:p>
            <w:pPr>
              <w:spacing w:after="0"/>
              <w:rPr>
                <w:sz w:val="24"/>
                <w:szCs w:val="24"/>
                <w:color w:val="auto"/>
              </w:rPr>
            </w:pPr>
          </w:p>
        </w:tc>
      </w:tr>
      <w:tr>
        <w:trPr>
          <w:trHeight w:val="617"/>
        </w:trPr>
        <w:tc>
          <w:tcPr>
            <w:tcW w:w="8240" w:type="dxa"/>
            <w:vAlign w:val="bottom"/>
          </w:tcPr>
          <w:p>
            <w:pPr>
              <w:spacing w:after="0"/>
              <w:rPr>
                <w:sz w:val="24"/>
                <w:szCs w:val="24"/>
                <w:color w:val="auto"/>
              </w:rPr>
            </w:pPr>
          </w:p>
        </w:tc>
        <w:tc>
          <w:tcPr>
            <w:tcW w:w="300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PLACE OF</w:t>
            </w:r>
          </w:p>
        </w:tc>
      </w:tr>
      <w:tr>
        <w:trPr>
          <w:trHeight w:val="212"/>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LEGAL ENTITY NAME</w:t>
            </w:r>
          </w:p>
        </w:tc>
        <w:tc>
          <w:tcPr>
            <w:tcW w:w="300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INCORPORATION</w:t>
            </w:r>
          </w:p>
        </w:tc>
      </w:tr>
      <w:tr>
        <w:trPr>
          <w:trHeight w:val="212"/>
        </w:trPr>
        <w:tc>
          <w:tcPr>
            <w:tcW w:w="8240" w:type="dxa"/>
            <w:vAlign w:val="bottom"/>
          </w:tcPr>
          <w:p>
            <w:pPr>
              <w:spacing w:after="0"/>
              <w:rPr>
                <w:sz w:val="18"/>
                <w:szCs w:val="18"/>
                <w:color w:val="auto"/>
              </w:rPr>
            </w:pPr>
          </w:p>
        </w:tc>
        <w:tc>
          <w:tcPr>
            <w:tcW w:w="3000" w:type="dxa"/>
            <w:vAlign w:val="bottom"/>
          </w:tcPr>
          <w:p>
            <w:pPr>
              <w:ind w:left="1320"/>
              <w:spacing w:after="0"/>
              <w:rPr>
                <w:sz w:val="20"/>
                <w:szCs w:val="20"/>
                <w:color w:val="auto"/>
              </w:rPr>
            </w:pPr>
            <w:r>
              <w:rPr>
                <w:rFonts w:ascii="Times New Roman" w:cs="Times New Roman" w:eastAsia="Times New Roman" w:hAnsi="Times New Roman"/>
                <w:sz w:val="18"/>
                <w:szCs w:val="18"/>
                <w:color w:val="auto"/>
                <w:w w:val="98"/>
              </w:rPr>
              <w:t>----------------------------</w:t>
            </w:r>
          </w:p>
        </w:tc>
      </w:tr>
      <w:tr>
        <w:trPr>
          <w:trHeight w:val="230"/>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Delta Design, Inc. (1)</w:t>
            </w:r>
          </w:p>
        </w:tc>
        <w:tc>
          <w:tcPr>
            <w:tcW w:w="300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Delaware</w:t>
            </w:r>
          </w:p>
        </w:tc>
      </w:tr>
      <w:tr>
        <w:trPr>
          <w:trHeight w:val="212"/>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Cohu Foreign Sales Ltd</w:t>
            </w:r>
          </w:p>
        </w:tc>
        <w:tc>
          <w:tcPr>
            <w:tcW w:w="300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Barbados</w:t>
            </w:r>
          </w:p>
        </w:tc>
      </w:tr>
      <w:tr>
        <w:trPr>
          <w:trHeight w:val="212"/>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Xcerra Corporation (4)</w:t>
            </w:r>
          </w:p>
        </w:tc>
        <w:tc>
          <w:tcPr>
            <w:tcW w:w="300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Massachusetts</w:t>
            </w:r>
          </w:p>
        </w:tc>
      </w:tr>
      <w:tr>
        <w:trPr>
          <w:trHeight w:val="212"/>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tcPr>
          <w:p>
            <w:pPr>
              <w:spacing w:after="0"/>
              <w:rPr>
                <w:sz w:val="18"/>
                <w:szCs w:val="18"/>
                <w:color w:val="auto"/>
              </w:rPr>
            </w:pPr>
          </w:p>
        </w:tc>
      </w:tr>
      <w:tr>
        <w:trPr>
          <w:trHeight w:val="212"/>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 Delta Design, Inc. owns the following subsidiaries:</w:t>
            </w:r>
          </w:p>
        </w:tc>
        <w:tc>
          <w:tcPr>
            <w:tcW w:w="3000" w:type="dxa"/>
            <w:vAlign w:val="bottom"/>
            <w:shd w:val="clear" w:color="auto" w:fill="CCEEFF"/>
          </w:tcPr>
          <w:p>
            <w:pPr>
              <w:spacing w:after="0"/>
              <w:rPr>
                <w:sz w:val="18"/>
                <w:szCs w:val="18"/>
                <w:color w:val="auto"/>
              </w:rPr>
            </w:pPr>
          </w:p>
        </w:tc>
      </w:tr>
      <w:tr>
        <w:trPr>
          <w:trHeight w:val="212"/>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Delta Design Singapore PTE LTD (2)</w:t>
            </w:r>
          </w:p>
        </w:tc>
        <w:tc>
          <w:tcPr>
            <w:tcW w:w="300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Singapore</w:t>
            </w:r>
          </w:p>
        </w:tc>
      </w:tr>
      <w:tr>
        <w:trPr>
          <w:trHeight w:val="212"/>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Cohu S.A.</w:t>
            </w:r>
          </w:p>
        </w:tc>
        <w:tc>
          <w:tcPr>
            <w:tcW w:w="300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Costa Rica</w:t>
            </w:r>
          </w:p>
        </w:tc>
      </w:tr>
      <w:tr>
        <w:trPr>
          <w:trHeight w:val="212"/>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Xcerra Corporation (Partial ownership 14.46%) (4)</w:t>
            </w:r>
          </w:p>
        </w:tc>
        <w:tc>
          <w:tcPr>
            <w:tcW w:w="300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Massachusetts</w:t>
            </w:r>
          </w:p>
        </w:tc>
      </w:tr>
      <w:tr>
        <w:trPr>
          <w:trHeight w:val="212"/>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Rosenheim Automation Systems Corporation</w:t>
            </w:r>
          </w:p>
        </w:tc>
        <w:tc>
          <w:tcPr>
            <w:tcW w:w="300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California</w:t>
            </w:r>
          </w:p>
        </w:tc>
      </w:tr>
      <w:tr>
        <w:trPr>
          <w:trHeight w:val="212"/>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Ismeca Semiconductor Holding SA (3)</w:t>
            </w:r>
          </w:p>
        </w:tc>
        <w:tc>
          <w:tcPr>
            <w:tcW w:w="300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Switzerland</w:t>
            </w:r>
          </w:p>
        </w:tc>
      </w:tr>
      <w:tr>
        <w:trPr>
          <w:trHeight w:val="212"/>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 Delta Design Singapore PTE LTD owns the following subsidiaries:</w:t>
            </w:r>
          </w:p>
        </w:tc>
        <w:tc>
          <w:tcPr>
            <w:tcW w:w="3000" w:type="dxa"/>
            <w:vAlign w:val="bottom"/>
            <w:shd w:val="clear" w:color="auto" w:fill="CCEEFF"/>
          </w:tcPr>
          <w:p>
            <w:pPr>
              <w:spacing w:after="0"/>
              <w:rPr>
                <w:sz w:val="18"/>
                <w:szCs w:val="18"/>
                <w:color w:val="auto"/>
              </w:rPr>
            </w:pPr>
          </w:p>
        </w:tc>
      </w:tr>
      <w:tr>
        <w:trPr>
          <w:trHeight w:val="212"/>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Delta Design Philippines LLC (14)</w:t>
            </w:r>
          </w:p>
        </w:tc>
        <w:tc>
          <w:tcPr>
            <w:tcW w:w="300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Delaware</w:t>
            </w:r>
          </w:p>
        </w:tc>
      </w:tr>
      <w:tr>
        <w:trPr>
          <w:trHeight w:val="212"/>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Delta Design Singapore PTE LTD, Taiwan Branch</w:t>
            </w:r>
          </w:p>
        </w:tc>
        <w:tc>
          <w:tcPr>
            <w:tcW w:w="300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Taiwan</w:t>
            </w:r>
          </w:p>
        </w:tc>
      </w:tr>
      <w:tr>
        <w:trPr>
          <w:trHeight w:val="212"/>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(3) Ismeca Semiconductor Holding SA owns the following subsidiaries:</w:t>
            </w:r>
          </w:p>
        </w:tc>
        <w:tc>
          <w:tcPr>
            <w:tcW w:w="3000" w:type="dxa"/>
            <w:vAlign w:val="bottom"/>
          </w:tcPr>
          <w:p>
            <w:pPr>
              <w:spacing w:after="0"/>
              <w:rPr>
                <w:sz w:val="18"/>
                <w:szCs w:val="18"/>
                <w:color w:val="auto"/>
              </w:rPr>
            </w:pPr>
          </w:p>
        </w:tc>
      </w:tr>
      <w:tr>
        <w:trPr>
          <w:trHeight w:val="212"/>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Ismeca Europe Semiconductor SA (5)</w:t>
            </w:r>
          </w:p>
        </w:tc>
        <w:tc>
          <w:tcPr>
            <w:tcW w:w="300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Switzerland</w:t>
            </w:r>
          </w:p>
        </w:tc>
      </w:tr>
      <w:tr>
        <w:trPr>
          <w:trHeight w:val="212"/>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Cohu Malaysia Sdn. Bhd.</w:t>
            </w:r>
          </w:p>
        </w:tc>
        <w:tc>
          <w:tcPr>
            <w:tcW w:w="300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Malaysia</w:t>
            </w:r>
          </w:p>
        </w:tc>
      </w:tr>
      <w:tr>
        <w:trPr>
          <w:trHeight w:val="212"/>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Ismeca Semiconductor (Suzhou) Co Ltd</w:t>
            </w:r>
          </w:p>
        </w:tc>
        <w:tc>
          <w:tcPr>
            <w:tcW w:w="300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China</w:t>
            </w:r>
          </w:p>
        </w:tc>
      </w:tr>
      <w:tr>
        <w:trPr>
          <w:trHeight w:val="212"/>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(4) Xcerra Corporation owns the following subsidiaries:</w:t>
            </w:r>
          </w:p>
        </w:tc>
        <w:tc>
          <w:tcPr>
            <w:tcW w:w="3000" w:type="dxa"/>
            <w:vAlign w:val="bottom"/>
          </w:tcPr>
          <w:p>
            <w:pPr>
              <w:spacing w:after="0"/>
              <w:rPr>
                <w:sz w:val="18"/>
                <w:szCs w:val="18"/>
                <w:color w:val="auto"/>
              </w:rPr>
            </w:pPr>
          </w:p>
        </w:tc>
      </w:tr>
      <w:tr>
        <w:trPr>
          <w:trHeight w:val="212"/>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LTX-Credence France S.A.S.</w:t>
            </w:r>
          </w:p>
        </w:tc>
        <w:tc>
          <w:tcPr>
            <w:tcW w:w="300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France</w:t>
            </w:r>
          </w:p>
        </w:tc>
      </w:tr>
      <w:tr>
        <w:trPr>
          <w:trHeight w:val="212"/>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LTX-Credence Italia S.r.l.</w:t>
            </w:r>
          </w:p>
        </w:tc>
        <w:tc>
          <w:tcPr>
            <w:tcW w:w="300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Italy</w:t>
            </w:r>
          </w:p>
        </w:tc>
      </w:tr>
      <w:tr>
        <w:trPr>
          <w:trHeight w:val="212"/>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LTX Asia International, Inc.</w:t>
            </w:r>
          </w:p>
        </w:tc>
        <w:tc>
          <w:tcPr>
            <w:tcW w:w="300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Delaware</w:t>
            </w:r>
          </w:p>
        </w:tc>
      </w:tr>
      <w:tr>
        <w:trPr>
          <w:trHeight w:val="212"/>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LTX-Credence Sdn BhD. (10)</w:t>
            </w:r>
          </w:p>
        </w:tc>
        <w:tc>
          <w:tcPr>
            <w:tcW w:w="300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Malaysia</w:t>
            </w:r>
          </w:p>
        </w:tc>
      </w:tr>
      <w:tr>
        <w:trPr>
          <w:trHeight w:val="212"/>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Cohu Interface Solutions LLC (FKA: Everett Charles Technologies LLC) (9)</w:t>
            </w:r>
          </w:p>
        </w:tc>
        <w:tc>
          <w:tcPr>
            <w:tcW w:w="300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Delaware</w:t>
            </w:r>
          </w:p>
        </w:tc>
      </w:tr>
      <w:tr>
        <w:trPr>
          <w:trHeight w:val="212"/>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Credence Capital Corporation</w:t>
            </w:r>
          </w:p>
        </w:tc>
        <w:tc>
          <w:tcPr>
            <w:tcW w:w="300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California</w:t>
            </w:r>
          </w:p>
        </w:tc>
      </w:tr>
      <w:tr>
        <w:trPr>
          <w:trHeight w:val="212"/>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Xcerra International Inc. (12)</w:t>
            </w:r>
          </w:p>
        </w:tc>
        <w:tc>
          <w:tcPr>
            <w:tcW w:w="300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Delaware</w:t>
            </w:r>
          </w:p>
        </w:tc>
      </w:tr>
      <w:tr>
        <w:trPr>
          <w:trHeight w:val="212"/>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Credence International Ltd. (13)</w:t>
            </w:r>
          </w:p>
        </w:tc>
        <w:tc>
          <w:tcPr>
            <w:tcW w:w="300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British Virgin Islands</w:t>
            </w:r>
          </w:p>
        </w:tc>
      </w:tr>
      <w:tr>
        <w:trPr>
          <w:trHeight w:val="212"/>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LTX-Credence KK</w:t>
            </w:r>
          </w:p>
        </w:tc>
        <w:tc>
          <w:tcPr>
            <w:tcW w:w="300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Japan</w:t>
            </w:r>
          </w:p>
        </w:tc>
      </w:tr>
      <w:tr>
        <w:trPr>
          <w:trHeight w:val="212"/>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Xcerra (Thailand) Company Limited</w:t>
            </w:r>
          </w:p>
        </w:tc>
        <w:tc>
          <w:tcPr>
            <w:tcW w:w="300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Thailand</w:t>
            </w:r>
          </w:p>
        </w:tc>
      </w:tr>
      <w:tr>
        <w:trPr>
          <w:trHeight w:val="212"/>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Credence Systems (UK) Limited (15)</w:t>
            </w:r>
          </w:p>
        </w:tc>
        <w:tc>
          <w:tcPr>
            <w:tcW w:w="300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2"/>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Cohu Semiconductor Test GmbH (FKA: Delta Design Europe GmbH) (6)</w:t>
            </w:r>
          </w:p>
        </w:tc>
        <w:tc>
          <w:tcPr>
            <w:tcW w:w="300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Germany</w:t>
            </w:r>
          </w:p>
        </w:tc>
      </w:tr>
      <w:tr>
        <w:trPr>
          <w:trHeight w:val="212"/>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 Ismeca Europe Semiconductor SA owns the following subsidiaries:</w:t>
            </w:r>
          </w:p>
        </w:tc>
        <w:tc>
          <w:tcPr>
            <w:tcW w:w="3000" w:type="dxa"/>
            <w:vAlign w:val="bottom"/>
            <w:shd w:val="clear" w:color="auto" w:fill="CCEEFF"/>
          </w:tcPr>
          <w:p>
            <w:pPr>
              <w:spacing w:after="0"/>
              <w:rPr>
                <w:sz w:val="18"/>
                <w:szCs w:val="18"/>
                <w:color w:val="auto"/>
              </w:rPr>
            </w:pPr>
          </w:p>
        </w:tc>
      </w:tr>
      <w:tr>
        <w:trPr>
          <w:trHeight w:val="212"/>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Ismeca Europe Semiconductor SA, Korean Branch</w:t>
            </w:r>
          </w:p>
        </w:tc>
        <w:tc>
          <w:tcPr>
            <w:tcW w:w="300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South Korea</w:t>
            </w:r>
          </w:p>
        </w:tc>
      </w:tr>
      <w:tr>
        <w:trPr>
          <w:trHeight w:val="212"/>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 Cohu Semiconductor Test GmbH owns the following subsidiaries:</w:t>
            </w:r>
          </w:p>
        </w:tc>
        <w:tc>
          <w:tcPr>
            <w:tcW w:w="3000" w:type="dxa"/>
            <w:vAlign w:val="bottom"/>
            <w:shd w:val="clear" w:color="auto" w:fill="CCEEFF"/>
          </w:tcPr>
          <w:p>
            <w:pPr>
              <w:spacing w:after="0"/>
              <w:rPr>
                <w:sz w:val="18"/>
                <w:szCs w:val="18"/>
                <w:color w:val="auto"/>
              </w:rPr>
            </w:pPr>
          </w:p>
        </w:tc>
      </w:tr>
      <w:tr>
        <w:trPr>
          <w:trHeight w:val="212"/>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Multitest GmbH (7)</w:t>
            </w:r>
          </w:p>
        </w:tc>
        <w:tc>
          <w:tcPr>
            <w:tcW w:w="300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Germany</w:t>
            </w:r>
          </w:p>
        </w:tc>
      </w:tr>
      <w:tr>
        <w:trPr>
          <w:trHeight w:val="212"/>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 Multitest GmbH owns the following subsidiaries:</w:t>
            </w:r>
          </w:p>
        </w:tc>
        <w:tc>
          <w:tcPr>
            <w:tcW w:w="3000" w:type="dxa"/>
            <w:vAlign w:val="bottom"/>
            <w:shd w:val="clear" w:color="auto" w:fill="CCEEFF"/>
          </w:tcPr>
          <w:p>
            <w:pPr>
              <w:spacing w:after="0"/>
              <w:rPr>
                <w:sz w:val="18"/>
                <w:szCs w:val="18"/>
                <w:color w:val="auto"/>
              </w:rPr>
            </w:pPr>
          </w:p>
        </w:tc>
      </w:tr>
      <w:tr>
        <w:trPr>
          <w:trHeight w:val="212"/>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Cohu GmbH (FKA: Rasco GmbH) (8)</w:t>
            </w:r>
          </w:p>
        </w:tc>
        <w:tc>
          <w:tcPr>
            <w:tcW w:w="300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Germany</w:t>
            </w:r>
          </w:p>
        </w:tc>
      </w:tr>
      <w:tr>
        <w:trPr>
          <w:trHeight w:val="212"/>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 Cohu GmbH owns the following subsidiaries:</w:t>
            </w:r>
          </w:p>
        </w:tc>
        <w:tc>
          <w:tcPr>
            <w:tcW w:w="3000" w:type="dxa"/>
            <w:vAlign w:val="bottom"/>
            <w:shd w:val="clear" w:color="auto" w:fill="CCEEFF"/>
          </w:tcPr>
          <w:p>
            <w:pPr>
              <w:spacing w:after="0"/>
              <w:rPr>
                <w:sz w:val="18"/>
                <w:szCs w:val="18"/>
                <w:color w:val="auto"/>
              </w:rPr>
            </w:pPr>
          </w:p>
        </w:tc>
      </w:tr>
      <w:tr>
        <w:trPr>
          <w:trHeight w:val="212"/>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Kita Manufacturing Co., LTD</w:t>
            </w:r>
          </w:p>
        </w:tc>
        <w:tc>
          <w:tcPr>
            <w:tcW w:w="300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Japan</w:t>
            </w:r>
          </w:p>
        </w:tc>
      </w:tr>
      <w:tr>
        <w:trPr>
          <w:trHeight w:val="212"/>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 Cohu Interface Solutions LLC owns the following subsidiaries:</w:t>
            </w:r>
          </w:p>
        </w:tc>
        <w:tc>
          <w:tcPr>
            <w:tcW w:w="3000" w:type="dxa"/>
            <w:vAlign w:val="bottom"/>
            <w:shd w:val="clear" w:color="auto" w:fill="CCEEFF"/>
          </w:tcPr>
          <w:p>
            <w:pPr>
              <w:spacing w:after="0"/>
              <w:rPr>
                <w:sz w:val="18"/>
                <w:szCs w:val="18"/>
                <w:color w:val="auto"/>
              </w:rPr>
            </w:pPr>
          </w:p>
        </w:tc>
      </w:tr>
      <w:tr>
        <w:trPr>
          <w:trHeight w:val="212"/>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Everett Charles Tech, Inc. (FKA: Kita USA, Inc.)</w:t>
            </w:r>
          </w:p>
        </w:tc>
        <w:tc>
          <w:tcPr>
            <w:tcW w:w="300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Massachusetts</w:t>
            </w:r>
          </w:p>
        </w:tc>
      </w:tr>
      <w:tr>
        <w:trPr>
          <w:trHeight w:val="212"/>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Equiptest Engineering Pte. Ltd.</w:t>
            </w:r>
          </w:p>
        </w:tc>
        <w:tc>
          <w:tcPr>
            <w:tcW w:w="300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Singapore</w:t>
            </w:r>
          </w:p>
        </w:tc>
      </w:tr>
      <w:tr>
        <w:trPr>
          <w:trHeight w:val="212"/>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(10) LTX-Credence Sdn BhD. owns the following subsidiaries:</w:t>
            </w:r>
          </w:p>
        </w:tc>
        <w:tc>
          <w:tcPr>
            <w:tcW w:w="3000" w:type="dxa"/>
            <w:vAlign w:val="bottom"/>
          </w:tcPr>
          <w:p>
            <w:pPr>
              <w:spacing w:after="0"/>
              <w:rPr>
                <w:sz w:val="18"/>
                <w:szCs w:val="18"/>
                <w:color w:val="auto"/>
              </w:rPr>
            </w:pPr>
          </w:p>
        </w:tc>
      </w:tr>
      <w:tr>
        <w:trPr>
          <w:trHeight w:val="212"/>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LTX Corporation Philippine Branch (11)</w:t>
            </w:r>
          </w:p>
        </w:tc>
        <w:tc>
          <w:tcPr>
            <w:tcW w:w="300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Philippines</w:t>
            </w:r>
          </w:p>
        </w:tc>
      </w:tr>
      <w:tr>
        <w:trPr>
          <w:trHeight w:val="563"/>
        </w:trPr>
        <w:tc>
          <w:tcPr>
            <w:tcW w:w="82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53" w:name="page154"/>
    <w:bookmarkEnd w:id="1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(11) LTX Corporation Philippine Branch owns the following subsidiaries:</w:t>
            </w:r>
          </w:p>
        </w:tc>
        <w:tc>
          <w:tcPr>
            <w:tcW w:w="2400" w:type="dxa"/>
            <w:vAlign w:val="bottom"/>
            <w:shd w:val="clear" w:color="auto" w:fill="CCEEFF"/>
          </w:tcPr>
          <w:p>
            <w:pPr>
              <w:spacing w:after="0"/>
              <w:rPr>
                <w:sz w:val="18"/>
                <w:szCs w:val="18"/>
                <w:color w:val="auto"/>
              </w:rPr>
            </w:pPr>
          </w:p>
        </w:tc>
      </w:tr>
      <w:tr>
        <w:trPr>
          <w:trHeight w:val="212"/>
        </w:trPr>
        <w:tc>
          <w:tcPr>
            <w:tcW w:w="320" w:type="dxa"/>
            <w:vAlign w:val="bottom"/>
          </w:tcPr>
          <w:p>
            <w:pPr>
              <w:spacing w:after="0"/>
              <w:rPr>
                <w:sz w:val="18"/>
                <w:szCs w:val="18"/>
                <w:color w:val="auto"/>
              </w:rPr>
            </w:pPr>
          </w:p>
        </w:tc>
        <w:tc>
          <w:tcPr>
            <w:tcW w:w="8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Multitest Electronic Systems (Philippines) Corporation</w:t>
            </w:r>
          </w:p>
        </w:tc>
        <w:tc>
          <w:tcPr>
            <w:tcW w:w="24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Philippines</w:t>
            </w:r>
          </w:p>
        </w:tc>
      </w:tr>
      <w:tr>
        <w:trPr>
          <w:trHeight w:val="212"/>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(12)</w:t>
            </w:r>
          </w:p>
        </w:tc>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Xcerra International Inc. owns the following subsidiaries:</w:t>
            </w:r>
          </w:p>
        </w:tc>
        <w:tc>
          <w:tcPr>
            <w:tcW w:w="2400" w:type="dxa"/>
            <w:vAlign w:val="bottom"/>
            <w:shd w:val="clear" w:color="auto" w:fill="CCEEFF"/>
          </w:tcPr>
          <w:p>
            <w:pPr>
              <w:spacing w:after="0"/>
              <w:rPr>
                <w:sz w:val="18"/>
                <w:szCs w:val="18"/>
                <w:color w:val="auto"/>
              </w:rPr>
            </w:pPr>
          </w:p>
        </w:tc>
      </w:tr>
      <w:tr>
        <w:trPr>
          <w:trHeight w:val="212"/>
        </w:trPr>
        <w:tc>
          <w:tcPr>
            <w:tcW w:w="320" w:type="dxa"/>
            <w:vAlign w:val="bottom"/>
          </w:tcPr>
          <w:p>
            <w:pPr>
              <w:spacing w:after="0"/>
              <w:rPr>
                <w:sz w:val="18"/>
                <w:szCs w:val="18"/>
                <w:color w:val="auto"/>
              </w:rPr>
            </w:pPr>
          </w:p>
        </w:tc>
        <w:tc>
          <w:tcPr>
            <w:tcW w:w="8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Credence Korea Co., Ltd.</w:t>
            </w:r>
          </w:p>
        </w:tc>
        <w:tc>
          <w:tcPr>
            <w:tcW w:w="24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South Korea</w:t>
            </w:r>
          </w:p>
        </w:tc>
      </w:tr>
      <w:tr>
        <w:trPr>
          <w:trHeight w:val="212"/>
        </w:trPr>
        <w:tc>
          <w:tcPr>
            <w:tcW w:w="320" w:type="dxa"/>
            <w:vAlign w:val="bottom"/>
            <w:shd w:val="clear" w:color="auto" w:fill="CCEEFF"/>
          </w:tcPr>
          <w:p>
            <w:pPr>
              <w:spacing w:after="0"/>
              <w:rPr>
                <w:sz w:val="18"/>
                <w:szCs w:val="18"/>
                <w:color w:val="auto"/>
              </w:rPr>
            </w:pPr>
          </w:p>
        </w:tc>
        <w:tc>
          <w:tcPr>
            <w:tcW w:w="8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Xcerra International Inc., Taiwan Branch</w:t>
            </w:r>
          </w:p>
        </w:tc>
        <w:tc>
          <w:tcPr>
            <w:tcW w:w="24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Taiwan</w:t>
            </w:r>
          </w:p>
        </w:tc>
      </w:tr>
      <w:tr>
        <w:trPr>
          <w:trHeight w:val="21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w w:val="99"/>
              </w:rPr>
              <w:t>(13)</w:t>
            </w:r>
          </w:p>
        </w:tc>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Credence International Ltd. owns the following subsidiaries:</w:t>
            </w:r>
          </w:p>
        </w:tc>
        <w:tc>
          <w:tcPr>
            <w:tcW w:w="2400" w:type="dxa"/>
            <w:vAlign w:val="bottom"/>
          </w:tcPr>
          <w:p>
            <w:pPr>
              <w:spacing w:after="0"/>
              <w:rPr>
                <w:sz w:val="18"/>
                <w:szCs w:val="18"/>
                <w:color w:val="auto"/>
              </w:rPr>
            </w:pPr>
          </w:p>
        </w:tc>
      </w:tr>
      <w:tr>
        <w:trPr>
          <w:trHeight w:val="212"/>
        </w:trPr>
        <w:tc>
          <w:tcPr>
            <w:tcW w:w="320" w:type="dxa"/>
            <w:vAlign w:val="bottom"/>
            <w:shd w:val="clear" w:color="auto" w:fill="CCEEFF"/>
          </w:tcPr>
          <w:p>
            <w:pPr>
              <w:spacing w:after="0"/>
              <w:rPr>
                <w:sz w:val="18"/>
                <w:szCs w:val="18"/>
                <w:color w:val="auto"/>
              </w:rPr>
            </w:pPr>
          </w:p>
        </w:tc>
        <w:tc>
          <w:tcPr>
            <w:tcW w:w="8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Credence Malta Limited</w:t>
            </w:r>
          </w:p>
        </w:tc>
        <w:tc>
          <w:tcPr>
            <w:tcW w:w="24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Malta</w:t>
            </w:r>
          </w:p>
        </w:tc>
      </w:tr>
      <w:tr>
        <w:trPr>
          <w:trHeight w:val="212"/>
        </w:trPr>
        <w:tc>
          <w:tcPr>
            <w:tcW w:w="320" w:type="dxa"/>
            <w:vAlign w:val="bottom"/>
          </w:tcPr>
          <w:p>
            <w:pPr>
              <w:spacing w:after="0"/>
              <w:rPr>
                <w:sz w:val="18"/>
                <w:szCs w:val="18"/>
                <w:color w:val="auto"/>
              </w:rPr>
            </w:pPr>
          </w:p>
        </w:tc>
        <w:tc>
          <w:tcPr>
            <w:tcW w:w="8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LTX-Credence Singapore Pte Ltd.</w:t>
            </w:r>
          </w:p>
        </w:tc>
        <w:tc>
          <w:tcPr>
            <w:tcW w:w="24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Singapore</w:t>
            </w:r>
          </w:p>
        </w:tc>
      </w:tr>
      <w:tr>
        <w:trPr>
          <w:trHeight w:val="212"/>
        </w:trPr>
        <w:tc>
          <w:tcPr>
            <w:tcW w:w="320" w:type="dxa"/>
            <w:vAlign w:val="bottom"/>
            <w:shd w:val="clear" w:color="auto" w:fill="CCEEFF"/>
          </w:tcPr>
          <w:p>
            <w:pPr>
              <w:spacing w:after="0"/>
              <w:rPr>
                <w:sz w:val="18"/>
                <w:szCs w:val="18"/>
                <w:color w:val="auto"/>
              </w:rPr>
            </w:pPr>
          </w:p>
        </w:tc>
        <w:tc>
          <w:tcPr>
            <w:tcW w:w="8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NPTest de Costa Rica SA.</w:t>
            </w:r>
          </w:p>
        </w:tc>
        <w:tc>
          <w:tcPr>
            <w:tcW w:w="24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Costa Rica</w:t>
            </w:r>
          </w:p>
        </w:tc>
      </w:tr>
      <w:tr>
        <w:trPr>
          <w:trHeight w:val="212"/>
        </w:trPr>
        <w:tc>
          <w:tcPr>
            <w:tcW w:w="320" w:type="dxa"/>
            <w:vAlign w:val="bottom"/>
          </w:tcPr>
          <w:p>
            <w:pPr>
              <w:spacing w:after="0"/>
              <w:rPr>
                <w:sz w:val="18"/>
                <w:szCs w:val="18"/>
                <w:color w:val="auto"/>
              </w:rPr>
            </w:pPr>
          </w:p>
        </w:tc>
        <w:tc>
          <w:tcPr>
            <w:tcW w:w="8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Cohu Semiconductor (Shenzhen) Co., Ltd (FKA: Everett Charles Technologies (Shenzhen) Co., Limited) (16)</w:t>
            </w:r>
          </w:p>
        </w:tc>
        <w:tc>
          <w:tcPr>
            <w:tcW w:w="24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China</w:t>
            </w:r>
          </w:p>
        </w:tc>
      </w:tr>
      <w:tr>
        <w:trPr>
          <w:trHeight w:val="212"/>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(14)</w:t>
            </w:r>
          </w:p>
        </w:tc>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Delta Design Philippines LLC owns the following subsidiaries:</w:t>
            </w:r>
          </w:p>
        </w:tc>
        <w:tc>
          <w:tcPr>
            <w:tcW w:w="2400" w:type="dxa"/>
            <w:vAlign w:val="bottom"/>
            <w:shd w:val="clear" w:color="auto" w:fill="CCEEFF"/>
          </w:tcPr>
          <w:p>
            <w:pPr>
              <w:spacing w:after="0"/>
              <w:rPr>
                <w:sz w:val="18"/>
                <w:szCs w:val="18"/>
                <w:color w:val="auto"/>
              </w:rPr>
            </w:pPr>
          </w:p>
        </w:tc>
      </w:tr>
      <w:tr>
        <w:trPr>
          <w:trHeight w:val="212"/>
        </w:trPr>
        <w:tc>
          <w:tcPr>
            <w:tcW w:w="320" w:type="dxa"/>
            <w:vAlign w:val="bottom"/>
          </w:tcPr>
          <w:p>
            <w:pPr>
              <w:spacing w:after="0"/>
              <w:rPr>
                <w:sz w:val="18"/>
                <w:szCs w:val="18"/>
                <w:color w:val="auto"/>
              </w:rPr>
            </w:pPr>
          </w:p>
        </w:tc>
        <w:tc>
          <w:tcPr>
            <w:tcW w:w="8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Delta Design Philippines LLC, Philippines Branch</w:t>
            </w:r>
          </w:p>
        </w:tc>
        <w:tc>
          <w:tcPr>
            <w:tcW w:w="24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Philippines</w:t>
            </w:r>
          </w:p>
        </w:tc>
      </w:tr>
      <w:tr>
        <w:trPr>
          <w:trHeight w:val="212"/>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(15)</w:t>
            </w:r>
          </w:p>
        </w:tc>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Credence Systems (UK) Limited owns the following subsidiaries:</w:t>
            </w:r>
          </w:p>
        </w:tc>
        <w:tc>
          <w:tcPr>
            <w:tcW w:w="2400" w:type="dxa"/>
            <w:vAlign w:val="bottom"/>
            <w:shd w:val="clear" w:color="auto" w:fill="CCEEFF"/>
          </w:tcPr>
          <w:p>
            <w:pPr>
              <w:spacing w:after="0"/>
              <w:rPr>
                <w:sz w:val="18"/>
                <w:szCs w:val="18"/>
                <w:color w:val="auto"/>
              </w:rPr>
            </w:pPr>
          </w:p>
        </w:tc>
      </w:tr>
      <w:tr>
        <w:trPr>
          <w:trHeight w:val="212"/>
        </w:trPr>
        <w:tc>
          <w:tcPr>
            <w:tcW w:w="320" w:type="dxa"/>
            <w:vAlign w:val="bottom"/>
          </w:tcPr>
          <w:p>
            <w:pPr>
              <w:spacing w:after="0"/>
              <w:rPr>
                <w:sz w:val="18"/>
                <w:szCs w:val="18"/>
                <w:color w:val="auto"/>
              </w:rPr>
            </w:pPr>
          </w:p>
        </w:tc>
        <w:tc>
          <w:tcPr>
            <w:tcW w:w="8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Credence Systems (UK) Limited, Belgium Branch</w:t>
            </w:r>
          </w:p>
        </w:tc>
        <w:tc>
          <w:tcPr>
            <w:tcW w:w="24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Belgium</w:t>
            </w:r>
          </w:p>
        </w:tc>
      </w:tr>
      <w:tr>
        <w:trPr>
          <w:trHeight w:val="212"/>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(16)</w:t>
            </w:r>
          </w:p>
        </w:tc>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Cohu Semiconductor (Shenzhen) Co., Ltd owns the following subsidiaries:</w:t>
            </w:r>
          </w:p>
        </w:tc>
        <w:tc>
          <w:tcPr>
            <w:tcW w:w="2400" w:type="dxa"/>
            <w:vAlign w:val="bottom"/>
            <w:shd w:val="clear" w:color="auto" w:fill="CCEEFF"/>
          </w:tcPr>
          <w:p>
            <w:pPr>
              <w:spacing w:after="0"/>
              <w:rPr>
                <w:sz w:val="18"/>
                <w:szCs w:val="18"/>
                <w:color w:val="auto"/>
              </w:rPr>
            </w:pPr>
          </w:p>
        </w:tc>
      </w:tr>
      <w:tr>
        <w:trPr>
          <w:trHeight w:val="212"/>
        </w:trPr>
        <w:tc>
          <w:tcPr>
            <w:tcW w:w="320" w:type="dxa"/>
            <w:vAlign w:val="bottom"/>
          </w:tcPr>
          <w:p>
            <w:pPr>
              <w:spacing w:after="0"/>
              <w:rPr>
                <w:sz w:val="18"/>
                <w:szCs w:val="18"/>
                <w:color w:val="auto"/>
              </w:rPr>
            </w:pPr>
          </w:p>
        </w:tc>
        <w:tc>
          <w:tcPr>
            <w:tcW w:w="8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Cohu Semiconductor (Shenzhen) Co., Ltd, Suzhou Branch Office</w:t>
            </w:r>
          </w:p>
        </w:tc>
        <w:tc>
          <w:tcPr>
            <w:tcW w:w="24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China</w:t>
            </w:r>
          </w:p>
        </w:tc>
      </w:tr>
      <w:tr>
        <w:trPr>
          <w:trHeight w:val="212"/>
        </w:trPr>
        <w:tc>
          <w:tcPr>
            <w:tcW w:w="320" w:type="dxa"/>
            <w:vAlign w:val="bottom"/>
            <w:shd w:val="clear" w:color="auto" w:fill="CCEEFF"/>
          </w:tcPr>
          <w:p>
            <w:pPr>
              <w:spacing w:after="0"/>
              <w:rPr>
                <w:sz w:val="18"/>
                <w:szCs w:val="18"/>
                <w:color w:val="auto"/>
              </w:rPr>
            </w:pPr>
          </w:p>
        </w:tc>
        <w:tc>
          <w:tcPr>
            <w:tcW w:w="8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Cohu Semiconductor (Shenzhen) Co., Ltd, Shanghai Branch Office</w:t>
            </w:r>
          </w:p>
        </w:tc>
        <w:tc>
          <w:tcPr>
            <w:tcW w:w="24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China</w:t>
            </w:r>
          </w:p>
        </w:tc>
      </w:tr>
    </w:tbl>
    <w:p>
      <w:pPr>
        <w:sectPr>
          <w:pgSz w:w="11900" w:h="16838" w:orient="portrait"/>
          <w:cols w:equalWidth="0" w:num="1">
            <w:col w:w="11240"/>
          </w:cols>
          <w:pgMar w:left="320" w:top="590" w:right="3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8"/>
          <w:szCs w:val="18"/>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17" w:lineRule="exact"/>
        <w:rPr>
          <w:sz w:val="20"/>
          <w:szCs w:val="20"/>
          <w:color w:val="auto"/>
        </w:rPr>
      </w:pPr>
    </w:p>
    <w:p>
      <w:pPr>
        <w:ind w:left="640" w:hanging="316"/>
        <w:spacing w:after="0"/>
        <w:tabs>
          <w:tab w:leader="none" w:pos="6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333-270586) of Cohu, Inc., and</w:t>
      </w:r>
    </w:p>
    <w:p>
      <w:pPr>
        <w:spacing w:after="0" w:line="243"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Nos. 333-233080, 333-207016, 333-27663, 333-40610, 333-66466, 333-97449, 333-117554, 333-132605, 333-142579, 333-160760, 333-177453, 333-186973 and 333-273711) pertaining to the 1996 and 1998 Stock Option Plans, 1996 Outside Directors Stock Option Plan, 1997 Employee Stock Purchase Plan, and 2005 Equity Incentive Plan of Cohu, Inc.;</w:t>
      </w:r>
    </w:p>
    <w:p>
      <w:pPr>
        <w:spacing w:after="0" w:line="17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of our reports dated February 17, 2026, with respect to the consolidated financial statements of Cohu, Inc. and the effectiveness of internal control over financial reporting of Cohu, Inc. included in this Annual Report (Form 10-K) of Cohu, Inc. for the year ended December 27, 2025.</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17, 2026</w:t>
      </w:r>
    </w:p>
    <w:p>
      <w:pPr>
        <w:sectPr>
          <w:pgSz w:w="11900" w:h="16838" w:orient="portrait"/>
          <w:cols w:equalWidth="0" w:num="1">
            <w:col w:w="11240"/>
          </w:cols>
          <w:pgMar w:left="320" w:top="121"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color w:val="auto"/>
        </w:rPr>
        <w:t>Exhibit 31.1</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 OF THE SARBANES-OXLEY ACT OF 2002</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Luis A. Müller, certify that:</w:t>
      </w:r>
    </w:p>
    <w:p>
      <w:pPr>
        <w:spacing w:after="0" w:line="217" w:lineRule="exact"/>
        <w:rPr>
          <w:sz w:val="20"/>
          <w:szCs w:val="20"/>
          <w:color w:val="auto"/>
        </w:rPr>
      </w:pPr>
    </w:p>
    <w:p>
      <w:pPr>
        <w:ind w:left="500" w:hanging="176"/>
        <w:spacing w:after="0"/>
        <w:tabs>
          <w:tab w:leader="none" w:pos="5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10-K of Cohu, Inc.;</w:t>
      </w:r>
    </w:p>
    <w:p>
      <w:pPr>
        <w:spacing w:after="0" w:line="217" w:lineRule="exact"/>
        <w:rPr>
          <w:rFonts w:ascii="Times New Roman" w:cs="Times New Roman" w:eastAsia="Times New Roman" w:hAnsi="Times New Roman"/>
          <w:sz w:val="18"/>
          <w:szCs w:val="18"/>
          <w:color w:val="auto"/>
        </w:rPr>
      </w:pPr>
    </w:p>
    <w:p>
      <w:pPr>
        <w:jc w:val="both"/>
        <w:ind w:right="420" w:firstLine="324"/>
        <w:spacing w:after="0" w:line="304" w:lineRule="auto"/>
        <w:tabs>
          <w:tab w:leader="none" w:pos="495"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Times New Roman" w:cs="Times New Roman" w:eastAsia="Times New Roman" w:hAnsi="Times New Roman"/>
          <w:sz w:val="17"/>
          <w:szCs w:val="17"/>
          <w:color w:val="auto"/>
        </w:rPr>
      </w:pPr>
    </w:p>
    <w:p>
      <w:pPr>
        <w:ind w:right="400" w:firstLine="324"/>
        <w:spacing w:after="0" w:line="274" w:lineRule="auto"/>
        <w:tabs>
          <w:tab w:leader="none" w:pos="49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ind w:firstLine="324"/>
        <w:spacing w:after="0" w:line="259" w:lineRule="auto"/>
        <w:tabs>
          <w:tab w:leader="none" w:pos="49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8" w:lineRule="exact"/>
        <w:rPr>
          <w:sz w:val="20"/>
          <w:szCs w:val="20"/>
          <w:color w:val="auto"/>
        </w:rPr>
      </w:pPr>
    </w:p>
    <w:p>
      <w:pPr>
        <w:ind w:left="640" w:right="40" w:hanging="316"/>
        <w:spacing w:after="0" w:line="259" w:lineRule="auto"/>
        <w:tabs>
          <w:tab w:leader="none" w:pos="6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640" w:right="20" w:hanging="316"/>
        <w:spacing w:after="0" w:line="259" w:lineRule="auto"/>
        <w:tabs>
          <w:tab w:leader="none" w:pos="6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left="640" w:right="100" w:hanging="316"/>
        <w:spacing w:after="0" w:line="274" w:lineRule="auto"/>
        <w:tabs>
          <w:tab w:leader="none" w:pos="6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Times New Roman" w:cs="Times New Roman" w:eastAsia="Times New Roman" w:hAnsi="Times New Roman"/>
          <w:sz w:val="18"/>
          <w:szCs w:val="18"/>
          <w:color w:val="auto"/>
        </w:rPr>
      </w:pPr>
    </w:p>
    <w:p>
      <w:pPr>
        <w:ind w:left="640" w:right="140" w:hanging="316"/>
        <w:spacing w:after="0" w:line="259" w:lineRule="auto"/>
        <w:tabs>
          <w:tab w:leader="none" w:pos="6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8" w:lineRule="exact"/>
        <w:rPr>
          <w:sz w:val="20"/>
          <w:szCs w:val="20"/>
          <w:color w:val="auto"/>
        </w:rPr>
      </w:pPr>
    </w:p>
    <w:p>
      <w:pPr>
        <w:ind w:right="340" w:firstLine="324"/>
        <w:spacing w:after="0" w:line="274" w:lineRule="auto"/>
        <w:tabs>
          <w:tab w:leader="none" w:pos="49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sz w:val="20"/>
          <w:szCs w:val="20"/>
          <w:color w:val="auto"/>
        </w:rPr>
      </w:pPr>
    </w:p>
    <w:p>
      <w:pPr>
        <w:ind w:left="640" w:right="40" w:hanging="316"/>
        <w:spacing w:after="0" w:line="274" w:lineRule="auto"/>
        <w:tabs>
          <w:tab w:leader="none" w:pos="6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8"/>
          <w:szCs w:val="18"/>
          <w:color w:val="auto"/>
        </w:rPr>
      </w:pPr>
    </w:p>
    <w:p>
      <w:pPr>
        <w:ind w:left="640" w:right="120" w:hanging="316"/>
        <w:spacing w:after="0" w:line="274" w:lineRule="auto"/>
        <w:tabs>
          <w:tab w:leader="none" w:pos="6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17, 2026</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Luis A. Müller</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Luis A. Müller,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00"/>
          </w:cols>
          <w:pgMar w:left="320" w:top="360" w:right="37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color w:val="auto"/>
        </w:rPr>
        <w:t>Exhibit 31.2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 OF THE SARBANES-OXLEY ACT OF 2002</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D. Jones, certify that:</w:t>
      </w:r>
    </w:p>
    <w:p>
      <w:pPr>
        <w:spacing w:after="0" w:line="217" w:lineRule="exact"/>
        <w:rPr>
          <w:sz w:val="20"/>
          <w:szCs w:val="20"/>
          <w:color w:val="auto"/>
        </w:rPr>
      </w:pPr>
    </w:p>
    <w:p>
      <w:pPr>
        <w:ind w:left="500" w:hanging="176"/>
        <w:spacing w:after="0"/>
        <w:tabs>
          <w:tab w:leader="none" w:pos="5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10-K of Cohu, Inc.;</w:t>
      </w:r>
    </w:p>
    <w:p>
      <w:pPr>
        <w:spacing w:after="0" w:line="217" w:lineRule="exact"/>
        <w:rPr>
          <w:rFonts w:ascii="Times New Roman" w:cs="Times New Roman" w:eastAsia="Times New Roman" w:hAnsi="Times New Roman"/>
          <w:sz w:val="18"/>
          <w:szCs w:val="18"/>
          <w:color w:val="auto"/>
        </w:rPr>
      </w:pPr>
    </w:p>
    <w:p>
      <w:pPr>
        <w:jc w:val="both"/>
        <w:ind w:right="420" w:firstLine="324"/>
        <w:spacing w:after="0" w:line="304" w:lineRule="auto"/>
        <w:tabs>
          <w:tab w:leader="none" w:pos="495"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Times New Roman" w:cs="Times New Roman" w:eastAsia="Times New Roman" w:hAnsi="Times New Roman"/>
          <w:sz w:val="17"/>
          <w:szCs w:val="17"/>
          <w:color w:val="auto"/>
        </w:rPr>
      </w:pPr>
    </w:p>
    <w:p>
      <w:pPr>
        <w:ind w:right="400" w:firstLine="324"/>
        <w:spacing w:after="0" w:line="274" w:lineRule="auto"/>
        <w:tabs>
          <w:tab w:leader="none" w:pos="49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ind w:firstLine="324"/>
        <w:spacing w:after="0" w:line="259" w:lineRule="auto"/>
        <w:tabs>
          <w:tab w:leader="none" w:pos="49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8" w:lineRule="exact"/>
        <w:rPr>
          <w:sz w:val="20"/>
          <w:szCs w:val="20"/>
          <w:color w:val="auto"/>
        </w:rPr>
      </w:pPr>
    </w:p>
    <w:p>
      <w:pPr>
        <w:ind w:left="480" w:right="200" w:hanging="158"/>
        <w:spacing w:after="0" w:line="259" w:lineRule="auto"/>
        <w:rPr>
          <w:sz w:val="20"/>
          <w:szCs w:val="20"/>
          <w:color w:val="auto"/>
        </w:rPr>
      </w:pPr>
      <w:r>
        <w:rPr>
          <w:rFonts w:ascii="Times New Roman" w:cs="Times New Roman" w:eastAsia="Times New Roman" w:hAnsi="Times New Roman"/>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8" w:lineRule="exact"/>
        <w:rPr>
          <w:sz w:val="20"/>
          <w:szCs w:val="20"/>
          <w:color w:val="auto"/>
        </w:rPr>
      </w:pPr>
    </w:p>
    <w:p>
      <w:pPr>
        <w:ind w:left="480" w:hanging="158"/>
        <w:spacing w:after="0" w:line="259" w:lineRule="auto"/>
        <w:rPr>
          <w:sz w:val="20"/>
          <w:szCs w:val="20"/>
          <w:color w:val="auto"/>
        </w:rPr>
      </w:pPr>
      <w:r>
        <w:rPr>
          <w:rFonts w:ascii="Times New Roman" w:cs="Times New Roman" w:eastAsia="Times New Roman" w:hAnsi="Times New Roman"/>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8" w:lineRule="exact"/>
        <w:rPr>
          <w:sz w:val="20"/>
          <w:szCs w:val="20"/>
          <w:color w:val="auto"/>
        </w:rPr>
      </w:pPr>
    </w:p>
    <w:p>
      <w:pPr>
        <w:ind w:left="480" w:right="60" w:hanging="158"/>
        <w:spacing w:after="0" w:line="274" w:lineRule="auto"/>
        <w:rPr>
          <w:sz w:val="20"/>
          <w:szCs w:val="20"/>
          <w:color w:val="auto"/>
        </w:rPr>
      </w:pPr>
      <w:r>
        <w:rPr>
          <w:rFonts w:ascii="Times New Roman" w:cs="Times New Roman" w:eastAsia="Times New Roman" w:hAnsi="Times New Roman"/>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sz w:val="20"/>
          <w:szCs w:val="20"/>
          <w:color w:val="auto"/>
        </w:rPr>
      </w:pPr>
    </w:p>
    <w:p>
      <w:pPr>
        <w:ind w:left="480" w:right="100" w:hanging="158"/>
        <w:spacing w:after="0" w:line="259" w:lineRule="auto"/>
        <w:rPr>
          <w:sz w:val="20"/>
          <w:szCs w:val="20"/>
          <w:color w:val="auto"/>
        </w:rPr>
      </w:pPr>
      <w:r>
        <w:rPr>
          <w:rFonts w:ascii="Times New Roman" w:cs="Times New Roman" w:eastAsia="Times New Roman" w:hAnsi="Times New Roman"/>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8" w:lineRule="exact"/>
        <w:rPr>
          <w:sz w:val="20"/>
          <w:szCs w:val="20"/>
          <w:color w:val="auto"/>
        </w:rPr>
      </w:pPr>
    </w:p>
    <w:p>
      <w:pPr>
        <w:ind w:right="340" w:firstLine="324"/>
        <w:spacing w:after="0" w:line="274" w:lineRule="auto"/>
        <w:tabs>
          <w:tab w:leader="none" w:pos="49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sz w:val="20"/>
          <w:szCs w:val="20"/>
          <w:color w:val="auto"/>
        </w:rPr>
      </w:pPr>
    </w:p>
    <w:p>
      <w:pPr>
        <w:ind w:left="480" w:right="20" w:hanging="158"/>
        <w:spacing w:after="0" w:line="274" w:lineRule="auto"/>
        <w:rPr>
          <w:sz w:val="20"/>
          <w:szCs w:val="20"/>
          <w:color w:val="auto"/>
        </w:rPr>
      </w:pPr>
      <w:r>
        <w:rPr>
          <w:rFonts w:ascii="Times New Roman" w:cs="Times New Roman" w:eastAsia="Times New Roman" w:hAnsi="Times New Roman"/>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sz w:val="20"/>
          <w:szCs w:val="20"/>
          <w:color w:val="auto"/>
        </w:rPr>
      </w:pPr>
    </w:p>
    <w:p>
      <w:pPr>
        <w:ind w:left="480" w:right="260" w:hanging="158"/>
        <w:spacing w:after="0" w:line="274" w:lineRule="auto"/>
        <w:rPr>
          <w:sz w:val="20"/>
          <w:szCs w:val="20"/>
          <w:color w:val="auto"/>
        </w:rPr>
      </w:pPr>
      <w:r>
        <w:rPr>
          <w:rFonts w:ascii="Times New Roman" w:cs="Times New Roman" w:eastAsia="Times New Roman" w:hAnsi="Times New Roman"/>
          <w:sz w:val="18"/>
          <w:szCs w:val="18"/>
          <w:color w:val="auto"/>
        </w:rPr>
        <w:t>b)any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17, 2026</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Jeffrey D. Jones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D. Jones,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Finance and Chief Financial Officer</w:t>
      </w:r>
    </w:p>
    <w:p>
      <w:pPr>
        <w:sectPr>
          <w:pgSz w:w="11900" w:h="16838" w:orient="portrait"/>
          <w:cols w:equalWidth="0" w:num="1">
            <w:col w:w="11200"/>
          </w:cols>
          <w:pgMar w:left="320" w:top="360" w:right="37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color w:val="auto"/>
        </w:rPr>
        <w:t>Exhibit 32.1</w:t>
      </w:r>
    </w:p>
    <w:p>
      <w:pPr>
        <w:spacing w:after="0" w:line="200" w:lineRule="exact"/>
        <w:rPr>
          <w:sz w:val="20"/>
          <w:szCs w:val="20"/>
          <w:color w:val="auto"/>
        </w:rPr>
      </w:pPr>
    </w:p>
    <w:p>
      <w:pPr>
        <w:spacing w:after="0" w:line="227" w:lineRule="exact"/>
        <w:rPr>
          <w:sz w:val="20"/>
          <w:szCs w:val="20"/>
          <w:color w:val="auto"/>
        </w:rPr>
      </w:pPr>
    </w:p>
    <w:p>
      <w:pPr>
        <w:ind w:right="3360"/>
        <w:spacing w:after="0" w:line="276" w:lineRule="auto"/>
        <w:rPr>
          <w:sz w:val="20"/>
          <w:szCs w:val="20"/>
          <w:color w:val="auto"/>
        </w:rPr>
      </w:pPr>
      <w:r>
        <w:rPr>
          <w:rFonts w:ascii="Times New Roman" w:cs="Times New Roman" w:eastAsia="Times New Roman" w:hAnsi="Times New Roman"/>
          <w:sz w:val="18"/>
          <w:szCs w:val="18"/>
          <w:b w:val="1"/>
          <w:bCs w:val="1"/>
          <w:color w:val="auto"/>
        </w:rPr>
        <w:t>CERTIFICATION PURSUANT TO SECTION 906 OF THE SARBANES-OXLEY ACT OF 2002 (18 U.S.C. SECTION 1350)</w:t>
      </w:r>
    </w:p>
    <w:p>
      <w:pPr>
        <w:spacing w:after="0" w:line="16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In connection with the accompanying Annual Report of Cohu, Inc. (the "Company") on Form 10-K for the fiscal year ended December 27, 2025 (the "Report"), I, Luis A. Müller, President and Chief Executive Officer of the Company, certify, pursuant to 18 U.S.C. Section 1350, as adopted pursuant to Section 906 of the Sarbanes-Oxley Act of 2002, that, based on my knowledge:</w:t>
      </w:r>
    </w:p>
    <w:p>
      <w:pPr>
        <w:spacing w:after="0" w:line="178" w:lineRule="exact"/>
        <w:rPr>
          <w:sz w:val="20"/>
          <w:szCs w:val="20"/>
          <w:color w:val="auto"/>
        </w:rPr>
      </w:pPr>
    </w:p>
    <w:p>
      <w:pPr>
        <w:ind w:left="260" w:hanging="254"/>
        <w:spacing w:after="0"/>
        <w:tabs>
          <w:tab w:leader="none" w:pos="2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7" w:lineRule="exact"/>
        <w:rPr>
          <w:rFonts w:ascii="Times New Roman" w:cs="Times New Roman" w:eastAsia="Times New Roman" w:hAnsi="Times New Roman"/>
          <w:sz w:val="18"/>
          <w:szCs w:val="18"/>
          <w:color w:val="auto"/>
        </w:rPr>
      </w:pPr>
    </w:p>
    <w:p>
      <w:pPr>
        <w:ind w:right="220" w:firstLine="6"/>
        <w:spacing w:after="0" w:line="491" w:lineRule="auto"/>
        <w:tabs>
          <w:tab w:leader="none" w:pos="25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Dated: February 17, 2026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Luis A. Müller</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Luis A. Müller,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0720"/>
          </w:cols>
          <w:pgMar w:left="320" w:top="360" w:right="85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color w:val="auto"/>
        </w:rPr>
        <w:t>Exhibit 32.2</w:t>
      </w:r>
    </w:p>
    <w:p>
      <w:pPr>
        <w:spacing w:after="0" w:line="200" w:lineRule="exact"/>
        <w:rPr>
          <w:sz w:val="20"/>
          <w:szCs w:val="20"/>
          <w:color w:val="auto"/>
        </w:rPr>
      </w:pPr>
    </w:p>
    <w:p>
      <w:pPr>
        <w:spacing w:after="0" w:line="227" w:lineRule="exact"/>
        <w:rPr>
          <w:sz w:val="20"/>
          <w:szCs w:val="20"/>
          <w:color w:val="auto"/>
        </w:rPr>
      </w:pPr>
    </w:p>
    <w:p>
      <w:pPr>
        <w:ind w:right="3540"/>
        <w:spacing w:after="0" w:line="276" w:lineRule="auto"/>
        <w:rPr>
          <w:sz w:val="20"/>
          <w:szCs w:val="20"/>
          <w:color w:val="auto"/>
        </w:rPr>
      </w:pPr>
      <w:r>
        <w:rPr>
          <w:rFonts w:ascii="Times New Roman" w:cs="Times New Roman" w:eastAsia="Times New Roman" w:hAnsi="Times New Roman"/>
          <w:sz w:val="18"/>
          <w:szCs w:val="18"/>
          <w:b w:val="1"/>
          <w:bCs w:val="1"/>
          <w:color w:val="auto"/>
        </w:rPr>
        <w:t>CERTIFICATION PURSUANT TO SECTION 906 OF THE SARBANES-OXLEY ACT OF 2002 (18 U.S.C. SECTION 1350)</w:t>
      </w:r>
    </w:p>
    <w:p>
      <w:pPr>
        <w:spacing w:after="0" w:line="16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In connection with the accompanying Annual Report of Cohu, Inc. (the "Company") on Form 10-K for the fiscal year ended December 27, 2025 (the "Report"), I, Jeffrey D. Jones, Vice President Finance and Chief Financial Officer of the Company, certify, pursuant to 18 U.S.C. Section 1350, as adopted pursuant to Section 906 of the Sarbanes-Oxley Act of 2002, that, based on my knowledge:</w:t>
      </w:r>
    </w:p>
    <w:p>
      <w:pPr>
        <w:spacing w:after="0" w:line="178" w:lineRule="exact"/>
        <w:rPr>
          <w:sz w:val="20"/>
          <w:szCs w:val="20"/>
          <w:color w:val="auto"/>
        </w:rPr>
      </w:pPr>
    </w:p>
    <w:p>
      <w:pPr>
        <w:ind w:left="260" w:hanging="254"/>
        <w:spacing w:after="0"/>
        <w:tabs>
          <w:tab w:leader="none" w:pos="2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7" w:lineRule="exact"/>
        <w:rPr>
          <w:rFonts w:ascii="Times New Roman" w:cs="Times New Roman" w:eastAsia="Times New Roman" w:hAnsi="Times New Roman"/>
          <w:sz w:val="18"/>
          <w:szCs w:val="18"/>
          <w:color w:val="auto"/>
        </w:rPr>
      </w:pPr>
    </w:p>
    <w:p>
      <w:pPr>
        <w:ind w:right="400" w:firstLine="6"/>
        <w:spacing w:after="0" w:line="491" w:lineRule="auto"/>
        <w:tabs>
          <w:tab w:leader="none" w:pos="25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Dated: February 17, 2026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Jeffrey D. Jones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D. Jones,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Finance and Chief Financial Officer</w:t>
      </w:r>
    </w:p>
    <w:sectPr>
      <w:pgSz w:w="11900" w:h="16838" w:orient="portrait"/>
      <w:cols w:equalWidth="0" w:num="1">
        <w:col w:w="10900"/>
      </w:cols>
      <w:pgMar w:left="320" w:top="121"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AE35EB"/>
    <w:multiLevelType w:val="hybridMultilevel"/>
    <w:lvl w:ilvl="0">
      <w:lvlJc w:val="left"/>
      <w:lvlText w:val="☑"/>
      <w:numFmt w:val="bullet"/>
      <w:start w:val="1"/>
    </w:lvl>
  </w:abstractNum>
  <w:abstractNum w:abstractNumId="1">
    <w:nsid w:val="579BE4F1"/>
    <w:multiLevelType w:val="hybridMultilevel"/>
    <w:lvl w:ilvl="0">
      <w:lvlJc w:val="left"/>
      <w:lvlText w:val="☐"/>
      <w:numFmt w:val="bullet"/>
      <w:start w:val="1"/>
    </w:lvl>
  </w:abstractNum>
  <w:abstractNum w:abstractNumId="2">
    <w:nsid w:val="310C50B3"/>
    <w:multiLevelType w:val="hybridMultilevel"/>
    <w:lvl w:ilvl="0">
      <w:lvlJc w:val="left"/>
      <w:lvlText w:val="(%1)"/>
      <w:numFmt w:val="decimal"/>
      <w:start w:val="1"/>
    </w:lvl>
  </w:abstractNum>
  <w:abstractNum w:abstractNumId="3">
    <w:nsid w:val="5FF87E05"/>
    <w:multiLevelType w:val="hybridMultilevel"/>
    <w:lvl w:ilvl="0">
      <w:lvlJc w:val="left"/>
      <w:lvlText w:val="●"/>
      <w:numFmt w:val="bullet"/>
      <w:start w:val="1"/>
    </w:lvl>
  </w:abstractNum>
  <w:abstractNum w:abstractNumId="4">
    <w:nsid w:val="2F305DEF"/>
    <w:multiLevelType w:val="hybridMultilevel"/>
    <w:lvl w:ilvl="0">
      <w:lvlJc w:val="left"/>
      <w:lvlText w:val="●"/>
      <w:numFmt w:val="bullet"/>
      <w:start w:val="1"/>
    </w:lvl>
  </w:abstractNum>
  <w:abstractNum w:abstractNumId="5">
    <w:nsid w:val="25A70BF7"/>
    <w:multiLevelType w:val="hybridMultilevel"/>
    <w:lvl w:ilvl="0">
      <w:lvlJc w:val="left"/>
      <w:lvlText w:val="●"/>
      <w:numFmt w:val="bullet"/>
      <w:start w:val="1"/>
    </w:lvl>
  </w:abstractNum>
  <w:abstractNum w:abstractNumId="6">
    <w:nsid w:val="1DBABF00"/>
    <w:multiLevelType w:val="hybridMultilevel"/>
    <w:lvl w:ilvl="0">
      <w:lvlJc w:val="left"/>
      <w:lvlText w:val="●"/>
      <w:numFmt w:val="bullet"/>
      <w:start w:val="1"/>
    </w:lvl>
  </w:abstractNum>
  <w:abstractNum w:abstractNumId="7">
    <w:nsid w:val="4AD084E9"/>
    <w:multiLevelType w:val="hybridMultilevel"/>
    <w:lvl w:ilvl="0">
      <w:lvlJc w:val="left"/>
      <w:lvlText w:val="(%1)"/>
      <w:numFmt w:val="lowerLetter"/>
      <w:start w:val="1"/>
    </w:lvl>
  </w:abstractNum>
  <w:abstractNum w:abstractNumId="8">
    <w:nsid w:val="1F48EAA1"/>
    <w:multiLevelType w:val="hybridMultilevel"/>
    <w:lvl w:ilvl="0">
      <w:lvlJc w:val="left"/>
      <w:lvlText w:val="●"/>
      <w:numFmt w:val="bullet"/>
      <w:start w:val="1"/>
    </w:lvl>
  </w:abstractNum>
  <w:abstractNum w:abstractNumId="9">
    <w:nsid w:val="1381823A"/>
    <w:multiLevelType w:val="hybridMultilevel"/>
    <w:lvl w:ilvl="0">
      <w:lvlJc w:val="left"/>
      <w:lvlText w:val="(%1)"/>
      <w:numFmt w:val="decimal"/>
      <w:start w:val="1"/>
    </w:lvl>
  </w:abstractNum>
  <w:abstractNum w:abstractNumId="10">
    <w:nsid w:val="5DB70AE5"/>
    <w:multiLevelType w:val="hybridMultilevel"/>
    <w:lvl w:ilvl="0">
      <w:lvlJc w:val="left"/>
      <w:lvlText w:val="(%1)"/>
      <w:numFmt w:val="lowerLetter"/>
      <w:start w:val="1"/>
    </w:lvl>
    <w:lvl w:ilvl="1">
      <w:lvlJc w:val="left"/>
      <w:lvlText w:val="(%2)"/>
      <w:numFmt w:val="decimal"/>
      <w:start w:val="1"/>
    </w:lvl>
  </w:abstractNum>
  <w:abstractNum w:abstractNumId="11">
    <w:nsid w:val="100F8FCA"/>
    <w:multiLevelType w:val="hybridMultilevel"/>
    <w:lvl w:ilvl="0">
      <w:lvlJc w:val="left"/>
      <w:lvlText w:val="(%1)"/>
      <w:numFmt w:val="decimal"/>
      <w:start w:val="1"/>
    </w:lvl>
  </w:abstractNum>
  <w:abstractNum w:abstractNumId="12">
    <w:nsid w:val="6590700B"/>
    <w:multiLevelType w:val="hybridMultilevel"/>
    <w:lvl w:ilvl="0">
      <w:lvlJc w:val="left"/>
      <w:lvlText w:val="%1."/>
      <w:numFmt w:val="decimal"/>
      <w:start w:val="1"/>
    </w:lvl>
  </w:abstractNum>
  <w:abstractNum w:abstractNumId="13">
    <w:nsid w:val="15014ACB"/>
    <w:multiLevelType w:val="hybridMultilevel"/>
    <w:lvl w:ilvl="0">
      <w:lvlJc w:val="left"/>
      <w:lvlText w:val="%1."/>
      <w:numFmt w:val="decimal"/>
      <w:start w:val="2"/>
    </w:lvl>
  </w:abstractNum>
  <w:abstractNum w:abstractNumId="14">
    <w:nsid w:val="5F5E7FD0"/>
    <w:multiLevelType w:val="hybridMultilevel"/>
    <w:lvl w:ilvl="0">
      <w:lvlJc w:val="left"/>
      <w:lvlText w:val="%1."/>
      <w:numFmt w:val="decimal"/>
      <w:start w:val="3"/>
    </w:lvl>
  </w:abstractNum>
  <w:abstractNum w:abstractNumId="15">
    <w:nsid w:val="98A3148"/>
    <w:multiLevelType w:val="hybridMultilevel"/>
    <w:lvl w:ilvl="0">
      <w:lvlJc w:val="left"/>
      <w:lvlText w:val="%1."/>
      <w:numFmt w:val="decimal"/>
      <w:start w:val="4"/>
    </w:lvl>
  </w:abstractNum>
  <w:abstractNum w:abstractNumId="16">
    <w:nsid w:val="799D0247"/>
    <w:multiLevelType w:val="hybridMultilevel"/>
    <w:lvl w:ilvl="0">
      <w:lvlJc w:val="left"/>
      <w:lvlText w:val="%1."/>
      <w:numFmt w:val="decimal"/>
      <w:start w:val="5"/>
    </w:lvl>
  </w:abstractNum>
  <w:abstractNum w:abstractNumId="17">
    <w:nsid w:val="6B94764"/>
    <w:multiLevelType w:val="hybridMultilevel"/>
    <w:lvl w:ilvl="0">
      <w:lvlJc w:val="left"/>
      <w:lvlText w:val="(%1)"/>
      <w:numFmt w:val="decimal"/>
      <w:start w:val="1"/>
    </w:lvl>
  </w:abstractNum>
  <w:abstractNum w:abstractNumId="18">
    <w:nsid w:val="42C296BD"/>
    <w:multiLevelType w:val="hybridMultilevel"/>
    <w:lvl w:ilvl="0">
      <w:lvlJc w:val="left"/>
      <w:lvlText w:val="%1."/>
      <w:numFmt w:val="decimal"/>
      <w:start w:val="6"/>
    </w:lvl>
  </w:abstractNum>
  <w:abstractNum w:abstractNumId="19">
    <w:nsid w:val="168E121F"/>
    <w:multiLevelType w:val="hybridMultilevel"/>
    <w:lvl w:ilvl="0">
      <w:lvlJc w:val="left"/>
      <w:lvlText w:val="%1."/>
      <w:numFmt w:val="decimal"/>
      <w:start w:val="7"/>
    </w:lvl>
  </w:abstractNum>
  <w:abstractNum w:abstractNumId="20">
    <w:nsid w:val="1EBA5D23"/>
    <w:multiLevelType w:val="hybridMultilevel"/>
    <w:lvl w:ilvl="0">
      <w:lvlJc w:val="left"/>
      <w:lvlText w:val="%1."/>
      <w:numFmt w:val="decimal"/>
      <w:start w:val="8"/>
    </w:lvl>
  </w:abstractNum>
  <w:abstractNum w:abstractNumId="21">
    <w:nsid w:val="661E3F1E"/>
    <w:multiLevelType w:val="hybridMultilevel"/>
    <w:lvl w:ilvl="0">
      <w:lvlJc w:val="left"/>
      <w:lvlText w:val="%1."/>
      <w:numFmt w:val="decimal"/>
      <w:start w:val="9"/>
    </w:lvl>
  </w:abstractNum>
  <w:abstractNum w:abstractNumId="22">
    <w:nsid w:val="5DC79EA8"/>
    <w:multiLevelType w:val="hybridMultilevel"/>
    <w:lvl w:ilvl="0">
      <w:lvlJc w:val="left"/>
      <w:lvlText w:val="•"/>
      <w:numFmt w:val="bullet"/>
      <w:start w:val="1"/>
    </w:lvl>
  </w:abstractNum>
  <w:abstractNum w:abstractNumId="23">
    <w:nsid w:val="540A471C"/>
    <w:multiLevelType w:val="hybridMultilevel"/>
    <w:lvl w:ilvl="0">
      <w:lvlJc w:val="left"/>
      <w:lvlText w:val="%1."/>
      <w:numFmt w:val="decimal"/>
      <w:start w:val="11"/>
    </w:lvl>
  </w:abstractNum>
  <w:abstractNum w:abstractNumId="24">
    <w:nsid w:val="7BD3EE7B"/>
    <w:multiLevelType w:val="hybridMultilevel"/>
    <w:lvl w:ilvl="0">
      <w:lvlJc w:val="left"/>
      <w:lvlText w:val="%1."/>
      <w:numFmt w:val="decimal"/>
      <w:start w:val="12"/>
    </w:lvl>
  </w:abstractNum>
  <w:abstractNum w:abstractNumId="25">
    <w:nsid w:val="51D9C564"/>
    <w:multiLevelType w:val="hybridMultilevel"/>
    <w:lvl w:ilvl="0">
      <w:lvlJc w:val="left"/>
      <w:lvlText w:val="(%1)"/>
      <w:numFmt w:val="decimal"/>
      <w:start w:val="1"/>
    </w:lvl>
  </w:abstractNum>
  <w:abstractNum w:abstractNumId="26">
    <w:nsid w:val="613EFDC5"/>
    <w:multiLevelType w:val="hybridMultilevel"/>
    <w:lvl w:ilvl="0">
      <w:lvlJc w:val="left"/>
      <w:lvlText w:val="(%1)"/>
      <w:numFmt w:val="decimal"/>
      <w:start w:val="1"/>
    </w:lvl>
  </w:abstractNum>
  <w:abstractNum w:abstractNumId="27">
    <w:nsid w:val="BF72B14"/>
    <w:multiLevelType w:val="hybridMultilevel"/>
    <w:lvl w:ilvl="0">
      <w:lvlJc w:val="left"/>
      <w:lvlText w:val="%1."/>
      <w:numFmt w:val="decimal"/>
      <w:start w:val="13"/>
    </w:lvl>
  </w:abstractNum>
  <w:abstractNum w:abstractNumId="28">
    <w:nsid w:val="11447B73"/>
    <w:multiLevelType w:val="hybridMultilevel"/>
    <w:lvl w:ilvl="0">
      <w:lvlJc w:val="left"/>
      <w:lvlText w:val="%1."/>
      <w:numFmt w:val="decimal"/>
      <w:start w:val="15"/>
    </w:lvl>
  </w:abstractNum>
  <w:abstractNum w:abstractNumId="29">
    <w:nsid w:val="42963E5A"/>
    <w:multiLevelType w:val="hybridMultilevel"/>
    <w:lvl w:ilvl="0">
      <w:lvlJc w:val="left"/>
      <w:lvlText w:val="%1."/>
      <w:numFmt w:val="decimal"/>
      <w:start w:val="16"/>
    </w:lvl>
  </w:abstractNum>
  <w:abstractNum w:abstractNumId="30">
    <w:nsid w:val="A0382C5"/>
    <w:multiLevelType w:val="hybridMultilevel"/>
    <w:lvl w:ilvl="0">
      <w:lvlJc w:val="left"/>
      <w:lvlText w:val="%1"/>
      <w:numFmt w:val="decimal"/>
      <w:start w:val="19"/>
    </w:lvl>
  </w:abstractNum>
  <w:abstractNum w:abstractNumId="31">
    <w:nsid w:val="8F2B15E"/>
    <w:multiLevelType w:val="hybridMultilevel"/>
    <w:lvl w:ilvl="0">
      <w:lvlJc w:val="left"/>
      <w:lvlText w:val="%1"/>
      <w:numFmt w:val="decimal"/>
      <w:start w:val="21"/>
    </w:lvl>
  </w:abstractNum>
  <w:abstractNum w:abstractNumId="32">
    <w:nsid w:val="1A32234B"/>
    <w:multiLevelType w:val="hybridMultilevel"/>
    <w:lvl w:ilvl="0">
      <w:lvlJc w:val="left"/>
      <w:lvlText w:val="%1"/>
      <w:numFmt w:val="decimal"/>
      <w:start w:val="23"/>
    </w:lvl>
  </w:abstractNum>
  <w:abstractNum w:abstractNumId="33">
    <w:nsid w:val="3B0FD379"/>
    <w:multiLevelType w:val="hybridMultilevel"/>
    <w:lvl w:ilvl="0">
      <w:lvlJc w:val="left"/>
      <w:lvlText w:val="%1"/>
      <w:numFmt w:val="decimal"/>
      <w:start w:val="97"/>
    </w:lvl>
  </w:abstractNum>
  <w:abstractNum w:abstractNumId="34">
    <w:nsid w:val="68EB2F63"/>
    <w:multiLevelType w:val="hybridMultilevel"/>
    <w:lvl w:ilvl="0">
      <w:lvlJc w:val="left"/>
      <w:lvlText w:val="%1"/>
      <w:numFmt w:val="decimal"/>
      <w:start w:val="104"/>
    </w:lvl>
    <w:lvl w:ilvl="1">
      <w:lvlJc w:val="left"/>
      <w:lvlText w:val="*"/>
      <w:numFmt w:val="bullet"/>
      <w:start w:val="1"/>
    </w:lvl>
  </w:abstractNum>
  <w:abstractNum w:abstractNumId="35">
    <w:nsid w:val="4962813B"/>
    <w:multiLevelType w:val="hybridMultilevel"/>
    <w:lvl w:ilvl="0">
      <w:lvlJc w:val="left"/>
      <w:lvlText w:val="%1"/>
      <w:numFmt w:val="decimal"/>
      <w:start w:val="1"/>
    </w:lvl>
    <w:lvl w:ilvl="1">
      <w:lvlJc w:val="left"/>
      <w:lvlText w:val="**"/>
      <w:numFmt w:val="bullet"/>
      <w:start w:val="1"/>
    </w:lvl>
  </w:abstractNum>
  <w:abstractNum w:abstractNumId="36">
    <w:nsid w:val="60B6DF70"/>
    <w:multiLevelType w:val="hybridMultilevel"/>
    <w:lvl w:ilvl="0">
      <w:lvlJc w:val="left"/>
      <w:lvlText w:val="(%1)"/>
      <w:numFmt w:val="decimal"/>
      <w:start w:val="1"/>
    </w:lvl>
  </w:abstractNum>
  <w:abstractNum w:abstractNumId="37">
    <w:nsid w:val="6A5EE64"/>
    <w:multiLevelType w:val="hybridMultilevel"/>
    <w:lvl w:ilvl="0">
      <w:lvlJc w:val="left"/>
      <w:lvlText w:val="(%1)"/>
      <w:numFmt w:val="decimal"/>
      <w:start w:val="2"/>
    </w:lvl>
  </w:abstractNum>
  <w:abstractNum w:abstractNumId="38">
    <w:nsid w:val="14330624"/>
    <w:multiLevelType w:val="hybridMultilevel"/>
    <w:lvl w:ilvl="0">
      <w:lvlJc w:val="left"/>
      <w:lvlText w:val="%1."/>
      <w:numFmt w:val="decimal"/>
      <w:start w:val="1"/>
    </w:lvl>
  </w:abstractNum>
  <w:abstractNum w:abstractNumId="39">
    <w:nsid w:val="7FFFCA11"/>
    <w:multiLevelType w:val="hybridMultilevel"/>
    <w:lvl w:ilvl="0">
      <w:lvlJc w:val="left"/>
      <w:lvlText w:val="(%1)"/>
      <w:numFmt w:val="decimal"/>
      <w:start w:val="2"/>
    </w:lvl>
  </w:abstractNum>
  <w:abstractNum w:abstractNumId="40">
    <w:nsid w:val="1A27709E"/>
    <w:multiLevelType w:val="hybridMultilevel"/>
    <w:lvl w:ilvl="0">
      <w:lvlJc w:val="left"/>
      <w:lvlText w:val="%1."/>
      <w:numFmt w:val="decimal"/>
      <w:start w:val="1"/>
    </w:lvl>
  </w:abstractNum>
  <w:abstractNum w:abstractNumId="41">
    <w:nsid w:val="71EA1109"/>
    <w:multiLevelType w:val="hybridMultilevel"/>
    <w:lvl w:ilvl="0">
      <w:lvlJc w:val="left"/>
      <w:lvlText w:val="%1."/>
      <w:numFmt w:val="decimal"/>
      <w:start w:val="3"/>
    </w:lvl>
  </w:abstractNum>
  <w:abstractNum w:abstractNumId="42">
    <w:nsid w:val="100F59DC"/>
    <w:multiLevelType w:val="hybridMultilevel"/>
    <w:lvl w:ilvl="0">
      <w:lvlJc w:val="left"/>
      <w:lvlText w:val="%1."/>
      <w:numFmt w:val="decimal"/>
      <w:start w:val="4"/>
    </w:lvl>
  </w:abstractNum>
  <w:abstractNum w:abstractNumId="43">
    <w:nsid w:val="7FB7E0AA"/>
    <w:multiLevelType w:val="hybridMultilevel"/>
    <w:lvl w:ilvl="0">
      <w:lvlJc w:val="left"/>
      <w:lvlText w:val="%1."/>
      <w:numFmt w:val="decimal"/>
      <w:start w:val="3"/>
    </w:lvl>
  </w:abstractNum>
  <w:abstractNum w:abstractNumId="44">
    <w:nsid w:val="6EB5BD4"/>
    <w:multiLevelType w:val="hybridMultilevel"/>
    <w:lvl w:ilvl="0">
      <w:lvlJc w:val="left"/>
      <w:lvlText w:val="%1."/>
      <w:numFmt w:val="decimal"/>
      <w:start w:val="4"/>
    </w:lvl>
  </w:abstractNum>
  <w:abstractNum w:abstractNumId="45">
    <w:nsid w:val="6F6DD9AC"/>
    <w:multiLevelType w:val="hybridMultilevel"/>
    <w:lvl w:ilvl="0">
      <w:lvlJc w:val="left"/>
      <w:lvlText w:val="%1."/>
      <w:numFmt w:val="decimal"/>
      <w:start w:val="5"/>
    </w:lvl>
  </w:abstractNum>
  <w:abstractNum w:abstractNumId="46">
    <w:nsid w:val="94211F2"/>
    <w:multiLevelType w:val="hybridMultilevel"/>
    <w:lvl w:ilvl="0">
      <w:lvlJc w:val="left"/>
      <w:lvlText w:val="%1."/>
      <w:numFmt w:val="decimal"/>
      <w:start w:val="5"/>
    </w:lvl>
  </w:abstractNum>
  <w:abstractNum w:abstractNumId="47">
    <w:nsid w:val="885E1B"/>
    <w:multiLevelType w:val="hybridMultilevel"/>
    <w:lvl w:ilvl="0">
      <w:lvlJc w:val="left"/>
      <w:lvlText w:val="%1."/>
      <w:numFmt w:val="decimal"/>
      <w:start w:val="31"/>
    </w:lvl>
  </w:abstractNum>
  <w:abstractNum w:abstractNumId="48">
    <w:nsid w:val="76272110"/>
    <w:multiLevelType w:val="hybridMultilevel"/>
    <w:lvl w:ilvl="0">
      <w:lvlJc w:val="left"/>
      <w:lvlText w:val="%1."/>
      <w:numFmt w:val="decimal"/>
      <w:start w:val="7"/>
    </w:lvl>
  </w:abstractNum>
  <w:abstractNum w:abstractNumId="49">
    <w:nsid w:val="4C04A8AF"/>
    <w:multiLevelType w:val="hybridMultilevel"/>
    <w:lvl w:ilvl="0">
      <w:lvlJc w:val="left"/>
      <w:lvlText w:val="%1."/>
      <w:numFmt w:val="decimal"/>
      <w:start w:val="7"/>
    </w:lvl>
  </w:abstractNum>
  <w:abstractNum w:abstractNumId="50">
    <w:nsid w:val="1716703B"/>
    <w:multiLevelType w:val="hybridMultilevel"/>
    <w:lvl w:ilvl="0">
      <w:lvlJc w:val="left"/>
      <w:lvlText w:val="(%1)"/>
      <w:numFmt w:val="lowerRoman"/>
      <w:start w:val="2"/>
    </w:lvl>
  </w:abstractNum>
  <w:abstractNum w:abstractNumId="51">
    <w:nsid w:val="14E17E33"/>
    <w:multiLevelType w:val="hybridMultilevel"/>
    <w:lvl w:ilvl="0">
      <w:lvlJc w:val="left"/>
      <w:lvlText w:val="%1."/>
      <w:numFmt w:val="decimal"/>
      <w:start w:val="8"/>
    </w:lvl>
  </w:abstractNum>
  <w:abstractNum w:abstractNumId="52">
    <w:nsid w:val="3222E7CD"/>
    <w:multiLevelType w:val="hybridMultilevel"/>
    <w:lvl w:ilvl="0">
      <w:lvlJc w:val="left"/>
      <w:lvlText w:val="%1."/>
      <w:numFmt w:val="decimal"/>
      <w:start w:val="8"/>
    </w:lvl>
  </w:abstractNum>
  <w:abstractNum w:abstractNumId="53">
    <w:nsid w:val="74DE0EE3"/>
    <w:multiLevelType w:val="hybridMultilevel"/>
    <w:lvl w:ilvl="0">
      <w:lvlJc w:val="left"/>
      <w:lvlText w:val="%1."/>
      <w:numFmt w:val="decimal"/>
      <w:start w:val="10"/>
    </w:lvl>
  </w:abstractNum>
  <w:abstractNum w:abstractNumId="54">
    <w:nsid w:val="68EBC550"/>
    <w:multiLevelType w:val="hybridMultilevel"/>
    <w:lvl w:ilvl="0">
      <w:lvlJc w:val="left"/>
      <w:lvlText w:val="%1."/>
      <w:numFmt w:val="decimal"/>
      <w:start w:val="10"/>
    </w:lvl>
  </w:abstractNum>
  <w:abstractNum w:abstractNumId="55">
    <w:nsid w:val="2DF6D648"/>
    <w:multiLevelType w:val="hybridMultilevel"/>
    <w:lvl w:ilvl="0">
      <w:lvlJc w:val="left"/>
      <w:lvlText w:val="%1."/>
      <w:numFmt w:val="decimal"/>
      <w:start w:val="11"/>
    </w:lvl>
  </w:abstractNum>
  <w:abstractNum w:abstractNumId="56">
    <w:nsid w:val="46B7D447"/>
    <w:multiLevelType w:val="hybridMultilevel"/>
    <w:lvl w:ilvl="0">
      <w:lvlJc w:val="left"/>
      <w:lvlText w:val="%1."/>
      <w:numFmt w:val="decimal"/>
      <w:start w:val="11"/>
    </w:lvl>
  </w:abstractNum>
  <w:abstractNum w:abstractNumId="57">
    <w:nsid w:val="4A2AC315"/>
    <w:multiLevelType w:val="hybridMultilevel"/>
    <w:lvl w:ilvl="0">
      <w:lvlJc w:val="left"/>
      <w:lvlText w:val="%1."/>
      <w:numFmt w:val="decimal"/>
      <w:start w:val="12"/>
    </w:lvl>
  </w:abstractNum>
  <w:abstractNum w:abstractNumId="58">
    <w:nsid w:val="39EE015C"/>
    <w:multiLevelType w:val="hybridMultilevel"/>
    <w:lvl w:ilvl="0">
      <w:lvlJc w:val="left"/>
      <w:lvlText w:val="%1."/>
      <w:numFmt w:val="decimal"/>
      <w:start w:val="12"/>
    </w:lvl>
  </w:abstractNum>
  <w:abstractNum w:abstractNumId="59">
    <w:nsid w:val="57FC4FBB"/>
    <w:multiLevelType w:val="hybridMultilevel"/>
    <w:lvl w:ilvl="0">
      <w:lvlJc w:val="left"/>
      <w:lvlText w:val="%1."/>
      <w:numFmt w:val="decimal"/>
      <w:start w:val="13"/>
    </w:lvl>
  </w:abstractNum>
  <w:abstractNum w:abstractNumId="60">
    <w:nsid w:val="CC1016F"/>
    <w:multiLevelType w:val="hybridMultilevel"/>
    <w:lvl w:ilvl="0">
      <w:lvlJc w:val="left"/>
      <w:lvlText w:val="%1."/>
      <w:numFmt w:val="decimal"/>
      <w:start w:val="14"/>
    </w:lvl>
  </w:abstractNum>
  <w:abstractNum w:abstractNumId="61">
    <w:nsid w:val="43F18422"/>
    <w:multiLevelType w:val="hybridMultilevel"/>
    <w:lvl w:ilvl="0">
      <w:lvlJc w:val="left"/>
      <w:lvlText w:val="%1."/>
      <w:numFmt w:val="decimal"/>
      <w:start w:val="14"/>
    </w:lvl>
  </w:abstractNum>
  <w:abstractNum w:abstractNumId="62">
    <w:nsid w:val="60EF0119"/>
    <w:multiLevelType w:val="hybridMultilevel"/>
    <w:lvl w:ilvl="0">
      <w:lvlJc w:val="left"/>
      <w:lvlText w:val="%1."/>
      <w:numFmt w:val="decimal"/>
      <w:start w:val="15"/>
    </w:lvl>
  </w:abstractNum>
  <w:abstractNum w:abstractNumId="63">
    <w:nsid w:val="26F324BA"/>
    <w:multiLevelType w:val="hybridMultilevel"/>
    <w:lvl w:ilvl="0">
      <w:lvlJc w:val="left"/>
      <w:lvlText w:val="%1."/>
      <w:numFmt w:val="decimal"/>
      <w:start w:val="15"/>
    </w:lvl>
  </w:abstractNum>
  <w:abstractNum w:abstractNumId="64">
    <w:nsid w:val="7F01579B"/>
    <w:multiLevelType w:val="hybridMultilevel"/>
    <w:lvl w:ilvl="0">
      <w:lvlJc w:val="left"/>
      <w:lvlText w:val="%1."/>
      <w:numFmt w:val="decimal"/>
      <w:start w:val="17"/>
    </w:lvl>
  </w:abstractNum>
  <w:abstractNum w:abstractNumId="65">
    <w:nsid w:val="49DA307D"/>
    <w:multiLevelType w:val="hybridMultilevel"/>
    <w:lvl w:ilvl="0">
      <w:lvlJc w:val="left"/>
      <w:lvlText w:val="(%1)"/>
      <w:numFmt w:val="lowerRoman"/>
      <w:start w:val="1"/>
    </w:lvl>
  </w:abstractNum>
  <w:abstractNum w:abstractNumId="66">
    <w:nsid w:val="7055A5F5"/>
    <w:multiLevelType w:val="hybridMultilevel"/>
    <w:lvl w:ilvl="0">
      <w:lvlJc w:val="left"/>
      <w:lvlText w:val="%1."/>
      <w:numFmt w:val="decimal"/>
      <w:start w:val="18"/>
    </w:lvl>
  </w:abstractNum>
  <w:abstractNum w:abstractNumId="67">
    <w:nsid w:val="5FB8370B"/>
    <w:multiLevelType w:val="hybridMultilevel"/>
    <w:lvl w:ilvl="0">
      <w:lvlJc w:val="left"/>
      <w:lvlText w:val="%1."/>
      <w:numFmt w:val="decimal"/>
      <w:start w:val="18"/>
    </w:lvl>
  </w:abstractNum>
  <w:abstractNum w:abstractNumId="68">
    <w:nsid w:val="50801EE1"/>
    <w:multiLevelType w:val="hybridMultilevel"/>
    <w:lvl w:ilvl="0">
      <w:lvlJc w:val="left"/>
      <w:lvlText w:val="%1."/>
      <w:numFmt w:val="decimal"/>
      <w:start w:val="19"/>
    </w:lvl>
  </w:abstractNum>
  <w:abstractNum w:abstractNumId="69">
    <w:nsid w:val="488AC1A"/>
    <w:multiLevelType w:val="hybridMultilevel"/>
    <w:lvl w:ilvl="0">
      <w:lvlJc w:val="left"/>
      <w:lvlText w:val="%1."/>
      <w:numFmt w:val="decimal"/>
      <w:start w:val="19"/>
    </w:lvl>
  </w:abstractNum>
  <w:abstractNum w:abstractNumId="70">
    <w:nsid w:val="5FB8011C"/>
    <w:multiLevelType w:val="hybridMultilevel"/>
    <w:lvl w:ilvl="0">
      <w:lvlJc w:val="left"/>
      <w:lvlText w:val="%1."/>
      <w:numFmt w:val="decimal"/>
      <w:start w:val="21"/>
    </w:lvl>
  </w:abstractNum>
  <w:abstractNum w:abstractNumId="71">
    <w:nsid w:val="6AA78F7F"/>
    <w:multiLevelType w:val="hybridMultilevel"/>
    <w:lvl w:ilvl="0">
      <w:lvlJc w:val="left"/>
      <w:lvlText w:val="%1."/>
      <w:numFmt w:val="decimal"/>
      <w:start w:val="21"/>
    </w:lvl>
  </w:abstractNum>
  <w:abstractNum w:abstractNumId="72">
    <w:nsid w:val="7672BD23"/>
    <w:multiLevelType w:val="hybridMultilevel"/>
    <w:lvl w:ilvl="0">
      <w:lvlJc w:val="left"/>
      <w:lvlText w:val="%1."/>
      <w:numFmt w:val="decimal"/>
      <w:start w:val="23"/>
    </w:lvl>
  </w:abstractNum>
  <w:abstractNum w:abstractNumId="73">
    <w:nsid w:val="6FC75AF8"/>
    <w:multiLevelType w:val="hybridMultilevel"/>
    <w:lvl w:ilvl="0">
      <w:lvlJc w:val="left"/>
      <w:lvlText w:val="%1."/>
      <w:numFmt w:val="decimal"/>
      <w:start w:val="23"/>
    </w:lvl>
  </w:abstractNum>
  <w:abstractNum w:abstractNumId="74">
    <w:nsid w:val="6A5F7029"/>
    <w:multiLevelType w:val="hybridMultilevel"/>
    <w:lvl w:ilvl="0">
      <w:lvlJc w:val="left"/>
      <w:lvlText w:val="%1."/>
      <w:numFmt w:val="decimal"/>
      <w:start w:val="24"/>
    </w:lvl>
  </w:abstractNum>
  <w:abstractNum w:abstractNumId="75">
    <w:nsid w:val="7D5E18F8"/>
    <w:multiLevelType w:val="hybridMultilevel"/>
    <w:lvl w:ilvl="0">
      <w:lvlJc w:val="left"/>
      <w:lvlText w:val="%1."/>
      <w:numFmt w:val="decimal"/>
      <w:start w:val="24"/>
    </w:lvl>
  </w:abstractNum>
  <w:abstractNum w:abstractNumId="76">
    <w:nsid w:val="5F3534A4"/>
    <w:multiLevelType w:val="hybridMultilevel"/>
    <w:lvl w:ilvl="0">
      <w:lvlJc w:val="left"/>
      <w:lvlText w:val="%1."/>
      <w:numFmt w:val="decimal"/>
      <w:start w:val="1"/>
    </w:lvl>
  </w:abstractNum>
  <w:abstractNum w:abstractNumId="77">
    <w:nsid w:val="73A1821B"/>
    <w:multiLevelType w:val="hybridMultilevel"/>
    <w:lvl w:ilvl="0">
      <w:lvlJc w:val="left"/>
      <w:lvlText w:val="%1."/>
      <w:numFmt w:val="decimal"/>
      <w:start w:val="1"/>
    </w:lvl>
  </w:abstractNum>
  <w:abstractNum w:abstractNumId="78">
    <w:nsid w:val="7DE67713"/>
    <w:multiLevelType w:val="hybridMultilevel"/>
    <w:lvl w:ilvl="0">
      <w:lvlJc w:val="left"/>
      <w:lvlText w:val="%1."/>
      <w:numFmt w:val="decimal"/>
      <w:start w:val="2"/>
    </w:lvl>
  </w:abstractNum>
  <w:abstractNum w:abstractNumId="79">
    <w:nsid w:val="555C55B5"/>
    <w:multiLevelType w:val="hybridMultilevel"/>
    <w:lvl w:ilvl="0">
      <w:lvlJc w:val="left"/>
      <w:lvlText w:val="%1."/>
      <w:numFmt w:val="decimal"/>
      <w:start w:val="2"/>
    </w:lvl>
  </w:abstractNum>
  <w:abstractNum w:abstractNumId="80">
    <w:nsid w:val="3FA62ACA"/>
    <w:multiLevelType w:val="hybridMultilevel"/>
    <w:lvl w:ilvl="0">
      <w:lvlJc w:val="left"/>
      <w:lvlText w:val="%1."/>
      <w:numFmt w:val="decimal"/>
      <w:start w:val="3"/>
    </w:lvl>
  </w:abstractNum>
  <w:abstractNum w:abstractNumId="81">
    <w:nsid w:val="14FCE74E"/>
    <w:multiLevelType w:val="hybridMultilevel"/>
    <w:lvl w:ilvl="0">
      <w:lvlJc w:val="left"/>
      <w:lvlText w:val="%1."/>
      <w:numFmt w:val="decimal"/>
      <w:start w:val="3"/>
    </w:lvl>
  </w:abstractNum>
  <w:abstractNum w:abstractNumId="82">
    <w:nsid w:val="6A3DD3E8"/>
    <w:multiLevelType w:val="hybridMultilevel"/>
    <w:lvl w:ilvl="0">
      <w:lvlJc w:val="left"/>
      <w:lvlText w:val="%1."/>
      <w:numFmt w:val="decimal"/>
      <w:start w:val="6"/>
    </w:lvl>
  </w:abstractNum>
  <w:abstractNum w:abstractNumId="83">
    <w:nsid w:val="71C91298"/>
    <w:multiLevelType w:val="hybridMultilevel"/>
    <w:lvl w:ilvl="0">
      <w:lvlJc w:val="left"/>
      <w:lvlText w:val="%1."/>
      <w:numFmt w:val="decimal"/>
      <w:start w:val="5"/>
    </w:lvl>
  </w:abstractNum>
  <w:abstractNum w:abstractNumId="84">
    <w:nsid w:val="9DAF632"/>
    <w:multiLevelType w:val="hybridMultilevel"/>
    <w:lvl w:ilvl="0">
      <w:lvlJc w:val="left"/>
      <w:lvlText w:val="%1."/>
      <w:numFmt w:val="decimal"/>
      <w:start w:val="6"/>
    </w:lvl>
  </w:abstractNum>
  <w:abstractNum w:abstractNumId="85">
    <w:nsid w:val="53299938"/>
    <w:multiLevelType w:val="hybridMultilevel"/>
    <w:lvl w:ilvl="0">
      <w:lvlJc w:val="left"/>
      <w:lvlText w:val="(%1)"/>
      <w:numFmt w:val="decimal"/>
      <w:start w:val="30"/>
    </w:lvl>
  </w:abstractNum>
  <w:abstractNum w:abstractNumId="86">
    <w:nsid w:val="1FBFE8E0"/>
    <w:multiLevelType w:val="hybridMultilevel"/>
    <w:lvl w:ilvl="0">
      <w:lvlJc w:val="left"/>
      <w:lvlText w:val="(%1)"/>
      <w:numFmt w:val="lowerRoman"/>
      <w:start w:val="2"/>
    </w:lvl>
  </w:abstractNum>
  <w:abstractNum w:abstractNumId="87">
    <w:nsid w:val="5092CA79"/>
    <w:multiLevelType w:val="hybridMultilevel"/>
    <w:lvl w:ilvl="0">
      <w:lvlJc w:val="left"/>
      <w:lvlText w:val="%1."/>
      <w:numFmt w:val="decimal"/>
      <w:start w:val="7"/>
    </w:lvl>
  </w:abstractNum>
  <w:abstractNum w:abstractNumId="88">
    <w:nsid w:val="1D545C4D"/>
    <w:multiLevelType w:val="hybridMultilevel"/>
    <w:lvl w:ilvl="0">
      <w:lvlJc w:val="left"/>
      <w:lvlText w:val="%1."/>
      <w:numFmt w:val="decimal"/>
      <w:start w:val="7"/>
    </w:lvl>
  </w:abstractNum>
  <w:abstractNum w:abstractNumId="89">
    <w:nsid w:val="59ADEA3D"/>
    <w:multiLevelType w:val="hybridMultilevel"/>
    <w:lvl w:ilvl="0">
      <w:lvlJc w:val="left"/>
      <w:lvlText w:val="%1."/>
      <w:numFmt w:val="decimal"/>
      <w:start w:val="8"/>
    </w:lvl>
  </w:abstractNum>
  <w:abstractNum w:abstractNumId="90">
    <w:nsid w:val="288F1A34"/>
    <w:multiLevelType w:val="hybridMultilevel"/>
    <w:lvl w:ilvl="0">
      <w:lvlJc w:val="left"/>
      <w:lvlText w:val="%1."/>
      <w:numFmt w:val="decimal"/>
      <w:start w:val="8"/>
    </w:lvl>
  </w:abstractNum>
  <w:abstractNum w:abstractNumId="91">
    <w:nsid w:val="2A155DBC"/>
    <w:multiLevelType w:val="hybridMultilevel"/>
    <w:lvl w:ilvl="0">
      <w:lvlJc w:val="left"/>
      <w:lvlText w:val="%1."/>
      <w:numFmt w:val="upperLetter"/>
      <w:start w:val="9"/>
    </w:lvl>
  </w:abstractNum>
  <w:abstractNum w:abstractNumId="92">
    <w:nsid w:val="1D9F6E5F"/>
    <w:multiLevelType w:val="hybridMultilevel"/>
    <w:lvl w:ilvl="0">
      <w:lvlJc w:val="left"/>
      <w:lvlText w:val="•"/>
      <w:numFmt w:val="bullet"/>
      <w:start w:val="1"/>
    </w:lvl>
  </w:abstractNum>
  <w:abstractNum w:abstractNumId="93">
    <w:nsid w:val="97E1B4E"/>
    <w:multiLevelType w:val="hybridMultilevel"/>
    <w:lvl w:ilvl="0">
      <w:lvlJc w:val="left"/>
      <w:lvlText w:val="%1."/>
      <w:numFmt w:val="upperLetter"/>
      <w:start w:val="35"/>
    </w:lvl>
  </w:abstractNum>
  <w:abstractNum w:abstractNumId="94">
    <w:nsid w:val="51088277"/>
    <w:multiLevelType w:val="hybridMultilevel"/>
    <w:lvl w:ilvl="0">
      <w:lvlJc w:val="left"/>
      <w:lvlText w:val="%1."/>
      <w:numFmt w:val="upperLetter"/>
      <w:start w:val="61"/>
    </w:lvl>
  </w:abstractNum>
  <w:abstractNum w:abstractNumId="95">
    <w:nsid w:val="1CA0C5FA"/>
    <w:multiLevelType w:val="hybridMultilevel"/>
    <w:lvl w:ilvl="0">
      <w:lvlJc w:val="left"/>
      <w:lvlText w:val="%1."/>
      <w:numFmt w:val="decimal"/>
      <w:start w:val="1"/>
    </w:lvl>
  </w:abstractNum>
  <w:abstractNum w:abstractNumId="96">
    <w:nsid w:val="53584BCB"/>
    <w:multiLevelType w:val="hybridMultilevel"/>
    <w:lvl w:ilvl="0">
      <w:lvlJc w:val="left"/>
      <w:lvlText w:val="%1."/>
      <w:numFmt w:val="decimal"/>
      <w:start w:val="2"/>
    </w:lvl>
  </w:abstractNum>
  <w:abstractNum w:abstractNumId="97">
    <w:nsid w:val="415E286C"/>
    <w:multiLevelType w:val="hybridMultilevel"/>
    <w:lvl w:ilvl="0">
      <w:lvlJc w:val="left"/>
      <w:lvlText w:val="%1."/>
      <w:numFmt w:val="decimal"/>
      <w:start w:val="3"/>
    </w:lvl>
  </w:abstractNum>
  <w:abstractNum w:abstractNumId="98">
    <w:nsid w:val="7C58FD05"/>
    <w:multiLevelType w:val="hybridMultilevel"/>
    <w:lvl w:ilvl="0">
      <w:lvlJc w:val="left"/>
      <w:lvlText w:val="%1."/>
      <w:numFmt w:val="upperLetter"/>
      <w:start w:val="22"/>
    </w:lvl>
  </w:abstractNum>
  <w:abstractNum w:abstractNumId="99">
    <w:nsid w:val="23D86AAC"/>
    <w:multiLevelType w:val="hybridMultilevel"/>
    <w:lvl w:ilvl="0">
      <w:lvlJc w:val="left"/>
      <w:lvlText w:val="%1."/>
      <w:numFmt w:val="decimal"/>
      <w:start w:val="1"/>
    </w:lvl>
  </w:abstractNum>
  <w:abstractNum w:abstractNumId="100">
    <w:nsid w:val="45E6D486"/>
    <w:multiLevelType w:val="hybridMultilevel"/>
    <w:lvl w:ilvl="0">
      <w:lvlJc w:val="left"/>
      <w:lvlText w:val="%1."/>
      <w:numFmt w:val="decimal"/>
      <w:start w:val="1"/>
    </w:lvl>
    <w:lvl w:ilvl="1">
      <w:lvlJc w:val="left"/>
      <w:lvlText w:val="•"/>
      <w:numFmt w:val="bullet"/>
      <w:start w:val="1"/>
    </w:lvl>
  </w:abstractNum>
  <w:abstractNum w:abstractNumId="101">
    <w:nsid w:val="5C10FE21"/>
    <w:multiLevelType w:val="hybridMultilevel"/>
    <w:lvl w:ilvl="0">
      <w:lvlJc w:val="left"/>
      <w:lvlText w:val="%1."/>
      <w:numFmt w:val="decimal"/>
      <w:start w:val="3"/>
    </w:lvl>
  </w:abstractNum>
  <w:abstractNum w:abstractNumId="102">
    <w:nsid w:val="E7FFA2B"/>
    <w:multiLevelType w:val="hybridMultilevel"/>
    <w:lvl w:ilvl="0">
      <w:lvlJc w:val="left"/>
      <w:lvlText w:val="%1."/>
      <w:numFmt w:val="decimal"/>
      <w:start w:val="1"/>
    </w:lvl>
  </w:abstractNum>
  <w:abstractNum w:abstractNumId="103">
    <w:nsid w:val="3C5991AA"/>
    <w:multiLevelType w:val="hybridMultilevel"/>
    <w:lvl w:ilvl="0">
      <w:lvlJc w:val="left"/>
      <w:lvlText w:val="%1."/>
      <w:numFmt w:val="decimal"/>
      <w:start w:val="2"/>
    </w:lvl>
  </w:abstractNum>
  <w:abstractNum w:abstractNumId="104">
    <w:nsid w:val="4BD8591A"/>
    <w:multiLevelType w:val="hybridMultilevel"/>
    <w:lvl w:ilvl="0">
      <w:lvlJc w:val="left"/>
      <w:lvlText w:val="%1."/>
      <w:numFmt w:val="decimal"/>
      <w:start w:val="3"/>
    </w:lvl>
  </w:abstractNum>
  <w:abstractNum w:abstractNumId="105">
    <w:nsid w:val="78DF6A55"/>
    <w:multiLevelType w:val="hybridMultilevel"/>
    <w:lvl w:ilvl="0">
      <w:lvlJc w:val="left"/>
      <w:lvlText w:val="%1."/>
      <w:numFmt w:val="decimal"/>
      <w:start w:val="4"/>
    </w:lvl>
  </w:abstractNum>
  <w:abstractNum w:abstractNumId="106">
    <w:nsid w:val="39B7AAA2"/>
    <w:multiLevelType w:val="hybridMultilevel"/>
    <w:lvl w:ilvl="0">
      <w:lvlJc w:val="left"/>
      <w:lvlText w:val="%1."/>
      <w:numFmt w:val="decimal"/>
      <w:start w:val="5"/>
    </w:lvl>
  </w:abstractNum>
  <w:abstractNum w:abstractNumId="107">
    <w:nsid w:val="2B0D8DBE"/>
    <w:multiLevelType w:val="hybridMultilevel"/>
    <w:lvl w:ilvl="0">
      <w:lvlJc w:val="left"/>
      <w:lvlText w:val="%1."/>
      <w:numFmt w:val="upperLetter"/>
      <w:start w:val="24"/>
    </w:lvl>
  </w:abstractNum>
  <w:abstractNum w:abstractNumId="108">
    <w:nsid w:val="6C80EC70"/>
    <w:multiLevelType w:val="hybridMultilevel"/>
    <w:lvl w:ilvl="0">
      <w:lvlJc w:val="left"/>
      <w:lvlText w:val="%1."/>
      <w:numFmt w:val="decimal"/>
      <w:start w:val="1"/>
    </w:lvl>
  </w:abstractNum>
  <w:abstractNum w:abstractNumId="109">
    <w:nsid w:val="379E21B5"/>
    <w:multiLevelType w:val="hybridMultilevel"/>
    <w:lvl w:ilvl="0">
      <w:lvlJc w:val="left"/>
      <w:lvlText w:val="%1."/>
      <w:numFmt w:val="decimal"/>
      <w:start w:val="2"/>
    </w:lvl>
  </w:abstractNum>
  <w:abstractNum w:abstractNumId="110">
    <w:nsid w:val="69E373"/>
    <w:multiLevelType w:val="hybridMultilevel"/>
    <w:lvl w:ilvl="0">
      <w:lvlJc w:val="left"/>
      <w:lvlText w:val="%1."/>
      <w:numFmt w:val="decimal"/>
      <w:start w:val="3"/>
    </w:lvl>
  </w:abstractNum>
  <w:abstractNum w:abstractNumId="111">
    <w:nsid w:val="2C27173B"/>
    <w:multiLevelType w:val="hybridMultilevel"/>
    <w:lvl w:ilvl="0">
      <w:lvlJc w:val="left"/>
      <w:lvlText w:val="•"/>
      <w:numFmt w:val="bullet"/>
      <w:start w:val="1"/>
    </w:lvl>
  </w:abstractNum>
  <w:abstractNum w:abstractNumId="112">
    <w:nsid w:val="4C9B0904"/>
    <w:multiLevelType w:val="hybridMultilevel"/>
    <w:lvl w:ilvl="0">
      <w:lvlJc w:val="left"/>
      <w:lvlText w:val="•"/>
      <w:numFmt w:val="bullet"/>
      <w:start w:val="1"/>
    </w:lvl>
  </w:abstractNum>
  <w:abstractNum w:abstractNumId="113">
    <w:nsid w:val="6AA7B75C"/>
    <w:multiLevelType w:val="hybridMultilevel"/>
    <w:lvl w:ilvl="0">
      <w:lvlJc w:val="left"/>
      <w:lvlText w:val="•"/>
      <w:numFmt w:val="bullet"/>
      <w:start w:val="1"/>
    </w:lvl>
  </w:abstractNum>
  <w:abstractNum w:abstractNumId="114">
    <w:nsid w:val="1DF029D3"/>
    <w:multiLevelType w:val="hybridMultilevel"/>
    <w:lvl w:ilvl="0">
      <w:lvlJc w:val="left"/>
      <w:lvlText w:val="%1."/>
      <w:numFmt w:val="upperLetter"/>
      <w:start w:val="1"/>
    </w:lvl>
    <w:lvl w:ilvl="1">
      <w:lvlJc w:val="left"/>
      <w:lvlText w:val="•"/>
      <w:numFmt w:val="bullet"/>
      <w:start w:val="1"/>
    </w:lvl>
  </w:abstractNum>
  <w:abstractNum w:abstractNumId="115">
    <w:nsid w:val="5675FF36"/>
    <w:multiLevelType w:val="hybridMultilevel"/>
    <w:lvl w:ilvl="0">
      <w:lvlJc w:val="left"/>
      <w:lvlText w:val="%1."/>
      <w:numFmt w:val="upperLetter"/>
      <w:start w:val="7"/>
    </w:lvl>
  </w:abstractNum>
  <w:abstractNum w:abstractNumId="116">
    <w:nsid w:val="3DD15094"/>
    <w:multiLevelType w:val="hybridMultilevel"/>
    <w:lvl w:ilvl="0">
      <w:lvlJc w:val="left"/>
      <w:lvlText w:val="(%1)"/>
      <w:numFmt w:val="decimal"/>
      <w:start w:val="1"/>
    </w:lvl>
  </w:abstractNum>
  <w:abstractNum w:abstractNumId="117">
    <w:nsid w:val="3DB012B3"/>
    <w:multiLevelType w:val="hybridMultilevel"/>
    <w:lvl w:ilvl="0">
      <w:lvlJc w:val="left"/>
      <w:lvlText w:val="%1."/>
      <w:numFmt w:val="decimal"/>
      <w:start w:val="1"/>
    </w:lvl>
  </w:abstractNum>
  <w:abstractNum w:abstractNumId="118">
    <w:nsid w:val="2708C9AF"/>
    <w:multiLevelType w:val="hybridMultilevel"/>
    <w:lvl w:ilvl="0">
      <w:lvlJc w:val="left"/>
      <w:lvlText w:val="%1)"/>
      <w:numFmt w:val="lowerLetter"/>
      <w:start w:val="1"/>
    </w:lvl>
  </w:abstractNum>
  <w:abstractNum w:abstractNumId="119">
    <w:nsid w:val="5B25ACE2"/>
    <w:multiLevelType w:val="hybridMultilevel"/>
    <w:lvl w:ilvl="0">
      <w:lvlJc w:val="left"/>
      <w:lvlText w:val="%1."/>
      <w:numFmt w:val="decimal"/>
      <w:start w:val="5"/>
    </w:lvl>
  </w:abstractNum>
  <w:abstractNum w:abstractNumId="120">
    <w:nsid w:val="175DFCF0"/>
    <w:multiLevelType w:val="hybridMultilevel"/>
    <w:lvl w:ilvl="0">
      <w:lvlJc w:val="left"/>
      <w:lvlText w:val="%1)"/>
      <w:numFmt w:val="lowerLetter"/>
      <w:start w:val="1"/>
    </w:lvl>
  </w:abstractNum>
  <w:abstractNum w:abstractNumId="121">
    <w:nsid w:val="4F97E3E4"/>
    <w:multiLevelType w:val="hybridMultilevel"/>
    <w:lvl w:ilvl="0">
      <w:lvlJc w:val="left"/>
      <w:lvlText w:val="%1."/>
      <w:numFmt w:val="decimal"/>
      <w:start w:val="1"/>
    </w:lvl>
  </w:abstractNum>
  <w:abstractNum w:abstractNumId="122">
    <w:nsid w:val="53B0A9E"/>
    <w:multiLevelType w:val="hybridMultilevel"/>
    <w:lvl w:ilvl="0">
      <w:lvlJc w:val="left"/>
      <w:lvlText w:val="%1."/>
      <w:numFmt w:val="decimal"/>
      <w:start w:val="5"/>
    </w:lvl>
  </w:abstractNum>
  <w:abstractNum w:abstractNumId="123">
    <w:nsid w:val="34FD6B4F"/>
    <w:multiLevelType w:val="hybridMultilevel"/>
    <w:lvl w:ilvl="0">
      <w:lvlJc w:val="left"/>
      <w:lvlText w:val="(%1)"/>
      <w:numFmt w:val="decimal"/>
      <w:start w:val="1"/>
    </w:lvl>
  </w:abstractNum>
  <w:abstractNum w:abstractNumId="124">
    <w:nsid w:val="5915FF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68" Type="http://schemas.openxmlformats.org/officeDocument/2006/relationships/image" Target="media/image139.png"/><Relationship Id="rId175" Type="http://schemas.openxmlformats.org/officeDocument/2006/relationships/image" Target="media/image140.png"/><Relationship Id="rId176" Type="http://schemas.openxmlformats.org/officeDocument/2006/relationships/image" Target="media/image141.png"/><Relationship Id="rId177" Type="http://schemas.openxmlformats.org/officeDocument/2006/relationships/image" Target="media/image142.png"/><Relationship Id="rId178" Type="http://schemas.openxmlformats.org/officeDocument/2006/relationships/image" Target="media/image143.png"/><Relationship Id="rId179" Type="http://schemas.openxmlformats.org/officeDocument/2006/relationships/image" Target="media/image144.png"/><Relationship Id="rId180" Type="http://schemas.openxmlformats.org/officeDocument/2006/relationships/image" Target="media/image145.png"/><Relationship Id="rId181" Type="http://schemas.openxmlformats.org/officeDocument/2006/relationships/image" Target="media/image146.png"/><Relationship Id="rId182" Type="http://schemas.openxmlformats.org/officeDocument/2006/relationships/image" Target="media/image147.png"/><Relationship Id="rId183" Type="http://schemas.openxmlformats.org/officeDocument/2006/relationships/image" Target="media/image148.png"/><Relationship Id="rId184" Type="http://schemas.openxmlformats.org/officeDocument/2006/relationships/image" Target="media/image149.png"/><Relationship Id="rId185" Type="http://schemas.openxmlformats.org/officeDocument/2006/relationships/image" Target="media/image150.png"/><Relationship Id="rId186" Type="http://schemas.openxmlformats.org/officeDocument/2006/relationships/image" Target="media/image151.png"/><Relationship Id="rId187" Type="http://schemas.openxmlformats.org/officeDocument/2006/relationships/image" Target="media/image152.png"/><Relationship Id="rId188" Type="http://schemas.openxmlformats.org/officeDocument/2006/relationships/image" Target="media/image153.png"/><Relationship Id="rId189" Type="http://schemas.openxmlformats.org/officeDocument/2006/relationships/image" Target="media/image154.png"/><Relationship Id="rId190" Type="http://schemas.openxmlformats.org/officeDocument/2006/relationships/image" Target="media/image155.png"/><Relationship Id="rId191" Type="http://schemas.openxmlformats.org/officeDocument/2006/relationships/image" Target="media/image156.png"/><Relationship Id="rId192" Type="http://schemas.openxmlformats.org/officeDocument/2006/relationships/image" Target="media/image157.png"/><Relationship Id="rId193" Type="http://schemas.openxmlformats.org/officeDocument/2006/relationships/image" Target="media/image158.png"/><Relationship Id="rId194" Type="http://schemas.openxmlformats.org/officeDocument/2006/relationships/image" Target="media/image159.png"/><Relationship Id="rId195" Type="http://schemas.openxmlformats.org/officeDocument/2006/relationships/image" Target="media/image160.png"/><Relationship Id="rId196" Type="http://schemas.openxmlformats.org/officeDocument/2006/relationships/image" Target="media/image161.png"/><Relationship Id="rId197" Type="http://schemas.openxmlformats.org/officeDocument/2006/relationships/image" Target="media/image162.png"/><Relationship Id="rId198" Type="http://schemas.openxmlformats.org/officeDocument/2006/relationships/image" Target="media/image163.png"/><Relationship Id="rId199" Type="http://schemas.openxmlformats.org/officeDocument/2006/relationships/image" Target="media/image164.png"/><Relationship Id="rId200" Type="http://schemas.openxmlformats.org/officeDocument/2006/relationships/image" Target="media/image165.png"/><Relationship Id="rId201" Type="http://schemas.openxmlformats.org/officeDocument/2006/relationships/image" Target="media/image166.png"/><Relationship Id="rId202" Type="http://schemas.openxmlformats.org/officeDocument/2006/relationships/image" Target="media/image167.png"/><Relationship Id="rId203" Type="http://schemas.openxmlformats.org/officeDocument/2006/relationships/image" Target="media/image168.png"/><Relationship Id="rId204" Type="http://schemas.openxmlformats.org/officeDocument/2006/relationships/image" Target="media/image169.png"/><Relationship Id="rId205" Type="http://schemas.openxmlformats.org/officeDocument/2006/relationships/image" Target="media/image170.png"/><Relationship Id="rId206" Type="http://schemas.openxmlformats.org/officeDocument/2006/relationships/image" Target="media/image171.png"/><Relationship Id="rId207" Type="http://schemas.openxmlformats.org/officeDocument/2006/relationships/image" Target="media/image172.png"/><Relationship Id="rId208" Type="http://schemas.openxmlformats.org/officeDocument/2006/relationships/image" Target="media/image173.png"/><Relationship Id="rId209" Type="http://schemas.openxmlformats.org/officeDocument/2006/relationships/image" Target="media/image174.png"/><Relationship Id="rId210" Type="http://schemas.openxmlformats.org/officeDocument/2006/relationships/image" Target="media/image175.jpeg"/><Relationship Id="rId211" Type="http://schemas.openxmlformats.org/officeDocument/2006/relationships/image" Target="media/image176.png"/><Relationship Id="rId212" Type="http://schemas.openxmlformats.org/officeDocument/2006/relationships/image" Target="media/image177.jpeg"/><Relationship Id="rId213" Type="http://schemas.openxmlformats.org/officeDocument/2006/relationships/image" Target="media/image178.png"/><Relationship Id="rId214" Type="http://schemas.openxmlformats.org/officeDocument/2006/relationships/image" Target="media/image179.jpeg"/><Relationship Id="rId215" Type="http://schemas.openxmlformats.org/officeDocument/2006/relationships/image" Target="media/image180.png"/><Relationship Id="rId216" Type="http://schemas.openxmlformats.org/officeDocument/2006/relationships/image" Target="media/image181.jpeg"/><Relationship Id="rId217" Type="http://schemas.openxmlformats.org/officeDocument/2006/relationships/image" Target="media/image182.png"/><Relationship Id="rId218" Type="http://schemas.openxmlformats.org/officeDocument/2006/relationships/image" Target="media/image183.jpeg"/><Relationship Id="rId219" Type="http://schemas.openxmlformats.org/officeDocument/2006/relationships/image" Target="media/image184.png"/><Relationship Id="rId220" Type="http://schemas.openxmlformats.org/officeDocument/2006/relationships/image" Target="media/image185.jpeg"/><Relationship Id="rId221" Type="http://schemas.openxmlformats.org/officeDocument/2006/relationships/image" Target="media/image186.png"/><Relationship Id="rId222" Type="http://schemas.openxmlformats.org/officeDocument/2006/relationships/image" Target="media/image187.jpeg"/><Relationship Id="rId223" Type="http://schemas.openxmlformats.org/officeDocument/2006/relationships/image" Target="media/image188.png"/><Relationship Id="rId224" Type="http://schemas.openxmlformats.org/officeDocument/2006/relationships/image" Target="media/image189.jpeg"/><Relationship Id="rId225" Type="http://schemas.openxmlformats.org/officeDocument/2006/relationships/image" Target="media/image190.png"/><Relationship Id="rId226" Type="http://schemas.openxmlformats.org/officeDocument/2006/relationships/image" Target="media/image191.jpeg"/><Relationship Id="rId227" Type="http://schemas.openxmlformats.org/officeDocument/2006/relationships/image" Target="media/image192.png"/><Relationship Id="rId228" Type="http://schemas.openxmlformats.org/officeDocument/2006/relationships/image" Target="media/image193.jpeg"/><Relationship Id="rId229" Type="http://schemas.openxmlformats.org/officeDocument/2006/relationships/image" Target="media/image194.png"/><Relationship Id="rId230" Type="http://schemas.openxmlformats.org/officeDocument/2006/relationships/image" Target="media/image195.jpeg"/><Relationship Id="rId231" Type="http://schemas.openxmlformats.org/officeDocument/2006/relationships/image" Target="media/image196.png"/><Relationship Id="rId232" Type="http://schemas.openxmlformats.org/officeDocument/2006/relationships/image" Target="media/image197.jpeg"/><Relationship Id="rId233" Type="http://schemas.openxmlformats.org/officeDocument/2006/relationships/image" Target="media/image198.png"/><Relationship Id="rId234" Type="http://schemas.openxmlformats.org/officeDocument/2006/relationships/image" Target="media/image199.jpeg"/><Relationship Id="rId235" Type="http://schemas.openxmlformats.org/officeDocument/2006/relationships/image" Target="media/image200.png"/><Relationship Id="rId236" Type="http://schemas.openxmlformats.org/officeDocument/2006/relationships/image" Target="media/image201.jpeg"/><Relationship Id="rId237" Type="http://schemas.openxmlformats.org/officeDocument/2006/relationships/image" Target="media/image202.png"/><Relationship Id="rId238" Type="http://schemas.openxmlformats.org/officeDocument/2006/relationships/image" Target="media/image203.jpeg"/><Relationship Id="rId239" Type="http://schemas.openxmlformats.org/officeDocument/2006/relationships/image" Target="media/image204.png"/><Relationship Id="rId240" Type="http://schemas.openxmlformats.org/officeDocument/2006/relationships/image" Target="media/image205.jpeg"/><Relationship Id="rId241" Type="http://schemas.openxmlformats.org/officeDocument/2006/relationships/image" Target="media/image206.jpeg"/><Relationship Id="rId242" Type="http://schemas.openxmlformats.org/officeDocument/2006/relationships/image" Target="media/image207.png"/><Relationship Id="rId243" Type="http://schemas.openxmlformats.org/officeDocument/2006/relationships/image" Target="media/image208.png"/><Relationship Id="rId244" Type="http://schemas.openxmlformats.org/officeDocument/2006/relationships/image" Target="media/image209.jpeg"/><Relationship Id="rId245" Type="http://schemas.openxmlformats.org/officeDocument/2006/relationships/image" Target="media/image210.jpeg"/><Relationship Id="rId246" Type="http://schemas.openxmlformats.org/officeDocument/2006/relationships/image" Target="media/image211.png"/><Relationship Id="rId247" Type="http://schemas.openxmlformats.org/officeDocument/2006/relationships/image" Target="media/image212.jpeg"/><Relationship Id="rId248" Type="http://schemas.openxmlformats.org/officeDocument/2006/relationships/image" Target="media/image213.jpeg"/><Relationship Id="rId249" Type="http://schemas.openxmlformats.org/officeDocument/2006/relationships/image" Target="media/image214.jpeg"/><Relationship Id="rId250" Type="http://schemas.openxmlformats.org/officeDocument/2006/relationships/image" Target="media/image215.jpeg"/><Relationship Id="rId251" Type="http://schemas.openxmlformats.org/officeDocument/2006/relationships/image" Target="media/image216.jpeg"/><Relationship Id="rId252" Type="http://schemas.openxmlformats.org/officeDocument/2006/relationships/image" Target="media/image217.jpeg"/><Relationship Id="rId253" Type="http://schemas.openxmlformats.org/officeDocument/2006/relationships/image" Target="media/image218.jpeg"/><Relationship Id="rId254" Type="http://schemas.openxmlformats.org/officeDocument/2006/relationships/image" Target="media/image219.jpeg"/><Relationship Id="rId255" Type="http://schemas.openxmlformats.org/officeDocument/2006/relationships/image" Target="media/image220.jpeg"/><Relationship Id="rId256" Type="http://schemas.openxmlformats.org/officeDocument/2006/relationships/image" Target="media/image221.jpeg"/><Relationship Id="rId257" Type="http://schemas.openxmlformats.org/officeDocument/2006/relationships/image" Target="media/image222.jpeg"/><Relationship Id="rId258" Type="http://schemas.openxmlformats.org/officeDocument/2006/relationships/image" Target="media/image223.jpeg"/><Relationship Id="rId259" Type="http://schemas.openxmlformats.org/officeDocument/2006/relationships/image" Target="media/image224.jpeg"/><Relationship Id="rId260" Type="http://schemas.openxmlformats.org/officeDocument/2006/relationships/image" Target="media/image225.png"/><Relationship Id="rId261" Type="http://schemas.openxmlformats.org/officeDocument/2006/relationships/image" Target="media/image226.png"/><Relationship Id="rId262" Type="http://schemas.openxmlformats.org/officeDocument/2006/relationships/image" Target="media/image227.png"/><Relationship Id="rId146" Type="http://schemas.openxmlformats.org/officeDocument/2006/relationships/hyperlink" Target="http://www.sec.gov/Archives/edgar/data/21535/000143774924019391/ex_683157.htm" TargetMode="External"/><Relationship Id="rId147" Type="http://schemas.openxmlformats.org/officeDocument/2006/relationships/hyperlink" Target="http://www.sec.gov/Archives/edgar/data/21535/000143774925014183/ex_807614.htm" TargetMode="External"/><Relationship Id="rId148" Type="http://schemas.openxmlformats.org/officeDocument/2006/relationships/hyperlink" Target="http://www.sec.gov/Archives/edgar/data/21535/000143774923014028/ex_518682.htm" TargetMode="External"/><Relationship Id="rId149" Type="http://schemas.openxmlformats.org/officeDocument/2006/relationships/hyperlink" Target="http://www.sec.gov/Archives/edgar/data/21535/000143774923003782/ex_474581.htm" TargetMode="External"/><Relationship Id="rId150" Type="http://schemas.openxmlformats.org/officeDocument/2006/relationships/hyperlink" Target="http://www.sec.gov/Archives/edgar/data/21535/000143774925030026/ex_864825.htm" TargetMode="External"/><Relationship Id="rId151" Type="http://schemas.openxmlformats.org/officeDocument/2006/relationships/hyperlink" Target="http://www.sec.gov/Archives/edgar/data/21535/000143774918019867/ex_127319.htm" TargetMode="External"/><Relationship Id="rId152" Type="http://schemas.openxmlformats.org/officeDocument/2006/relationships/hyperlink" Target="http://www.sec.gov/Archives/edgar/data/21535/000143774918019867/ex_128427.htm" TargetMode="External"/><Relationship Id="rId153" Type="http://schemas.openxmlformats.org/officeDocument/2006/relationships/hyperlink" Target="http://www.sec.gov/Archives/edgar/data/21535/000143774923008134/cohu20230321_def14a.htm" TargetMode="External"/><Relationship Id="rId154" Type="http://schemas.openxmlformats.org/officeDocument/2006/relationships/hyperlink" Target="http://www.sec.gov/Archives/edgar/data/21535/000129993308006069/exhibit1.htm" TargetMode="External"/><Relationship Id="rId155" Type="http://schemas.openxmlformats.org/officeDocument/2006/relationships/hyperlink" Target="http://www.sec.gov/Archives/edgar/data/21535/000143774923012665/ex_511739.htm" TargetMode="External"/><Relationship Id="rId156" Type="http://schemas.openxmlformats.org/officeDocument/2006/relationships/hyperlink" Target="http://www.sec.gov/Archives/edgar/data/21535/000143774915014704/ex10-2.htm" TargetMode="External"/><Relationship Id="rId157" Type="http://schemas.openxmlformats.org/officeDocument/2006/relationships/hyperlink" Target="http://www.sec.gov/Archives/edgar/data/21535/000143774915014704/ex10-3.htm" TargetMode="External"/><Relationship Id="rId158" Type="http://schemas.openxmlformats.org/officeDocument/2006/relationships/hyperlink" Target="http://www.sec.gov/Archives/edgar/data/21535/000143774915014704/ex10-4.htm" TargetMode="External"/><Relationship Id="rId159" Type="http://schemas.openxmlformats.org/officeDocument/2006/relationships/hyperlink" Target="http://www.sec.gov/Archives/edgar/data/21535/000143774915014704/ex10-5.htm" TargetMode="External"/><Relationship Id="rId160" Type="http://schemas.openxmlformats.org/officeDocument/2006/relationships/hyperlink" Target="http://www.sec.gov/Archives/edgar/data/21535/000143774915014704/ex10-6.htm" TargetMode="External"/><Relationship Id="rId161" Type="http://schemas.openxmlformats.org/officeDocument/2006/relationships/hyperlink" Target="http://www.sec.gov/Archives/edgar/data/21535/000143774918021982/ex_131577.htm" TargetMode="External"/><Relationship Id="rId162" Type="http://schemas.openxmlformats.org/officeDocument/2006/relationships/hyperlink" Target="http://www.sec.gov/Archives/edgar/data/21535/000129993308006069/exhibit2.htm" TargetMode="External"/><Relationship Id="rId163" Type="http://schemas.openxmlformats.org/officeDocument/2006/relationships/hyperlink" Target="http://www.sec.gov/Archives/edgar/data/21535/000143774916025855/ex10-14.htm" TargetMode="External"/><Relationship Id="rId164" Type="http://schemas.openxmlformats.org/officeDocument/2006/relationships/hyperlink" Target="http://www.sec.gov/Archives/edgar/data/21535/000143774920022546/ex_210808.htm" TargetMode="External"/><Relationship Id="rId165" Type="http://schemas.openxmlformats.org/officeDocument/2006/relationships/hyperlink" Target="http://www.sec.gov/Archives/edgar/data/21535/000143774920022546/ex_210809.htm" TargetMode="External"/><Relationship Id="rId166" Type="http://schemas.openxmlformats.org/officeDocument/2006/relationships/hyperlink" Target="http://www.sec.gov/Archives/edgar/data/21535/000143774920022546/ex_210811.htm" TargetMode="External"/><Relationship Id="rId167" Type="http://schemas.openxmlformats.org/officeDocument/2006/relationships/hyperlink" Target="http://www.sec.gov/Archives/edgar/data/21535/000143774920022546/ex_210812.htm" TargetMode="External"/><Relationship Id="rId169" Type="http://schemas.openxmlformats.org/officeDocument/2006/relationships/hyperlink" Target="http://www.sec.gov/Archives/edgar/data/21535/000143774920022546/ex_210813.htm" TargetMode="External"/><Relationship Id="rId170" Type="http://schemas.openxmlformats.org/officeDocument/2006/relationships/hyperlink" Target="http://www.sec.gov/Archives/edgar/data/21535/000143774920022546/ex_210815.htm" TargetMode="External"/><Relationship Id="rId171" Type="http://schemas.openxmlformats.org/officeDocument/2006/relationships/hyperlink" Target="http://www.sec.gov/Archives/edgar/data/21535/000143774923018206/ex_537149.htm" TargetMode="External"/><Relationship Id="rId172" Type="http://schemas.openxmlformats.org/officeDocument/2006/relationships/hyperlink" Target="http://www.sec.gov/Archives/edgar/data/21535/000143774925024281/ex_844116.htm" TargetMode="External"/><Relationship Id="rId173" Type="http://schemas.openxmlformats.org/officeDocument/2006/relationships/hyperlink" Target="http://www.sec.gov/Archives/edgar/data/21535/000143774925030026/ex_864823.htm" TargetMode="External"/><Relationship Id="rId174" Type="http://schemas.openxmlformats.org/officeDocument/2006/relationships/hyperlink" Target="http://www.sec.gov/Archives/edgar/data/21535/000143774925004612/ex_78019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2026-02-17T16:08:18Z</dcterms:created>
  <dcterms:modified xsi:type="dcterms:W3CDTF">2026-02-17T16:08:18Z</dcterms:modified>
</cp:coreProperties>
</file>