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color w:val="auto"/>
        </w:rPr>
        <w:t>FORM 8-K</w:t>
      </w:r>
    </w:p>
    <w:p>
      <w:pPr>
        <w:spacing w:after="0" w:line="2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CURRENT REPORT</w:t>
      </w: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5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February 12, 2026</w:t>
            </w:r>
          </w:p>
        </w:tc>
      </w:tr>
      <w:tr>
        <w:trPr>
          <w:trHeight w:val="739"/>
        </w:trPr>
        <w:tc>
          <w:tcPr>
            <w:tcW w:w="3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80" w:type="dxa"/>
            <w:vAlign w:val="bottom"/>
            <w:gridSpan w:val="2"/>
          </w:tcPr>
          <w:p>
            <w:pPr>
              <w:jc w:val="center"/>
              <w:ind w:right="780"/>
              <w:spacing w:after="0"/>
              <w:rPr>
                <w:sz w:val="20"/>
                <w:szCs w:val="20"/>
                <w:color w:val="auto"/>
              </w:rPr>
            </w:pPr>
            <w:r>
              <w:rPr>
                <w:rFonts w:ascii="Times New Roman" w:cs="Times New Roman" w:eastAsia="Times New Roman" w:hAnsi="Times New Roman"/>
                <w:sz w:val="43"/>
                <w:szCs w:val="43"/>
                <w:color w:val="auto"/>
                <w:w w:val="99"/>
              </w:rPr>
              <w:t>Cohu, Inc.</w:t>
            </w:r>
          </w:p>
        </w:tc>
        <w:tc>
          <w:tcPr>
            <w:tcW w:w="2140" w:type="dxa"/>
            <w:vAlign w:val="bottom"/>
          </w:tcPr>
          <w:p>
            <w:pPr>
              <w:spacing w:after="0"/>
              <w:rPr>
                <w:sz w:val="24"/>
                <w:szCs w:val="24"/>
                <w:color w:val="auto"/>
              </w:rPr>
            </w:pPr>
          </w:p>
        </w:tc>
      </w:tr>
      <w:tr>
        <w:trPr>
          <w:trHeight w:val="246"/>
        </w:trPr>
        <w:tc>
          <w:tcPr>
            <w:tcW w:w="3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63"/>
        </w:trPr>
        <w:tc>
          <w:tcPr>
            <w:tcW w:w="3700" w:type="dxa"/>
            <w:vAlign w:val="bottom"/>
          </w:tcPr>
          <w:p>
            <w:pPr>
              <w:spacing w:after="0"/>
              <w:rPr>
                <w:sz w:val="22"/>
                <w:szCs w:val="22"/>
                <w:color w:val="auto"/>
              </w:rPr>
            </w:pPr>
          </w:p>
        </w:tc>
        <w:tc>
          <w:tcPr>
            <w:tcW w:w="4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140" w:type="dxa"/>
            <w:vAlign w:val="bottom"/>
          </w:tcPr>
          <w:p>
            <w:pPr>
              <w:spacing w:after="0"/>
              <w:rPr>
                <w:sz w:val="22"/>
                <w:szCs w:val="22"/>
                <w:color w:val="auto"/>
              </w:rPr>
            </w:pPr>
          </w:p>
        </w:tc>
      </w:tr>
      <w:tr>
        <w:trPr>
          <w:trHeight w:val="414"/>
        </w:trPr>
        <w:tc>
          <w:tcPr>
            <w:tcW w:w="3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Delaware</w:t>
            </w:r>
          </w:p>
        </w:tc>
        <w:tc>
          <w:tcPr>
            <w:tcW w:w="3320" w:type="dxa"/>
            <w:vAlign w:val="bottom"/>
            <w:gridSpan w:val="2"/>
          </w:tcPr>
          <w:p>
            <w:pPr>
              <w:jc w:val="right"/>
              <w:ind w:right="879"/>
              <w:spacing w:after="0"/>
              <w:rPr>
                <w:sz w:val="20"/>
                <w:szCs w:val="20"/>
                <w:color w:val="auto"/>
              </w:rPr>
            </w:pPr>
            <w:r>
              <w:rPr>
                <w:rFonts w:ascii="Times New Roman" w:cs="Times New Roman" w:eastAsia="Times New Roman" w:hAnsi="Times New Roman"/>
                <w:sz w:val="18"/>
                <w:szCs w:val="18"/>
                <w:color w:val="auto"/>
              </w:rPr>
              <w:t>001-04298</w:t>
            </w:r>
          </w:p>
        </w:tc>
        <w:tc>
          <w:tcPr>
            <w:tcW w:w="780" w:type="dxa"/>
            <w:vAlign w:val="bottom"/>
          </w:tcPr>
          <w:p>
            <w:pPr>
              <w:spacing w:after="0"/>
              <w:rPr>
                <w:sz w:val="24"/>
                <w:szCs w:val="24"/>
                <w:color w:val="auto"/>
              </w:rPr>
            </w:pP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95-1934119</w:t>
            </w:r>
          </w:p>
        </w:tc>
      </w:tr>
      <w:tr>
        <w:trPr>
          <w:trHeight w:val="216"/>
        </w:trPr>
        <w:tc>
          <w:tcPr>
            <w:tcW w:w="37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_____________________</w:t>
            </w:r>
          </w:p>
        </w:tc>
        <w:tc>
          <w:tcPr>
            <w:tcW w:w="33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_____________</w:t>
            </w:r>
          </w:p>
        </w:tc>
        <w:tc>
          <w:tcPr>
            <w:tcW w:w="780" w:type="dxa"/>
            <w:vAlign w:val="bottom"/>
          </w:tcPr>
          <w:p>
            <w:pPr>
              <w:spacing w:after="0"/>
              <w:rPr>
                <w:sz w:val="18"/>
                <w:szCs w:val="18"/>
                <w:color w:val="auto"/>
              </w:rPr>
            </w:pP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3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20" w:type="dxa"/>
            <w:vAlign w:val="bottom"/>
          </w:tcPr>
          <w:p>
            <w:pPr>
              <w:spacing w:after="0"/>
              <w:rPr>
                <w:sz w:val="18"/>
                <w:szCs w:val="18"/>
                <w:color w:val="auto"/>
              </w:rPr>
            </w:pPr>
          </w:p>
        </w:tc>
        <w:tc>
          <w:tcPr>
            <w:tcW w:w="35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rPr>
              <w:t>(Commission</w:t>
            </w:r>
          </w:p>
        </w:tc>
        <w:tc>
          <w:tcPr>
            <w:tcW w:w="2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of incorporation)</w:t>
            </w:r>
          </w:p>
        </w:tc>
        <w:tc>
          <w:tcPr>
            <w:tcW w:w="520" w:type="dxa"/>
            <w:vAlign w:val="bottom"/>
          </w:tcPr>
          <w:p>
            <w:pPr>
              <w:spacing w:after="0"/>
              <w:rPr>
                <w:sz w:val="20"/>
                <w:szCs w:val="20"/>
                <w:color w:val="auto"/>
              </w:rPr>
            </w:pPr>
          </w:p>
        </w:tc>
        <w:tc>
          <w:tcPr>
            <w:tcW w:w="35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rPr>
              <w:t>File Number)</w:t>
            </w: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17087 Via Del Campo, San Diego, California</w:t>
            </w:r>
          </w:p>
        </w:tc>
        <w:tc>
          <w:tcPr>
            <w:tcW w:w="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7"/>
              </w:rPr>
              <w:t>92127</w:t>
            </w:r>
          </w:p>
        </w:tc>
      </w:tr>
      <w:tr>
        <w:trPr>
          <w:trHeight w:val="216"/>
        </w:trPr>
        <w:tc>
          <w:tcPr>
            <w:tcW w:w="3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___________</w:t>
            </w:r>
          </w:p>
        </w:tc>
      </w:tr>
      <w:tr>
        <w:trPr>
          <w:trHeight w:val="234"/>
        </w:trPr>
        <w:tc>
          <w:tcPr>
            <w:tcW w:w="3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7800" w:type="dxa"/>
            <w:vAlign w:val="bottom"/>
            <w:gridSpan w:val="4"/>
          </w:tcPr>
          <w:p>
            <w:pPr>
              <w:jc w:val="center"/>
              <w:ind w:right="38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858-848-8100</w:t>
            </w:r>
          </w:p>
        </w:tc>
      </w:tr>
      <w:tr>
        <w:trPr>
          <w:trHeight w:val="432"/>
        </w:trPr>
        <w:tc>
          <w:tcPr>
            <w:tcW w:w="3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21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91"/>
        </w:trPr>
        <w:tc>
          <w:tcPr>
            <w:tcW w:w="15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500" w:type="dxa"/>
            <w:vAlign w:val="bottom"/>
          </w:tcPr>
          <w:p>
            <w:pPr>
              <w:spacing w:after="0"/>
              <w:rPr>
                <w:sz w:val="24"/>
                <w:szCs w:val="24"/>
                <w:color w:val="auto"/>
              </w:rPr>
            </w:pPr>
          </w:p>
        </w:tc>
        <w:tc>
          <w:tcPr>
            <w:tcW w:w="292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0"/>
        </w:trPr>
        <w:tc>
          <w:tcPr>
            <w:tcW w:w="1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40" w:type="dxa"/>
            <w:vAlign w:val="bottom"/>
          </w:tcPr>
          <w:p>
            <w:pPr>
              <w:spacing w:after="0"/>
              <w:rPr>
                <w:sz w:val="20"/>
                <w:szCs w:val="20"/>
                <w:color w:val="auto"/>
              </w:rPr>
            </w:pPr>
          </w:p>
        </w:tc>
        <w:tc>
          <w:tcPr>
            <w:tcW w:w="268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7"/>
              </w:rPr>
              <w:t>COHU</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February 12, 2026, the Company issued a press release regarding its financial results for the fourth fiscal quarter and full year ended December 27, 2025. The Company’s press release is attached as Exhibit 99.1 to this Current Report on Form 8-K and incorporated by reference herein.</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Included within this current report are non-GAAP financial measures, including non-GAAP Gross Margin/Profit, Net loss and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impairments, change in indemnification receivable, duplicate facility costs, acquisition and transaction related costs and associated professional fees, depreciation of purchase accounting adjustments to property, plant and equipment, fair value adjustment to contingent consideration, pension curtailment adjustments,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current report may be considered forward-looking statements within the meaning of the U.S. Private Securities Litigation Reform Act of 1995, including statements regarding effects of growth in revenue in certain vertical markets, recurring revenue trends or test cell utilization metrics and corresponding financial impacts; new market entries, product introductions or customer adoptions and corresponding performance metrics or financial impacts; product market projected growth and market sizes and related revenue opportunities; expectations related to our FY2026 outlook, including quarterly projections;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188" w:lineRule="exact"/>
        <w:rPr>
          <w:sz w:val="20"/>
          <w:szCs w:val="20"/>
          <w:color w:val="auto"/>
        </w:rPr>
      </w:pPr>
    </w:p>
    <w:p>
      <w:pPr>
        <w:ind w:right="200"/>
        <w:spacing w:after="0" w:line="218" w:lineRule="exact"/>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rapid technology changes and product transition and investment risks; industry cyclicality, seasonality and volatility; outsourced manufacturing and supply chain disruptions or dependencies; product defects and quality issues; supplier concentration and part shortages; inflation and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exposure; high customer concentration and rapid innovation cycles; semiconductor industry consolidation; operational strain from rapid shifts in demands; failure to meet innovation demands of customers and industries; talent attraction and retention challenges;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risks; international operations complexity; trade barriers and tariffs; geopolitical instability; natural disasters and health events; climate transition and physical risks; stakeholder ESG expectations; M&amp;A and strategic transaction risks; acquisition integration risks; risks related to gaining access to capital; foreign currency exposure; restructuring and impairment charges; financial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institution instability; goodwill and intangible asset impairment charges; stock price volatility; underperformance against stock price or financial metric targets; indebtedness and covenant limits; dilution from equity issuances or note conversions; share repurchase uncertainties;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export controls and trade regulation; tax law changes and audits; environmental regulatory compliance; changing U.S. and foreign policy landscape; cybersecurity breaches or threats; IP protection challenges; IP infringement claims; data privacy obligations; or litigation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ind w:right="9820" w:firstLine="8"/>
        <w:spacing w:after="0" w:line="500"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No. - 99.1</w:t>
      </w:r>
    </w:p>
    <w:p>
      <w:pPr>
        <w:spacing w:after="0" w:line="1" w:lineRule="exact"/>
        <w:rPr>
          <w:rFonts w:ascii="Times New Roman" w:cs="Times New Roman" w:eastAsia="Times New Roman" w:hAnsi="Times New Roman"/>
          <w:sz w:val="18"/>
          <w:szCs w:val="18"/>
          <w:color w:val="auto"/>
        </w:rPr>
      </w:pPr>
    </w:p>
    <w:p>
      <w:pPr>
        <w:ind w:right="44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Fourth Quarter and Full Year 2025 Earnings Release, dated February 12, 2026, of Cohu, Inc. </w:t>
      </w:r>
      <w:r>
        <w:rPr>
          <w:rFonts w:ascii="Times New Roman" w:cs="Times New Roman" w:eastAsia="Times New Roman" w:hAnsi="Times New Roman"/>
          <w:sz w:val="18"/>
          <w:szCs w:val="18"/>
          <w:color w:val="000000"/>
        </w:rPr>
        <w:t>Exhibit No. - 104</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Cohu, Inc.</w:t>
      </w:r>
    </w:p>
    <w:p>
      <w:pPr>
        <w:spacing w:after="0" w:line="223" w:lineRule="exact"/>
        <w:rPr>
          <w:sz w:val="20"/>
          <w:szCs w:val="20"/>
          <w:color w:val="auto"/>
        </w:rPr>
      </w:pPr>
    </w:p>
    <w:p>
      <w:pPr>
        <w:spacing w:after="0"/>
        <w:tabs>
          <w:tab w:leader="none" w:pos="5660" w:val="left"/>
          <w:tab w:leader="none" w:pos="6360" w:val="left"/>
        </w:tabs>
        <w:rPr>
          <w:sz w:val="20"/>
          <w:szCs w:val="20"/>
          <w:color w:val="auto"/>
        </w:rPr>
      </w:pPr>
      <w:r>
        <w:rPr>
          <w:rFonts w:ascii="Times New Roman" w:cs="Times New Roman" w:eastAsia="Times New Roman" w:hAnsi="Times New Roman"/>
          <w:sz w:val="18"/>
          <w:szCs w:val="18"/>
          <w:color w:val="auto"/>
        </w:rPr>
        <w:t>February 12, 2026</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Jeffrey D. Jones</w:t>
      </w:r>
    </w:p>
    <w:p>
      <w:pPr>
        <w:spacing w:after="0" w:line="23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-126365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Title: Senior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864"/>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 w:type="dxa"/>
            <w:vAlign w:val="bottom"/>
          </w:tcPr>
          <w:p>
            <w:pPr>
              <w:spacing w:after="0"/>
              <w:rPr>
                <w:sz w:val="24"/>
                <w:szCs w:val="24"/>
                <w:color w:val="auto"/>
              </w:rPr>
            </w:pPr>
          </w:p>
        </w:tc>
        <w:tc>
          <w:tcPr>
            <w:tcW w:w="8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and Full Year 2025 Earnings Release, dated February 12, 2026, of Cohu, Inc.</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580"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164465</wp:posOffset>
            </wp:positionV>
            <wp:extent cx="2143125" cy="1397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COHU, INC.</w:t>
      </w:r>
    </w:p>
    <w:p>
      <w:pPr>
        <w:spacing w:after="0" w:line="2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17087 VIA DEL CAMPO</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SAN DIEGO, CA 92127</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FAX (858) 848-8185</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PHONE (858) 858-8100</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www.cohu.com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Reports Fourth Quarter 2025 Results</w:t>
      </w:r>
    </w:p>
    <w:p>
      <w:pPr>
        <w:spacing w:after="0" w:line="227" w:lineRule="exact"/>
        <w:rPr>
          <w:sz w:val="20"/>
          <w:szCs w:val="20"/>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Full year 2025 revenue of $453.0 million, up 13% year-over-year</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Full year 2025 gross margin of 42.7%; non-GAAP gross margin of 43.3%</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revenue of $122.2 million, up 30% year-over-year</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recurring revenue grew 4% quarter-over-quarter and 25% year-over-year</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SAN DIEGO, Calif., February 12, 2026 – Cohu, Inc. (NASDAQ: COHU), a global supplier of equipment and services optimizing semiconductor manufacturing yield and productivity, today reported fiscal 2025 fourth quarter net sales of $122.2 million and GAAP loss of $22.5 million or $0.48 per share. Net sales for full year 2025 were $453.0 million with GAAP loss of $74.3 million or $1.59 per share.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also reported non-GAAP results, with fourth quarter 2025 loss of $7.2 million or $0.15 per share and loss of $10.1 million or $0.22 per share for full year 2025.</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6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Q4 FY</w:t>
            </w: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Q3 FY</w:t>
            </w:r>
          </w:p>
        </w:tc>
        <w:tc>
          <w:tcPr>
            <w:tcW w:w="2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Q4 FY</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38"/>
        </w:trPr>
        <w:tc>
          <w:tcPr>
            <w:tcW w:w="4620" w:type="dxa"/>
            <w:vAlign w:val="bottom"/>
            <w:tcBorders>
              <w:lef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62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126.2</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94.1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453.0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198"/>
        </w:trPr>
        <w:tc>
          <w:tcPr>
            <w:tcW w:w="4620" w:type="dxa"/>
            <w:vAlign w:val="bottom"/>
            <w:tcBorders>
              <w:left w:val="single" w:sz="8" w:color="auto"/>
            </w:tcBorders>
          </w:tcPr>
          <w:p>
            <w:pPr>
              <w:spacing w:after="0"/>
              <w:rPr>
                <w:sz w:val="17"/>
                <w:szCs w:val="17"/>
                <w:color w:val="auto"/>
              </w:rPr>
            </w:pPr>
          </w:p>
        </w:tc>
        <w:tc>
          <w:tcPr>
            <w:tcW w:w="20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4"/>
        </w:trPr>
        <w:tc>
          <w:tcPr>
            <w:tcW w:w="4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Borders>
              <w:left w:val="single" w:sz="8" w:color="auto"/>
            </w:tcBorders>
          </w:tcPr>
          <w:p>
            <w:pPr>
              <w:ind w:left="180"/>
              <w:spacing w:after="0" w:line="189" w:lineRule="exact"/>
              <w:rPr>
                <w:sz w:val="20"/>
                <w:szCs w:val="20"/>
                <w:color w:val="auto"/>
              </w:rPr>
            </w:pPr>
            <w:r>
              <w:rPr>
                <w:rFonts w:ascii="Times New Roman" w:cs="Times New Roman" w:eastAsia="Times New Roman" w:hAnsi="Times New Roman"/>
                <w:sz w:val="18"/>
                <w:szCs w:val="18"/>
                <w:b w:val="1"/>
                <w:bCs w:val="1"/>
                <w:color w:val="auto"/>
              </w:rPr>
              <w:t>Non-GAAP Results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Q4 FY</w:t>
            </w: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Q3 FY</w:t>
            </w:r>
          </w:p>
        </w:tc>
        <w:tc>
          <w:tcPr>
            <w:tcW w:w="2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Q4 FY</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38"/>
        </w:trPr>
        <w:tc>
          <w:tcPr>
            <w:tcW w:w="4620" w:type="dxa"/>
            <w:vAlign w:val="bottom"/>
            <w:tcBorders>
              <w:lef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2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8"/>
        </w:trPr>
        <w:tc>
          <w:tcPr>
            <w:tcW w:w="4620" w:type="dxa"/>
            <w:vAlign w:val="bottom"/>
            <w:tcBorders>
              <w:left w:val="single" w:sz="8" w:color="auto"/>
            </w:tcBorders>
          </w:tcPr>
          <w:p>
            <w:pPr>
              <w:spacing w:after="0"/>
              <w:rPr>
                <w:sz w:val="17"/>
                <w:szCs w:val="17"/>
                <w:color w:val="auto"/>
              </w:rPr>
            </w:pPr>
          </w:p>
        </w:tc>
        <w:tc>
          <w:tcPr>
            <w:tcW w:w="20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Total cash and investments at the end of fourth quarter 2025 were $484.0 million. On September 29, 2025, the Company issued $287.5 million of 1.50% Convertible Senior Notes due 2031, including the full $27.5 million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allotment option. Net proceeds totaled approximately $246.7 million after debt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issuance costs and capped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 transactions. Cohu did not repurchase any shares of its common stock during fourth quarter 2025.</w:t>
      </w:r>
    </w:p>
    <w:p>
      <w:pPr>
        <w:spacing w:after="0" w:line="171" w:lineRule="exact"/>
        <w:rPr>
          <w:sz w:val="20"/>
          <w:szCs w:val="20"/>
          <w:color w:val="auto"/>
        </w:rPr>
      </w:pPr>
    </w:p>
    <w:p>
      <w:pPr>
        <w:ind w:right="260"/>
        <w:spacing w:after="0" w:line="220" w:lineRule="exact"/>
        <w:rPr>
          <w:sz w:val="20"/>
          <w:szCs w:val="20"/>
          <w:color w:val="auto"/>
        </w:rPr>
      </w:pPr>
      <w:r>
        <w:rPr>
          <w:rFonts w:ascii="Times New Roman" w:cs="Times New Roman" w:eastAsia="Times New Roman" w:hAnsi="Times New Roman"/>
          <w:sz w:val="18"/>
          <w:szCs w:val="18"/>
          <w:color w:val="auto"/>
        </w:rPr>
        <w:t>“Cohu delivered Q4 revenue of $122 million, up 30% year over year, supported by improving market fundamentals with estimated test cell utilization increasing to 76% in December. Fourth quarter recurring revenue is up 25% year-over-year driven by strong demand across services, interface solutions, and handler-related spares business,” said Cohu President and CEO Luis Müller. “Design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win momentum remains robust, spanning automotive ADAS, power devices, computing AI, and HBM inspection metrology solutions.”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expects first quarter 2026 sales to be in a range of $122 million +/- $7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host a live conference call and webcast with slides to discuss fourth quarter 2025 results at 1:30 p.m. Pacific Time/4:30 p.m. Eastern Time on February 12, 2026. Interested parties may listen live via webcast on Cohu’s investor relations website at </w:t>
      </w:r>
      <w:r>
        <w:rPr>
          <w:rFonts w:ascii="Times New Roman" w:cs="Times New Roman" w:eastAsia="Times New Roman" w:hAnsi="Times New Roman"/>
          <w:sz w:val="18"/>
          <w:szCs w:val="18"/>
          <w:u w:val="single" w:color="auto"/>
          <w:color w:val="auto"/>
        </w:rPr>
        <w:t>https://edge.media-server.com/mmc/p/72a3rqim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To participate via telephone and join the call live, please register in advance at </w:t>
      </w:r>
      <w:r>
        <w:rPr>
          <w:rFonts w:ascii="Times New Roman" w:cs="Times New Roman" w:eastAsia="Times New Roman" w:hAnsi="Times New Roman"/>
          <w:sz w:val="18"/>
          <w:szCs w:val="18"/>
          <w:u w:val="single" w:color="auto"/>
          <w:color w:val="auto"/>
        </w:rPr>
        <w:t>https://register-conf.media-server.com/register/BI04e278675daf4424a7d54548401241d5</w:t>
      </w:r>
      <w:r>
        <w:rPr>
          <w:rFonts w:ascii="Times New Roman" w:cs="Times New Roman" w:eastAsia="Times New Roman" w:hAnsi="Times New Roman"/>
          <w:sz w:val="18"/>
          <w:szCs w:val="18"/>
          <w:color w:val="auto"/>
        </w:rPr>
        <w:t xml:space="preserve"> to receive the dial-in number along with a unique PIN number that can be used to access the call.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Cohu, Inc. (NASDAQ: COHU) is a global supplier delivering test, automation, inspection &amp; metrology products, software analytics solutions and services to the semiconductor industry. Cohu’s differentiated and broad product portfolio enables optimized yield and productivity, accelerating customers’ manufacturing time-to-market.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 xml:space="preserve">Included within this press release and accompanying materials are non-GAAP financial measures, including non-GAAP Gross Margin/Profit, Net loss and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impairments, change in indemnification receivable, duplicate facility costs, acquisition and transaction related costs and associated professional fees, depreciation of purchase accounting adjustments to property, plant and equipment, fair value adjustment to contingent consideration, pension curtailment adjustments, amortization of cloud-based software implementation costs (Adjusted EBITDA </w:t>
      </w:r>
      <w:r>
        <w:rPr>
          <w:rFonts w:ascii="Times New Roman" w:cs="Times New Roman" w:eastAsia="Times New Roman" w:hAnsi="Times New Roman"/>
          <w:sz w:val="17"/>
          <w:szCs w:val="17"/>
          <w:u w:val="single" w:color="auto"/>
          <w:color w:val="auto"/>
        </w:rPr>
        <w:t>only</w:t>
      </w:r>
      <w:r>
        <w:rPr>
          <w:rFonts w:ascii="Times New Roman" w:cs="Times New Roman" w:eastAsia="Times New Roman" w:hAnsi="Times New Roman"/>
          <w:sz w:val="17"/>
          <w:szCs w:val="17"/>
          <w:color w:val="auto"/>
        </w:rPr>
        <w:t xml:space="preserve">) and loss on extinguishment of debt (Adjusted EBITDA </w:t>
      </w:r>
      <w:r>
        <w:rPr>
          <w:rFonts w:ascii="Times New Roman" w:cs="Times New Roman" w:eastAsia="Times New Roman" w:hAnsi="Times New Roman"/>
          <w:sz w:val="17"/>
          <w:szCs w:val="17"/>
          <w:u w:val="single" w:color="auto"/>
          <w:color w:val="auto"/>
        </w:rPr>
        <w:t>only</w:t>
      </w:r>
      <w:r>
        <w:rPr>
          <w:rFonts w:ascii="Times New Roman" w:cs="Times New Roman" w:eastAsia="Times New Roman" w:hAnsi="Times New Roman"/>
          <w:sz w:val="17"/>
          <w:szCs w:val="17"/>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release and accompanying materials may be considered forward-looking statements within the meaning of the U.S. Private Securities Litigation Reform Act of 1995, including statements regarding effects of growth in revenue in certain vertical markets, recurring revenue trends or test cell utilization metrics and corresponding financial impacts; new market entries, product introductions or customer adoptions and corresponding performance metrics or financial impacts; product market projected growth and market sizes and related revenue opportunities; expectations related to our FY2026 outlook, including quarterly projections;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 w:name="page8"/>
    <w:bookmarkEnd w:id="7"/>
    <w:p>
      <w:pPr>
        <w:ind w:right="120"/>
        <w:spacing w:after="0" w:line="218" w:lineRule="exact"/>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rapid technology changes and product transition and investment risks; industry cyclicality, seasonality and volatility; outsourced manufacturing and supply chain disruptions or dependencies; product defects and quality issues; supplier concentration and part shortages; inflation and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exposure; high customer concentration and rapid innovation cycles; semiconductor industry consolidation; operational strain from rapid shifts in demands; failure to meet innovation demands of customers and industries; talent attraction and retention challenges;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risks; international operations complexity; trade barriers and tariffs; geopolitical instability; natural disasters and health events; climate transition and physical risks; stakeholder ESG expectations; M&amp;A and strategic transaction risks; acquisition integration risks; risks related to gaining access to capital; foreign currency exposure; restructuring and impairment charges; financial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institution instability; goodwill and intangible asset impairment charges; stock price volatility; underperformance against stock price or financial metric targets; indebtedness and covenant limits; dilution from equity issuances or note conversions; share repurchase uncertainties;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export controls and trade regulation; tax law changes and audits; environmental regulatory compliance; changing U.S. and foreign policy landscape; cybersecurity breaches or threats; IP protection challenges; IP infringement claims; data privacy obligations; or litigation risk.</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press releases and other information of interest to investors, please visit Cohu’s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 xml:space="preserve">Three Months Ended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4"/>
                <w:szCs w:val="24"/>
                <w:color w:val="auto"/>
              </w:rPr>
            </w:pPr>
          </w:p>
        </w:tc>
        <w:tc>
          <w:tcPr>
            <w:tcW w:w="23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Twelve Months Ended </w:t>
            </w:r>
            <w:r>
              <w:rPr>
                <w:rFonts w:ascii="Times New Roman" w:cs="Times New Roman" w:eastAsia="Times New Roman" w:hAnsi="Times New Roman"/>
                <w:sz w:val="29"/>
                <w:szCs w:val="29"/>
                <w:color w:val="auto"/>
                <w:vertAlign w:val="superscript"/>
              </w:rPr>
              <w:t>(1)</w:t>
            </w:r>
          </w:p>
        </w:tc>
      </w:tr>
      <w:tr>
        <w:trPr>
          <w:trHeight w:val="229"/>
        </w:trPr>
        <w:tc>
          <w:tcPr>
            <w:tcW w:w="5980" w:type="dxa"/>
            <w:vAlign w:val="bottom"/>
          </w:tcPr>
          <w:p>
            <w:pPr>
              <w:spacing w:after="0"/>
              <w:rPr>
                <w:sz w:val="19"/>
                <w:szCs w:val="19"/>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December 28,</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27,</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28,</w:t>
            </w:r>
          </w:p>
        </w:tc>
      </w:tr>
      <w:tr>
        <w:trPr>
          <w:trHeight w:val="238"/>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2025 </w:t>
            </w:r>
            <w:r>
              <w:rPr>
                <w:rFonts w:ascii="Times New Roman" w:cs="Times New Roman" w:eastAsia="Times New Roman" w:hAnsi="Times New Roman"/>
                <w:sz w:val="27"/>
                <w:szCs w:val="27"/>
                <w:b w:val="1"/>
                <w:bCs w:val="1"/>
                <w:color w:val="auto"/>
                <w:vertAlign w:val="superscript"/>
              </w:rPr>
              <w:t>(2)</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2025 </w:t>
            </w:r>
            <w:r>
              <w:rPr>
                <w:rFonts w:ascii="Times New Roman" w:cs="Times New Roman" w:eastAsia="Times New Roman" w:hAnsi="Times New Roman"/>
                <w:sz w:val="27"/>
                <w:szCs w:val="27"/>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122,230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452,956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401,779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amortization)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54,656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259,337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221,485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20,795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92,213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84,797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30,540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123,566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128,037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37,466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39,087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137,721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115,749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522,725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473,447</w:t>
            </w:r>
          </w:p>
        </w:tc>
      </w:tr>
      <w:tr>
        <w:trPr>
          <w:trHeight w:val="20"/>
        </w:trPr>
        <w:tc>
          <w:tcPr>
            <w:tcW w:w="5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(15,491)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(69,769)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(71,668)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curtailment gain (loss)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(13,795)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(19,303)</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(62,407)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(64,946)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4,872</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(22,488)</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(74,273)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(69,818)</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(0.48)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(0.48)</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(0.46)</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(1.59)</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shares used in computing loss per share: </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46,838</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46,719</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46,723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46,908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46,838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46,719</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46,723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46,908</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
        </w:trPr>
        <w:tc>
          <w:tcPr>
            <w:tcW w:w="5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pacing w:after="0" w:line="252" w:lineRule="exact"/>
        <w:rPr>
          <w:sz w:val="20"/>
          <w:szCs w:val="20"/>
          <w:color w:val="auto"/>
        </w:rPr>
      </w:pPr>
    </w:p>
    <w:p>
      <w:pPr>
        <w:ind w:left="340" w:right="9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twelve-month periods ended December 27, 2025, and December 28, 2024, were both comprised of 13 weeks and 52 weeks, respectively.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2025, the Company completed the acquisition of Tignis, Inc. and the results of Tignis’ operations have been included since that date.</w:t>
      </w:r>
    </w:p>
    <w:p>
      <w:pPr>
        <w:spacing w:after="0" w:line="22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both the three- and twelve-month periods ended December 27, 2025, and December 28, 2024, potentially dilutive securities were excluded from the per share computations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30,</w:t>
            </w: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Cash and investments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483,981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262,092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108,754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91,619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129,006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141,861</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28,249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38,735</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749,990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76,987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74,786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283,027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234,639</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79,272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110,717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29,271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13,908</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24,435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31,058</w:t>
            </w: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1,242,982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9,807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8,626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89,401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79,847</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109,078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285,026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31,693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9,893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31,646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40,395</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stockholders’ equity</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785,539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856,891</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1,242,982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
        </w:trPr>
        <w:tc>
          <w:tcPr>
            <w:tcW w:w="8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pacing w:after="0" w:line="252" w:lineRule="exact"/>
        <w:rPr>
          <w:sz w:val="20"/>
          <w:szCs w:val="20"/>
          <w:color w:val="auto"/>
        </w:rPr>
      </w:pPr>
    </w:p>
    <w:p>
      <w:pPr>
        <w:ind w:left="340" w:right="120" w:hanging="332"/>
        <w:spacing w:after="0" w:line="232" w:lineRule="exact"/>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2025, the Company made a cash payment of $34.8 million, net of cash received, to acquire Tignis, Inc. and on September 29, 2025, the Company issued $287.5 million of 1.50% Convertible Senior Notes due 2031, including the full $27.5 million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allotment option. Net proceeds totaled approximately $246.7 million after debt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issuance costs and capped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jc w:val="right"/>
              <w:ind w:right="41"/>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December 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September 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December 28,</w:t>
            </w:r>
          </w:p>
        </w:tc>
      </w:tr>
      <w:tr>
        <w:trPr>
          <w:trHeight w:val="234"/>
        </w:trPr>
        <w:tc>
          <w:tcPr>
            <w:tcW w:w="56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 GAAP basis (a)</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(21,627)</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966</w:t>
            </w:r>
          </w:p>
        </w:tc>
      </w:tr>
      <w:tr>
        <w:trPr>
          <w:trHeight w:val="229"/>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4,025</w:t>
            </w:r>
          </w:p>
        </w:tc>
      </w:tr>
      <w:tr>
        <w:trPr>
          <w:trHeight w:val="209"/>
        </w:trPr>
        <w:tc>
          <w:tcPr>
            <w:tcW w:w="5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9,753</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transition and severance costs included in (e):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w:t>
            </w:r>
          </w:p>
        </w:tc>
      </w:tr>
      <w:tr>
        <w:trPr>
          <w:trHeight w:val="209"/>
        </w:trPr>
        <w:tc>
          <w:tcPr>
            <w:tcW w:w="5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 included in SG&amp;A (f)</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indemnification receivable included in SG&amp;A (g)</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Duplicate facility costs included in SG&amp;A (h)</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and financing costs included in SG&amp;A (i)</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407</w:t>
            </w:r>
          </w:p>
        </w:tc>
      </w:tr>
      <w:tr>
        <w:trPr>
          <w:trHeight w:val="26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 - non-GAAP basis (j)</w:t>
            </w:r>
          </w:p>
        </w:tc>
        <w:tc>
          <w:tcPr>
            <w:tcW w:w="7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loss - GAAP basis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(21,358)</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17,426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15,659</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(k)</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curtailment adjustment (l)</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 non-GAAP basis</w:t>
            </w:r>
          </w:p>
        </w:tc>
        <w:tc>
          <w:tcPr>
            <w:tcW w:w="7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 per share - diluted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5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per share - diluted (m)</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and improve our cost structure.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Management believes the change in an uncertain tax position liability and related indemnification receivable is better reflected within income tax expense rather than SG&amp;A. Duplicate facility costs have been excluded to provide investors a clearer view of ongoing operational performance by removing temporary expenses that do not reflect the Company’s ongoing operations. Acquisition costs, certain professional service costs related to convertible notes, and fair value adjustments to contingent consideration have been excluded by management, as they are not related to the core operating activities of the Company and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9" w:lineRule="exact"/>
        <w:rPr>
          <w:sz w:val="20"/>
          <w:szCs w:val="20"/>
          <w:color w:val="auto"/>
        </w:rPr>
      </w:pPr>
    </w:p>
    <w:p>
      <w:pPr>
        <w:ind w:left="420" w:hanging="331"/>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 (7.7)% and (23.0)% of net sales, respectively.</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manufacturing transition and severance costs.</w:t>
      </w:r>
    </w:p>
    <w:p>
      <w:pPr>
        <w:spacing w:after="0" w:line="9" w:lineRule="exact"/>
        <w:rPr>
          <w:rFonts w:ascii="Times New Roman" w:cs="Times New Roman" w:eastAsia="Times New Roman" w:hAnsi="Times New Roman"/>
          <w:sz w:val="18"/>
          <w:szCs w:val="18"/>
          <w:color w:val="auto"/>
        </w:rPr>
      </w:pPr>
    </w:p>
    <w:p>
      <w:pPr>
        <w:ind w:left="420" w:right="80" w:hanging="331"/>
        <w:spacing w:after="0" w:line="216" w:lineRule="exact"/>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impacts of the Company’s investment in Fraes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und Technologiezentrum GmbH Frasdorf, including the 2024 impairment charge and the subsequent gain recognized upon its sale in 2025.</w:t>
      </w:r>
    </w:p>
    <w:p>
      <w:pPr>
        <w:ind w:left="420" w:hanging="331"/>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 of the change in an uncertain tax position liability and related indemnification receivable.</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duplicative facility-related expenses incurred during the build-out of certain new Cohu locations.</w:t>
      </w:r>
    </w:p>
    <w:p>
      <w:pPr>
        <w:spacing w:after="0" w:line="9" w:lineRule="exact"/>
        <w:rPr>
          <w:rFonts w:ascii="Times New Roman" w:cs="Times New Roman" w:eastAsia="Times New Roman" w:hAnsi="Times New Roman"/>
          <w:sz w:val="18"/>
          <w:szCs w:val="18"/>
          <w:color w:val="auto"/>
        </w:rPr>
      </w:pPr>
    </w:p>
    <w:p>
      <w:pPr>
        <w:ind w:left="420" w:right="460" w:hanging="331"/>
        <w:spacing w:after="0" w:line="250"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certain professional service fees and other direct incremental expenses incurred in connection with acquisitions and the issuance of convertible notes.</w:t>
      </w:r>
    </w:p>
    <w:p>
      <w:pPr>
        <w:ind w:left="420" w:hanging="331"/>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 6.1% and (6.3)% of net sales, respectively.</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9" w:lineRule="exact"/>
        <w:rPr>
          <w:rFonts w:ascii="Times New Roman" w:cs="Times New Roman" w:eastAsia="Times New Roman" w:hAnsi="Times New Roman"/>
          <w:sz w:val="18"/>
          <w:szCs w:val="18"/>
          <w:color w:val="auto"/>
        </w:rPr>
      </w:pPr>
    </w:p>
    <w:p>
      <w:pPr>
        <w:ind w:left="420" w:right="260" w:hanging="331"/>
        <w:spacing w:after="0" w:line="250"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pension curtailment adjustment recognized associated with headcount reductions made as part of the 2025 Strategic Restructuring plan.</w:t>
      </w:r>
    </w:p>
    <w:p>
      <w:pPr>
        <w:ind w:left="420" w:hanging="331"/>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periods presented were calculated using the number of GAAP diluted shares outstanding.</w:t>
      </w:r>
    </w:p>
    <w:p>
      <w:pPr>
        <w:sectPr>
          <w:pgSz w:w="11900" w:h="16838" w:orient="portrait"/>
          <w:cols w:equalWidth="0" w:num="1">
            <w:col w:w="11240"/>
          </w:cols>
          <w:pgMar w:left="320" w:top="576" w:right="339" w:bottom="0" w:gutter="0" w:footer="0" w:header="0"/>
        </w:sectPr>
      </w:pPr>
    </w:p>
    <w:bookmarkStart w:id="11" w:name="page12"/>
    <w:bookmarkEnd w:id="1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29"/>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December 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December 28,</w:t>
            </w: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 GAAP basis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(71,668)</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3,566</w:t>
            </w: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60" w:type="dxa"/>
            <w:vAlign w:val="bottom"/>
          </w:tcPr>
          <w:p>
            <w:pPr>
              <w:spacing w:after="0"/>
              <w:rPr>
                <w:sz w:val="19"/>
                <w:szCs w:val="19"/>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16,190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16,125</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37,466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39,087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transition and severance costs included in (e):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tcPr>
          <w:p>
            <w:pPr>
              <w:spacing w:after="0"/>
              <w:rPr>
                <w:sz w:val="19"/>
                <w:szCs w:val="19"/>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3,334</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 included in SG&amp;A (f)</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indemnification receivable included in SG&amp;A (g)</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Duplicate facility costs included in SG&amp;A (h)</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financing costs included in SG&amp;A (i)</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PP&amp;E step-up included in SG&amp;A (j)</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contingent consideration included in SG&amp;A (k)</w:t>
            </w: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non-GAAP basis (l)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71,899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64,917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(m)</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curtailment adjustment (n)</w:t>
            </w: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per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loss per share - diluted (o)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54"/>
        </w:trPr>
        <w:tc>
          <w:tcPr>
            <w:tcW w:w="8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3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and improve our cost structure.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Impairment charges have been excluded as these amounts are infrequent and are unrelated to the operational performance of Cohu. Management believes the change in an uncertain tax position liability and related indemnification receivable is better reflected within income tax expense rather than SG&amp;A. PP&amp;E step-up costs have been excluded by management as they are unrelated to the core operating activities of the Company. Duplicate facility costs have been excluded to provide investors a clearer view of ongoing operational performance by removing temporary expenses that do not reflect the Company’s ongoing operations. Acquisition costs, certain professional service costs related to convertible notes, and fair value adjustments to contingent consideration have been excluded by management as they are not indicative of core operating performance.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9" w:lineRule="exact"/>
        <w:rPr>
          <w:sz w:val="20"/>
          <w:szCs w:val="20"/>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 and (17.8)% of net sales, respectively.</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manufacturing transition and severance costs.</w:t>
      </w:r>
    </w:p>
    <w:p>
      <w:pPr>
        <w:spacing w:after="0" w:line="9" w:lineRule="exact"/>
        <w:rPr>
          <w:rFonts w:ascii="Times New Roman" w:cs="Times New Roman" w:eastAsia="Times New Roman" w:hAnsi="Times New Roman"/>
          <w:sz w:val="18"/>
          <w:szCs w:val="18"/>
          <w:color w:val="auto"/>
        </w:rPr>
      </w:pPr>
    </w:p>
    <w:p>
      <w:pPr>
        <w:ind w:left="420" w:right="80" w:hanging="331"/>
        <w:spacing w:after="0" w:line="216" w:lineRule="exact"/>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impacts of the Company’s investment in Fraes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und Technologiezentrum GmbH Frasdorf, including the 2024 impairment charge and the subsequent gain recognized upon its sale in 2025.</w:t>
      </w: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 of the change in an uncertain tax position liability and related indemnification receivable.</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duplicative facility-related expenses incurred during the build-out of certain new Cohu locations.</w:t>
      </w:r>
    </w:p>
    <w:p>
      <w:pPr>
        <w:spacing w:after="0" w:line="9" w:lineRule="exact"/>
        <w:rPr>
          <w:rFonts w:ascii="Times New Roman" w:cs="Times New Roman" w:eastAsia="Times New Roman" w:hAnsi="Times New Roman"/>
          <w:sz w:val="18"/>
          <w:szCs w:val="18"/>
          <w:color w:val="auto"/>
        </w:rPr>
      </w:pPr>
    </w:p>
    <w:p>
      <w:pPr>
        <w:ind w:left="420" w:right="460" w:hanging="331"/>
        <w:spacing w:after="0" w:line="250"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certain professional service fees and other direct incremental expenses incurred in connection with acquisitions and the issuance of convertible notes.</w:t>
      </w: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property, plant &amp; equipment step-up depreciation accelerated related to acquisitions.</w:t>
      </w:r>
    </w:p>
    <w:p>
      <w:pPr>
        <w:sectPr>
          <w:pgSz w:w="11900" w:h="16838" w:orient="portrait"/>
          <w:cols w:equalWidth="0" w:num="1">
            <w:col w:w="11240"/>
          </w:cols>
          <w:pgMar w:left="320" w:top="576" w:right="339" w:bottom="0" w:gutter="0" w:footer="0" w:header="0"/>
        </w:sectPr>
      </w:pPr>
    </w:p>
    <w:bookmarkStart w:id="13" w:name="page14"/>
    <w:bookmarkEnd w:id="13"/>
    <w:p>
      <w:pPr>
        <w:ind w:left="331" w:hanging="331"/>
        <w:spacing w:after="0"/>
        <w:tabs>
          <w:tab w:leader="none" w:pos="3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fair value adjustment to contingent consideration related to the acquisition of Tignis.</w:t>
      </w:r>
    </w:p>
    <w:p>
      <w:pPr>
        <w:spacing w:after="0" w:line="27" w:lineRule="exact"/>
        <w:rPr>
          <w:rFonts w:ascii="Times New Roman" w:cs="Times New Roman" w:eastAsia="Times New Roman" w:hAnsi="Times New Roman"/>
          <w:sz w:val="18"/>
          <w:szCs w:val="18"/>
          <w:color w:val="auto"/>
        </w:rPr>
      </w:pPr>
    </w:p>
    <w:p>
      <w:pPr>
        <w:ind w:left="331" w:hanging="331"/>
        <w:spacing w:after="0"/>
        <w:tabs>
          <w:tab w:leader="none" w:pos="3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and (1.7)% of net sales, respectively.</w:t>
      </w:r>
    </w:p>
    <w:p>
      <w:pPr>
        <w:spacing w:after="0" w:line="9" w:lineRule="exact"/>
        <w:rPr>
          <w:rFonts w:ascii="Times New Roman" w:cs="Times New Roman" w:eastAsia="Times New Roman" w:hAnsi="Times New Roman"/>
          <w:sz w:val="18"/>
          <w:szCs w:val="18"/>
          <w:color w:val="auto"/>
        </w:rPr>
      </w:pPr>
    </w:p>
    <w:p>
      <w:pPr>
        <w:ind w:left="331" w:hanging="331"/>
        <w:spacing w:after="0"/>
        <w:tabs>
          <w:tab w:leader="none" w:pos="3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9" w:lineRule="exact"/>
        <w:rPr>
          <w:rFonts w:ascii="Times New Roman" w:cs="Times New Roman" w:eastAsia="Times New Roman" w:hAnsi="Times New Roman"/>
          <w:sz w:val="18"/>
          <w:szCs w:val="18"/>
          <w:color w:val="auto"/>
        </w:rPr>
      </w:pPr>
    </w:p>
    <w:p>
      <w:pPr>
        <w:ind w:left="331" w:hanging="331"/>
        <w:spacing w:after="0" w:line="250" w:lineRule="auto"/>
        <w:tabs>
          <w:tab w:leader="none" w:pos="3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pension curtailment adjustments recognized associated with headcount reductions made as part of the 2025 Strategic Restructuring plan.</w:t>
      </w:r>
    </w:p>
    <w:p>
      <w:pPr>
        <w:ind w:left="331" w:hanging="331"/>
        <w:spacing w:after="0"/>
        <w:tabs>
          <w:tab w:leader="none" w:pos="3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periods presented were calculated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365760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51"/>
          </w:cols>
          <w:pgMar w:left="409" w:top="121"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6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December 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September 27,</w:t>
            </w:r>
          </w:p>
        </w:tc>
        <w:tc>
          <w:tcPr>
            <w:tcW w:w="140" w:type="dxa"/>
            <w:vAlign w:val="bottom"/>
          </w:tcPr>
          <w:p>
            <w:pPr>
              <w:spacing w:after="0"/>
              <w:rPr>
                <w:sz w:val="19"/>
                <w:szCs w:val="19"/>
                <w:color w:val="auto"/>
              </w:rPr>
            </w:pPr>
          </w:p>
        </w:tc>
        <w:tc>
          <w:tcPr>
            <w:tcW w:w="15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December 28,</w:t>
            </w:r>
          </w:p>
        </w:tc>
      </w:tr>
      <w:tr>
        <w:trPr>
          <w:trHeight w:val="234"/>
        </w:trPr>
        <w:tc>
          <w:tcPr>
            <w:tcW w:w="6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48,929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55,264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39,466</w:t>
            </w:r>
          </w:p>
        </w:tc>
      </w:tr>
      <w:tr>
        <w:trPr>
          <w:trHeight w:val="230"/>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w:t>
            </w:r>
          </w:p>
        </w:tc>
      </w:tr>
      <w:tr>
        <w:trPr>
          <w:trHeight w:val="263"/>
        </w:trPr>
        <w:tc>
          <w:tcPr>
            <w:tcW w:w="6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49,832</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55,658</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39,336</w:t>
            </w:r>
          </w:p>
        </w:tc>
        <w:tc>
          <w:tcPr>
            <w:tcW w:w="220" w:type="dxa"/>
            <w:vAlign w:val="bottom"/>
            <w:tcBorders>
              <w:bottom w:val="single" w:sz="8" w:color="CCEEFF"/>
            </w:tcBorders>
          </w:tcPr>
          <w:p>
            <w:pPr>
              <w:spacing w:after="0"/>
              <w:rPr>
                <w:sz w:val="22"/>
                <w:szCs w:val="22"/>
                <w:color w:val="auto"/>
              </w:rPr>
            </w:pPr>
          </w:p>
        </w:tc>
      </w:tr>
      <w:tr>
        <w:trPr>
          <w:trHeight w:val="197"/>
        </w:trPr>
        <w:tc>
          <w:tcPr>
            <w:tcW w:w="60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6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(21,358)</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(3,714)</w:t>
            </w:r>
          </w:p>
        </w:tc>
        <w:tc>
          <w:tcPr>
            <w:tcW w:w="14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2,055</w:t>
            </w: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tcPr>
          <w:p>
            <w:pPr>
              <w:spacing w:after="0"/>
              <w:rPr>
                <w:sz w:val="18"/>
                <w:szCs w:val="18"/>
                <w:color w:val="auto"/>
              </w:rPr>
            </w:pP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(2,325)</w:t>
            </w: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10,249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9,753</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3,344</w:t>
            </w:r>
          </w:p>
        </w:tc>
        <w:tc>
          <w:tcPr>
            <w:tcW w:w="14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3,196</w:t>
            </w:r>
          </w:p>
        </w:tc>
      </w:tr>
      <w:tr>
        <w:trPr>
          <w:trHeight w:val="216"/>
        </w:trPr>
        <w:tc>
          <w:tcPr>
            <w:tcW w:w="60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curtailment (gain) loss</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7,177</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5,906</w:t>
            </w:r>
          </w:p>
        </w:tc>
      </w:tr>
      <w:tr>
        <w:trPr>
          <w:trHeight w:val="263"/>
        </w:trPr>
        <w:tc>
          <w:tcPr>
            <w:tcW w:w="6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0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 GAAP Basis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64,420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64,980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61,093</w:t>
            </w:r>
          </w:p>
        </w:tc>
      </w:tr>
      <w:tr>
        <w:trPr>
          <w:trHeight w:val="230"/>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(17,032)</w:t>
            </w:r>
          </w:p>
        </w:tc>
        <w:tc>
          <w:tcPr>
            <w:tcW w:w="140" w:type="dxa"/>
            <w:vAlign w:val="bottom"/>
          </w:tcPr>
          <w:p>
            <w:pPr>
              <w:spacing w:after="0"/>
              <w:rPr>
                <w:sz w:val="19"/>
                <w:szCs w:val="19"/>
                <w:color w:val="auto"/>
              </w:rPr>
            </w:pP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(15,789)</w:t>
            </w:r>
          </w:p>
        </w:tc>
      </w:tr>
      <w:tr>
        <w:trPr>
          <w:trHeight w:val="223"/>
        </w:trPr>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
        </w:trPr>
        <w:tc>
          <w:tcPr>
            <w:tcW w:w="6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pacing w:after="0" w:line="36" w:lineRule="exact"/>
        <w:rPr>
          <w:sz w:val="20"/>
          <w:szCs w:val="20"/>
          <w:color w:val="auto"/>
        </w:rPr>
      </w:pPr>
    </w:p>
    <w:p>
      <w:pPr>
        <w:ind w:left="300" w:right="300" w:hanging="255"/>
        <w:spacing w:after="0" w:line="261"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purchased intangibles of $4,916, $7,873 and $7,483 for the three months ending December 27, 2025, September 27, 2025, and December 28, 2024, respectively.</w:t>
      </w:r>
    </w:p>
    <w:p>
      <w:pPr>
        <w:ind w:left="300" w:hanging="255"/>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30"/>
        </w:trPr>
        <w:tc>
          <w:tcPr>
            <w:tcW w:w="7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December 27,</w:t>
            </w:r>
          </w:p>
        </w:tc>
        <w:tc>
          <w:tcPr>
            <w:tcW w:w="140" w:type="dxa"/>
            <w:vAlign w:val="bottom"/>
          </w:tcPr>
          <w:p>
            <w:pPr>
              <w:spacing w:after="0"/>
              <w:rPr>
                <w:sz w:val="19"/>
                <w:szCs w:val="19"/>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December 28,</w:t>
            </w:r>
          </w:p>
        </w:tc>
      </w:tr>
      <w:tr>
        <w:trPr>
          <w:trHeight w:val="234"/>
        </w:trPr>
        <w:tc>
          <w:tcPr>
            <w:tcW w:w="7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193,619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180,294</w:t>
            </w:r>
          </w:p>
        </w:tc>
      </w:tr>
      <w:tr>
        <w:trPr>
          <w:trHeight w:val="23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2,475</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r>
      <w:tr>
        <w:trPr>
          <w:trHeight w:val="263"/>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196,094</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180,889</w:t>
            </w:r>
          </w:p>
        </w:tc>
        <w:tc>
          <w:tcPr>
            <w:tcW w:w="220" w:type="dxa"/>
            <w:vAlign w:val="bottom"/>
            <w:tcBorders>
              <w:bottom w:val="single" w:sz="8" w:color="CCEEFF"/>
            </w:tcBorders>
          </w:tcPr>
          <w:p>
            <w:pPr>
              <w:spacing w:after="0"/>
              <w:rPr>
                <w:sz w:val="22"/>
                <w:szCs w:val="22"/>
                <w:color w:val="auto"/>
              </w:rPr>
            </w:pPr>
          </w:p>
        </w:tc>
      </w:tr>
      <w:tr>
        <w:trPr>
          <w:trHeight w:val="197"/>
        </w:trPr>
        <w:tc>
          <w:tcPr>
            <w:tcW w:w="78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9"/>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7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 GAAP Basis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(74,273)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(69,818)</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11,866</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4,872</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2,054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(8,040)</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(9,976)</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37,466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39,087</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13,219</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13,400</w:t>
            </w:r>
          </w:p>
        </w:tc>
      </w:tr>
      <w:tr>
        <w:trPr>
          <w:trHeight w:val="216"/>
        </w:trPr>
        <w:tc>
          <w:tcPr>
            <w:tcW w:w="78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2,836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2,836</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curtailment gain</w:t>
            </w:r>
          </w:p>
        </w:tc>
        <w:tc>
          <w:tcPr>
            <w:tcW w:w="1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(2,159)</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14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34,433</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25,794</w:t>
            </w:r>
          </w:p>
        </w:tc>
      </w:tr>
      <w:tr>
        <w:trPr>
          <w:trHeight w:val="223"/>
        </w:trPr>
        <w:tc>
          <w:tcPr>
            <w:tcW w:w="7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7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r>
      <w:tr>
        <w:trPr>
          <w:trHeight w:val="209"/>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 GAAP Basis</w:t>
            </w:r>
          </w:p>
        </w:tc>
        <w:tc>
          <w:tcPr>
            <w:tcW w:w="1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263,388</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251,962</w:t>
            </w:r>
          </w:p>
        </w:tc>
        <w:tc>
          <w:tcPr>
            <w:tcW w:w="200" w:type="dxa"/>
            <w:vAlign w:val="bottom"/>
          </w:tcPr>
          <w:p>
            <w:pPr>
              <w:spacing w:after="0"/>
              <w:rPr>
                <w:sz w:val="20"/>
                <w:szCs w:val="20"/>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4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(69,424)</w:t>
            </w:r>
          </w:p>
        </w:tc>
        <w:tc>
          <w:tcPr>
            <w:tcW w:w="4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(64,322)</w:t>
            </w:r>
          </w:p>
        </w:tc>
      </w:tr>
      <w:tr>
        <w:trPr>
          <w:trHeight w:val="223"/>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193,964</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
        </w:trPr>
        <w:tc>
          <w:tcPr>
            <w:tcW w:w="7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bl>
    <w:p>
      <w:pPr>
        <w:spacing w:after="0" w:line="36" w:lineRule="exact"/>
        <w:rPr>
          <w:sz w:val="20"/>
          <w:szCs w:val="20"/>
          <w:color w:val="auto"/>
        </w:rPr>
      </w:pPr>
    </w:p>
    <w:p>
      <w:pPr>
        <w:ind w:left="360" w:right="240" w:hanging="281"/>
        <w:spacing w:after="0" w:line="261"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purchased intangibles of $28,087 and $30,009 for the twelve months ending December 27, 2025, and December 28, 2024, respectively.</w:t>
      </w:r>
    </w:p>
    <w:p>
      <w:pPr>
        <w:ind w:left="360" w:hanging="281"/>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2026-02-12T15:12:54Z</dcterms:created>
  <dcterms:modified xsi:type="dcterms:W3CDTF">2026-02-12T15:12:54Z</dcterms:modified>
</cp:coreProperties>
</file>