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50927_10q.htm"/>
      <w:bookmarkStart w:id="1" w:name="kscohu20250927_10q"/>
      <w:bookmarkEnd w:id="0"/>
      <w:bookmarkEnd w:id="1"/>
      <w:r>
        <w:rPr/>
        <w:t> </w:t>
      </w:r>
      <w:r>
        <mc:AlternateContent>
          <mc:Choice Requires="wps">
            <w:drawing>
              <wp:anchor behindDoc="0" distT="0" distB="0" distL="0" distR="0" simplePos="0" locked="0" layoutInCell="1" allowOverlap="1" relativeHeight="2">
                <wp:simplePos x="0" y="0"/>
                <wp:positionH relativeFrom="page">
                  <wp:posOffset>7362825</wp:posOffset>
                </wp:positionH>
                <wp:positionV relativeFrom="page">
                  <wp:posOffset>334384650</wp:posOffset>
                </wp:positionV>
                <wp:extent cx="28575" cy="866775"/>
                <wp:effectExtent l="0" t="0" r="0" b="0"/>
                <wp:wrapNone/>
                <wp:docPr id="1" name="Frame1"/>
                <a:graphic xmlns:a="http://schemas.openxmlformats.org/drawingml/2006/main">
                  <a:graphicData uri="http://schemas.microsoft.com/office/word/2010/wordprocessingShape">
                    <wps:wsp>
                      <wps:cNvSpPr txBox="1"/>
                      <wps:spPr>
                        <a:xfrm>
                          <a:off x="0" y="0"/>
                          <a:ext cx="28575" cy="86677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68.25pt;mso-wrap-distance-left:0pt;mso-wrap-distance-right:0pt;mso-wrap-distance-top:0pt;mso-wrap-distance-bottom:0pt;margin-top:26329.5pt;mso-position-vertical-relative:page;margin-left:579.75pt;mso-position-horizontal-relative:page">
                <v:textbox inset="0in,0in,0in,0in">
                  <w:txbxContent>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180"/>
        <w:jc w:val="both"/>
        <w:rPr>
          <w:caps w:val="false"/>
          <w:smallCaps w:val="false"/>
        </w:rPr>
      </w:pPr>
      <w:r>
        <w:rPr>
          <w:caps w:val="false"/>
          <w:smallCaps w:val="false"/>
        </w:rPr>
        <w:t>☑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180"/>
        <w:jc w:val="both"/>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4565"/>
        <w:gridCol w:w="3395"/>
      </w:tblGrid>
      <w:tr>
        <w:trPr/>
        <w:tc>
          <w:tcPr>
            <w:tcW w:w="4565" w:type="dxa"/>
            <w:tcBorders/>
            <w:vAlign w:val="center"/>
          </w:tcPr>
          <w:p>
            <w:pPr>
              <w:pStyle w:val="TableContents"/>
              <w:bidi w:val="0"/>
              <w:spacing w:before="0" w:after="283"/>
              <w:jc w:val="center"/>
              <w:rPr>
                <w:b/>
              </w:rPr>
            </w:pPr>
            <w:r>
              <w:rPr>
                <w:b/>
              </w:rPr>
              <w:t>Delaware</w:t>
            </w:r>
          </w:p>
        </w:tc>
        <w:tc>
          <w:tcPr>
            <w:tcW w:w="3395" w:type="dxa"/>
            <w:tcBorders/>
            <w:vAlign w:val="center"/>
          </w:tcPr>
          <w:p>
            <w:pPr>
              <w:pStyle w:val="TableContents"/>
              <w:bidi w:val="0"/>
              <w:spacing w:before="0" w:after="283"/>
              <w:jc w:val="center"/>
              <w:rPr>
                <w:b/>
              </w:rPr>
            </w:pPr>
            <w:r>
              <w:rPr>
                <w:b/>
              </w:rPr>
              <w:t>95-1934119</w:t>
            </w:r>
          </w:p>
        </w:tc>
      </w:tr>
      <w:tr>
        <w:trPr/>
        <w:tc>
          <w:tcPr>
            <w:tcW w:w="4565" w:type="dxa"/>
            <w:tcBorders/>
            <w:vAlign w:val="center"/>
          </w:tcPr>
          <w:p>
            <w:pPr>
              <w:pStyle w:val="TableContents"/>
              <w:bidi w:val="0"/>
              <w:spacing w:before="0" w:after="283"/>
              <w:jc w:val="center"/>
              <w:rPr>
                <w:i/>
              </w:rPr>
            </w:pPr>
            <w:r>
              <w:rPr>
                <w:i/>
              </w:rPr>
              <w:t>(State or other jurisdiction of</w:t>
            </w:r>
          </w:p>
        </w:tc>
        <w:tc>
          <w:tcPr>
            <w:tcW w:w="3395" w:type="dxa"/>
            <w:tcBorders/>
            <w:vAlign w:val="center"/>
          </w:tcPr>
          <w:p>
            <w:pPr>
              <w:pStyle w:val="TableContents"/>
              <w:bidi w:val="0"/>
              <w:spacing w:before="0" w:after="283"/>
              <w:jc w:val="center"/>
              <w:rPr>
                <w:i/>
              </w:rPr>
            </w:pPr>
            <w:r>
              <w:rPr>
                <w:i/>
              </w:rPr>
              <w:t>(I.R.S. Employer Identification No.)</w:t>
            </w:r>
          </w:p>
        </w:tc>
      </w:tr>
      <w:tr>
        <w:trPr/>
        <w:tc>
          <w:tcPr>
            <w:tcW w:w="4565" w:type="dxa"/>
            <w:tcBorders/>
            <w:vAlign w:val="center"/>
          </w:tcPr>
          <w:p>
            <w:pPr>
              <w:pStyle w:val="TableContents"/>
              <w:bidi w:val="0"/>
              <w:spacing w:before="0" w:after="283"/>
              <w:jc w:val="center"/>
              <w:rPr>
                <w:i/>
              </w:rPr>
            </w:pPr>
            <w:r>
              <w:rPr>
                <w:i/>
              </w:rPr>
              <w:t>incorporation or organization)</w:t>
            </w:r>
          </w:p>
        </w:tc>
        <w:tc>
          <w:tcPr>
            <w:tcW w:w="33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b/>
              </w:rPr>
            </w:pPr>
            <w:r>
              <w:rPr>
                <w:b/>
              </w:rPr>
              <w:t>12367 Crosthwaite Circle, Poway, California</w:t>
            </w:r>
          </w:p>
        </w:tc>
        <w:tc>
          <w:tcPr>
            <w:tcW w:w="3395" w:type="dxa"/>
            <w:tcBorders/>
            <w:vAlign w:val="center"/>
          </w:tcPr>
          <w:p>
            <w:pPr>
              <w:pStyle w:val="TableContents"/>
              <w:bidi w:val="0"/>
              <w:spacing w:before="0" w:after="283"/>
              <w:jc w:val="center"/>
              <w:rPr>
                <w:b/>
              </w:rPr>
            </w:pPr>
            <w:r>
              <w:rPr>
                <w:b/>
              </w:rPr>
              <w:t>92064-6817</w:t>
            </w:r>
          </w:p>
        </w:tc>
      </w:tr>
      <w:tr>
        <w:trPr/>
        <w:tc>
          <w:tcPr>
            <w:tcW w:w="4565" w:type="dxa"/>
            <w:tcBorders/>
            <w:vAlign w:val="center"/>
          </w:tcPr>
          <w:p>
            <w:pPr>
              <w:pStyle w:val="TableContents"/>
              <w:bidi w:val="0"/>
              <w:spacing w:before="0" w:after="283"/>
              <w:jc w:val="center"/>
              <w:rPr>
                <w:i/>
              </w:rPr>
            </w:pPr>
            <w:r>
              <w:rPr>
                <w:i/>
              </w:rPr>
              <w:t>(Address of principal executive offices)</w:t>
            </w:r>
          </w:p>
        </w:tc>
        <w:tc>
          <w:tcPr>
            <w:tcW w:w="3395"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2630"/>
        <w:gridCol w:w="1610"/>
        <w:gridCol w:w="3410"/>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October 21, 2025, the Registrant had 46,692,617 shares of its $1.00 par value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27,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8298"/>
        <w:gridCol w:w="1017"/>
      </w:tblGrid>
      <w:tr>
        <w:trPr/>
        <w:tc>
          <w:tcPr>
            <w:tcW w:w="89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Part I</w:t>
            </w:r>
          </w:p>
        </w:tc>
        <w:tc>
          <w:tcPr>
            <w:tcW w:w="8298" w:type="dxa"/>
            <w:tcBorders/>
            <w:vAlign w:val="center"/>
          </w:tcPr>
          <w:p>
            <w:pPr>
              <w:pStyle w:val="TableContents"/>
              <w:bidi w:val="0"/>
              <w:spacing w:before="0" w:after="283"/>
              <w:jc w:val="left"/>
              <w:rPr/>
            </w:pPr>
            <w:hyperlink w:anchor="item_1_bs">
              <w:r>
                <w:rPr>
                  <w:rStyle w:val="InternetLink"/>
                  <w:rFonts w:ascii="Times New Roman;Times;serif" w:hAnsi="Times New Roman;Times;serif"/>
                  <w:b/>
                  <w:sz w:val="20"/>
                </w:rPr>
                <w:t>Financial Information</w:t>
              </w:r>
            </w:hyperlink>
          </w:p>
        </w:tc>
        <w:tc>
          <w:tcPr>
            <w:tcW w:w="1017"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 Number</w:t>
            </w:r>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298" w:type="dxa"/>
            <w:tcBorders/>
            <w:vAlign w:val="center"/>
          </w:tcPr>
          <w:p>
            <w:pPr>
              <w:pStyle w:val="TableContents"/>
              <w:bidi w:val="0"/>
              <w:spacing w:before="0" w:after="0"/>
              <w:ind w:left="0" w:right="0" w:hanging="0"/>
              <w:jc w:val="left"/>
              <w:rPr/>
            </w:pPr>
            <w:hyperlink w:anchor="item_1_bs">
              <w:r>
                <w:rPr>
                  <w:rStyle w:val="InternetLink"/>
                  <w:rFonts w:ascii="Times New Roman;Times;serif" w:hAnsi="Times New Roman;Times;serif"/>
                  <w:caps w:val="false"/>
                  <w:smallCaps w:val="false"/>
                  <w:sz w:val="20"/>
                </w:rPr>
                <w:t>Financial Statements:</w:t>
              </w:r>
            </w:hyperlink>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item_1_bs">
              <w:r>
                <w:rPr>
                  <w:rStyle w:val="InternetLink"/>
                  <w:rFonts w:ascii="Times New Roman;Times;serif" w:hAnsi="Times New Roman;Times;serif"/>
                  <w:sz w:val="20"/>
                </w:rPr>
                <w:t>Condensed Consolidated Balance Sheets September 27, 2025 (unaudited) and December 28, 2024</w:t>
              </w:r>
            </w:hyperlink>
          </w:p>
        </w:tc>
        <w:tc>
          <w:tcPr>
            <w:tcW w:w="1017" w:type="dxa"/>
            <w:tcBorders/>
            <w:vAlign w:val="center"/>
          </w:tcPr>
          <w:p>
            <w:pPr>
              <w:pStyle w:val="TableContents"/>
              <w:bidi w:val="0"/>
              <w:spacing w:before="0" w:after="0"/>
              <w:ind w:left="0" w:right="0" w:hanging="0"/>
              <w:jc w:val="center"/>
              <w:rPr/>
            </w:pPr>
            <w:hyperlink w:anchor="item_1_bs">
              <w:r>
                <w:rPr>
                  <w:rStyle w:val="InternetLink"/>
                  <w:rFonts w:ascii="Times New Roman;Times;serif" w:hAnsi="Times New Roman;Times;serif"/>
                  <w:caps w:val="false"/>
                  <w:smallCaps w:val="false"/>
                  <w:sz w:val="20"/>
                </w:rPr>
                <w:t>3</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cso">
              <w:r>
                <w:rPr>
                  <w:rStyle w:val="InternetLink"/>
                  <w:rFonts w:ascii="Times New Roman;Times;serif" w:hAnsi="Times New Roman;Times;serif"/>
                  <w:sz w:val="20"/>
                </w:rPr>
                <w:t>Condensed Consolidated Statements of Operations (unaudited) Three and Nine Months Ended September 27, 2025 and September 28, 2024</w:t>
              </w:r>
            </w:hyperlink>
          </w:p>
        </w:tc>
        <w:tc>
          <w:tcPr>
            <w:tcW w:w="1017" w:type="dxa"/>
            <w:tcBorders/>
            <w:vAlign w:val="center"/>
          </w:tcPr>
          <w:p>
            <w:pPr>
              <w:pStyle w:val="TableContents"/>
              <w:bidi w:val="0"/>
              <w:spacing w:before="0" w:after="0"/>
              <w:ind w:left="0" w:right="0" w:hanging="0"/>
              <w:jc w:val="center"/>
              <w:rPr/>
            </w:pPr>
            <w:hyperlink w:anchor="cso">
              <w:r>
                <w:rPr>
                  <w:rStyle w:val="InternetLink"/>
                  <w:rFonts w:ascii="Times New Roman;Times;serif" w:hAnsi="Times New Roman;Times;serif"/>
                  <w:caps w:val="false"/>
                  <w:smallCaps w:val="false"/>
                  <w:sz w:val="20"/>
                </w:rPr>
                <w:t>4</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comp_loss">
              <w:r>
                <w:rPr>
                  <w:rStyle w:val="InternetLink"/>
                  <w:rFonts w:ascii="Times New Roman;Times;serif" w:hAnsi="Times New Roman;Times;serif"/>
                  <w:sz w:val="20"/>
                </w:rPr>
                <w:t>Condensed Consolidated Statements of Comprehensive Loss (unaudited) Three and Nine Months Ended September 27, 2025 and September 28, 2024</w:t>
              </w:r>
            </w:hyperlink>
          </w:p>
        </w:tc>
        <w:tc>
          <w:tcPr>
            <w:tcW w:w="1017" w:type="dxa"/>
            <w:tcBorders/>
            <w:vAlign w:val="center"/>
          </w:tcPr>
          <w:p>
            <w:pPr>
              <w:pStyle w:val="TableContents"/>
              <w:bidi w:val="0"/>
              <w:spacing w:before="0" w:after="0"/>
              <w:ind w:left="0" w:right="0" w:hanging="0"/>
              <w:jc w:val="center"/>
              <w:rPr/>
            </w:pPr>
            <w:hyperlink w:anchor="comp_loss">
              <w:r>
                <w:rPr>
                  <w:rStyle w:val="InternetLink"/>
                  <w:rFonts w:ascii="Times New Roman;Times;serif" w:hAnsi="Times New Roman;Times;serif"/>
                  <w:caps w:val="false"/>
                  <w:smallCaps w:val="false"/>
                  <w:sz w:val="20"/>
                </w:rPr>
                <w:t>5</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stck_eq">
              <w:r>
                <w:rPr>
                  <w:rStyle w:val="InternetLink"/>
                  <w:rFonts w:ascii="Times New Roman;Times;serif" w:hAnsi="Times New Roman;Times;serif"/>
                  <w:sz w:val="20"/>
                </w:rPr>
                <w:t>Condensed Consolidated Statements of Stockholders’ Equity (unaudited) Three and Nine Months Ended September 27, 2025 and September 28, 2024</w:t>
              </w:r>
            </w:hyperlink>
          </w:p>
        </w:tc>
        <w:tc>
          <w:tcPr>
            <w:tcW w:w="1017" w:type="dxa"/>
            <w:tcBorders/>
            <w:vAlign w:val="center"/>
          </w:tcPr>
          <w:p>
            <w:pPr>
              <w:pStyle w:val="TableContents"/>
              <w:bidi w:val="0"/>
              <w:spacing w:before="0" w:after="0"/>
              <w:ind w:left="0" w:right="0" w:hanging="0"/>
              <w:jc w:val="center"/>
              <w:rPr/>
            </w:pPr>
            <w:hyperlink w:anchor="stck_eq">
              <w:r>
                <w:rPr>
                  <w:rStyle w:val="InternetLink"/>
                  <w:rFonts w:ascii="Times New Roman;Times;serif" w:hAnsi="Times New Roman;Times;serif"/>
                  <w:caps w:val="false"/>
                  <w:smallCaps w:val="false"/>
                  <w:sz w:val="20"/>
                </w:rPr>
                <w:t>6</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cash_flow">
              <w:r>
                <w:rPr>
                  <w:rStyle w:val="InternetLink"/>
                  <w:rFonts w:ascii="Times New Roman;Times;serif" w:hAnsi="Times New Roman;Times;serif"/>
                  <w:sz w:val="20"/>
                </w:rPr>
                <w:t>Condensed Consolidated Statements of Cash Flows (unaudited) Nine Months Ended September 27, 2025 and September 28, 2024</w:t>
              </w:r>
            </w:hyperlink>
          </w:p>
        </w:tc>
        <w:tc>
          <w:tcPr>
            <w:tcW w:w="1017" w:type="dxa"/>
            <w:tcBorders/>
            <w:vAlign w:val="center"/>
          </w:tcPr>
          <w:p>
            <w:pPr>
              <w:pStyle w:val="TableContents"/>
              <w:bidi w:val="0"/>
              <w:spacing w:before="0" w:after="0"/>
              <w:ind w:left="0" w:right="0" w:hanging="0"/>
              <w:jc w:val="center"/>
              <w:rPr/>
            </w:pPr>
            <w:hyperlink w:anchor="cash_flow">
              <w:r>
                <w:rPr>
                  <w:rStyle w:val="InternetLink"/>
                  <w:rFonts w:ascii="Times New Roman;Times;serif" w:hAnsi="Times New Roman;Times;serif"/>
                  <w:caps w:val="false"/>
                  <w:smallCaps w:val="false"/>
                  <w:sz w:val="20"/>
                </w:rPr>
                <w:t>7</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hyperlink w:anchor="notes">
              <w:r>
                <w:rPr>
                  <w:rStyle w:val="InternetLink"/>
                  <w:rFonts w:ascii="Times New Roman;Times;serif" w:hAnsi="Times New Roman;Times;serif"/>
                  <w:sz w:val="20"/>
                </w:rPr>
                <w:t>Notes to Unaudited Condensed Consolidated Financial Statements</w:t>
              </w:r>
            </w:hyperlink>
          </w:p>
        </w:tc>
        <w:tc>
          <w:tcPr>
            <w:tcW w:w="1017"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caps w:val="false"/>
                  <w:smallCaps w:val="false"/>
                  <w:sz w:val="20"/>
                </w:rPr>
                <w:t>8</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298"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1017" w:type="dxa"/>
            <w:tcBorders/>
            <w:vAlign w:val="center"/>
          </w:tcPr>
          <w:p>
            <w:pPr>
              <w:pStyle w:val="TableContents"/>
              <w:bidi w:val="0"/>
              <w:spacing w:before="0" w:after="283"/>
              <w:jc w:val="center"/>
              <w:rPr/>
            </w:pPr>
            <w:hyperlink w:anchor="mda">
              <w:r>
                <w:rPr>
                  <w:rStyle w:val="InternetLink"/>
                  <w:rFonts w:ascii="Times New Roman;Times;serif" w:hAnsi="Times New Roman;Times;serif"/>
                  <w:sz w:val="20"/>
                </w:rPr>
                <w:t>30</w:t>
              </w:r>
            </w:hyperlink>
          </w:p>
        </w:tc>
      </w:tr>
      <w:tr>
        <w:trPr/>
        <w:tc>
          <w:tcPr>
            <w:tcW w:w="8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298" w:type="dxa"/>
            <w:tcBorders/>
            <w:vAlign w:val="center"/>
          </w:tcPr>
          <w:p>
            <w:pPr>
              <w:pStyle w:val="TableContents"/>
              <w:bidi w:val="0"/>
              <w:spacing w:before="0" w:after="0"/>
              <w:ind w:left="0" w:right="0" w:hanging="0"/>
              <w:jc w:val="left"/>
              <w:rPr/>
            </w:pPr>
            <w:hyperlink w:anchor="quan_and_qual">
              <w:r>
                <w:rPr>
                  <w:rStyle w:val="InternetLink"/>
                  <w:rFonts w:ascii="Times New Roman;Times;serif" w:hAnsi="Times New Roman;Times;serif"/>
                  <w:caps w:val="false"/>
                  <w:smallCaps w:val="false"/>
                  <w:sz w:val="20"/>
                </w:rPr>
                <w:t>Quantitative and Qualitative Disclosures About Market Risk</w:t>
              </w:r>
            </w:hyperlink>
          </w:p>
        </w:tc>
        <w:tc>
          <w:tcPr>
            <w:tcW w:w="1017" w:type="dxa"/>
            <w:tcBorders/>
            <w:vAlign w:val="center"/>
          </w:tcPr>
          <w:p>
            <w:pPr>
              <w:pStyle w:val="TableContents"/>
              <w:bidi w:val="0"/>
              <w:spacing w:before="0" w:after="0"/>
              <w:ind w:left="0" w:right="0" w:hanging="0"/>
              <w:jc w:val="center"/>
              <w:rPr/>
            </w:pPr>
            <w:hyperlink w:anchor="quan_and_qual">
              <w:r>
                <w:rPr>
                  <w:rStyle w:val="InternetLink"/>
                  <w:rFonts w:ascii="Times New Roman;Times;serif" w:hAnsi="Times New Roman;Times;serif"/>
                  <w:caps w:val="false"/>
                  <w:smallCaps w:val="false"/>
                  <w:sz w:val="20"/>
                </w:rPr>
                <w:t>41</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298" w:type="dxa"/>
            <w:tcBorders/>
            <w:vAlign w:val="center"/>
          </w:tcPr>
          <w:p>
            <w:pPr>
              <w:pStyle w:val="TableContents"/>
              <w:bidi w:val="0"/>
              <w:spacing w:before="0" w:after="0"/>
              <w:ind w:left="0" w:right="0" w:hanging="0"/>
              <w:jc w:val="left"/>
              <w:rPr/>
            </w:pPr>
            <w:hyperlink w:anchor="controls">
              <w:r>
                <w:rPr>
                  <w:rStyle w:val="InternetLink"/>
                  <w:rFonts w:ascii="Times New Roman;Times;serif" w:hAnsi="Times New Roman;Times;serif"/>
                  <w:caps w:val="false"/>
                  <w:smallCaps w:val="false"/>
                  <w:sz w:val="20"/>
                </w:rPr>
                <w:t>Controls and Procedures</w:t>
              </w:r>
            </w:hyperlink>
          </w:p>
        </w:tc>
        <w:tc>
          <w:tcPr>
            <w:tcW w:w="1017" w:type="dxa"/>
            <w:tcBorders/>
            <w:vAlign w:val="center"/>
          </w:tcPr>
          <w:p>
            <w:pPr>
              <w:pStyle w:val="TableContents"/>
              <w:bidi w:val="0"/>
              <w:spacing w:before="0" w:after="0"/>
              <w:ind w:left="0" w:right="0" w:hanging="0"/>
              <w:jc w:val="center"/>
              <w:rPr/>
            </w:pPr>
            <w:hyperlink w:anchor="controls">
              <w:r>
                <w:rPr>
                  <w:rStyle w:val="InternetLink"/>
                  <w:rFonts w:ascii="Times New Roman;Times;serif" w:hAnsi="Times New Roman;Times;serif"/>
                  <w:caps w:val="false"/>
                  <w:smallCaps w:val="false"/>
                  <w:sz w:val="20"/>
                </w:rPr>
                <w:t>43</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298" w:type="dxa"/>
            <w:tcBorders/>
            <w:vAlign w:val="center"/>
          </w:tcPr>
          <w:p>
            <w:pPr>
              <w:pStyle w:val="TableContents"/>
              <w:bidi w:val="0"/>
              <w:spacing w:before="0" w:after="0"/>
              <w:ind w:left="0" w:right="0" w:hanging="0"/>
              <w:jc w:val="left"/>
              <w:rPr/>
            </w:pPr>
            <w:hyperlink w:anchor="other_info">
              <w:r>
                <w:rPr>
                  <w:rStyle w:val="InternetLink"/>
                  <w:rFonts w:ascii="Times New Roman;Times;serif" w:hAnsi="Times New Roman;Times;serif"/>
                  <w:caps w:val="false"/>
                  <w:smallCaps w:val="false"/>
                  <w:sz w:val="20"/>
                </w:rPr>
                <w:t>Other Information</w:t>
              </w:r>
            </w:hyperlink>
          </w:p>
        </w:tc>
        <w:tc>
          <w:tcPr>
            <w:tcW w:w="1017" w:type="dxa"/>
            <w:tcBorders/>
            <w:vAlign w:val="center"/>
          </w:tcPr>
          <w:p>
            <w:pPr>
              <w:pStyle w:val="TableContents"/>
              <w:bidi w:val="0"/>
              <w:spacing w:before="0" w:after="283"/>
              <w:jc w:val="center"/>
              <w:rPr/>
            </w:pPr>
            <w:hyperlink w:anchor="other_info">
              <w:r>
                <w:rPr>
                  <w:rStyle w:val="InternetLink"/>
                  <w:rFonts w:ascii="Times New Roman;Times;serif" w:hAnsi="Times New Roman;Times;serif"/>
                  <w:sz w:val="20"/>
                </w:rPr>
                <w:t>44</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298" w:type="dxa"/>
            <w:tcBorders/>
            <w:vAlign w:val="center"/>
          </w:tcPr>
          <w:p>
            <w:pPr>
              <w:pStyle w:val="TableContents"/>
              <w:bidi w:val="0"/>
              <w:spacing w:before="0" w:after="0"/>
              <w:ind w:left="0" w:right="0" w:hanging="0"/>
              <w:jc w:val="left"/>
              <w:rPr/>
            </w:pPr>
            <w:hyperlink w:anchor="legal_pre">
              <w:r>
                <w:rPr>
                  <w:rStyle w:val="InternetLink"/>
                  <w:rFonts w:ascii="Times New Roman;Times;serif" w:hAnsi="Times New Roman;Times;serif"/>
                  <w:caps w:val="false"/>
                  <w:smallCaps w:val="false"/>
                  <w:sz w:val="20"/>
                </w:rPr>
                <w:t>Legal Proceedings</w:t>
              </w:r>
            </w:hyperlink>
          </w:p>
        </w:tc>
        <w:tc>
          <w:tcPr>
            <w:tcW w:w="1017" w:type="dxa"/>
            <w:tcBorders/>
            <w:vAlign w:val="center"/>
          </w:tcPr>
          <w:p>
            <w:pPr>
              <w:pStyle w:val="TableContents"/>
              <w:bidi w:val="0"/>
              <w:spacing w:before="0" w:after="0"/>
              <w:ind w:left="0" w:right="0" w:hanging="0"/>
              <w:jc w:val="center"/>
              <w:rPr/>
            </w:pPr>
            <w:hyperlink w:anchor="legal_pre">
              <w:r>
                <w:rPr>
                  <w:rStyle w:val="InternetLink"/>
                  <w:rFonts w:ascii="Times New Roman;Times;serif" w:hAnsi="Times New Roman;Times;serif"/>
                  <w:caps w:val="false"/>
                  <w:smallCaps w:val="false"/>
                  <w:sz w:val="20"/>
                </w:rPr>
                <w:t>44</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298" w:type="dxa"/>
            <w:tcBorders/>
            <w:vAlign w:val="center"/>
          </w:tcPr>
          <w:p>
            <w:pPr>
              <w:pStyle w:val="TableContents"/>
              <w:bidi w:val="0"/>
              <w:spacing w:before="0" w:after="0"/>
              <w:ind w:left="0" w:right="0" w:hanging="0"/>
              <w:jc w:val="left"/>
              <w:rPr/>
            </w:pPr>
            <w:hyperlink w:anchor="risk_factors">
              <w:r>
                <w:rPr>
                  <w:rStyle w:val="InternetLink"/>
                  <w:rFonts w:ascii="Times New Roman;Times;serif" w:hAnsi="Times New Roman;Times;serif"/>
                  <w:caps w:val="false"/>
                  <w:smallCaps w:val="false"/>
                  <w:sz w:val="20"/>
                </w:rPr>
                <w:t>Risk Factors</w:t>
              </w:r>
            </w:hyperlink>
          </w:p>
        </w:tc>
        <w:tc>
          <w:tcPr>
            <w:tcW w:w="1017" w:type="dxa"/>
            <w:tcBorders/>
            <w:vAlign w:val="center"/>
          </w:tcPr>
          <w:p>
            <w:pPr>
              <w:pStyle w:val="TableContents"/>
              <w:bidi w:val="0"/>
              <w:spacing w:before="0" w:after="0"/>
              <w:ind w:left="0" w:right="0" w:hanging="0"/>
              <w:jc w:val="center"/>
              <w:rPr/>
            </w:pPr>
            <w:hyperlink w:anchor="risk_factors">
              <w:r>
                <w:rPr>
                  <w:rStyle w:val="InternetLink"/>
                  <w:rFonts w:ascii="Times New Roman;Times;serif" w:hAnsi="Times New Roman;Times;serif"/>
                  <w:caps w:val="false"/>
                  <w:smallCaps w:val="false"/>
                  <w:sz w:val="20"/>
                </w:rPr>
                <w:t>44</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298" w:type="dxa"/>
            <w:tcBorders/>
            <w:vAlign w:val="center"/>
          </w:tcPr>
          <w:p>
            <w:pPr>
              <w:pStyle w:val="TableContents"/>
              <w:bidi w:val="0"/>
              <w:spacing w:before="0" w:after="0"/>
              <w:ind w:left="0" w:right="0" w:hanging="0"/>
              <w:jc w:val="left"/>
              <w:rPr/>
            </w:pPr>
            <w:hyperlink w:anchor="unregistered">
              <w:r>
                <w:rPr>
                  <w:rStyle w:val="InternetLink"/>
                  <w:rFonts w:ascii="Times New Roman;Times;serif" w:hAnsi="Times New Roman;Times;serif"/>
                  <w:caps w:val="false"/>
                  <w:smallCaps w:val="false"/>
                  <w:sz w:val="20"/>
                </w:rPr>
                <w:t>Unregistered Sales of Equity Securities and Use of Proceeds</w:t>
              </w:r>
            </w:hyperlink>
          </w:p>
        </w:tc>
        <w:tc>
          <w:tcPr>
            <w:tcW w:w="1017" w:type="dxa"/>
            <w:tcBorders/>
            <w:vAlign w:val="center"/>
          </w:tcPr>
          <w:p>
            <w:pPr>
              <w:pStyle w:val="TableContents"/>
              <w:bidi w:val="0"/>
              <w:spacing w:before="0" w:after="0"/>
              <w:ind w:left="0" w:right="0" w:hanging="0"/>
              <w:jc w:val="center"/>
              <w:rPr/>
            </w:pPr>
            <w:hyperlink w:anchor="unregistered">
              <w:r>
                <w:rPr>
                  <w:rStyle w:val="InternetLink"/>
                  <w:rFonts w:ascii="Times New Roman;Times;serif" w:hAnsi="Times New Roman;Times;serif"/>
                  <w:caps w:val="false"/>
                  <w:smallCaps w:val="false"/>
                  <w:sz w:val="20"/>
                </w:rPr>
                <w:t>46</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298" w:type="dxa"/>
            <w:tcBorders/>
            <w:vAlign w:val="center"/>
          </w:tcPr>
          <w:p>
            <w:pPr>
              <w:pStyle w:val="TableContents"/>
              <w:bidi w:val="0"/>
              <w:spacing w:before="0" w:after="0"/>
              <w:ind w:left="0" w:right="0" w:hanging="0"/>
              <w:jc w:val="left"/>
              <w:rPr/>
            </w:pPr>
            <w:hyperlink w:anchor="defaults">
              <w:r>
                <w:rPr>
                  <w:rStyle w:val="InternetLink"/>
                  <w:rFonts w:ascii="Times New Roman;Times;serif" w:hAnsi="Times New Roman;Times;serif"/>
                  <w:caps w:val="false"/>
                  <w:smallCaps w:val="false"/>
                  <w:sz w:val="20"/>
                </w:rPr>
                <w:t>Defaults Upon Senior Securities</w:t>
              </w:r>
            </w:hyperlink>
          </w:p>
        </w:tc>
        <w:tc>
          <w:tcPr>
            <w:tcW w:w="1017" w:type="dxa"/>
            <w:tcBorders/>
            <w:vAlign w:val="center"/>
          </w:tcPr>
          <w:p>
            <w:pPr>
              <w:pStyle w:val="TableContents"/>
              <w:bidi w:val="0"/>
              <w:spacing w:before="0" w:after="0"/>
              <w:ind w:left="0" w:right="0" w:hanging="0"/>
              <w:jc w:val="center"/>
              <w:rPr/>
            </w:pPr>
            <w:hyperlink w:anchor="defaults">
              <w:r>
                <w:rPr>
                  <w:rStyle w:val="InternetLink"/>
                  <w:rFonts w:ascii="Times New Roman;Times;serif" w:hAnsi="Times New Roman;Times;serif"/>
                  <w:caps w:val="false"/>
                  <w:smallCaps w:val="false"/>
                  <w:sz w:val="20"/>
                </w:rPr>
                <w:t>46</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298" w:type="dxa"/>
            <w:tcBorders/>
            <w:vAlign w:val="center"/>
          </w:tcPr>
          <w:p>
            <w:pPr>
              <w:pStyle w:val="TableContents"/>
              <w:bidi w:val="0"/>
              <w:spacing w:before="0" w:after="0"/>
              <w:ind w:left="0" w:right="0" w:hanging="0"/>
              <w:jc w:val="left"/>
              <w:rPr/>
            </w:pPr>
            <w:hyperlink w:anchor="mine_safety">
              <w:r>
                <w:rPr>
                  <w:rStyle w:val="InternetLink"/>
                  <w:rFonts w:ascii="Times New Roman;Times;serif" w:hAnsi="Times New Roman;Times;serif"/>
                  <w:caps w:val="false"/>
                  <w:smallCaps w:val="false"/>
                  <w:sz w:val="20"/>
                </w:rPr>
                <w:t>Mine Safety Disclosures</w:t>
              </w:r>
            </w:hyperlink>
          </w:p>
        </w:tc>
        <w:tc>
          <w:tcPr>
            <w:tcW w:w="1017" w:type="dxa"/>
            <w:tcBorders/>
            <w:vAlign w:val="center"/>
          </w:tcPr>
          <w:p>
            <w:pPr>
              <w:pStyle w:val="TableContents"/>
              <w:bidi w:val="0"/>
              <w:spacing w:before="0" w:after="0"/>
              <w:ind w:left="0" w:right="0" w:hanging="0"/>
              <w:jc w:val="center"/>
              <w:rPr/>
            </w:pPr>
            <w:hyperlink w:anchor="defaults">
              <w:r>
                <w:rPr>
                  <w:rStyle w:val="InternetLink"/>
                  <w:rFonts w:ascii="Times New Roman;Times;serif" w:hAnsi="Times New Roman;Times;serif"/>
                  <w:caps w:val="false"/>
                  <w:smallCaps w:val="false"/>
                  <w:sz w:val="20"/>
                </w:rPr>
                <w:t>46</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298" w:type="dxa"/>
            <w:tcBorders/>
            <w:vAlign w:val="center"/>
          </w:tcPr>
          <w:p>
            <w:pPr>
              <w:pStyle w:val="TableContents"/>
              <w:bidi w:val="0"/>
              <w:spacing w:before="0" w:after="0"/>
              <w:ind w:left="0" w:right="0" w:hanging="0"/>
              <w:jc w:val="left"/>
              <w:rPr/>
            </w:pPr>
            <w:hyperlink w:anchor="item_5">
              <w:r>
                <w:rPr>
                  <w:rStyle w:val="InternetLink"/>
                  <w:rFonts w:ascii="Times New Roman;Times;serif" w:hAnsi="Times New Roman;Times;serif"/>
                  <w:caps w:val="false"/>
                  <w:smallCaps w:val="false"/>
                  <w:sz w:val="20"/>
                </w:rPr>
                <w:t>Other Information</w:t>
              </w:r>
            </w:hyperlink>
          </w:p>
        </w:tc>
        <w:tc>
          <w:tcPr>
            <w:tcW w:w="1017" w:type="dxa"/>
            <w:tcBorders/>
            <w:vAlign w:val="center"/>
          </w:tcPr>
          <w:p>
            <w:pPr>
              <w:pStyle w:val="TableContents"/>
              <w:bidi w:val="0"/>
              <w:spacing w:before="0" w:after="0"/>
              <w:ind w:left="0" w:right="0" w:hanging="0"/>
              <w:jc w:val="center"/>
              <w:rPr/>
            </w:pPr>
            <w:hyperlink w:anchor="item_5">
              <w:r>
                <w:rPr>
                  <w:rStyle w:val="InternetLink"/>
                  <w:rFonts w:ascii="Times New Roman;Times;serif" w:hAnsi="Times New Roman;Times;serif"/>
                  <w:caps w:val="false"/>
                  <w:smallCaps w:val="false"/>
                  <w:sz w:val="20"/>
                </w:rPr>
                <w:t>46</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298"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caps w:val="false"/>
                  <w:smallCaps w:val="false"/>
                  <w:sz w:val="20"/>
                </w:rPr>
                <w:t>Exhibits</w:t>
              </w:r>
            </w:hyperlink>
          </w:p>
        </w:tc>
        <w:tc>
          <w:tcPr>
            <w:tcW w:w="1017" w:type="dxa"/>
            <w:tcBorders/>
            <w:vAlign w:val="center"/>
          </w:tcPr>
          <w:p>
            <w:pPr>
              <w:pStyle w:val="TableContents"/>
              <w:bidi w:val="0"/>
              <w:spacing w:before="0" w:after="0"/>
              <w:ind w:left="0" w:right="0" w:hanging="0"/>
              <w:jc w:val="center"/>
              <w:rPr/>
            </w:pPr>
            <w:hyperlink w:anchor="exhibits">
              <w:r>
                <w:rPr>
                  <w:rStyle w:val="InternetLink"/>
                  <w:rFonts w:ascii="Times New Roman;Times;serif" w:hAnsi="Times New Roman;Times;serif"/>
                  <w:caps w:val="false"/>
                  <w:smallCaps w:val="false"/>
                  <w:sz w:val="20"/>
                </w:rPr>
                <w:t>47</w:t>
              </w:r>
            </w:hyperlink>
          </w:p>
        </w:tc>
      </w:tr>
      <w:tr>
        <w:trPr/>
        <w:tc>
          <w:tcPr>
            <w:tcW w:w="89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caps w:val="false"/>
                  <w:smallCaps w:val="false"/>
                  <w:sz w:val="20"/>
                </w:rPr>
                <w:t>Signatures</w:t>
              </w:r>
            </w:hyperlink>
          </w:p>
        </w:tc>
        <w:tc>
          <w:tcPr>
            <w:tcW w:w="829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ind w:left="0" w:right="0" w:hanging="0"/>
              <w:jc w:val="center"/>
              <w:rPr/>
            </w:pPr>
            <w:hyperlink w:anchor="signatures">
              <w:r>
                <w:rPr>
                  <w:rStyle w:val="InternetLink"/>
                  <w:rFonts w:ascii="Times New Roman;Times;serif" w:hAnsi="Times New Roman;Times;serif"/>
                  <w:caps w:val="false"/>
                  <w:smallCaps w:val="false"/>
                  <w:sz w:val="20"/>
                </w:rPr>
                <w:t>48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3" w:name="item_1_bs"/>
            <w:bookmarkEnd w:id="3"/>
            <w:r>
              <w:rPr>
                <w:rFonts w:ascii="Times New Roman" w:hAnsi="Times New Roman"/>
                <w:b/>
                <w:caps w:val="false"/>
                <w:smallCaps w:val="false"/>
                <w:sz w:val="20"/>
              </w:rPr>
              <w:t>Item 1.</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75"/>
        <w:gridCol w:w="60"/>
        <w:gridCol w:w="143"/>
        <w:gridCol w:w="968"/>
        <w:gridCol w:w="80"/>
        <w:gridCol w:w="60"/>
        <w:gridCol w:w="157"/>
        <w:gridCol w:w="880"/>
        <w:gridCol w:w="82"/>
      </w:tblGrid>
      <w:tr>
        <w:trPr/>
        <w:tc>
          <w:tcPr>
            <w:tcW w:w="7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2"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w:t>
            </w:r>
          </w:p>
        </w:tc>
        <w:tc>
          <w:tcPr>
            <w:tcW w:w="82"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19,442</w:t>
            </w:r>
          </w:p>
        </w:tc>
        <w:tc>
          <w:tcPr>
            <w:tcW w:w="82"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534,307</w:t>
            </w:r>
          </w:p>
        </w:tc>
        <w:tc>
          <w:tcPr>
            <w:tcW w:w="82"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82"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2"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21,141</w:t>
            </w:r>
          </w:p>
        </w:tc>
        <w:tc>
          <w:tcPr>
            <w:tcW w:w="82"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85,184</w:t>
            </w:r>
          </w:p>
        </w:tc>
        <w:tc>
          <w:tcPr>
            <w:tcW w:w="82"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w:t>
            </w:r>
          </w:p>
        </w:tc>
        <w:tc>
          <w:tcPr>
            <w:tcW w:w="82"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49,745 shares issued and outstanding in 2025 and 49,601 shares in 2024</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697,489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3,043 shares in 2025 and 2,891 shares in 2024</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(87,784</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p>
        </w:tc>
        <w:tc>
          <w:tcPr>
            <w:tcW w:w="82"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Derived from December 28, 2024, audited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4" w:name="cso"/>
            <w:bookmarkEnd w:id="4"/>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tc>
      </w:tr>
    </w:tbl>
    <w:p>
      <w:pPr>
        <w:pStyle w:val="TextBody"/>
        <w:bidi w:val="0"/>
        <w:spacing w:before="0" w:after="0"/>
        <w:ind w:left="0" w:right="0" w:hanging="0"/>
        <w:jc w:val="left"/>
        <w:rPr/>
      </w:pPr>
      <w:r>
        <w:rPr/>
        <w:t> </w:t>
      </w:r>
    </w:p>
    <w:tbl>
      <w:tblPr>
        <w:tblW w:w="10031" w:type="dxa"/>
        <w:jc w:val="left"/>
        <w:tblInd w:w="0" w:type="dxa"/>
        <w:tblLayout w:type="fixed"/>
        <w:tblCellMar>
          <w:top w:w="0" w:type="dxa"/>
          <w:left w:w="0" w:type="dxa"/>
          <w:bottom w:w="0" w:type="dxa"/>
          <w:right w:w="0" w:type="dxa"/>
        </w:tblCellMar>
      </w:tblPr>
      <w:tblGrid>
        <w:gridCol w:w="4775"/>
        <w:gridCol w:w="60"/>
        <w:gridCol w:w="178"/>
        <w:gridCol w:w="996"/>
        <w:gridCol w:w="80"/>
        <w:gridCol w:w="60"/>
        <w:gridCol w:w="178"/>
        <w:gridCol w:w="996"/>
        <w:gridCol w:w="80"/>
        <w:gridCol w:w="60"/>
        <w:gridCol w:w="178"/>
        <w:gridCol w:w="996"/>
        <w:gridCol w:w="80"/>
        <w:gridCol w:w="60"/>
        <w:gridCol w:w="178"/>
        <w:gridCol w:w="996"/>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97,497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357,698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46,971</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$7,873 and $7,518 for the three months ended September 27, 2025, and September 28, 2024, respectively, and $23,171 and $22,526 for the nine months ended September 27, 2025, and September 28, 2024,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6830" w:type="dxa"/>
        <w:jc w:val="left"/>
        <w:tblInd w:w="0" w:type="dxa"/>
        <w:tblLayout w:type="fixed"/>
        <w:tblCellMar>
          <w:top w:w="0" w:type="dxa"/>
          <w:left w:w="0" w:type="dxa"/>
          <w:bottom w:w="0" w:type="dxa"/>
          <w:right w:w="0" w:type="dxa"/>
        </w:tblCellMar>
      </w:tblPr>
      <w:tblGrid>
        <w:gridCol w:w="6830"/>
      </w:tblGrid>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comp_loss"/>
            <w:bookmarkEnd w:id="5"/>
            <w:r>
              <w:rPr>
                <w:rFonts w:ascii="Times New Roman" w:hAnsi="Times New Roman"/>
                <w:b/>
                <w:caps w:val="false"/>
                <w:smallCaps w:val="false"/>
                <w:sz w:val="20"/>
              </w:rPr>
              <w:t>COHU, INC.</w:t>
            </w:r>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9083" w:type="dxa"/>
        <w:jc w:val="left"/>
        <w:tblInd w:w="0" w:type="dxa"/>
        <w:tblLayout w:type="fixed"/>
        <w:tblCellMar>
          <w:top w:w="0" w:type="dxa"/>
          <w:left w:w="0" w:type="dxa"/>
          <w:bottom w:w="0" w:type="dxa"/>
          <w:right w:w="0" w:type="dxa"/>
        </w:tblCellMar>
      </w:tblPr>
      <w:tblGrid>
        <w:gridCol w:w="3815"/>
        <w:gridCol w:w="60"/>
        <w:gridCol w:w="218"/>
        <w:gridCol w:w="956"/>
        <w:gridCol w:w="87"/>
        <w:gridCol w:w="65"/>
        <w:gridCol w:w="189"/>
        <w:gridCol w:w="985"/>
        <w:gridCol w:w="80"/>
        <w:gridCol w:w="60"/>
        <w:gridCol w:w="189"/>
        <w:gridCol w:w="985"/>
        <w:gridCol w:w="80"/>
        <w:gridCol w:w="60"/>
        <w:gridCol w:w="189"/>
        <w:gridCol w:w="985"/>
        <w:gridCol w:w="8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6" w:name="stck_eq"/>
            <w:bookmarkEnd w:id="6"/>
            <w:r>
              <w:rPr>
                <w:rFonts w:ascii="Times New Roman" w:hAnsi="Times New Roman"/>
                <w:b/>
                <w:caps w:val="false"/>
                <w:smallCaps w:val="false"/>
                <w:sz w:val="20"/>
              </w:rPr>
              <w:t>COHU, INC.</w:t>
            </w:r>
          </w:p>
        </w:tc>
      </w:tr>
      <w:tr>
        <w:trPr/>
        <w:tc>
          <w:tcPr>
            <w:tcW w:w="7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par value and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70"/>
        <w:gridCol w:w="60"/>
        <w:gridCol w:w="154"/>
        <w:gridCol w:w="730"/>
        <w:gridCol w:w="60"/>
        <w:gridCol w:w="60"/>
        <w:gridCol w:w="110"/>
        <w:gridCol w:w="605"/>
        <w:gridCol w:w="80"/>
        <w:gridCol w:w="60"/>
        <w:gridCol w:w="110"/>
        <w:gridCol w:w="605"/>
        <w:gridCol w:w="80"/>
        <w:gridCol w:w="60"/>
        <w:gridCol w:w="173"/>
        <w:gridCol w:w="912"/>
        <w:gridCol w:w="80"/>
        <w:gridCol w:w="60"/>
        <w:gridCol w:w="110"/>
        <w:gridCol w:w="575"/>
        <w:gridCol w:w="80"/>
        <w:gridCol w:w="60"/>
        <w:gridCol w:w="110"/>
        <w:gridCol w:w="605"/>
        <w:gridCol w:w="96"/>
      </w:tblGrid>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ind w:left="0" w:right="0" w:hanging="0"/>
              <w:jc w:val="left"/>
              <w:rPr/>
            </w:pPr>
            <w:r>
              <w:rPr/>
              <w:t> </w:t>
            </w:r>
          </w:p>
        </w:tc>
      </w:tr>
      <w:tr>
        <w:trPr/>
        <w:tc>
          <w:tcPr>
            <w:tcW w:w="45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27, 2025)</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 par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96" w:type="dxa"/>
            <w:tcBorders/>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28,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(88,385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830,543</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(4,101</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5,659</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September 27, 2025</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706,157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196,955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(88,193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831,089</w:t>
            </w:r>
          </w:p>
        </w:tc>
        <w:tc>
          <w:tcPr>
            <w:tcW w:w="96" w:type="dxa"/>
            <w:tcBorders/>
            <w:shd w:fill="FFFFFF" w:val="clear"/>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27,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856,891</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(51,785</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18,933</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(1,392</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(4,377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(2,531</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(8,587</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17,564</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September 27, 2025</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706,157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196,955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(88,193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831,089</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28, 2024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29, 2024</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(80,020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896,210</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(18,056</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9,476</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(8,123</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5,248</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September 28, 2024</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690,424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270,098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(87,888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884,538</w:t>
            </w:r>
          </w:p>
        </w:tc>
        <w:tc>
          <w:tcPr>
            <w:tcW w:w="96" w:type="dxa"/>
            <w:tcBorders/>
            <w:shd w:fill="CCEEFF" w:val="clear"/>
            <w:vAlign w:val="center"/>
          </w:tcPr>
          <w:p>
            <w:pPr>
              <w:pStyle w:val="TableContents"/>
              <w:bidi w:val="0"/>
              <w:spacing w:before="0" w:after="283"/>
              <w:jc w:val="left"/>
              <w:rPr/>
            </w:pPr>
            <w:r>
              <w:rPr/>
              <w:t> </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28, 2024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318,558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950,170</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(48,460</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(2,947</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2,002</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(4,662</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(27,147</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70"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15,459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15,459</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September 28, 2024</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690,424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270,098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(87,888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884,538</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7" w:name="cash_flow"/>
            <w:bookmarkEnd w:id="7"/>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9713" w:type="dxa"/>
        <w:jc w:val="left"/>
        <w:tblInd w:w="0" w:type="dxa"/>
        <w:tblLayout w:type="fixed"/>
        <w:tblCellMar>
          <w:top w:w="0" w:type="dxa"/>
          <w:left w:w="0" w:type="dxa"/>
          <w:bottom w:w="0" w:type="dxa"/>
          <w:right w:w="0" w:type="dxa"/>
        </w:tblCellMar>
      </w:tblPr>
      <w:tblGrid>
        <w:gridCol w:w="7085"/>
        <w:gridCol w:w="60"/>
        <w:gridCol w:w="178"/>
        <w:gridCol w:w="996"/>
        <w:gridCol w:w="80"/>
        <w:gridCol w:w="60"/>
        <w:gridCol w:w="178"/>
        <w:gridCol w:w="996"/>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39,538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related to equity investment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to contingent consideration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(65,628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net investment hedge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Tignis, net of cash received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revolving credit facility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60" w:right="0" w:hanging="560"/>
        <w:jc w:val="both"/>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8" w:name="notes"/>
            <w:bookmarkEnd w:id="8"/>
            <w:r>
              <w:rPr>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fiscal years are based on a 52- or 53-week period ending on the last Saturday in December. The condensed consolidated balance sheet at December 28, 2024, has been derived from our audited financial statements at that date. The interim condensed consolidated financial statements as of September 27, 2025, (also referred to as “the third quarter of fiscal 2025” and “the first nine months of fiscal 2025”) and September 28, 2024, (also referred to as “the third quarter of fiscal 2024” and “the first nine months of fiscal 2024”) are unaudited. However, in management’s opinion, these financial statements reflect all adjustments (consisting only of normal, recurring items) necessary to provide a fair presentation of our financial position, results of operations and cash flows for the periods presented. Both the three- and nine-month periods ended September 27, 2025 and September 28, 2024 were comprised of 13 and 39 weeks,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interim results are not necessarily indicative of the results that should be expected for the full year. The condensed consolidated financial statements presented herein reflect estimates and assumptions made by management at September 27, 2025 and for the three- and nine-month periods ended September 27, 2025. For a better understanding of Cohu, Inc. and our financial statements, we recommend reading these interim condensed consolidated financial statements in conjunction with our audited financial statements for the year ended December 28, 2024, which are included in our 2024 Annual Report on Form 10-K, filed with the U.S. Securities and Exchange Commission (“SEC”). In the following notes to our interim condensed consolidated financial statements, Cohu, Inc., is referred to as “Cohu”, the “Company”, “we”, “our”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326, </w:t>
      </w:r>
      <w:r>
        <w:rPr>
          <w:rFonts w:ascii="Times New Roman" w:hAnsi="Times New Roman"/>
          <w:i/>
          <w:caps w:val="false"/>
          <w:smallCaps w:val="false"/>
          <w:sz w:val="20"/>
        </w:rPr>
        <w:t>Financial Instruments-Credit Losses</w:t>
      </w:r>
      <w:r>
        <w:rPr>
          <w:rFonts w:ascii="Times New Roman" w:hAnsi="Times New Roman"/>
          <w:caps w:val="false"/>
          <w:smallCaps w:val="false"/>
          <w:sz w:val="20"/>
        </w:rPr>
        <w:t> (“ASC 326”). At September 27, 2025 and December 28, 2024, our allowance for credit losses was $0.1 million and $0.2 million, respectively. Our customers include semiconductor manufacturers and semiconductor test subcontractors throughout many areas of the world. While we believe that our allowance for credit losses is adequate and represents our best estimate at September 27, 2025, we will continue to monitor customer liquidity and other economic conditions, which may 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53" w:type="dxa"/>
        <w:jc w:val="left"/>
        <w:tblInd w:w="0" w:type="dxa"/>
        <w:tblLayout w:type="fixed"/>
        <w:tblCellMar>
          <w:top w:w="0" w:type="dxa"/>
          <w:left w:w="0" w:type="dxa"/>
          <w:bottom w:w="0" w:type="dxa"/>
          <w:right w:w="0" w:type="dxa"/>
        </w:tblCellMar>
      </w:tblPr>
      <w:tblGrid>
        <w:gridCol w:w="2810"/>
        <w:gridCol w:w="60"/>
        <w:gridCol w:w="178"/>
        <w:gridCol w:w="996"/>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21,058</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20"/>
        <w:jc w:val="both"/>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3950"/>
        <w:gridCol w:w="60"/>
        <w:gridCol w:w="178"/>
        <w:gridCol w:w="996"/>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350,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(“ASC 350”).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Total unamortized capitalized cloud computing implementation costs totaled $7.5 million and $9.3 million at September 27, 2025, and December 28, 2024, respectively. These amounts are recorded in other current assets and other assets in our condensed consolidated balance sheets. Implementation costs are amortized using the straight-line method over seven years and we recorded amortization expense of $0.7 million and $2.1 million during the three and nine months ended September 27, 2025, respectively, and amortization expense of $0.7 million and $2.1 million during the three and nine months ended September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apply the provisions of ASC Topic 280, </w:t>
      </w:r>
      <w:r>
        <w:rPr>
          <w:rFonts w:ascii="Times New Roman" w:hAnsi="Times New Roman"/>
          <w:i/>
          <w:caps w:val="false"/>
          <w:smallCaps w:val="false"/>
          <w:sz w:val="20"/>
        </w:rPr>
        <w:t>Segment Reporting</w:t>
      </w:r>
      <w:r>
        <w:rPr>
          <w:rFonts w:ascii="Times New Roman" w:hAnsi="Times New Roman"/>
          <w:caps w:val="false"/>
          <w:smallCaps w:val="false"/>
          <w:sz w:val="20"/>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evaluate goodwill for impairment annually and when an event occurs or circumstances change that indicate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lineRule="auto" w:line="288"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directly impacts our fair value measurement through our stock price that we use to determine our market capitalization. During times of volatility, significant judgment must be applied to determine whether credit or stock price changes are short-term in nature or indicative of a long-term trend. As of September 27,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nine months of fiscal 2025 and 2024,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relative standalone selling price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record restructuring activities including costs for one-time termination benefits in accordance with ASC Topic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420”)</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These costs are recognized when management has committed to a restructuring plan and the severance costs are probable and estimable. See Note 4,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and nine months ended September 27, 2025, we recognized foreign exchange losses, net of the impact of foreign exchange derivative contracts, of $0.1 million and $0.6 million in our condensed consolidated statements of operations, respectively. During the three and nine months ended September 28, 2024, we recognized foreign exchange losses, net of the impact of foreign exchange derivative contracts, of $1.6 million and $2.5 million in our condensed consolidated statements of operations,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in the statement of condensed consolidated stockholders’ equity through accumulated other comprehensive loss (AOCL).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See Note 7,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measure and recognize all share-based compensation under the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Reported share-based compensation is classified in our condensed consolidated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212" w:type="dxa"/>
        <w:jc w:val="left"/>
        <w:tblInd w:w="0" w:type="dxa"/>
        <w:tblLayout w:type="fixed"/>
        <w:tblCellMar>
          <w:top w:w="0" w:type="dxa"/>
          <w:left w:w="0" w:type="dxa"/>
          <w:bottom w:w="0" w:type="dxa"/>
          <w:right w:w="0" w:type="dxa"/>
        </w:tblCellMar>
      </w:tblPr>
      <w:tblGrid>
        <w:gridCol w:w="2975"/>
        <w:gridCol w:w="60"/>
        <w:gridCol w:w="240"/>
        <w:gridCol w:w="934"/>
        <w:gridCol w:w="77"/>
        <w:gridCol w:w="77"/>
        <w:gridCol w:w="240"/>
        <w:gridCol w:w="934"/>
        <w:gridCol w:w="60"/>
        <w:gridCol w:w="60"/>
        <w:gridCol w:w="204"/>
        <w:gridCol w:w="970"/>
        <w:gridCol w:w="84"/>
        <w:gridCol w:w="63"/>
        <w:gridCol w:w="204"/>
        <w:gridCol w:w="970"/>
        <w:gridCol w:w="6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12,100</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three and nine months ended September 27, 2025, awards to issue approximately 488,000 and 588,000 potentially issuable shares of common stock were excluded from the computation, respectively. For the three and nine months ended September 28, 2024, awards to issue approximately 225,000 and 256,000 potentially issuable shares of common stock were excluded from the computation, respectively. All shares repurchased and held as treasury stock are reflected as a reduction to our basic weighted 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reconciles the denominators used in computing basic and diluted loss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2780"/>
        <w:gridCol w:w="60"/>
        <w:gridCol w:w="107"/>
        <w:gridCol w:w="1067"/>
        <w:gridCol w:w="73"/>
        <w:gridCol w:w="73"/>
        <w:gridCol w:w="107"/>
        <w:gridCol w:w="1067"/>
        <w:gridCol w:w="60"/>
        <w:gridCol w:w="60"/>
        <w:gridCol w:w="107"/>
        <w:gridCol w:w="1067"/>
        <w:gridCol w:w="69"/>
        <w:gridCol w:w="69"/>
        <w:gridCol w:w="107"/>
        <w:gridCol w:w="1067"/>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46,748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46,748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January 1, 2019, the adoption date of ASU 2016-02, </w:t>
      </w:r>
      <w:r>
        <w:rPr>
          <w:rFonts w:ascii="Times New Roman" w:hAnsi="Times New Roman"/>
          <w:i/>
          <w:caps w:val="false"/>
          <w:smallCaps w:val="false"/>
          <w:sz w:val="20"/>
        </w:rPr>
        <w:t>Leases (Topic 842)</w:t>
      </w:r>
      <w:r>
        <w:rPr>
          <w:rFonts w:ascii="Times New Roman" w:hAnsi="Times New Roman"/>
          <w:caps w:val="false"/>
          <w:smallCaps w:val="false"/>
          <w:sz w:val="20"/>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Unsatisfied performance obligations primarily represent contracts for products with future delivery dates. At September 27, 2025, we had $4.6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we have opted to not disclose unsatisfied performance obligations for contracts with original expected durations of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are less than one year in duration, we have elected to use the practical expedient available in ASC 606 to expense cost to obtain contracts as they are incurred because they would be amortized over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On shipments where sales are not recognized, gross profit is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September 27, 2025, we had deferred revenue totaling approximately $14.4 million, current deferred profit of $8.2 million and deferred profit expected to be recognized after one year included in noncurrent other accrued liabilities of $3.8 million. At December 28, 2024, we had deferred revenue totaling approximately $8.6 million, current deferred profit of $3.6 million and deferred profit expected to be recognized after one year included in noncurrent other accrued liabilities of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045"/>
        <w:gridCol w:w="60"/>
        <w:gridCol w:w="178"/>
        <w:gridCol w:w="996"/>
        <w:gridCol w:w="62"/>
        <w:gridCol w:w="62"/>
        <w:gridCol w:w="204"/>
        <w:gridCol w:w="970"/>
        <w:gridCol w:w="60"/>
        <w:gridCol w:w="60"/>
        <w:gridCol w:w="178"/>
        <w:gridCol w:w="996"/>
        <w:gridCol w:w="60"/>
        <w:gridCol w:w="60"/>
        <w:gridCol w:w="178"/>
        <w:gridCol w:w="996"/>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103,685</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203,972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126,249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was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045"/>
        <w:gridCol w:w="60"/>
        <w:gridCol w:w="178"/>
        <w:gridCol w:w="996"/>
        <w:gridCol w:w="62"/>
        <w:gridCol w:w="62"/>
        <w:gridCol w:w="204"/>
        <w:gridCol w:w="970"/>
        <w:gridCol w:w="60"/>
        <w:gridCol w:w="60"/>
        <w:gridCol w:w="178"/>
        <w:gridCol w:w="996"/>
        <w:gridCol w:w="60"/>
        <w:gridCol w:w="60"/>
        <w:gridCol w:w="178"/>
        <w:gridCol w:w="996"/>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48,327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91,822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126,249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4"/>
        <w:gridCol w:w="60"/>
        <w:gridCol w:w="142"/>
        <w:gridCol w:w="1010"/>
        <w:gridCol w:w="94"/>
        <w:gridCol w:w="94"/>
        <w:gridCol w:w="181"/>
        <w:gridCol w:w="971"/>
        <w:gridCol w:w="60"/>
        <w:gridCol w:w="60"/>
        <w:gridCol w:w="152"/>
        <w:gridCol w:w="1000"/>
        <w:gridCol w:w="125"/>
        <w:gridCol w:w="125"/>
        <w:gridCol w:w="373"/>
        <w:gridCol w:w="779"/>
        <w:gridCol w:w="65"/>
      </w:tblGrid>
      <w:tr>
        <w:trPr/>
        <w:tc>
          <w:tcPr>
            <w:tcW w:w="49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5" w:type="dxa"/>
            <w:tcBorders/>
            <w:vAlign w:val="center"/>
          </w:tcPr>
          <w:p>
            <w:pPr>
              <w:pStyle w:val="TableContents"/>
              <w:bidi w:val="0"/>
              <w:spacing w:before="0" w:after="283"/>
              <w:jc w:val="left"/>
              <w:rPr/>
            </w:pPr>
            <w:r>
              <w:rPr/>
              <w:t> </w:t>
            </w:r>
          </w:p>
        </w:tc>
      </w:tr>
      <w:tr>
        <w:trPr/>
        <w:tc>
          <w:tcPr>
            <w:tcW w:w="49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5" w:type="dxa"/>
            <w:tcBorders/>
            <w:vAlign w:val="center"/>
          </w:tcPr>
          <w:p>
            <w:pPr>
              <w:pStyle w:val="TableContents"/>
              <w:bidi w:val="0"/>
              <w:spacing w:before="0" w:after="283"/>
              <w:jc w:val="left"/>
              <w:rPr/>
            </w:pPr>
            <w:r>
              <w:rPr/>
              <w:t> </w:t>
            </w:r>
          </w:p>
        </w:tc>
      </w:tr>
      <w:tr>
        <w:trPr/>
        <w:tc>
          <w:tcPr>
            <w:tcW w:w="49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5" w:type="dxa"/>
            <w:tcBorders/>
            <w:vAlign w:val="center"/>
          </w:tcPr>
          <w:p>
            <w:pPr>
              <w:pStyle w:val="TableContents"/>
              <w:bidi w:val="0"/>
              <w:spacing w:before="0" w:after="283"/>
              <w:jc w:val="left"/>
              <w:rPr/>
            </w:pPr>
            <w:r>
              <w:rPr/>
              <w:t> </w:t>
            </w:r>
          </w:p>
        </w:tc>
      </w:tr>
      <w:tr>
        <w:trPr/>
        <w:tc>
          <w:tcPr>
            <w:tcW w:w="49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representing more than 10% of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three</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one</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r>
      <w:tr>
        <w:trPr/>
        <w:tc>
          <w:tcPr>
            <w:tcW w:w="49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28" w:type="dxa"/>
          <w:right w:w="0" w:type="dxa"/>
        </w:tblCellMar>
      </w:tblPr>
      <w:tblGrid>
        <w:gridCol w:w="140"/>
        <w:gridCol w:w="5930"/>
      </w:tblGrid>
      <w:tr>
        <w:trPr/>
        <w:tc>
          <w:tcPr>
            <w:tcW w:w="6070" w:type="dxa"/>
            <w:gridSpan w:val="2"/>
            <w:tcBorders>
              <w:bottom w:val="single" w:sz="2" w:space="0" w:color="000000"/>
            </w:tcBorders>
            <w:vAlign w:val="center"/>
          </w:tcPr>
          <w:p>
            <w:pPr>
              <w:pStyle w:val="TableContents"/>
              <w:bidi w:val="0"/>
              <w:spacing w:before="0" w:after="283"/>
              <w:jc w:val="left"/>
              <w:rPr/>
            </w:pPr>
            <w:r>
              <w:rPr/>
              <w:t> </w:t>
            </w:r>
          </w:p>
        </w:tc>
      </w:tr>
      <w:tr>
        <w:trPr/>
        <w:tc>
          <w:tcPr>
            <w:tcW w:w="1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single customer represented more than 10% of consolidated net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accumulated other comprehensive loss balance totaled approximately $33.6 million and $51.2 million at September 27, 2025 and December 28, 2024,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nine months of fiscal 2025 and 2024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nine months of fiscal 2025 and 2024 was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2023, the Financial Accounting Standards Board (“FASB”) issued ASU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which expands reportable segment disclosure requirements, primarily through enhanced disclosures about significant segment expenses. The amendments in the ASU require, among other things, disclosure of significant segment expenses that are regularly provided to an entity's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Effective December 28, 2024, we adopted the new standard. The primary change as a result of adoption was the inclusion of additional disclosures related to our single reportable segment. See Note 10, “Segment and Geographic Information” for further information.</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xml:space="preserve">, requiring public entities to disclose additional information about specific expense categories in the notes to the financial statements on an interim and annual basis. The FASB subsequently issued ASU 2025-01, </w:t>
      </w:r>
      <w:r>
        <w:rPr>
          <w:rFonts w:ascii="Times New Roman" w:hAnsi="Times New Roman"/>
          <w:i/>
          <w:caps w:val="false"/>
          <w:smallCaps w:val="false"/>
          <w:sz w:val="20"/>
        </w:rPr>
        <w:t>Income Statement - Reporting Comprehensive Income - Expense Disaggregation Disclosures (Subtopic 220-40): Clarifying the Effective Date</w:t>
      </w:r>
      <w:r>
        <w:rPr>
          <w:rFonts w:ascii="Times New Roman" w:hAnsi="Times New Roman"/>
          <w:caps w:val="false"/>
          <w:smallCaps w:val="false"/>
          <w:sz w:val="20"/>
        </w:rPr>
        <w:t>, to clarify the effective date of ASU 2024-03. The guidance is effective for fiscal years beginning after December 15, 2026, and for interim periods beginning after December 15, 2027, with early adoption permitted. We are currently evaluating the impact of adopting the new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which requires enhancements and further transparency to certain annual income tax disclosures, most notably the tax rate reconciliation and income taxes paid. This ASU is effective for fiscal years beginning after December 15, 2024. We are adopting this ASU at the end of fiscal 2025 and will implement the required annual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 Goodwill and Purchased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Tignis,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(ML),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finalized in the third quarter of fiscal 2025. We made a cash payment totaling approximately $34.9 million, net of cash received, for Tignis which was paid out of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initial consideration paid, the Tignis shareholders have the right to receive an additional $5.0 million of consideration which is based on Tignis achieving certain sales and expense targets through December 2025. The contingent consideration payable has been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In the first quarter of 2025, we updated the fair value of contingent consideration based on management’s current estimates at that date which differed from those used as of January 7, 2025. The following table presents the fair value of contingent consideration from the date of acquisition through September 27,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286"/>
        <w:gridCol w:w="1113"/>
        <w:gridCol w:w="60"/>
        <w:gridCol w:w="60"/>
        <w:gridCol w:w="588"/>
        <w:gridCol w:w="377"/>
        <w:gridCol w:w="60"/>
        <w:gridCol w:w="60"/>
        <w:gridCol w:w="247"/>
        <w:gridCol w:w="1078"/>
        <w:gridCol w:w="80"/>
        <w:gridCol w:w="60"/>
        <w:gridCol w:w="832"/>
        <w:gridCol w:w="537"/>
        <w:gridCol w:w="60"/>
      </w:tblGrid>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Mark-to-Market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6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 at</w:t>
            </w:r>
          </w:p>
        </w:tc>
        <w:tc>
          <w:tcPr>
            <w:tcW w:w="6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Including cash paid, the impact of our working capital adjustment and the fair value of the contingent consideration, the purchase price for Tignis is $36.6 million. During the nine months ending September 27, 2025, we incurred acquisition-related costs totaling approximately $0.4 million, which were expensed as selling, general and administrative costs. Costs incurred during the three months ending September 27, 2025, were not significant.</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acquisition of Tignis has been accounted for in conformity with ASC Topic 805,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(“ASC 805”). The acquired assets and liabilities of Tignis were recorded at their respective fair values including an amount for goodwill representing the difference between the consideration paid and the fair value of the identifiable net assets. The purchase price allocation was finalized during the third quarter of 2025. The table below summarizes the assets acquired and liabilities assumed as of January 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3170"/>
        <w:gridCol w:w="60"/>
        <w:gridCol w:w="125"/>
        <w:gridCol w:w="59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3" w:type="dxa"/>
        <w:jc w:val="left"/>
        <w:tblInd w:w="0" w:type="dxa"/>
        <w:tblLayout w:type="fixed"/>
        <w:tblCellMar>
          <w:top w:w="0" w:type="dxa"/>
          <w:left w:w="0" w:type="dxa"/>
          <w:bottom w:w="0" w:type="dxa"/>
          <w:right w:w="0" w:type="dxa"/>
        </w:tblCellMar>
      </w:tblPr>
      <w:tblGrid>
        <w:gridCol w:w="2315"/>
        <w:gridCol w:w="60"/>
        <w:gridCol w:w="176"/>
        <w:gridCol w:w="683"/>
        <w:gridCol w:w="60"/>
        <w:gridCol w:w="60"/>
        <w:gridCol w:w="163"/>
        <w:gridCol w:w="756"/>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earnout agreement was measured at fair value in accordance with the guidance provided by ASC Topic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Tignis’ results of operations have been included starting January 7, 2025. The impact of Tignis on our condensed consolidated statements of operations and comprehensive loss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 of goodwill during the year ended December 28, 2024, and the nine-month period ended September 27, 2025,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2390"/>
        <w:gridCol w:w="60"/>
        <w:gridCol w:w="125"/>
        <w:gridCol w:w="695"/>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27,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282,293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95" w:type="dxa"/>
        <w:jc w:val="left"/>
        <w:tblInd w:w="0" w:type="dxa"/>
        <w:tblLayout w:type="fixed"/>
        <w:tblCellMar>
          <w:top w:w="0" w:type="dxa"/>
          <w:left w:w="0" w:type="dxa"/>
          <w:bottom w:w="0" w:type="dxa"/>
          <w:right w:w="0" w:type="dxa"/>
        </w:tblCellMar>
      </w:tblPr>
      <w:tblGrid>
        <w:gridCol w:w="2105"/>
        <w:gridCol w:w="60"/>
        <w:gridCol w:w="125"/>
        <w:gridCol w:w="695"/>
        <w:gridCol w:w="60"/>
        <w:gridCol w:w="60"/>
        <w:gridCol w:w="125"/>
        <w:gridCol w:w="695"/>
        <w:gridCol w:w="60"/>
        <w:gridCol w:w="1130"/>
        <w:gridCol w:w="60"/>
        <w:gridCol w:w="125"/>
        <w:gridCol w:w="695"/>
        <w:gridCol w:w="60"/>
        <w:gridCol w:w="60"/>
        <w:gridCol w:w="125"/>
        <w:gridCol w:w="695"/>
        <w:gridCol w:w="6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 2025</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 (years)</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194,355</w:t>
            </w:r>
          </w:p>
        </w:tc>
        <w:tc>
          <w:tcPr>
            <w:tcW w:w="60"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163,453</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42,275</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35,229</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15,253</w:t>
            </w:r>
          </w:p>
        </w:tc>
        <w:tc>
          <w:tcPr>
            <w:tcW w:w="60"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12,930</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252,089</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 and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approximately $10.2 million in the third quarter of fiscal 2025 and $30.2 million in the first nine months of fiscal 2025. Amortization expense related to intangible assets was approximately $9.8 million in the third quarter of fiscal 2024 and $29.3 million in the first nine months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0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153" w:type="dxa"/>
        <w:jc w:val="left"/>
        <w:tblInd w:w="0" w:type="dxa"/>
        <w:tblLayout w:type="fixed"/>
        <w:tblCellMar>
          <w:top w:w="0" w:type="dxa"/>
          <w:left w:w="0" w:type="dxa"/>
          <w:bottom w:w="0" w:type="dxa"/>
          <w:right w:w="0" w:type="dxa"/>
        </w:tblCellMar>
      </w:tblPr>
      <w:tblGrid>
        <w:gridCol w:w="2570"/>
        <w:gridCol w:w="60"/>
        <w:gridCol w:w="189"/>
        <w:gridCol w:w="985"/>
        <w:gridCol w:w="80"/>
        <w:gridCol w:w="60"/>
        <w:gridCol w:w="209"/>
        <w:gridCol w:w="920"/>
        <w:gridCol w:w="8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0.94%, and expire at various dates through 2034. At September 27, 2025, the outstanding loan balance was $1.6 million and $0.2 million of the outstanding balance is presented as current installments of long-term debt in our condensed consolidated balance sheets. At December 28, 2024, the outstanding loan balance was $1.7 million and $0.2 million of the outstanding balance is presented as current installments of long-term debt in our condensed consolidated balance sheets. The fair value of the debt approximates the carrying value at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total outstanding borrowings under the Loan Facilities was $6.5 million with $1.1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September 27, 2025, $8.9 million was outstanding under the revolving credit facility and the rate of interest was 4.04%.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120 million Japanese Yen was drawn as of September 27, 2025. At September 27, 2025, total borrowings outstanding under the revolving lines of credit were $0.8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borrowings of up to a total of 2.0 million Swiss Francs, a portion of which is reserved for tax guarantees. On September 27,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Poway Volume Manufacturing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the fourth quarter of fiscal 2024, we made the decision to transition all remaining volume manufacturing out of Poway, CA, and consolidate it into our factories in Asia. When fully implemented, these changes will allow us to better utilize our corporate infrastructure, drive improvements in inventory management, optimize our warehousing and better support our long-term goals. Total pretax charges related to the Poway volume manufacturing transition for the first nine months ended September 27, 2025 were $1.5 million. The following table summarizes the activity within the restructuring related accounts for the Poway volume manufacturing transition during the first nine months ended September 27,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528" w:type="dxa"/>
        <w:jc w:val="left"/>
        <w:tblInd w:w="0" w:type="dxa"/>
        <w:tblLayout w:type="fixed"/>
        <w:tblCellMar>
          <w:top w:w="0" w:type="dxa"/>
          <w:left w:w="0" w:type="dxa"/>
          <w:bottom w:w="0" w:type="dxa"/>
          <w:right w:w="0" w:type="dxa"/>
        </w:tblCellMar>
      </w:tblPr>
      <w:tblGrid>
        <w:gridCol w:w="2390"/>
        <w:gridCol w:w="60"/>
        <w:gridCol w:w="285"/>
        <w:gridCol w:w="904"/>
        <w:gridCol w:w="80"/>
        <w:gridCol w:w="60"/>
        <w:gridCol w:w="206"/>
        <w:gridCol w:w="653"/>
        <w:gridCol w:w="80"/>
        <w:gridCol w:w="60"/>
        <w:gridCol w:w="125"/>
        <w:gridCol w:w="545"/>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27, 2025</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2025 Strategic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February 19, 2025, we approved and began executing a strategic restructuring program designed to reposition our organization and improve our cost structure (“2025 Restructuring Program”). As part of the 2025 Restructuring Program we plan on consolidating certain operations that are currently based in La Chaux-de-Fonds, Switzerland, and in Kolbermoor, Germany, into other lower cost locations. As part of the 2025 Restructuring Program, we are making headcount reductions in the U.S. and throughout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During the second quarter of 2025, headcount reductions we implemented in Switzerland as part of the 2025 Restructuring Program resulted in a change to our defined benefit pension plan, resulting in a curtailment of future benefits for affected employees. In accordance with ASC Topic 715, </w:t>
      </w:r>
      <w:r>
        <w:rPr>
          <w:rFonts w:ascii="Times New Roman" w:hAnsi="Times New Roman"/>
          <w:i/>
          <w:caps w:val="false"/>
          <w:smallCaps w:val="false"/>
          <w:sz w:val="20"/>
        </w:rPr>
        <w:t>Compensation-Retirement Benefits</w:t>
      </w:r>
      <w:r>
        <w:rPr>
          <w:rFonts w:ascii="Times New Roman" w:hAnsi="Times New Roman"/>
          <w:caps w:val="false"/>
          <w:smallCaps w:val="false"/>
          <w:sz w:val="20"/>
        </w:rPr>
        <w:t xml:space="preserve"> (“ASC 715”), during the three months ended June 28, 2025, we recognized a pension curtailment gain of $1.5 million. During the three months ended September 27, 2025, we recognized an additional pension curtailment gain of $0.8 million. These gains reflect the reduction in the projected benefit obligation due to the termination of future service accruals for impacted plan participants and are included in the condensed consolidated statements of operations. The 2025 Restructuring Program, as implemented over time, will reduce headcount,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we recognized total pretax charges of $6.8 million during the first nine months ended September 27, 2025, that are within the scope of ASC 420. The following table summarizes the activity within the restructuring related accounts for the 2025 Restructuring Program during the first nine months ended September 27,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560" w:right="0" w:hanging="0"/>
        <w:jc w:val="left"/>
        <w:rPr>
          <w:caps w:val="false"/>
          <w:smallCaps w:val="false"/>
        </w:rPr>
      </w:pPr>
      <w:r>
        <w:rPr>
          <w:caps w:val="false"/>
          <w:smallCaps w:val="false"/>
        </w:rPr>
        <w:t> </w:t>
      </w:r>
    </w:p>
    <w:tbl>
      <w:tblPr>
        <w:tblW w:w="5528" w:type="dxa"/>
        <w:jc w:val="left"/>
        <w:tblInd w:w="0" w:type="dxa"/>
        <w:tblLayout w:type="fixed"/>
        <w:tblCellMar>
          <w:top w:w="0" w:type="dxa"/>
          <w:left w:w="0" w:type="dxa"/>
          <w:bottom w:w="0" w:type="dxa"/>
          <w:right w:w="0" w:type="dxa"/>
        </w:tblCellMar>
      </w:tblPr>
      <w:tblGrid>
        <w:gridCol w:w="2390"/>
        <w:gridCol w:w="60"/>
        <w:gridCol w:w="221"/>
        <w:gridCol w:w="968"/>
        <w:gridCol w:w="80"/>
        <w:gridCol w:w="60"/>
        <w:gridCol w:w="206"/>
        <w:gridCol w:w="653"/>
        <w:gridCol w:w="80"/>
        <w:gridCol w:w="60"/>
        <w:gridCol w:w="125"/>
        <w:gridCol w:w="545"/>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6,845</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Instruments Measured at Fair Value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52"/>
        <w:gridCol w:w="723"/>
        <w:gridCol w:w="60"/>
        <w:gridCol w:w="60"/>
        <w:gridCol w:w="317"/>
        <w:gridCol w:w="588"/>
        <w:gridCol w:w="60"/>
        <w:gridCol w:w="60"/>
        <w:gridCol w:w="452"/>
        <w:gridCol w:w="453"/>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 2025</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21,735</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tbl>
      <w:tblPr>
        <w:tblW w:w="6355" w:type="dxa"/>
        <w:jc w:val="left"/>
        <w:tblInd w:w="0" w:type="dxa"/>
        <w:tblLayout w:type="fixed"/>
        <w:tblCellMar>
          <w:top w:w="0" w:type="dxa"/>
          <w:left w:w="0" w:type="dxa"/>
          <w:bottom w:w="0" w:type="dxa"/>
          <w:right w:w="0" w:type="dxa"/>
        </w:tblCellMar>
      </w:tblPr>
      <w:tblGrid>
        <w:gridCol w:w="2360"/>
        <w:gridCol w:w="60"/>
        <w:gridCol w:w="152"/>
        <w:gridCol w:w="723"/>
        <w:gridCol w:w="60"/>
        <w:gridCol w:w="60"/>
        <w:gridCol w:w="317"/>
        <w:gridCol w:w="588"/>
        <w:gridCol w:w="60"/>
        <w:gridCol w:w="60"/>
        <w:gridCol w:w="317"/>
        <w:gridCol w:w="588"/>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September 27, 2025, the cost and fair value of investments with loss positions were both approximately $10.2 million. As of December 28, 2024, the cost and fair value of investments with loss positions was approximately $20.5 million and $20.4 million, respectively. We evaluated the nature of these investments, credit worthiness of the issuer and the duration of these impairments to determine if a credit loss exists.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include investments in financial and other corporate institutions. No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61" w:type="dxa"/>
        <w:jc w:val="left"/>
        <w:tblInd w:w="0" w:type="dxa"/>
        <w:tblLayout w:type="fixed"/>
        <w:tblCellMar>
          <w:top w:w="0" w:type="dxa"/>
          <w:left w:w="0" w:type="dxa"/>
          <w:bottom w:w="0" w:type="dxa"/>
          <w:right w:w="0" w:type="dxa"/>
        </w:tblCellMar>
      </w:tblPr>
      <w:tblGrid>
        <w:gridCol w:w="3005"/>
        <w:gridCol w:w="60"/>
        <w:gridCol w:w="152"/>
        <w:gridCol w:w="723"/>
        <w:gridCol w:w="63"/>
        <w:gridCol w:w="63"/>
        <w:gridCol w:w="150"/>
        <w:gridCol w:w="709"/>
        <w:gridCol w:w="60"/>
        <w:gridCol w:w="60"/>
        <w:gridCol w:w="152"/>
        <w:gridCol w:w="723"/>
        <w:gridCol w:w="61"/>
        <w:gridCol w:w="61"/>
        <w:gridCol w:w="150"/>
        <w:gridCol w:w="709"/>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96" w:type="dxa"/>
        <w:jc w:val="left"/>
        <w:tblInd w:w="0" w:type="dxa"/>
        <w:tblLayout w:type="fixed"/>
        <w:tblCellMar>
          <w:top w:w="0" w:type="dxa"/>
          <w:left w:w="0" w:type="dxa"/>
          <w:bottom w:w="0" w:type="dxa"/>
          <w:right w:w="0" w:type="dxa"/>
        </w:tblCellMar>
      </w:tblPr>
      <w:tblGrid>
        <w:gridCol w:w="2360"/>
        <w:gridCol w:w="60"/>
        <w:gridCol w:w="189"/>
        <w:gridCol w:w="1054"/>
        <w:gridCol w:w="91"/>
        <w:gridCol w:w="91"/>
        <w:gridCol w:w="189"/>
        <w:gridCol w:w="895"/>
        <w:gridCol w:w="91"/>
        <w:gridCol w:w="91"/>
        <w:gridCol w:w="386"/>
        <w:gridCol w:w="248"/>
        <w:gridCol w:w="91"/>
        <w:gridCol w:w="91"/>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1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September 27, 2025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109,799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109,799</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109,799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88,358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tbl>
      <w:tblPr>
        <w:tblW w:w="731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28, 2024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125,127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2005 Equity Incentive Plan (“2005 Plan”) and our 1997 Employee Stock Purchase Plan (“ESPP”) are 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September 27, 2025, there were 1,838,419 shares available for future equity grants under the 2005 Plan and 484,449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first nine months of fiscal 2025, we did not grant any stock options and as of September 27, 2025, no stock options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nine months of fiscal 2025, we awarded 890,778 RSUs and issued 360,672 shares of our common stock on vesting of previously granted awards and 63,640 RSUs were forfeited. On September 27, 2025, we had 1,354,678 RSUs outstanding with an aggregate intrinsic value of approximately $27.9 million and the weighted average remaining vesting period was approximately 1.1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nine months of fiscal 2025, we awarded 396,708 PSUs, we issued 70,004 shares of our common stock on vesting of previously granted awards and 118,847 shares were forfeited. On September 27, 2025, we had 746,839 PSUs outstanding with an aggregate intrinsic value of approximately $15.4 million and the weighted average remaining vesting period was approximately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nine months of fiscal 2025, 143,867 shares of our common stock were sold to our employees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Economic (Non-Designated)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34" w:type="dxa"/>
        <w:jc w:val="left"/>
        <w:tblInd w:w="0" w:type="dxa"/>
        <w:tblLayout w:type="fixed"/>
        <w:tblCellMar>
          <w:top w:w="0" w:type="dxa"/>
          <w:left w:w="0" w:type="dxa"/>
          <w:bottom w:w="0" w:type="dxa"/>
          <w:right w:w="0" w:type="dxa"/>
        </w:tblCellMar>
      </w:tblPr>
      <w:tblGrid>
        <w:gridCol w:w="2915"/>
        <w:gridCol w:w="2480"/>
        <w:gridCol w:w="60"/>
        <w:gridCol w:w="170"/>
        <w:gridCol w:w="538"/>
        <w:gridCol w:w="108"/>
        <w:gridCol w:w="81"/>
        <w:gridCol w:w="170"/>
        <w:gridCol w:w="660"/>
        <w:gridCol w:w="60"/>
        <w:gridCol w:w="60"/>
        <w:gridCol w:w="154"/>
        <w:gridCol w:w="601"/>
        <w:gridCol w:w="74"/>
        <w:gridCol w:w="74"/>
        <w:gridCol w:w="74"/>
        <w:gridCol w:w="675"/>
        <w:gridCol w:w="80"/>
      </w:tblGrid>
      <w:tr>
        <w:trPr/>
        <w:tc>
          <w:tcPr>
            <w:tcW w:w="291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27,</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27,</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28,</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Net Investment Hedges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third quarter of fiscal 2024 we began hedging foreign currency risk associated with net investment positions in certain of our foreign subsidiaries. To accomplish this, we enter into foreign currency forward contracts that are designated as hedges of our net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from net investment hedges recorded in the foreign currency translation component of accumulated AOCL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724" w:type="dxa"/>
        <w:jc w:val="left"/>
        <w:tblInd w:w="0" w:type="dxa"/>
        <w:tblLayout w:type="fixed"/>
        <w:tblCellMar>
          <w:top w:w="0" w:type="dxa"/>
          <w:left w:w="0" w:type="dxa"/>
          <w:bottom w:w="0" w:type="dxa"/>
          <w:right w:w="0" w:type="dxa"/>
        </w:tblCellMar>
      </w:tblPr>
      <w:tblGrid>
        <w:gridCol w:w="2915"/>
        <w:gridCol w:w="2120"/>
        <w:gridCol w:w="60"/>
        <w:gridCol w:w="180"/>
        <w:gridCol w:w="484"/>
        <w:gridCol w:w="83"/>
        <w:gridCol w:w="83"/>
        <w:gridCol w:w="173"/>
        <w:gridCol w:w="754"/>
        <w:gridCol w:w="80"/>
        <w:gridCol w:w="60"/>
        <w:gridCol w:w="139"/>
        <w:gridCol w:w="609"/>
        <w:gridCol w:w="89"/>
        <w:gridCol w:w="67"/>
        <w:gridCol w:w="139"/>
        <w:gridCol w:w="609"/>
        <w:gridCol w:w="80"/>
      </w:tblGrid>
      <w:tr>
        <w:trPr/>
        <w:tc>
          <w:tcPr>
            <w:tcW w:w="291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6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27,</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27,</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7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 28,</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AOCL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Gains recognized in foreign transaction loss, in the condensed consolidated statements of operations for the portion of the net investment hedges excluded from the assessment of hedge effectiveness was $0.5 million and $1.2 million for the three- and nine-month periods ended September 27, 2025, and $0.4 million in both the three- and nine-month periods ended September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Cash flows associated with settlements of our non-designated foreign currency forward contracts are reported in net cash used in operating activities and our net investment hedges are included in investing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our foreign currency forward contracts was determined based on current foreign currency exchange rates and forward points. All our foreign currency forward contracts outstanding on September 27, 2025 will mature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about our foreign currency forward contracts outstanding as of September 27,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46,075</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9,025</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foreign currency contracts are classified within Level 2 of the fair value hierarchy as they are valued using pricing models that utilize observable market inputs. The fair values of foreign currency contracts outstanding on September 27, 2025 and December 28, 2024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We did not repurchase any common shares of our stock during the three months ended September 27, 2025. During the nine months ended September 27, 2025, we repurchased 432,288 shares of our common stock for $8.6 million to be held as treasury stock. During the three months ended September 28, 2024, we repurchased 315,000 shares of our common stock for $8.1 million to be held as treasury stock. During the nine months ended September 28, 2024, we repurchased 915,504 shares of our common stock for $27.0 million to be held as treasury stock. As of September 27,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United States enacted tax legislation commonly referred to as the One Big Beautiful Bill Act (“OBBBA”), which introduced several significant amendments to the Internal Revenue Code. Key provisions affecting us include immediate expensing of domestic research and experimentation costs under IRC §174, restoration of 100 percent bonus depreciation for qualified property placed in service after 2024, modifications to the §163(j) interest expense limitation, and updates to the GILTI and FDII regimes. In accordance with ASC 740, we recognized the effects of the law in the current interim period ended September 27, 2025, including re-measurement of deferred tax assets and liabilities based on the provisions expected to apply when the underlying temporary differences reverse. We did not record a material tax provision impact attributable to the enactment of OBBBA due to our U.S. net operating loss position and the full valuation allowance we maintain against our U.S. deferred tax assets. We continue to evaluate interpretive guidance as it becomes available and to assess potential state income tax conformity. Any adjustments resulting from this ongoing evaluation will be recognized in the period they become reasonably estimable.</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account for income taxes in accordance with ASC Topic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and the accrual of taxes on unremitted income of our foreign subsidiaries.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Switzerland and California. We believe our financial statement accruals for income taxes are appropriate.</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a previously recorded valuation allowance against substantially all net deferred tax assets in the United States is required. If a change in judgment regarding this valuation allowance were to occur in the future, we would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CODM assesses performance of the Semiconductor Test &amp; Inspection segment and decides how to allocate resources based on income (loss) before taxes. The table below summarizes selected financial information for our single reportable segment.</w:t>
      </w:r>
    </w:p>
    <w:p>
      <w:pPr>
        <w:pStyle w:val="TextBody"/>
        <w:bidi w:val="0"/>
        <w:spacing w:before="0" w:after="0"/>
        <w:ind w:left="0" w:right="0" w:hanging="0"/>
        <w:jc w:val="left"/>
        <w:rPr>
          <w:caps w:val="false"/>
          <w:smallCaps w:val="false"/>
        </w:rPr>
      </w:pPr>
      <w:r>
        <w:rPr>
          <w:caps w:val="false"/>
          <w:smallCaps w:val="false"/>
        </w:rPr>
        <w:t> </w:t>
      </w:r>
    </w:p>
    <w:tbl>
      <w:tblPr>
        <w:tblW w:w="8831" w:type="dxa"/>
        <w:jc w:val="left"/>
        <w:tblInd w:w="0" w:type="dxa"/>
        <w:tblLayout w:type="fixed"/>
        <w:tblCellMar>
          <w:top w:w="0" w:type="dxa"/>
          <w:left w:w="0" w:type="dxa"/>
          <w:bottom w:w="0" w:type="dxa"/>
          <w:right w:w="0" w:type="dxa"/>
        </w:tblCellMar>
      </w:tblPr>
      <w:tblGrid>
        <w:gridCol w:w="3575"/>
        <w:gridCol w:w="60"/>
        <w:gridCol w:w="178"/>
        <w:gridCol w:w="996"/>
        <w:gridCol w:w="80"/>
        <w:gridCol w:w="60"/>
        <w:gridCol w:w="189"/>
        <w:gridCol w:w="985"/>
        <w:gridCol w:w="80"/>
        <w:gridCol w:w="60"/>
        <w:gridCol w:w="178"/>
        <w:gridCol w:w="996"/>
        <w:gridCol w:w="80"/>
        <w:gridCol w:w="60"/>
        <w:gridCol w:w="178"/>
        <w:gridCol w:w="996"/>
        <w:gridCol w:w="8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ind w:left="0" w:right="0" w:hanging="0"/>
              <w:jc w:val="left"/>
              <w:rPr/>
            </w:pPr>
            <w:r>
              <w:rPr/>
              <w:t> </w:t>
            </w:r>
          </w:p>
        </w:tc>
      </w:tr>
      <w:tr>
        <w:trPr/>
        <w:tc>
          <w:tcPr>
            <w:tcW w:w="35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307,657</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166,070</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61,402</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39,870</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45,527</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29,334</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080" w:type="dxa"/>
        <w:jc w:val="left"/>
        <w:tblInd w:w="0" w:type="dxa"/>
        <w:tblLayout w:type="fixed"/>
        <w:tblCellMar>
          <w:top w:w="0" w:type="dxa"/>
          <w:left w:w="0" w:type="dxa"/>
          <w:bottom w:w="0" w:type="dxa"/>
          <w:right w:w="0" w:type="dxa"/>
        </w:tblCellMar>
      </w:tblPr>
      <w:tblGrid>
        <w:gridCol w:w="260"/>
        <w:gridCol w:w="7820"/>
      </w:tblGrid>
      <w:tr>
        <w:trPr/>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restructuring charges as well as miscellaneous non-operating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revenues by geography and information on customer concentration, see Note 1,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jc w:val="left"/>
        <w:rPr/>
      </w:pPr>
      <w:r>
        <w:rPr/>
        <w:t>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leases have remaining lease terms of 1 year to 32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10198" w:type="dxa"/>
        <w:jc w:val="left"/>
        <w:tblInd w:w="0" w:type="dxa"/>
        <w:tblLayout w:type="fixed"/>
        <w:tblCellMar>
          <w:top w:w="0" w:type="dxa"/>
          <w:left w:w="0" w:type="dxa"/>
          <w:bottom w:w="28" w:type="dxa"/>
          <w:right w:w="0" w:type="dxa"/>
        </w:tblCellMar>
      </w:tblPr>
      <w:tblGrid>
        <w:gridCol w:w="3830"/>
        <w:gridCol w:w="3095"/>
        <w:gridCol w:w="60"/>
        <w:gridCol w:w="204"/>
        <w:gridCol w:w="970"/>
        <w:gridCol w:w="185"/>
        <w:gridCol w:w="60"/>
        <w:gridCol w:w="278"/>
        <w:gridCol w:w="1316"/>
        <w:gridCol w:w="200"/>
      </w:tblGrid>
      <w:tr>
        <w:trPr/>
        <w:tc>
          <w:tcPr>
            <w:tcW w:w="38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30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200" w:type="dxa"/>
            <w:tcBorders/>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309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9,676</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23,584</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23,607</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2025, we gained access to our new corporate headquarters located in San Diego, California enabling us to make certain preparations for our planned relocation on January 1, 2026, resulting in an increase to our operating lease asset and long term operating lease liability.</w:t>
            </w:r>
          </w:p>
        </w:tc>
      </w:tr>
      <w:tr>
        <w:trPr/>
        <w:tc>
          <w:tcPr>
            <w:tcW w:w="224" w:type="dxa"/>
            <w:tcBorders/>
            <w:vAlign w:val="center"/>
          </w:tcPr>
          <w:p>
            <w:pPr>
              <w:pStyle w:val="TableContents"/>
              <w:bidi w:val="0"/>
              <w:spacing w:before="0" w:after="283"/>
              <w:jc w:val="left"/>
              <w:rPr/>
            </w:pPr>
            <w:r>
              <w:rPr/>
              <w:t> </w:t>
            </w:r>
          </w:p>
        </w:tc>
        <w:tc>
          <w:tcPr>
            <w:tcW w:w="9981" w:type="dxa"/>
            <w:tcBorders/>
            <w:vAlign w:val="center"/>
          </w:tcPr>
          <w:p>
            <w:pPr>
              <w:pStyle w:val="TableContents"/>
              <w:bidi w:val="0"/>
              <w:spacing w:before="0" w:after="283"/>
              <w:jc w:val="left"/>
              <w:rPr/>
            </w:pPr>
            <w:r>
              <w:rPr/>
              <w:t> </w:t>
            </w:r>
          </w:p>
        </w:tc>
      </w:tr>
      <w:tr>
        <w:trPr/>
        <w:tc>
          <w:tcPr>
            <w:tcW w:w="2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are recorded net of accumulated amortization of $0.4 million as of September 27, 2025, and December 28, 2024. On December 30, 2024 we completed the purchase of our leased facility in Melaka, Malaysia resulting in a decrease to our finance lease asset and liability.</w:t>
            </w:r>
          </w:p>
        </w:tc>
      </w:tr>
    </w:tbl>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560" w:right="0" w:hanging="0"/>
        <w:jc w:val="left"/>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2375"/>
        <w:gridCol w:w="60"/>
        <w:gridCol w:w="240"/>
        <w:gridCol w:w="934"/>
        <w:gridCol w:w="77"/>
        <w:gridCol w:w="77"/>
        <w:gridCol w:w="240"/>
        <w:gridCol w:w="934"/>
        <w:gridCol w:w="60"/>
        <w:gridCol w:w="60"/>
        <w:gridCol w:w="240"/>
        <w:gridCol w:w="934"/>
        <w:gridCol w:w="74"/>
        <w:gridCol w:w="74"/>
        <w:gridCol w:w="240"/>
        <w:gridCol w:w="934"/>
        <w:gridCol w:w="8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on September 27, 2025, are as follows: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85"/>
        <w:gridCol w:w="60"/>
        <w:gridCol w:w="133"/>
        <w:gridCol w:w="697"/>
        <w:gridCol w:w="80"/>
        <w:gridCol w:w="60"/>
        <w:gridCol w:w="405"/>
        <w:gridCol w:w="260"/>
        <w:gridCol w:w="60"/>
        <w:gridCol w:w="60"/>
        <w:gridCol w:w="125"/>
        <w:gridCol w:w="65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(1)</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2026 (1)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2027 (1)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2028 (1)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2029 (1)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 (1)</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2025, we gained access to our new corporate headquarters located in San Diego, California enabling us to make certain preparations for our relocation on January 1, 2026. The new lease will result in cash outflows totaling $34.9 million expected to be paid as follows: $2.5 million, $3.0 million, $2.6 million, $3.0 million and $23.8 million for 2026, 2027, 2028, 2029 and thereafter,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369" w:type="dxa"/>
        <w:jc w:val="left"/>
        <w:tblInd w:w="0" w:type="dxa"/>
        <w:tblLayout w:type="fixed"/>
        <w:tblCellMar>
          <w:top w:w="0" w:type="dxa"/>
          <w:left w:w="0" w:type="dxa"/>
          <w:bottom w:w="0" w:type="dxa"/>
          <w:right w:w="0" w:type="dxa"/>
        </w:tblCellMar>
      </w:tblPr>
      <w:tblGrid>
        <w:gridCol w:w="5765"/>
        <w:gridCol w:w="60"/>
        <w:gridCol w:w="204"/>
        <w:gridCol w:w="970"/>
        <w:gridCol w:w="68"/>
        <w:gridCol w:w="68"/>
        <w:gridCol w:w="240"/>
        <w:gridCol w:w="934"/>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4,851</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w:t>
            </w:r>
          </w:p>
        </w:tc>
        <w:tc>
          <w:tcPr>
            <w:tcW w:w="10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Guarantees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2540"/>
        <w:gridCol w:w="60"/>
        <w:gridCol w:w="218"/>
        <w:gridCol w:w="956"/>
        <w:gridCol w:w="93"/>
        <w:gridCol w:w="70"/>
        <w:gridCol w:w="218"/>
        <w:gridCol w:w="956"/>
        <w:gridCol w:w="80"/>
        <w:gridCol w:w="60"/>
        <w:gridCol w:w="218"/>
        <w:gridCol w:w="956"/>
        <w:gridCol w:w="89"/>
        <w:gridCol w:w="67"/>
        <w:gridCol w:w="218"/>
        <w:gridCol w:w="956"/>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warranty amounts expected to be incurred after one year are included in noncurrent other accrued liabilities in the condensed consolidated balance sheet. These amounts totaled $0.2 million and $0.1 million at September 27, 2025, and December 28, 2024, respectively.</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w:t>
            </w:r>
          </w:p>
        </w:tc>
        <w:tc>
          <w:tcPr>
            <w:tcW w:w="15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1.50% convertible senior notes due 2031 (the “Notes”).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we will satisfy the conversion obligations by paying cash up to the aggregate principal amount of the Notes to be converted and paying and/or delivering, as the case may be,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“Reference Price”).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for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for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net proceeds from the offering were approximately $278.9 million, after deducting the initial purchasers’ discounts and commissions but before estimated offering expenses. We used approximately $31.4 million of the net proceeds to enter into the capped call transactions described below. We intend to use the remaining net proceeds for general corporate purposes. Approximately $0.8 million of offering related expenses were accrued and capitalized as a long-term asset on September 27, 2025, and will be reclassified against the Notes when they are recorded in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September 24, 2025, in connection with the pricing of the Notes, we entered into privately negotiated capped call transactions (the “Base Capped Call Transactions”) with an affiliate of one or more of the initial purchasers of the Notes and certain other financial institutions (the “Option Counterparties”). In addition, on September 25, 2025, in connection with the initial purchasers’ exercise in full of their option to purchase additional Notes, we entered into additional capped call transactions (the “Additional Capped Call Transactions,” and, together with the Base Capped Call Transactions, the “Capped Call Transactions”) with each of the Option Counterparties. The Capped Call transactions are generally expected to reduce the potential dilution to our common stock upon any conversion of the Notes and/or offset any potential cash payments we are required to make in excess of the principal amount of converted Notes, as the case may be, with such reduction and/or offset subject to a cap. The cap price of the Capped Call Transactions is initially approximately $41.02 per share of our common stock, representing a premium of approximately 100% above the Reference Price, and is subject to certain adjustments under the terms of the Capped Call Transactions.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completed the issuance of Notes and the purchase of the Capped Call Transactions on September 29, 2025. As the transactions occurred subsequent to the end of the third fiscal quarter, they will be reflected in our financial statements for the fourth quarter of fiscal year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2024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a leading supplier of test and inspection metrology systems and data analytics software to optimize semiconductor manufacturing yield and productivity.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macroeconomic and geopolitical factors have impacted the semiconductor industry. In response to the higher cost of capital, slowing customer demand, and inventory levels higher than target, many semiconductor companies have been cutting costs, reducing employee headcount, and pushing out capital expenditures for additional capacity. In response to the current economic conditions, we initiated a global restructuring program designed to improve profitability without negatively impacting product development activities. Once fully implemented in 2025, quarterly cost savings are expected to total approximately $2.0 million including $1.0 million from manufacturing overhead and $1.0 million from operating expenses. Based on the results from our operations and to offset dilution from our employee compensation share based plans, we repurchased 432,288 shares of our common stock for approximately $8.6 million during the nine-month period ending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focus on building a well-balanced and resilient business model, executing on customer design-wins and in developing innovative products. We are opening the market aperture with new products and opportunities for sale of our equipment, and we are encouraged by increased customer traction for our products testing and inspecting semiconductors used in artificial intelligence (“AI”) data centers. For the three-month period ending September 27, 2025, our net sales increased 32.4%, on a year-over-year basis, to $126.2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and require complex management judgment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assessment of recoverability of goodwill, which primarily impacts gross margin or operating expenses if we are required to record impairments or accelerate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September 27, 2025, we had $4.6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were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caused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September 27,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nine months of fiscal 2025,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Share-based compensation expense related to restricted stock unit awards is calculated based on the market price of our common stock on the grant date, reduced by the present value of dividends expected to be paid on our common stock prior to vesting of the restricted stock unit. When granted,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 Transactions Impacting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Tignis has been included in our condensed consolidated results of operations as of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9619" w:type="dxa"/>
        <w:jc w:val="left"/>
        <w:tblInd w:w="0" w:type="dxa"/>
        <w:tblLayout w:type="fixed"/>
        <w:tblCellMar>
          <w:top w:w="0" w:type="dxa"/>
          <w:left w:w="0" w:type="dxa"/>
          <w:bottom w:w="0" w:type="dxa"/>
          <w:right w:w="0" w:type="dxa"/>
        </w:tblCellMar>
      </w:tblPr>
      <w:tblGrid>
        <w:gridCol w:w="3575"/>
        <w:gridCol w:w="60"/>
        <w:gridCol w:w="128"/>
        <w:gridCol w:w="1046"/>
        <w:gridCol w:w="303"/>
        <w:gridCol w:w="74"/>
        <w:gridCol w:w="128"/>
        <w:gridCol w:w="1046"/>
        <w:gridCol w:w="245"/>
        <w:gridCol w:w="60"/>
        <w:gridCol w:w="128"/>
        <w:gridCol w:w="1046"/>
        <w:gridCol w:w="290"/>
        <w:gridCol w:w="71"/>
        <w:gridCol w:w="128"/>
        <w:gridCol w:w="1046"/>
        <w:gridCol w:w="24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2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9"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29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4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Third Quarter of Fiscal 2025 Compared to Third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32.4% to $126.2 million in 2025, compared to $95.3 million in 2024. Net sales for the third quarter of fiscal 2025 increased compared to the same period in fiscal 2024, driven by stronger demand for mobile and AI-based computing applications. While the global macroeconomic environment continues to weigh on automotive, industrial, and consumer segments, demand for mobile and AI-based computing applications helped offset these pressures. Cohu acquired Tignis on January 7, 2025, and the results of its operations are included since that date. Tignis’ net sales in the third quarter of fiscal 2025 were not material to overall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and business volume which impacts the utilization of our manufacturing capacity. Our gross margin, as a percentage of net sales for the third quarter, was 43.8% in fiscal 2025 and 46.8% in fiscal 2024. Gross margin in the third quarter of fiscal 2025 was impacted by the mix of systems sold to customers, and additional manufacturing employee compensation and inventory charges resulting from transitioning certain of our manufacturing activities from the U.S. and Europe to our factories in the Philippines and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third quarter of fiscal 2025 and 2024, we recorded charges to cost of sales of $0.9 million and $0.8 million for excess and obsolete inventory, respectively. We believe our reserves for excess and obsolete inventory and lower of cost or net realizable value are adequate to cover known exposures as of September 27, 2025.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$22.5 million in fiscal 2025 and $20.3 million in fiscal 2024, representing 17.8% and 21.3% of net sales, respectively. During the third quarter of fiscal 2025 R&amp;D expenses increased due to higher material costs associated with new product development and $1.0 million of incremental costs from the Tignis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$31.8 million or 25.2% of net sales in fiscal 2025, compared to $30.3 million or 31.8% in fiscal 2024. SG&amp;A expense during the third fiscal quarter of 2025 increased on a year-over-year basis, primarily driven by higher business volume and associated costs. SG&amp;A expense in the third quarter of fiscal 2025 also was impacted by $0.4 million of incremental SG&amp;A costs from the operations of Tignis. The third quarter of fiscal 2024 included $0.5 million of one-time severance costs resulting from the manufacturing transition related to the expansion of our factories in the Philippines and Malaysia. Transaction related costs incurred related to the acquisition of Tignis incurred in the third quarter of fiscal 2025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$10.2 million and $9.8 million in the third fiscal quarter of 2025 and 2024, respectively. The increase in expense recorded during the third quarter of fiscal 2025 resulted from the amortization of acquired intangible assets from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fourth quarter of fiscal 2024, we initiated a strategic decision to transition all remaining volume manufacturing operations out of Poway, California, consolidating production into our facilities in Asia to enhance efficiency and scalability. Building on this initiative, we launched a broader restructuring program in the first quarter of fiscal 2025 aimed at repositioning our global organization and optimizing our cost structure. During the third quarter of fiscal 2025, we incurred restructuring charges totaling $0.5 million. Amounts for restructuring recorded in the third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$0.1 million in both the third fiscal quarter of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$1.3 million and $2.6 million in the third quarter of fiscal 2025 and 2024, respectively. The decrease in interest income year-over-year is a result of lower investment balances in fiscal 2025 due to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changes in uncertain tax benefit positions, and the accrual of taxes on unremitted income of our foreign subsidiaries.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third quarter 2025 tax provision is lower than the third quarter 2024 tax provision primarily due to a change in mix of income between tax jurisdictions, a decrease in our uncertain tax positions and certain true 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Switzerland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$4.1 million for the three months ended September 27, 2025 and $18.1 million for the three months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Nine Months of Fiscal 2025 Compared to First Nine Months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7.5% to $330.7 million in 2025, compared to $307.7 million in 2024, driven by stronger demand for mobile and AI-based computing applications. While the global macroeconomic environment continues to weigh on automotive, industrial, and consumer segments, demand for mobile and AI-based computing applications helped offset these pressures. Cohu acquired Tignis on January 7, 2025, and the results of its operations are included since that date. For the first nine months of fiscal 2025, Tignis’ net sales were not material to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gross margin, as a percentage of net sales, decreased to 43.7% in 2025 from 45.8% in 2024. Gross margin during the first nine months of fiscal 2025 declined as it was impacted by the mix of systems sold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first nine months of fiscal 2025 and 2024 we recorded charges to cost of sales for excess and obsolete inventory of approximately $4.1 million and $2.8 million, respectively. We believe our reserves for excess and obsolete inventory and lower of cost or market concerns are adequate to cover known exposures as of September 27, 2025.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R&amp;D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was $68.8 million or 20.8% of net sales in fiscal 2025, compared to $64.0 million or 20.8% in fiscal 2024. R&amp;D expense increased during the first nine months of fiscal 2025 due to higher material costs associated with new product development during the current year. Additionally, the first nine months of fiscal 2025 included $2.9 million of incremental costs from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SG&amp;A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was $91.6 million or 27.7% of net sales in 2025, compared to $97.5 million or 31.7% in 2024. The decrease in SG&amp;A expense as a percentage of net sales is a result of lower expenses relative to sales in the first nine months of fiscal 2025. SG&amp;A expense during the first nine months of fiscal 2025 was down on a year-over-year basis due to the impact of cost control measures, lower incentive compensation due to current business conditions and a $1.7 million adjustment made to contingent consideration related to the acquisition of Tignis. SG&amp;A expense during the first nine months of fiscal 2025 includes $1.6 million of incremental SG&amp;A costs from the operations of Tignis and $0.4 million of transaction costs related to our acquisition of Tignis. The first nine months of fiscal 2024 included $3.4 million of one-time severance costs resulting from the manufacturing transition related to the expansion of our factories in the Philippines and Malaysia and a $0.9 million impairment charge related to our investment in Fraes-und Technologiezentrum GmbH Frasdorf (“FTZ”), a company based in Germany that provides milling services to one of our wholly owned subsidiaries and $0.2 million of transaction costs related to our acquisition of MCT Worldwide, LLC and Equiptest Engineering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 assets was $30.2 million and $29.3 million for the first nine months of fiscal 2025 and fiscal 2024, respectively. The increase in expense recorded during the first nine months of fiscal 2025 was a result of the amortization of acquired intangible assets from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fourth quarter of fiscal 2024, we initiated a strategic decision to transition all remaining volume manufacturing operations out of Poway, California, consolidating production into our facilities in Asia to enhance efficiency and scalability. Building on this initiative, we launched a broader restructuring program in the first quarter of fiscal 2025 aimed at repositioning our global organization and optimizing our cost structure. For the first nine months of fiscal 2025, we incurred restructuring charges totaling $8.3 million. Amounts for restructuring recorded in the third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$0.4 million and $0.5 million in the first nine months of fiscal 2025 and fiscal 2024, respectively. On February 9, 2024, we repaid the remaining outstanding amounts owed under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$4.3 million and $7.7 million in the first nine months of fiscal 2025 and fiscal 2024, respectively. The year-over-year decrease resulted from lower cash and investment balances in the first nine months of fiscal 2025 due to the repayment of the Term Loan Credit Facility and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changes in uncertain tax benefit positions, and the accrual of taxes on unremitted income of our foreign subsidiaries.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tax provision for the nine months ended September 27, 2025 is higher than the tax provision for the nine months ended September 28, 2024 primarily due to a change in mix of income between tax jurisdictions, an increase in our uncertain tax positions, a decrease in excess benefits of stock based compensation and certain true 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Switzerland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were no material changes to our unrecognized tax benefits and interest accrued related to unrecognized tax benefits during the nine months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$51.8 million for the nine months ended September 27, 2025. For the nine months ended September 28, 2024, our net loss was $48.5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September 27, 2025, $126.8 million or 84.6%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27, 2025, our total indebtedness included $1.6 million outstanding under Kita’s term loans, $6.5 million outstanding under Cohu GmbH’s construction loan, $8.9 million outstanding under Cohu Malaysia’s revolving credit facility and $0.8 million outstanding under Kita’s lines of credit. We repurchased 432,288 shares of our outstanding common stock, to be held as treasury stock, for $8.6 million, during the first nine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successfully completed a $287.5 million offering of convertible senior notes (the “Notes”), which significantly strengthened our balance sheet and enhanced our strategic and financial flexibility to support long-term growth initiatives. In connection with the offering, we entered into capped call transactions designed to mitigate potential dilution to shareholders upon conversion of the Notes. The Notes bear interest at a rate of 1.50% and mature on January 15, 2031, providing improved liquidity and reducing near-term refinancing risk, which further supports our assessment of Cohu’s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that, based on current and anticipated market conditions, our existing cash, cash equivalents, short-term investments, and available credit facilities will be sufficient to meet our anticipated operating and capital requirements for at least the next 12 months. However, our liquidity position could be adversely affected by a decline in demand for our products or services. Additionally, we may pursue strategic acquisitions or increase capital expenditures, which could require additional financing. There can be no assurance that such financing will be available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768" w:type="dxa"/>
        <w:jc w:val="left"/>
        <w:tblInd w:w="0" w:type="dxa"/>
        <w:tblLayout w:type="fixed"/>
        <w:tblCellMar>
          <w:top w:w="0" w:type="dxa"/>
          <w:left w:w="0" w:type="dxa"/>
          <w:bottom w:w="0" w:type="dxa"/>
          <w:right w:w="0" w:type="dxa"/>
        </w:tblCellMar>
      </w:tblPr>
      <w:tblGrid>
        <w:gridCol w:w="4100"/>
        <w:gridCol w:w="60"/>
        <w:gridCol w:w="178"/>
        <w:gridCol w:w="996"/>
        <w:gridCol w:w="60"/>
        <w:gridCol w:w="60"/>
        <w:gridCol w:w="171"/>
        <w:gridCol w:w="958"/>
        <w:gridCol w:w="60"/>
        <w:gridCol w:w="60"/>
        <w:gridCol w:w="125"/>
        <w:gridCol w:w="650"/>
        <w:gridCol w:w="80"/>
        <w:gridCol w:w="60"/>
        <w:gridCol w:w="108"/>
        <w:gridCol w:w="797"/>
        <w:gridCol w:w="24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first nine months of fiscal 2025 consisted of our net loss, adjusted for non-cash expenses and changes in operating assets and liabilities. Significant non-cash adjustments included depreciation and amortization, share-based compensation expense, inventory-related charges and amortization of cloud-based software implementation costs. These amounts were partially offset by a pension curtailment gain, a mark-to-market adjustment to contingent consideration, and a reduction in deferred income taxes. Our net cash used in operating activities in the first nine months of fiscal 2025 totaled $8.1 million. Net cash used in operating activities was negatively impacted by working capital changes, including a $28.5 million increase in accounts receivable, a $13.0 million increase in other current assets and a $2.9 million increase in deferred profit. The increase in accounts receivable was primarily due to the timing of customer billings and collections, including higher sales volume late in the quarter that had not yet been collected as of period-end. The increase in other current assets was largely driven by higher prepaid expenses and income tax receivables, reflecting the timing of payments and accruals for certain operating costs and tax positions. The increase in deferred profit is due to deferrals of revenue made in accordance with our revenue recognition policy. These were partially offset by a $18.0 million increase in accounts payable and a $6.3 million increase in accrued compensation, warranty, and other liabilities. The increase in accounts payable was primarily due to the timing of supplier payments, while the increase in other accrued compensation, warranty, and other liabilities was a result of increased business activity. Inventory decreased by $3.6 million during the first nine months of fiscal 2025. This reduction reflects a strategic adjustment in purchasing and production levels in response to current business conditions, including lower demand in certain end markets. The decrease also aligns with efforts to optimize working capital and manage inventory more efficiently across global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business acquisitions and proceeds from investment maturities, and asset disposals. Our net cash used in investing activities in the first nine months of fiscal 2025 totaled $47.4 million. We generated $48.4 million from sales and maturities and used $40.3 million of cash for purchases of short-term investments in the first nine months of fiscal 2025. We invest our excess cash to seek the highest available return while preserving capital, in short-term investments since excess cash may be required for a business-related purpose. Additions to property, plant and equipment in the first nine months of fiscal 2025 were $17.6 million, and were made to support our operating and development activities. Cash paid for the settlement of net investment hedges totaled $3.1 million in first nine months of fiscal 2025 and in the first nine months of fiscal 2025, we used $34.9 million of cash, net of cash received, for the acquisition of Tignis, which was a strategic transaction of AI-driven data analytics software for our interface solutions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under our stock option and employee stock purchase plans and repayments of debt. We issue restricted stock units, including performance stock units, and maintain an employee stock purchase plan as components of our overall employee compensation. In the first nine months of fiscal 2025, cash used to settle the minimum statutory tax withholding requirements on behalf of our employees upon vesting of restricted and performance stock awards, net of proceeds from shares issued under our employee stock purchase plan, was $0.6 million. We made payments totaling $8.6 million in the first nine months of fiscal 2025 for shares of our common stock repurchased under our share repurchase program to be held as treasury stock. Proceeds from borrowings on a revolving line of credit used to finance the purchase of our factory in Malaysia were $8.7 million during the first nine months of fiscal 2025. Repayments of debt during the first nine months of fiscal 2025 totaled $1.1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nine months ended September 27, 2025, we repurchased 432,288 shares of our common stock for $8.6 million to be held as treasury stock. As of September 27,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in our condensed consolidated statement of operations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0.94%, and expire at various dates through 2034. At September 27, 2025, the outstanding loan balance was $1.6 million and $0.2 million of the outstanding balance is presented as current installments of long-term debt in our condensed consolidated balance sheets. At December 28, 2024, the outstanding loan balance was $1.7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total outstanding borrowings under the Loan Facilities was $6.5 million with $1.1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September 27, 2025, $8.9 million was outstanding under the revolving credit facility and the rate of interest was 4.04%.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120 million Japanese Yen is drawn. At September 27, 2025, total borrowings outstanding under the revolving lines of credit were $0.8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On September 27,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On September 27, 2025, $0.5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In June 2025, we gained access to our new corporate headquarters located in San Diego, California, enabling us to make certain preparations for our relocation on January 1, 2026. The new lease will result in cash outflows totaling $34.9 million, expected to be paid as follows: $2.5 million, $3.0 million, $2.6 million, $3.0 million, and $23.8 million for 2026, 2027, 2028, 2029, and thereafter,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we purchased our leased facility in Malaysia, decreasing our financing lease liability by $8.4 million. The transaction was financed with proceeds from a revolving credit facility entered into by our Malaysian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Notes, which amount includes the additional Notes issued pursuant to the initial purchasers’ full exercise of their option to purchase additional Notes. The Notes were issued pursuant to an indenture between us and U.S. Bank Trust Company, National Association, as trustee (the “Indenture”). The Notes bear interest at a rate of 1.50% per year, payable semiannually in arrears on January 15 and July 15 of each year, beginning on January 15, 2026. The Notes will mature on January 15, 2031, unless earlier converted, redeemed or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initial conversion rate for the Notes is 36.7975 shares of common stock per $1,000 principal amount of Notes, which represents the initial conversion price of approximately $27.1758 per share. The Notes are convertible at the option of the holders at any time on or after October 15, 2030, until the close of business on the second scheduled trading day immediately preceding the maturity date. Upon conversion, we will satisfy the conversion obligations by paying cash up to the aggregate principal amount of the Notes to be converted and paying and/or delivering, as the case may be, cash, shares of common stock or a combination of cash and shares of common stock, at our election, in respect of the remainder, if any, of the conversion obligation in excess of the aggregate principal amount of the Notes being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January 22, 2029, if (i) the Notes are “freely tradable” (as defined in the Indenture), and certain accrued and unpaid additional interest, if any, has been paid in full, as of the first interest payment date occurring on or before the date we send a redemption notice and (ii) our stock price has been at least 130% of the conversion price for a specified period of time, the Notes may be redeemed, in whole or in part, for cash at our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occurs, then, subject to certain conditions, noteholders may require us to repurchase all or any portion of their Notes for cash. The repurchase price will be equal to the principal amount of the Notes to be repurchased, plus accrued and unpaid interest to, but excluding, the applicable repurchase date. The Indenture also contains customary provisions relating to the occurrence of Events of Default (as defined in the Indenture). Subject to exceptions for an Event of Default relating to certain failures by us to comply with certain reporting covenants, if an Event of Default occurs, then the principal amount of, and accrued and unpaid interest, if any, on, all of the Notes then outstanding will immediately become due and payable, subject to specified notice requirements depending on the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Notes offering, we entered into capped call transactions with an affiliate of one or more of the initial purchasers and certain other financial institutions. The capped call Transactions are generally expected to reduce the potential dilution to our common stock upon any conversion of the Notes and/or offset any potential cash payments we are required to make in excess of the principal amount of converted Notes, as the case may be, with such reduction and/or offset subject to a cap. The cap price of the capped call transactions is initially approximately $41.02 per share of our common stock and is subject to certain adjustments under the terms of the 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Aside from the items discussed above, there were no material changes to these obligations outside the ordinary course of business from those disclosed in our Annual Report on Form 10-K for the year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to certain parties as required. As of September 27, 2025, $0.3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quan_and_qual"/>
      <w:bookmarkEnd w:id="10"/>
      <w:r>
        <w:rPr>
          <w:rFonts w:ascii="Times New Roman" w:hAnsi="Times New Roman"/>
          <w:b/>
          <w:caps w:val="false"/>
          <w:smallCaps w:val="false"/>
          <w:sz w:val="20"/>
        </w:rPr>
        <w:t xml:space="preserve">Item 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our investment portfolio included short-term fixed-income investment securities with a fair value of approximately $48.2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September 27, 2025, the cost and fair value of investments we held with loss positions were both approximately $10.2 million.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September 27, 2025, compared to December 28, 2024, our stockholders’ equity decreased by $18.9 million as a result of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September 27, 2025, would result in an approximate $31.9 million positive translation adjustment recorded in other comprehensive loss within stockholders’ equity. Conversely, a hypothetical 10% appreciation of the U.S. Dollar as compared to these currencies as of September 27, 2025, would result in an approximate $31.9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controls"/>
      <w:bookmarkEnd w:id="11"/>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September 27, 2025,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other_info"/>
      <w:bookmarkEnd w:id="12"/>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legal_pre"/>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w:t>
      </w:r>
      <w:r>
        <w:rPr>
          <w:rFonts w:ascii="Times New Roman" w:hAnsi="Times New Roman"/>
          <w:caps w:val="false"/>
          <w:smallCaps w:val="false"/>
          <w:sz w:val="20"/>
        </w:rPr>
        <w:t>          </w:t>
      </w:r>
      <w:r>
        <w:rPr>
          <w:rFonts w:ascii="Times New Roman" w:hAnsi="Times New Roman"/>
          <w:b/>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above under Note 12 contained in the “Notes to Unaudited Condensed Consolidated Financial Statements” of this Form 10-Q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risk_factor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1A. </w:t>
      </w:r>
      <w:r>
        <w:rPr>
          <w:rFonts w:ascii="Times New Roman" w:hAnsi="Times New Roman"/>
          <w:caps w:val="false"/>
          <w:smallCaps w:val="false"/>
          <w:sz w:val="20"/>
        </w:rPr>
        <w:t>        </w:t>
      </w:r>
      <w:r>
        <w:rPr>
          <w:rFonts w:ascii="Times New Roman" w:hAnsi="Times New Roman"/>
          <w:b/>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business, financial condition and results of operations are affected by a number of factors, whether currently known or unknown, including risks specific to us or our industry, as well as risks that affect businesses in general. In addition to the risk factors set forth in this Quarterly Report on Form 10-Q, you should carefully consider the risk factors described in Part I, Item 1A of our Annual Report on Form 10-K for the fiscal year ended December 28, 2024 (the “Annual Report”). The risk factors set forth below update, and should be read in conjunction with, the risk factors disclosed in such Annual Report. Other than the risk factors set forth below, we believe there have been no material changes from the risk factors disclosed in the Annual Report. However, additional risks and uncertainties not currently known or which we currently deem to be immaterial may also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performance of our business as affected by the level of our indebtedness could prevent us from meeting the obligations under the indentures governing the Notes or maintaining sufficient liquidity to operate our business or service our debt obligations, and we cannot provide any guarantee that we will be able to actively repurchase our common stock pursuant to a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indebtedness may have the effect, among other things, of reducing our flexibility to respond to changing business and economic conditions and increasing borrowing costs. Given the significant uncertainty relating to the macroeconomic environment, there are potential scenarios under which we could fail to comply with these covenants, which would result in an event of default that, if not waived, could have a material adverse effect on our financial condition, results of operations or ability to continue to service our debt obligations. A default under our credit agreement or under the indentures governing the indentures governing our 1.5% convertible senior notes due 2031 (the “Notes”) may also significantly affect our ability to obtain additional or alternative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make scheduled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may have a material adverse effect on our liquidity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Depending on the impact of the macroeconomic environment, we may seek other sources of liquidity and other ways of preserving liquidity. No assurance can be made that sources of additional liquidity will be readily available or that we will be successful in obtaining or preserving such liquidity. Further, no assurance can be made that sources of additional liquidity will be available on terms that are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Provisions in the indentures governing the Notes could delay or discourage a takeover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provisions in the Notes and the indentures governing the Notes could make a third-party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for the Notes. In either case, and in other cases, our obligations under the Notes and the indentures governing the Notes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capped call transactions in connection with the Notes may affect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issuance of the Notes, we entered into privately negotiated capped call transactions with one or more of the initial purchasers of the Notes or their respective affiliates and/or other financial institutions (the “option counterparties”). The capped call transactions initially cover, subject to anti-dilution adjustments substantially similar to those applicable to the Notes, the number of shares of our common stock underlying the Notes. The capped call transactions are expected generally to reduce or offset potential dilution to our common stock and/or offset any cash payments we may be required to make in excess of the principal amount of converted Notes, as the case may be, upon any conversion of the Notes, with such reduction and/or offset subject to a cap. In connection with establishing and maintaining their initial hedges of the capped call transactions, we understand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from time to time prior to the maturity of the Notes (and are likely to do so during any observation period relating to a conversion of the Notes or following any repurchase of the Notes by us if we elect to terminate or unwind the relevant portion of the capped call transactions). The effect, if any, of these activities on the trading price of our common stock will depend on a variety of factors, including market conditions, and is uncertain at this time. Any of these activities could, however, adversely affect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counterparty risk with respect to the convertible note hedge transactions and 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hedge counterparties and the option counterparties are financial institutions, and we are subject to the risk that one or more of the hedge counterparties might default under their respective convertible note hedge transactions, or that one or more of the option counterparties might default under their respective capped call transactions. Our exposure to the credit risk of the hedge counterparties and the option counterparties is not secured by any collateral. Global economic conditions have from time to time resulted in the actual or perceived failure or financial difficulties of many financial institutions. If a hedge counterparty or an option counterparty becomes subject to insolvency proceedings, we will become an unsecured creditor in those proceedings with a claim equal to our exposure at that time under our transactions with such hedge counterparty or option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exposure will depend on many factors, but, generally, the increase in our exposure will be correlated to the increase in the market price and in the volatility of our common stock. In addition, upon a default by any hedge or option counterparty, we may suffer adverse tax consequences and more dilution than we currently anticipate with respect to our common stock. We can provide no assurances as to the financial stability or viability of any of the hedge or option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Conversion of the Notes may dilute the ownership interest of existing shareholders, including noteholders who have previously converted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our election, if applicable, we may settle Notes tendered for conversion partly in shares of our common stock. As a result, the conversion of some or all of the Notes may dilute the ownership interests of existing shareholders. Any sales in the public market of the shares of our common stock issuable upon such conversion of the Notes could adversely affect prevailing market prices of our common stock. In addition, the existence of the Notes may encourage short selling by market participants because the conversion of the Notes could depress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unregistered"/>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14, “Subsequent Events” in Part I, Item 1 of this Form 10-Q for information with respect to unregistered securities sold on September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We did not repurchase any shares of our stock during the three months ended September 27, 2025. During the nine months ended September 27, 2025, we repurchased 432,288 shares of our common stock for $8.6 million to be held as treasury stock. During the three months ended September 28, 2024, we repurchased 315,000 shares of our common stock for $8.1 million to be held as treasury stock. During the nine months ended September 28, 2024, we repurchased 915,504 shares of our common stock for $27.0 million to be held as treasury stock. As of September 27,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defaults"/>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 xml:space="preserve">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mine_safety"/>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8" w:name="item_5"/>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5. </w:t>
      </w:r>
      <w:r>
        <w:rPr>
          <w:rFonts w:ascii="Times New Roman" w:hAnsi="Times New Roman"/>
          <w:caps w:val="false"/>
          <w:smallCaps w:val="false"/>
          <w:sz w:val="20"/>
        </w:rPr>
        <w:t>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third quarter of 2025, none of our directors or executive officers adopted, modified or terminated a Rule 10b5-1 trading arrangement or a non-Rule 10b5-1 trading arrangement (each term as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0"/>
        <w:gridCol w:w="60"/>
        <w:gridCol w:w="9505"/>
      </w:tblGrid>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19" w:name="exhibits"/>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Certificate of Correction to Amended Restated Certificate of Incorporation of Cohu, Inc., filed on April 3, 2025, incorporated herein by reference to Exhibit 3.1 from the Cohu, Inc. Form 10-Q filed with the Securities and Exchange Commission on May 2, 2025</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Indenture, dated as of September 29, 2025, between Cohu, Inc. and U.S. Bank Trust Company, National Association, as Trustee, incorporated herein by reference to Exhibit 4.1 from the Cohu, Inc. Form 8-K filed with the Securities and Exchange Commission on September 29, 2025</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Form of 1.5% Convertible Senior Notes due 2031 (included as Exhibit A to Exhibit 4.1), incorporated herein by reference to Exhibit 4.2 from the Cohu, Inc. Form 8-K filed with the Securities and Exchange Commission on September 29, 2025</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Form of Capped Call Confirmation, incorporated herein by reference to Exhibit 10.1 from the Cohu, Inc. Form 8-K filed with the Securities and Exchange Commission on September 29, 2025</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w:anchor="ex_876384.htm">
              <w:r>
                <w:rPr>
                  <w:rStyle w:val="InternetLink"/>
                  <w:rFonts w:ascii="Times New Roman" w:hAnsi="Times New Roman"/>
                  <w:caps w:val="false"/>
                  <w:smallCaps w:val="false"/>
                  <w:sz w:val="20"/>
                </w:rPr>
                <w:t>Certification pursuant to Section 302(a) of the Sarbanes-Oxley Act of 2002</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w:anchor="ex_876383.htm">
              <w:r>
                <w:rPr>
                  <w:rStyle w:val="InternetLink"/>
                  <w:rFonts w:ascii="Times New Roman" w:hAnsi="Times New Roman"/>
                  <w:caps w:val="false"/>
                  <w:smallCaps w:val="false"/>
                  <w:sz w:val="20"/>
                </w:rPr>
                <w:t>Certification pursuant to Section 302(a) of the Sarbanes-Oxley Act of 2002</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w:anchor="ex_876382.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pPr>
            <w:hyperlink w:anchor="ex_876381.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September 27,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signature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255"/>
        <w:gridCol w:w="5495"/>
        <w:gridCol w:w="60"/>
      </w:tblGrid>
      <w:tr>
        <w:trPr/>
        <w:tc>
          <w:tcPr>
            <w:tcW w:w="2255" w:type="dxa"/>
            <w:tcBorders/>
          </w:tcPr>
          <w:p>
            <w:pPr>
              <w:pStyle w:val="TableContents"/>
              <w:bidi w:val="0"/>
              <w:spacing w:before="0" w:after="0"/>
              <w:ind w:left="0" w:right="0" w:hanging="0"/>
              <w:jc w:val="left"/>
              <w:rPr/>
            </w:pPr>
            <w:r>
              <w:rPr/>
              <w:t> </w:t>
            </w:r>
          </w:p>
        </w:tc>
        <w:tc>
          <w:tcPr>
            <w:tcW w:w="5495" w:type="dxa"/>
            <w:tcBorders>
              <w:bottom w:val="single" w:sz="2" w:space="0" w:color="000000"/>
            </w:tcBorders>
            <w:tcMar>
              <w:bottom w:w="28" w:type="dxa"/>
            </w:tcMa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COHU, INC.</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0"/>
              <w:ind w:left="0" w:right="0" w:hanging="0"/>
              <w:jc w:val="left"/>
              <w:rPr/>
            </w:pPr>
            <w:r>
              <w:rPr/>
              <w:t> </w:t>
            </w:r>
          </w:p>
        </w:tc>
        <w:tc>
          <w:tcPr>
            <w:tcW w:w="549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30, 2025 </w:t>
            </w:r>
          </w:p>
        </w:tc>
        <w:tc>
          <w:tcPr>
            <w:tcW w:w="54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Luis A. Müller</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left"/>
              <w:rPr/>
            </w:pPr>
            <w:r>
              <w:rPr/>
              <w:t> </w:t>
            </w:r>
            <w:r>
              <w:rPr>
                <w:rFonts w:ascii="Times New Roman;Times;serif" w:hAnsi="Times New Roman;Times;serif"/>
                <w:sz w:val="20"/>
              </w:rPr>
              <w:t>Luis A. Müller</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left"/>
              <w:rPr/>
            </w:pPr>
            <w:r>
              <w:rPr/>
              <w:t> </w:t>
            </w:r>
            <w:r>
              <w:rPr>
                <w:rFonts w:ascii="Times New Roman;Times;serif" w:hAnsi="Times New Roman;Times;serif"/>
                <w:sz w:val="20"/>
              </w:rPr>
              <w:t>President &amp; Chief Executive Officer</w:t>
            </w:r>
          </w:p>
        </w:tc>
        <w:tc>
          <w:tcPr>
            <w:tcW w:w="60" w:type="dxa"/>
            <w:tcBorders/>
          </w:tcPr>
          <w:p>
            <w:pPr>
              <w:pStyle w:val="TableContents"/>
              <w:bidi w:val="0"/>
              <w:spacing w:before="0" w:after="0"/>
              <w:ind w:left="0" w:right="0" w:hanging="0"/>
              <w:jc w:val="left"/>
              <w:rPr/>
            </w:pPr>
            <w:r>
              <w:rPr/>
              <w:t> </w:t>
            </w:r>
          </w:p>
        </w:tc>
      </w:tr>
      <w:tr>
        <w:trPr/>
        <w:tc>
          <w:tcPr>
            <w:tcW w:w="225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255" w:type="dxa"/>
            <w:tcBorders/>
          </w:tcPr>
          <w:p>
            <w:pPr>
              <w:pStyle w:val="TableContents"/>
              <w:bidi w:val="0"/>
              <w:spacing w:before="0" w:after="283"/>
              <w:jc w:val="left"/>
              <w:rPr/>
            </w:pPr>
            <w:r>
              <w:rPr/>
              <w:t>Date: October 30, 2025</w:t>
            </w:r>
          </w:p>
        </w:tc>
        <w:tc>
          <w:tcPr>
            <w:tcW w:w="5495" w:type="dxa"/>
            <w:tcBorders>
              <w:bottom w:val="single" w:sz="2" w:space="0" w:color="000000"/>
            </w:tcBorders>
            <w:tcMar>
              <w:bottom w:w="28" w:type="dxa"/>
            </w:tcMar>
          </w:tcPr>
          <w:p>
            <w:pPr>
              <w:pStyle w:val="TableContents"/>
              <w:bidi w:val="0"/>
              <w:spacing w:before="0" w:after="283"/>
              <w:jc w:val="left"/>
              <w:rPr/>
            </w:pPr>
            <w:r>
              <w:rPr/>
              <w:t>/s/ Jeffrey D. Jones</w:t>
            </w:r>
          </w:p>
        </w:tc>
        <w:tc>
          <w:tcPr>
            <w:tcW w:w="60" w:type="dxa"/>
            <w:tcBorders/>
          </w:tcPr>
          <w:p>
            <w:pPr>
              <w:pStyle w:val="TableContents"/>
              <w:bidi w:val="0"/>
              <w:spacing w:before="0" w:after="283"/>
              <w:jc w:val="left"/>
              <w:rPr/>
            </w:pPr>
            <w:r>
              <w:rPr/>
              <w:t> </w:t>
            </w:r>
          </w:p>
        </w:tc>
      </w:tr>
      <w:tr>
        <w:trPr/>
        <w:tc>
          <w:tcPr>
            <w:tcW w:w="225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r>
              <w:rPr/>
              <w:t>Jeffrey D. Jones</w:t>
            </w:r>
          </w:p>
        </w:tc>
        <w:tc>
          <w:tcPr>
            <w:tcW w:w="60" w:type="dxa"/>
            <w:tcBorders/>
          </w:tcPr>
          <w:p>
            <w:pPr>
              <w:pStyle w:val="TableContents"/>
              <w:bidi w:val="0"/>
              <w:spacing w:before="0" w:after="283"/>
              <w:jc w:val="left"/>
              <w:rPr/>
            </w:pPr>
            <w:r>
              <w:rPr/>
              <w:t> </w:t>
            </w:r>
          </w:p>
        </w:tc>
      </w:tr>
      <w:tr>
        <w:trPr/>
        <w:tc>
          <w:tcPr>
            <w:tcW w:w="225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r>
              <w:rPr/>
              <w:t>Senior Vice President, Finance &amp; Chief Financial Officer</w:t>
            </w:r>
          </w:p>
        </w:tc>
        <w:tc>
          <w:tcPr>
            <w:tcW w:w="60" w:type="dxa"/>
            <w:tcBorders/>
          </w:tcPr>
          <w:p>
            <w:pPr>
              <w:pStyle w:val="TableContents"/>
              <w:bidi w:val="0"/>
              <w:spacing w:before="0" w:after="283"/>
              <w:jc w:val="left"/>
              <w:rPr/>
            </w:pPr>
            <w:r>
              <w:rPr/>
              <w:t> </w:t>
            </w:r>
          </w:p>
        </w:tc>
      </w:tr>
      <w:tr>
        <w:trPr/>
        <w:tc>
          <w:tcPr>
            <w:tcW w:w="225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(Principal Financial &amp; Accounting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48</w:t>
      </w:r>
    </w:p>
    <w:p>
      <w:pPr>
        <w:pStyle w:val="TextBody"/>
        <w:bidi w:val="0"/>
        <w:spacing w:before="0" w:after="0"/>
        <w:ind w:left="0" w:right="0" w:hanging="0"/>
        <w:jc w:val="left"/>
        <w:rPr/>
      </w:pPr>
      <w:r>
        <w:rPr/>
      </w:r>
      <w:bookmarkStart w:id="21" w:name="ex_876384.htm"/>
      <w:bookmarkStart w:id="22" w:name="ksex_876384"/>
      <w:bookmarkStart w:id="23" w:name="ex_876384.htm"/>
      <w:bookmarkStart w:id="24" w:name="ksex_876384"/>
      <w:bookmarkEnd w:id="23"/>
      <w:bookmarkEnd w:id="24"/>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pPr>
      <w:r>
        <w:rPr/>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30, 2025</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Luis A. Müller                                            </w:t>
      </w:r>
      <w:r>
        <w:rPr>
          <w:rFonts w:ascii="Times New Roman" w:hAnsi="Times New Roman"/>
          <w:caps w:val="false"/>
          <w:smallCaps w:val="false"/>
          <w:sz w:val="20"/>
        </w:rPr>
        <w:br/>
        <w:t>Luis A. Müller</w:t>
        <w:br/>
        <w:t>President &amp; Chief Executive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bookmarkStart w:id="25" w:name="ex_876383.htm"/>
      <w:bookmarkStart w:id="26" w:name="ksex_876383"/>
      <w:bookmarkStart w:id="27" w:name="ex_876383.htm"/>
      <w:bookmarkStart w:id="28" w:name="ksex_876383"/>
      <w:bookmarkEnd w:id="27"/>
      <w:bookmarkEnd w:id="28"/>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31.2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pPr>
      <w:r>
        <w:rPr/>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30, 2025</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Jeffrey D. Jones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br/>
        <w:t>Senior Vice President Finance &amp; Chief Financial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bookmarkStart w:id="29" w:name="ex_876382.htm"/>
      <w:bookmarkStart w:id="30" w:name="ksex_876382"/>
      <w:bookmarkStart w:id="31" w:name="ex_876382.htm"/>
      <w:bookmarkStart w:id="32" w:name="ksex_876382"/>
      <w:bookmarkEnd w:id="31"/>
      <w:bookmarkEnd w:id="32"/>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32.1</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September 27, 2025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30,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p>
      <w:pPr>
        <w:pStyle w:val="TextBody"/>
        <w:bidi w:val="0"/>
        <w:spacing w:before="0" w:after="0"/>
        <w:ind w:left="0" w:right="0" w:hanging="0"/>
        <w:jc w:val="right"/>
        <w:rPr/>
      </w:pPr>
      <w:r>
        <w:rPr/>
      </w:r>
    </w:p>
    <w:p>
      <w:pPr>
        <w:pStyle w:val="TextBody"/>
        <w:bidi w:val="0"/>
        <w:spacing w:before="0" w:after="0"/>
        <w:ind w:left="0" w:right="0" w:hanging="0"/>
        <w:jc w:val="right"/>
        <w:rPr/>
      </w:pPr>
      <w:r>
        <w:rPr/>
      </w:r>
      <w:bookmarkStart w:id="33" w:name="ex_876381.htm"/>
      <w:bookmarkStart w:id="34" w:name="ksex_876381"/>
      <w:bookmarkStart w:id="35" w:name="ex_876381.htm"/>
      <w:bookmarkStart w:id="36" w:name="ksex_876381"/>
      <w:bookmarkEnd w:id="35"/>
      <w:bookmarkEnd w:id="36"/>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32.2</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September 27, 2025 (the "Report"), I, Jeffrey D. Jones,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30,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535/000143774925014183/ex_807614.htm" TargetMode="External"/><Relationship Id="rId3" Type="http://schemas.openxmlformats.org/officeDocument/2006/relationships/hyperlink" Target="http://www.sec.gov/Archives/edgar/data/21535/000143774925030026/ex_864825.htm" TargetMode="External"/><Relationship Id="rId4" Type="http://schemas.openxmlformats.org/officeDocument/2006/relationships/hyperlink" Target="http://www.sec.gov/Archives/edgar/data/21535/000143774925030026/ex_864825.htm" TargetMode="External"/><Relationship Id="rId5" Type="http://schemas.openxmlformats.org/officeDocument/2006/relationships/hyperlink" Target="http://www.sec.gov/Archives/edgar/data/21535/000143774925030026/ex_86482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29643</Words>
  <Characters>162199</Characters>
  <CharactersWithSpaces>193716</CharactersWithSpaces>
  <Paragraphs>7694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