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color w:val="auto"/>
        </w:rPr>
        <w:t>FORM 8-K</w:t>
      </w:r>
    </w:p>
    <w:p>
      <w:pPr>
        <w:spacing w:after="0" w:line="23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CURRENT REPORT</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2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October 29, 2025</w:t>
            </w:r>
          </w:p>
        </w:tc>
      </w:tr>
      <w:tr>
        <w:trPr>
          <w:trHeight w:val="739"/>
        </w:trPr>
        <w:tc>
          <w:tcPr>
            <w:tcW w:w="4220" w:type="dxa"/>
            <w:vAlign w:val="bottom"/>
          </w:tcPr>
          <w:p>
            <w:pPr>
              <w:spacing w:after="0"/>
              <w:rPr>
                <w:sz w:val="24"/>
                <w:szCs w:val="24"/>
                <w:color w:val="auto"/>
              </w:rPr>
            </w:pPr>
          </w:p>
        </w:tc>
        <w:tc>
          <w:tcPr>
            <w:tcW w:w="3580" w:type="dxa"/>
            <w:vAlign w:val="bottom"/>
            <w:gridSpan w:val="2"/>
          </w:tcPr>
          <w:p>
            <w:pPr>
              <w:jc w:val="center"/>
              <w:ind w:right="780"/>
              <w:spacing w:after="0"/>
              <w:rPr>
                <w:sz w:val="20"/>
                <w:szCs w:val="20"/>
                <w:color w:val="auto"/>
              </w:rPr>
            </w:pPr>
            <w:r>
              <w:rPr>
                <w:rFonts w:ascii="Times New Roman" w:cs="Times New Roman" w:eastAsia="Times New Roman" w:hAnsi="Times New Roman"/>
                <w:sz w:val="43"/>
                <w:szCs w:val="43"/>
                <w:color w:val="auto"/>
                <w:w w:val="99"/>
              </w:rPr>
              <w:t>Cohu, Inc.</w:t>
            </w:r>
          </w:p>
        </w:tc>
        <w:tc>
          <w:tcPr>
            <w:tcW w:w="2140" w:type="dxa"/>
            <w:vAlign w:val="bottom"/>
          </w:tcPr>
          <w:p>
            <w:pPr>
              <w:spacing w:after="0"/>
              <w:rPr>
                <w:sz w:val="24"/>
                <w:szCs w:val="24"/>
                <w:color w:val="auto"/>
              </w:rPr>
            </w:pPr>
          </w:p>
        </w:tc>
      </w:tr>
      <w:tr>
        <w:trPr>
          <w:trHeight w:val="246"/>
        </w:trPr>
        <w:tc>
          <w:tcPr>
            <w:tcW w:w="4220" w:type="dxa"/>
            <w:vAlign w:val="bottom"/>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479"/>
        </w:trPr>
        <w:tc>
          <w:tcPr>
            <w:tcW w:w="7800" w:type="dxa"/>
            <w:vAlign w:val="bottom"/>
            <w:gridSpan w:val="3"/>
          </w:tcPr>
          <w:p>
            <w:pPr>
              <w:jc w:val="center"/>
              <w:ind w:left="33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140" w:type="dxa"/>
            <w:vAlign w:val="bottom"/>
          </w:tcPr>
          <w:p>
            <w:pPr>
              <w:spacing w:after="0"/>
              <w:rPr>
                <w:sz w:val="24"/>
                <w:szCs w:val="24"/>
                <w:color w:val="auto"/>
              </w:rPr>
            </w:pPr>
          </w:p>
        </w:tc>
      </w:tr>
      <w:tr>
        <w:trPr>
          <w:trHeight w:val="414"/>
        </w:trPr>
        <w:tc>
          <w:tcPr>
            <w:tcW w:w="42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Delaware</w:t>
            </w:r>
          </w:p>
        </w:tc>
        <w:tc>
          <w:tcPr>
            <w:tcW w:w="2800" w:type="dxa"/>
            <w:vAlign w:val="bottom"/>
          </w:tcPr>
          <w:p>
            <w:pPr>
              <w:jc w:val="right"/>
              <w:ind w:right="585"/>
              <w:spacing w:after="0"/>
              <w:rPr>
                <w:sz w:val="20"/>
                <w:szCs w:val="20"/>
                <w:color w:val="auto"/>
              </w:rPr>
            </w:pPr>
            <w:r>
              <w:rPr>
                <w:rFonts w:ascii="Times New Roman" w:cs="Times New Roman" w:eastAsia="Times New Roman" w:hAnsi="Times New Roman"/>
                <w:sz w:val="18"/>
                <w:szCs w:val="18"/>
                <w:color w:val="auto"/>
              </w:rPr>
              <w:t>001-04298</w:t>
            </w:r>
          </w:p>
        </w:tc>
        <w:tc>
          <w:tcPr>
            <w:tcW w:w="780" w:type="dxa"/>
            <w:vAlign w:val="bottom"/>
          </w:tcPr>
          <w:p>
            <w:pPr>
              <w:spacing w:after="0"/>
              <w:rPr>
                <w:sz w:val="24"/>
                <w:szCs w:val="24"/>
                <w:color w:val="auto"/>
              </w:rPr>
            </w:pPr>
          </w:p>
        </w:tc>
        <w:tc>
          <w:tcPr>
            <w:tcW w:w="21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95-1934119</w:t>
            </w:r>
          </w:p>
        </w:tc>
      </w:tr>
      <w:tr>
        <w:trPr>
          <w:trHeight w:val="216"/>
        </w:trPr>
        <w:tc>
          <w:tcPr>
            <w:tcW w:w="42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_____________________</w:t>
            </w:r>
          </w:p>
        </w:tc>
        <w:tc>
          <w:tcPr>
            <w:tcW w:w="2800" w:type="dxa"/>
            <w:vAlign w:val="bottom"/>
          </w:tcPr>
          <w:p>
            <w:pPr>
              <w:jc w:val="right"/>
              <w:ind w:right="405"/>
              <w:spacing w:after="0"/>
              <w:rPr>
                <w:sz w:val="20"/>
                <w:szCs w:val="20"/>
                <w:color w:val="auto"/>
              </w:rPr>
            </w:pPr>
            <w:r>
              <w:rPr>
                <w:rFonts w:ascii="Times New Roman" w:cs="Times New Roman" w:eastAsia="Times New Roman" w:hAnsi="Times New Roman"/>
                <w:sz w:val="18"/>
                <w:szCs w:val="18"/>
                <w:color w:val="auto"/>
              </w:rPr>
              <w:t>_____________</w:t>
            </w:r>
          </w:p>
        </w:tc>
        <w:tc>
          <w:tcPr>
            <w:tcW w:w="780" w:type="dxa"/>
            <w:vAlign w:val="bottom"/>
          </w:tcPr>
          <w:p>
            <w:pPr>
              <w:spacing w:after="0"/>
              <w:rPr>
                <w:sz w:val="18"/>
                <w:szCs w:val="18"/>
                <w:color w:val="auto"/>
              </w:rPr>
            </w:pPr>
          </w:p>
        </w:tc>
        <w:tc>
          <w:tcPr>
            <w:tcW w:w="21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______________</w:t>
            </w:r>
          </w:p>
        </w:tc>
      </w:tr>
      <w:tr>
        <w:trPr>
          <w:trHeight w:val="216"/>
        </w:trPr>
        <w:tc>
          <w:tcPr>
            <w:tcW w:w="42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(Commission</w:t>
            </w:r>
          </w:p>
        </w:tc>
        <w:tc>
          <w:tcPr>
            <w:tcW w:w="21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2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File Number)</w:t>
            </w:r>
          </w:p>
        </w:tc>
        <w:tc>
          <w:tcPr>
            <w:tcW w:w="21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42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12367 Crosthwaite Circle, Poway, California</w:t>
            </w:r>
          </w:p>
        </w:tc>
        <w:tc>
          <w:tcPr>
            <w:tcW w:w="2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7"/>
              </w:rPr>
              <w:t>92064</w:t>
            </w:r>
          </w:p>
        </w:tc>
      </w:tr>
      <w:tr>
        <w:trPr>
          <w:trHeight w:val="216"/>
        </w:trPr>
        <w:tc>
          <w:tcPr>
            <w:tcW w:w="42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2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___________</w:t>
            </w:r>
          </w:p>
        </w:tc>
      </w:tr>
      <w:tr>
        <w:trPr>
          <w:trHeight w:val="234"/>
        </w:trPr>
        <w:tc>
          <w:tcPr>
            <w:tcW w:w="42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42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858-848-8100</w:t>
            </w:r>
          </w:p>
        </w:tc>
      </w:tr>
    </w:tbl>
    <w:p>
      <w:pPr>
        <w:spacing w:after="0" w:line="19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26035</wp:posOffset>
            </wp:positionV>
            <wp:extent cx="1783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391"/>
        </w:trPr>
        <w:tc>
          <w:tcPr>
            <w:tcW w:w="15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500" w:type="dxa"/>
            <w:vAlign w:val="bottom"/>
          </w:tcPr>
          <w:p>
            <w:pPr>
              <w:spacing w:after="0"/>
              <w:rPr>
                <w:sz w:val="24"/>
                <w:szCs w:val="24"/>
                <w:color w:val="auto"/>
              </w:rPr>
            </w:pPr>
          </w:p>
        </w:tc>
        <w:tc>
          <w:tcPr>
            <w:tcW w:w="292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0"/>
        </w:trPr>
        <w:tc>
          <w:tcPr>
            <w:tcW w:w="1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r>
      <w:tr>
        <w:trPr>
          <w:trHeight w:val="237"/>
        </w:trPr>
        <w:tc>
          <w:tcPr>
            <w:tcW w:w="4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Common Stock, $1.00 par value</w:t>
            </w:r>
          </w:p>
        </w:tc>
        <w:tc>
          <w:tcPr>
            <w:tcW w:w="240" w:type="dxa"/>
            <w:vAlign w:val="bottom"/>
          </w:tcPr>
          <w:p>
            <w:pPr>
              <w:spacing w:after="0"/>
              <w:rPr>
                <w:sz w:val="20"/>
                <w:szCs w:val="20"/>
                <w:color w:val="auto"/>
              </w:rPr>
            </w:pPr>
          </w:p>
        </w:tc>
        <w:tc>
          <w:tcPr>
            <w:tcW w:w="268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color w:val="auto"/>
                <w:w w:val="97"/>
              </w:rPr>
              <w:t>COHU</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36"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On October 29, 2025, the Company issued a press release regarding its financial results for the third fiscal quarter ended September 27, 2025. The Company’s press release is attached as Exhibit 99.1 to this Current Report on Form 8-K and incorporated by reference herein.</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Information: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Included within this current report non-GAAP financial measures, including non-GAAP Gross Margin/Profit, Income (loss) and Income (loss) (adjusted earnings) per share, Operating income (loss), Operating Expense, effective tax rate, net cash per share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impairments, duplicate facility costs, acquisition-related costs and associated professional fees, depreciation of purchase accounting adjustments to property, plant and equipment, fair value adjustment to contingent consideration, pension curtailment gain, amortization of cloud-based software implementation costs (Adjusted EBITDA only) and loss on extinguishment of debt (Adjusted EBITDA only).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Certain statements contained in this current report and accompanying materials may be considered forward-looking statements within the meaning of the U.S. Private Securities Litigation Reform Act of 1995, including statements regarding effects of growth in revenue in certain vertical markets and corresponding financial impacts; new market entries, product introductions or customer adoptions and corresponding performance metrics or financial impacts; product market projected growth and market sizes and related revenue opportunities; expectations related to our FY2025 outlook, including quarterly projections;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 w:name="page3"/>
    <w:bookmarkEnd w:id="2"/>
    <w:p>
      <w:pPr>
        <w:spacing w:after="0" w:line="252" w:lineRule="auto"/>
        <w:rPr>
          <w:sz w:val="20"/>
          <w:szCs w:val="20"/>
          <w:color w:val="auto"/>
        </w:rPr>
      </w:pPr>
      <w:r>
        <w:rPr>
          <w:rFonts w:ascii="Times New Roman" w:cs="Times New Roman" w:eastAsia="Times New Roman" w:hAnsi="Times New Roman"/>
          <w:sz w:val="18"/>
          <w:szCs w:val="18"/>
          <w:color w:val="auto"/>
        </w:rPr>
        <w:t>Actual results and future business conditions could differ materially from those contained in any forward-looking statement as a result of various factors, including, without limitation: new product investments and product enhancements which may not be commercially successful; the semiconductor industry is seasonal, cyclical, volatile and unpredictable; recent erosion in mobile, automotive and industrial market sales; our ability to manage and deliver high quality products and services; failure of sole source contract manufacturer or our ability to manage third-party raw material, component and/or service providers; ongoing inflationary pressures on material and operational costs coupled with rising interest rates; economic recession; the semiconductor industry is intensely competitive, subject to rapid technological changes, and experiences consolidation of key customers for semiconductor test equipment; a limited number of customers account for a substantial percentage of net sales; significant exports to foreign countries with economic and political instability and competition from a number of Asia-based manufacturers; our relationships with customers may deteriorate; loss of key personnel; risks of using artificial intelligence within Cohu’s product developments and business; reliance on foreign locations and geopolitical instability in such locations critical to Cohu and its customers; natural disasters, war and climate-related changes, including related economic impacts; levels of debt; access to sufficient capital on reasonable or favorable terms; foreign operations and related currency fluctuations; required or desired accounting charges and the cost or effectiveness of accounting controls; instability of financial institutions where we maintain cash deposits and potential loss of uninsured cash deposits; significant goodwill and other intangibles as percentage of our total assets; increasingly restrictive trade and export regulations impacting our ability to sell products, specifically within China; risks associated with acquisitions, investments and divestitures such as integration and synergies; constraints related to corporate governance structures; share repurchases and related impacts; financial or operating results that are below forecast or credit rating changes impacting our stock price or financing ability; law/regulatory changes and including environmental or tax law changes; significant volatility in our stock price; the risk of cybersecurity breaches; enforcing or defending intellectual property claims or other litigation.</w:t>
      </w:r>
    </w:p>
    <w:p>
      <w:pPr>
        <w:spacing w:after="0" w:line="19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and other risks and uncertainties are discussed more fully in Cohu’s filings with the SEC, including our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listed below is being furnished with this Current Report on Form 8-K.</w:t>
      </w:r>
    </w:p>
    <w:p>
      <w:pPr>
        <w:spacing w:after="0" w:line="225" w:lineRule="exact"/>
        <w:rPr>
          <w:sz w:val="20"/>
          <w:szCs w:val="20"/>
          <w:color w:val="auto"/>
        </w:rPr>
      </w:pPr>
    </w:p>
    <w:p>
      <w:pPr>
        <w:ind w:right="9920" w:firstLine="8"/>
        <w:spacing w:after="0" w:line="500"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Exhibit No. - 99.1</w:t>
      </w:r>
    </w:p>
    <w:p>
      <w:pPr>
        <w:spacing w:after="0" w:line="1" w:lineRule="exact"/>
        <w:rPr>
          <w:rFonts w:ascii="Times New Roman" w:cs="Times New Roman" w:eastAsia="Times New Roman" w:hAnsi="Times New Roman"/>
          <w:sz w:val="18"/>
          <w:szCs w:val="18"/>
          <w:color w:val="auto"/>
        </w:rPr>
      </w:pPr>
    </w:p>
    <w:p>
      <w:pPr>
        <w:ind w:right="572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 xml:space="preserve">Third Quarter 2025 Earnings Release, dated October 29, 2025, of Cohu, Inc. </w:t>
      </w:r>
      <w:r>
        <w:rPr>
          <w:rFonts w:ascii="Times New Roman" w:cs="Times New Roman" w:eastAsia="Times New Roman" w:hAnsi="Times New Roman"/>
          <w:sz w:val="18"/>
          <w:szCs w:val="18"/>
          <w:color w:val="000000"/>
        </w:rPr>
        <w:t>Exhibit No. - 104</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Cohu, Inc.</w:t>
      </w:r>
    </w:p>
    <w:p>
      <w:pPr>
        <w:spacing w:after="0" w:line="223" w:lineRule="exact"/>
        <w:rPr>
          <w:sz w:val="20"/>
          <w:szCs w:val="20"/>
          <w:color w:val="auto"/>
        </w:rPr>
      </w:pPr>
    </w:p>
    <w:p>
      <w:pPr>
        <w:spacing w:after="0"/>
        <w:tabs>
          <w:tab w:leader="none" w:pos="5400" w:val="left"/>
          <w:tab w:leader="none" w:pos="6420" w:val="left"/>
        </w:tabs>
        <w:rPr>
          <w:sz w:val="20"/>
          <w:szCs w:val="20"/>
          <w:color w:val="auto"/>
        </w:rPr>
      </w:pPr>
      <w:r>
        <w:rPr>
          <w:rFonts w:ascii="Times New Roman" w:cs="Times New Roman" w:eastAsia="Times New Roman" w:hAnsi="Times New Roman"/>
          <w:sz w:val="18"/>
          <w:szCs w:val="18"/>
          <w:color w:val="auto"/>
        </w:rPr>
        <w:t>October 29, 2025</w:t>
      </w:r>
      <w:r>
        <w:rPr>
          <w:sz w:val="20"/>
          <w:szCs w:val="20"/>
          <w:color w:val="auto"/>
        </w:rPr>
        <w:tab/>
      </w: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7"/>
          <w:szCs w:val="17"/>
          <w:i w:val="1"/>
          <w:iCs w:val="1"/>
          <w:color w:val="auto"/>
        </w:rPr>
        <w:t>/s/ Jeffrey D. Jones</w:t>
      </w:r>
    </w:p>
    <w:p>
      <w:pPr>
        <w:spacing w:after="0" w:line="23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Name: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-126365</wp:posOffset>
            </wp:positionV>
            <wp:extent cx="3162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Title: Senior VP Finance &amp;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688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Exhibit Index</w:t>
            </w:r>
          </w:p>
        </w:tc>
      </w:tr>
      <w:tr>
        <w:trPr>
          <w:trHeight w:val="648"/>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88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32"/>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8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Third Quarter 2025 Earnings Release, dated October 29, 2025, of Cohu, Inc.</w:t>
            </w:r>
          </w:p>
        </w:tc>
      </w:tr>
      <w:tr>
        <w:trPr>
          <w:trHeight w:val="432"/>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8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139"/>
          </w:cols>
          <w:pgMar w:left="320" w:top="580"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156845</wp:posOffset>
            </wp:positionV>
            <wp:extent cx="3823335" cy="668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2333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-119380</wp:posOffset>
            </wp:positionV>
            <wp:extent cx="26035" cy="822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035" cy="822960"/>
                    </a:xfrm>
                    <a:prstGeom prst="rect">
                      <a:avLst/>
                    </a:prstGeom>
                    <a:noFill/>
                  </pic:spPr>
                </pic:pic>
              </a:graphicData>
            </a:graphic>
          </wp:anchor>
        </w:drawing>
      </w:r>
    </w:p>
    <w:p>
      <w:pPr>
        <w:spacing w:after="0" w:line="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12367 CROSTHWAITE CIRCLE</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POWAY, CA 92064</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FAX (858) 848-8185</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PHONE (858) 858-8100</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www.cohu.com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Reports Third Quarter 2025 Results</w:t>
      </w:r>
    </w:p>
    <w:p>
      <w:pPr>
        <w:spacing w:after="0" w:line="227" w:lineRule="exact"/>
        <w:rPr>
          <w:sz w:val="20"/>
          <w:szCs w:val="20"/>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 quarter net sales $126.2 million, approximately 55% recurring</w:t>
      </w:r>
    </w:p>
    <w:p>
      <w:pPr>
        <w:spacing w:after="0" w:line="225"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Gross margin of 43.8%; non-GAAP gross margin of 44.1%</w:t>
      </w:r>
    </w:p>
    <w:p>
      <w:pPr>
        <w:spacing w:after="0" w:line="225"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Accelerating in AI data center markets with Neon HBM inspection and Eclipse test handler</w:t>
      </w:r>
    </w:p>
    <w:p>
      <w:pPr>
        <w:spacing w:after="0" w:line="22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POWAY, Calif., October 29, 2025 – Cohu, Inc. (NASDAQ: COHU), a global supplier of equipment and services optimizing semiconductor manufacturing yield and productivity, today reported fiscal 2025 third quarter net sales of $126.2 million and GAAP loss of $4.1 million or $0.09 per share. Net sales for the first nine months of 2025 were $330.7 million and GAAP loss was $51.8 million or $1.11 per share.</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Cohu also reported non-GAAP results, with third quarter 2025 loss of $2.8 million or $0.06 per share and loss of $2.9 million or $0.06 per share for the first nine months of 2025.</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740" w:type="dxa"/>
            <w:vAlign w:val="bottom"/>
            <w:tcBorders>
              <w:top w:val="single" w:sz="8" w:color="auto"/>
              <w:lef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GAAP Results</w:t>
            </w: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Q3 FY</w:t>
            </w:r>
          </w:p>
        </w:tc>
        <w:tc>
          <w:tcPr>
            <w:tcW w:w="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Q2 FY</w:t>
            </w:r>
          </w:p>
        </w:tc>
        <w:tc>
          <w:tcPr>
            <w:tcW w:w="2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Q3 FY</w:t>
            </w:r>
          </w:p>
        </w:tc>
        <w:tc>
          <w:tcPr>
            <w:tcW w:w="1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9 Months</w:t>
            </w: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right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9 Months</w:t>
            </w:r>
          </w:p>
        </w:tc>
        <w:tc>
          <w:tcPr>
            <w:tcW w:w="0" w:type="dxa"/>
            <w:vAlign w:val="bottom"/>
          </w:tcPr>
          <w:p>
            <w:pPr>
              <w:spacing w:after="0"/>
              <w:rPr>
                <w:sz w:val="1"/>
                <w:szCs w:val="1"/>
                <w:color w:val="auto"/>
              </w:rPr>
            </w:pPr>
          </w:p>
        </w:tc>
      </w:tr>
      <w:tr>
        <w:trPr>
          <w:trHeight w:val="171"/>
        </w:trPr>
        <w:tc>
          <w:tcPr>
            <w:tcW w:w="374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7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3740" w:type="dxa"/>
            <w:vAlign w:val="bottom"/>
            <w:tcBorders>
              <w:lef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126.2</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330.7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307.7</w:t>
            </w:r>
          </w:p>
        </w:tc>
        <w:tc>
          <w:tcPr>
            <w:tcW w:w="0" w:type="dxa"/>
            <w:vAlign w:val="bottom"/>
          </w:tcPr>
          <w:p>
            <w:pPr>
              <w:spacing w:after="0"/>
              <w:rPr>
                <w:sz w:val="1"/>
                <w:szCs w:val="1"/>
                <w:color w:val="auto"/>
              </w:rPr>
            </w:pPr>
          </w:p>
        </w:tc>
      </w:tr>
      <w:tr>
        <w:trPr>
          <w:trHeight w:val="216"/>
        </w:trPr>
        <w:tc>
          <w:tcPr>
            <w:tcW w:w="3740" w:type="dxa"/>
            <w:vAlign w:val="bottom"/>
            <w:tcBorders>
              <w:lef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34"/>
        </w:trPr>
        <w:tc>
          <w:tcPr>
            <w:tcW w:w="374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Net loss per share</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(0.09)</w:t>
            </w:r>
          </w:p>
        </w:tc>
        <w:tc>
          <w:tcPr>
            <w:tcW w:w="2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(0.36)</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7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Non-GAAP Results</w:t>
            </w:r>
          </w:p>
        </w:tc>
        <w:tc>
          <w:tcPr>
            <w:tcW w:w="220" w:type="dxa"/>
            <w:vAlign w:val="bottom"/>
          </w:tcPr>
          <w:p>
            <w:pPr>
              <w:spacing w:after="0"/>
              <w:rPr>
                <w:sz w:val="20"/>
                <w:szCs w:val="20"/>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Q3 FY</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Q2 FY</w:t>
            </w:r>
          </w:p>
        </w:tc>
        <w:tc>
          <w:tcPr>
            <w:tcW w:w="220" w:type="dxa"/>
            <w:vAlign w:val="bottom"/>
          </w:tcPr>
          <w:p>
            <w:pPr>
              <w:spacing w:after="0"/>
              <w:rPr>
                <w:sz w:val="20"/>
                <w:szCs w:val="20"/>
                <w:color w:val="auto"/>
              </w:rPr>
            </w:pPr>
          </w:p>
        </w:tc>
        <w:tc>
          <w:tcPr>
            <w:tcW w:w="11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Q3 FY</w:t>
            </w:r>
          </w:p>
        </w:tc>
        <w:tc>
          <w:tcPr>
            <w:tcW w:w="160" w:type="dxa"/>
            <w:vAlign w:val="bottom"/>
          </w:tcPr>
          <w:p>
            <w:pPr>
              <w:spacing w:after="0"/>
              <w:rPr>
                <w:sz w:val="20"/>
                <w:szCs w:val="20"/>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9 Months</w:t>
            </w:r>
          </w:p>
        </w:tc>
        <w:tc>
          <w:tcPr>
            <w:tcW w:w="180" w:type="dxa"/>
            <w:vAlign w:val="bottom"/>
          </w:tcPr>
          <w:p>
            <w:pPr>
              <w:spacing w:after="0"/>
              <w:rPr>
                <w:sz w:val="20"/>
                <w:szCs w:val="20"/>
                <w:color w:val="auto"/>
              </w:rPr>
            </w:pPr>
          </w:p>
        </w:tc>
        <w:tc>
          <w:tcPr>
            <w:tcW w:w="1180" w:type="dxa"/>
            <w:vAlign w:val="bottom"/>
            <w:tcBorders>
              <w:right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9 Months</w:t>
            </w:r>
          </w:p>
        </w:tc>
        <w:tc>
          <w:tcPr>
            <w:tcW w:w="0" w:type="dxa"/>
            <w:vAlign w:val="bottom"/>
          </w:tcPr>
          <w:p>
            <w:pPr>
              <w:spacing w:after="0"/>
              <w:rPr>
                <w:sz w:val="1"/>
                <w:szCs w:val="1"/>
                <w:color w:val="auto"/>
              </w:rPr>
            </w:pPr>
          </w:p>
        </w:tc>
      </w:tr>
      <w:tr>
        <w:trPr>
          <w:trHeight w:val="171"/>
        </w:trPr>
        <w:tc>
          <w:tcPr>
            <w:tcW w:w="374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7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3740" w:type="dxa"/>
            <w:vAlign w:val="bottom"/>
            <w:tcBorders>
              <w:lef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4"/>
        </w:trPr>
        <w:tc>
          <w:tcPr>
            <w:tcW w:w="3740" w:type="dxa"/>
            <w:vAlign w:val="bottom"/>
            <w:tcBorders>
              <w:left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Net income (loss) share</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(0.06)</w:t>
            </w:r>
          </w:p>
        </w:tc>
        <w:tc>
          <w:tcPr>
            <w:tcW w:w="2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Total cash and investments at the end of third quarter 2025 were $198.2 million. Cohu did not repurchase any shares of its common stock during third quarter 2025.</w:t>
      </w:r>
    </w:p>
    <w:p>
      <w:pPr>
        <w:spacing w:after="0" w:line="16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“Cohu delivered another robust quarter, characterized by ongoing growth in recurring revenue and notable achievements in advanced semiconductor test and inspection,” said Cohu President and CEO Luis Müller. “Our growing product portfolio highlights our dedication to innovation and operational excellence. We are confident in our long-term outlook as we advance strategic initiatives, invest in cutting-edge technologies, and consistently deliver unique value to our customers. The proceeds from our recent convertible debt offering will be strategically deployed to support these initiatives and accelerate our innovation roadmap.”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expects fourth quarter 2025 sales to be in a range of $122 million +/- $7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 xml:space="preserve">The Company will host a live conference call and webcast with slides to discuss third quarter 2025 results at 1:30 p.m. Pacific Time/4:30 p.m. Eastern Time on October 29, 2025. Interested parties may listen live via webcast on Cohu’s investor relations website at </w:t>
      </w:r>
      <w:r>
        <w:rPr>
          <w:rFonts w:ascii="Times New Roman" w:cs="Times New Roman" w:eastAsia="Times New Roman" w:hAnsi="Times New Roman"/>
          <w:sz w:val="18"/>
          <w:szCs w:val="18"/>
          <w:u w:val="single" w:color="auto"/>
          <w:color w:val="auto"/>
        </w:rPr>
        <w:t>https://edge.media-server.com/mmc/p/2r2axpaw/</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To participate via telephone and join the call live, please register in advance at </w:t>
      </w:r>
      <w:r>
        <w:rPr>
          <w:rFonts w:ascii="Times New Roman" w:cs="Times New Roman" w:eastAsia="Times New Roman" w:hAnsi="Times New Roman"/>
          <w:sz w:val="18"/>
          <w:szCs w:val="18"/>
          <w:u w:val="single" w:color="auto"/>
          <w:color w:val="auto"/>
        </w:rPr>
        <w:t>https://register-conf.media-server.com/register/BI440468a38a7b47429664667b5160f2cd</w:t>
      </w:r>
      <w:r>
        <w:rPr>
          <w:rFonts w:ascii="Times New Roman" w:cs="Times New Roman" w:eastAsia="Times New Roman" w:hAnsi="Times New Roman"/>
          <w:sz w:val="18"/>
          <w:szCs w:val="18"/>
          <w:color w:val="auto"/>
        </w:rPr>
        <w:t xml:space="preserve"> to receive the dial-in number along with a unique PIN number that can be used to access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Cohu:</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Cohu (NASDAQ: COHU) is a global technology leader supplying test, automation, inspection and metrology products and services to the semiconductor industry. Cohu’s differentiated and broad product portfolio enables optimized yield and productivity, accelerating customers’ manufacturing time-to-market. Additional information can be found at </w:t>
      </w:r>
      <w:r>
        <w:rPr>
          <w:rFonts w:ascii="Times New Roman" w:cs="Times New Roman" w:eastAsia="Times New Roman" w:hAnsi="Times New Roman"/>
          <w:sz w:val="18"/>
          <w:szCs w:val="18"/>
          <w:u w:val="single" w:color="auto"/>
          <w:color w:val="auto"/>
        </w:rPr>
        <w:t>www.cohu.com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Information: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Included within this press release and accompanying materials are non-GAAP financial measures, including non-GAAP Gross Margin/Profit, Income (loss) and Income (loss) (adjusted earnings) per share, Operating income (loss), Operating Expense, effective tax rate, net cash per share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impairments, duplicate facility costs, acquisition-related costs and associated professional fees, depreciation of purchase accounting adjustments to property, plant and equipment, fair value adjustment to contingent consideration, pension curtailment gain, amortization of cloud-based software implementation costs (Adjusted EBITDA </w:t>
      </w:r>
      <w:r>
        <w:rPr>
          <w:rFonts w:ascii="Times New Roman" w:cs="Times New Roman" w:eastAsia="Times New Roman" w:hAnsi="Times New Roman"/>
          <w:sz w:val="18"/>
          <w:szCs w:val="18"/>
          <w:u w:val="single" w:color="auto"/>
          <w:color w:val="auto"/>
        </w:rPr>
        <w:t>only</w:t>
      </w:r>
      <w:r>
        <w:rPr>
          <w:rFonts w:ascii="Times New Roman" w:cs="Times New Roman" w:eastAsia="Times New Roman" w:hAnsi="Times New Roman"/>
          <w:sz w:val="18"/>
          <w:szCs w:val="18"/>
          <w:color w:val="auto"/>
        </w:rPr>
        <w:t xml:space="preserve">) and loss on extinguishment of debt (Adjusted EBITDA </w:t>
      </w:r>
      <w:r>
        <w:rPr>
          <w:rFonts w:ascii="Times New Roman" w:cs="Times New Roman" w:eastAsia="Times New Roman" w:hAnsi="Times New Roman"/>
          <w:sz w:val="18"/>
          <w:szCs w:val="18"/>
          <w:u w:val="single" w:color="auto"/>
          <w:color w:val="auto"/>
        </w:rPr>
        <w:t>only</w:t>
      </w:r>
      <w:r>
        <w:rPr>
          <w:rFonts w:ascii="Times New Roman" w:cs="Times New Roman" w:eastAsia="Times New Roman" w:hAnsi="Times New Roman"/>
          <w:sz w:val="18"/>
          <w:szCs w:val="18"/>
          <w:color w:val="auto"/>
        </w:rPr>
        <w:t>).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Certain statements contained in this release and accompanying materials may be considered forward-looking statements within the meaning of the U.S. Private Securities Litigation Reform Act of 1995, including statements regarding effects of growth in revenue in certain vertical markets and corresponding financial impacts; new market entries, product introductions or customer adoptions and corresponding performance metrics or financial impacts; product market projected growth and market sizes and related revenue opportunities; expectations related to our FY2025 outlook, including quarterly projections;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Actual results and future business conditions could differ materially from those contained in any forward-looking statement as a result of various factors, including, without limitation: new product investments and product enhancements which may not be commercially successful; the semiconductor industry is seasonal, cyclical, volatile and unpredictable; recent erosion in mobile, automotive and industrial market sales; our ability to manage and deliver high quality products and services; failure of sole source contract manufacturer or our ability to manage third-party raw material, component and/or service providers; ongoing inflationary pressures on material and operational costs coupled with rising interest rates; economic recession; the semiconductor industry is intensely competitive, subject to rapid technological changes, and experiences consolidation of key customers for semiconductor test equipment; a limited number of customers account for a substantial percentage of net sales; significant exports to foreign countries with economic and political instability and competition from a number of Asia-based manufacturers; our relationships with customers may deteriorate; loss of key personnel; risks of using artificial intelligence within Cohu’s product developments and business; reliance on foreign locations and geopolitical instability in such locations critical to Cohu and its customers; natural disasters, war and climate-related changes, including related economic impacts; levels of debt; access to sufficient capital on reasonable or favorable terms; foreign operations and related currency fluctuations; required or desired accounting charges and the cost or effectiveness of accounting controls; instability of financial institutions where we maintain cash deposits and potential loss of uninsured cash deposits; significant goodwill and other intangibles as percentage of our total assets; increasingly restrictive trade and export regulations impacting our ability to sell products, specifically within China; risks associated with acquisitions, investments and divestitures such as integration and synergies; constraints related to corporate governance structures; share repurchases and related impacts; financial or operating results that are below forecast or credit rating changes impacting our stock price or financing ability; law/regulatory changes and including environmental or tax law changes; significant volatility in our stock price; the risk of cybersecurity breaches; enforcing or defending intellectual property claims or other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spacing w:after="0" w:line="261" w:lineRule="auto"/>
        <w:rPr>
          <w:sz w:val="20"/>
          <w:szCs w:val="20"/>
          <w:color w:val="auto"/>
        </w:rPr>
      </w:pPr>
      <w:r>
        <w:rPr>
          <w:rFonts w:ascii="Times New Roman" w:cs="Times New Roman" w:eastAsia="Times New Roman" w:hAnsi="Times New Roman"/>
          <w:sz w:val="18"/>
          <w:szCs w:val="18"/>
          <w:color w:val="auto"/>
        </w:rPr>
        <w:t>These and other risks and uncertainties are discussed more fully in Cohu’s filings with the SEC, including our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press releases and other information of interest to investors, please visit Cohu’s website at </w:t>
      </w:r>
      <w:r>
        <w:rPr>
          <w:rFonts w:ascii="Times New Roman" w:cs="Times New Roman" w:eastAsia="Times New Roman" w:hAnsi="Times New Roman"/>
          <w:sz w:val="18"/>
          <w:szCs w:val="18"/>
          <w:u w:val="single" w:color="auto"/>
          <w:color w:val="auto"/>
        </w:rPr>
        <w:t>www.cohu.com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858-848-8106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jc w:val="right"/>
              <w:ind w:right="521"/>
              <w:spacing w:after="0"/>
              <w:rPr>
                <w:sz w:val="20"/>
                <w:szCs w:val="20"/>
                <w:color w:val="auto"/>
              </w:rPr>
            </w:pPr>
            <w:r>
              <w:rPr>
                <w:rFonts w:ascii="Times New Roman" w:cs="Times New Roman" w:eastAsia="Times New Roman" w:hAnsi="Times New Roman"/>
                <w:sz w:val="18"/>
                <w:szCs w:val="18"/>
                <w:color w:val="auto"/>
              </w:rPr>
              <w:t xml:space="preserve">Three Months Ended </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4"/>
                <w:szCs w:val="24"/>
                <w:color w:val="auto"/>
              </w:rPr>
            </w:pPr>
          </w:p>
        </w:tc>
        <w:tc>
          <w:tcPr>
            <w:tcW w:w="2460" w:type="dxa"/>
            <w:vAlign w:val="bottom"/>
            <w:gridSpan w:val="6"/>
          </w:tcPr>
          <w:p>
            <w:pPr>
              <w:jc w:val="right"/>
              <w:ind w:right="481"/>
              <w:spacing w:after="0"/>
              <w:rPr>
                <w:sz w:val="20"/>
                <w:szCs w:val="20"/>
                <w:color w:val="auto"/>
              </w:rPr>
            </w:pPr>
            <w:r>
              <w:rPr>
                <w:rFonts w:ascii="Times New Roman" w:cs="Times New Roman" w:eastAsia="Times New Roman" w:hAnsi="Times New Roman"/>
                <w:sz w:val="18"/>
                <w:szCs w:val="18"/>
                <w:color w:val="auto"/>
              </w:rPr>
              <w:t xml:space="preserve">Nine Months Ended </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136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September 28,</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80" w:type="dxa"/>
            <w:vAlign w:val="bottom"/>
          </w:tcPr>
          <w:p>
            <w:pPr>
              <w:spacing w:after="0"/>
              <w:rPr>
                <w:sz w:val="19"/>
                <w:szCs w:val="19"/>
                <w:color w:val="auto"/>
              </w:rPr>
            </w:pPr>
          </w:p>
        </w:tc>
        <w:tc>
          <w:tcPr>
            <w:tcW w:w="128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September 28,</w:t>
            </w:r>
          </w:p>
        </w:tc>
        <w:tc>
          <w:tcPr>
            <w:tcW w:w="0" w:type="dxa"/>
            <w:vAlign w:val="bottom"/>
          </w:tcPr>
          <w:p>
            <w:pPr>
              <w:spacing w:after="0"/>
              <w:rPr>
                <w:sz w:val="1"/>
                <w:szCs w:val="1"/>
                <w:color w:val="auto"/>
              </w:rPr>
            </w:pPr>
          </w:p>
        </w:tc>
      </w:tr>
      <w:tr>
        <w:trPr>
          <w:trHeight w:val="238"/>
        </w:trPr>
        <w:tc>
          <w:tcPr>
            <w:tcW w:w="5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2025 </w:t>
            </w:r>
            <w:r>
              <w:rPr>
                <w:rFonts w:ascii="Times New Roman" w:cs="Times New Roman" w:eastAsia="Times New Roman" w:hAnsi="Times New Roman"/>
                <w:sz w:val="27"/>
                <w:szCs w:val="27"/>
                <w:b w:val="1"/>
                <w:bCs w:val="1"/>
                <w:color w:val="auto"/>
                <w:vertAlign w:val="superscript"/>
              </w:rPr>
              <w:t>(2)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2025 </w:t>
            </w:r>
            <w:r>
              <w:rPr>
                <w:rFonts w:ascii="Times New Roman" w:cs="Times New Roman" w:eastAsia="Times New Roman" w:hAnsi="Times New Roman"/>
                <w:sz w:val="27"/>
                <w:szCs w:val="27"/>
                <w:b w:val="1"/>
                <w:bCs w:val="1"/>
                <w:color w:val="auto"/>
                <w:vertAlign w:val="superscript"/>
              </w:rPr>
              <w:t>(2)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126,249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95,342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330,726</w:t>
            </w:r>
          </w:p>
        </w:tc>
        <w:tc>
          <w:tcPr>
            <w:tcW w:w="3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307,657</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 (excluding amortization)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70,985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50,685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186,036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166,829</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22,454</w:t>
            </w:r>
          </w:p>
        </w:tc>
        <w:tc>
          <w:tcPr>
            <w:tcW w:w="2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20,324</w:t>
            </w:r>
          </w:p>
        </w:tc>
        <w:tc>
          <w:tcPr>
            <w:tcW w:w="1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68,794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64,002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31,768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30,297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91,645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97,497</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10,249</w:t>
            </w:r>
          </w:p>
        </w:tc>
        <w:tc>
          <w:tcPr>
            <w:tcW w:w="2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9,791</w:t>
            </w:r>
          </w:p>
        </w:tc>
        <w:tc>
          <w:tcPr>
            <w:tcW w:w="1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30,182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29,334</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509</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8,347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135,965</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111,111</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385,004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357,698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(110)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(434)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1,335</w:t>
            </w:r>
          </w:p>
        </w:tc>
        <w:tc>
          <w:tcPr>
            <w:tcW w:w="2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2,609</w:t>
            </w:r>
          </w:p>
        </w:tc>
        <w:tc>
          <w:tcPr>
            <w:tcW w:w="1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4,334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7,651</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transaction loss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(111)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(1,579)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(551)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curtailment gain</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787</w:t>
            </w:r>
          </w:p>
        </w:tc>
        <w:tc>
          <w:tcPr>
            <w:tcW w:w="2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2,317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0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 before taxes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(7,815)</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(14,825)</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(3,714)</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3,231</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3,173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2,817</w:t>
            </w:r>
          </w:p>
        </w:tc>
        <w:tc>
          <w:tcPr>
            <w:tcW w:w="0" w:type="dxa"/>
            <w:vAlign w:val="bottom"/>
          </w:tcPr>
          <w:p>
            <w:pPr>
              <w:spacing w:after="0"/>
              <w:rPr>
                <w:sz w:val="1"/>
                <w:szCs w:val="1"/>
                <w:color w:val="auto"/>
              </w:rPr>
            </w:pPr>
          </w:p>
        </w:tc>
      </w:tr>
      <w:tr>
        <w:trPr>
          <w:trHeight w:val="263"/>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(51,785</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(48,460</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5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per share: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(0.09)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(0.39)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(1.11)</w:t>
            </w:r>
          </w:p>
        </w:tc>
        <w:tc>
          <w:tcPr>
            <w:tcW w:w="3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9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(0.09</w:t>
            </w:r>
          </w:p>
        </w:tc>
        <w:tc>
          <w:tcPr>
            <w:tcW w:w="2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(0.39</w:t>
            </w:r>
          </w:p>
        </w:tc>
        <w:tc>
          <w:tcPr>
            <w:tcW w:w="2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(1.11</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576" w:right="339" w:bottom="1440" w:gutter="0" w:footer="0" w:header="0"/>
        </w:sectPr>
      </w:pPr>
    </w:p>
    <w:p>
      <w:pPr>
        <w:ind w:left="180"/>
        <w:spacing w:after="0"/>
        <w:rPr>
          <w:sz w:val="20"/>
          <w:szCs w:val="20"/>
          <w:color w:val="auto"/>
        </w:rPr>
      </w:pPr>
      <w:r>
        <w:rPr>
          <w:rFonts w:ascii="Times New Roman" w:cs="Times New Roman" w:eastAsia="Times New Roman" w:hAnsi="Times New Roman"/>
          <w:sz w:val="17"/>
          <w:szCs w:val="17"/>
          <w:color w:val="auto"/>
        </w:rPr>
        <w:t>Weighted average shares used in</w:t>
      </w:r>
    </w:p>
    <w:p>
      <w:pPr>
        <w:ind w:left="180"/>
        <w:spacing w:after="0" w:line="200" w:lineRule="auto"/>
        <w:rPr>
          <w:sz w:val="20"/>
          <w:szCs w:val="20"/>
          <w:color w:val="auto"/>
        </w:rPr>
      </w:pPr>
      <w:r>
        <w:rPr>
          <w:rFonts w:ascii="Times New Roman" w:cs="Times New Roman" w:eastAsia="Times New Roman" w:hAnsi="Times New Roman"/>
          <w:sz w:val="18"/>
          <w:szCs w:val="18"/>
          <w:color w:val="auto"/>
        </w:rPr>
        <w:t xml:space="preserve">computing loss per share: </w:t>
      </w:r>
      <w:r>
        <w:rPr>
          <w:rFonts w:ascii="Times New Roman" w:cs="Times New Roman" w:eastAsia="Times New Roman" w:hAnsi="Times New Roman"/>
          <w:sz w:val="29"/>
          <w:szCs w:val="29"/>
          <w:color w:val="auto"/>
          <w:vertAlign w:val="superscript"/>
        </w:rPr>
        <w:t>(3)</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Basic</w:t>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3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46,748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46,815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46,685</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46,971</w:t>
            </w:r>
          </w:p>
        </w:tc>
        <w:tc>
          <w:tcPr>
            <w:tcW w:w="0" w:type="dxa"/>
            <w:vAlign w:val="bottom"/>
          </w:tcPr>
          <w:p>
            <w:pPr>
              <w:spacing w:after="0"/>
              <w:rPr>
                <w:sz w:val="1"/>
                <w:szCs w:val="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20" w:type="dxa"/>
            <w:vAlign w:val="bottom"/>
            <w:tcBorders>
              <w:bottom w:val="single" w:sz="8" w:color="auto"/>
            </w:tcBorders>
          </w:tcPr>
          <w:p>
            <w:pPr>
              <w:ind w:left="640"/>
              <w:spacing w:after="0" w:line="196" w:lineRule="exact"/>
              <w:rPr>
                <w:sz w:val="20"/>
                <w:szCs w:val="20"/>
                <w:color w:val="auto"/>
              </w:rPr>
            </w:pPr>
            <w:r>
              <w:rPr>
                <w:rFonts w:ascii="Times New Roman" w:cs="Times New Roman" w:eastAsia="Times New Roman" w:hAnsi="Times New Roman"/>
                <w:sz w:val="18"/>
                <w:szCs w:val="18"/>
                <w:b w:val="1"/>
                <w:bCs w:val="1"/>
                <w:color w:val="auto"/>
                <w:w w:val="92"/>
              </w:rPr>
              <w:t>46,748</w:t>
            </w:r>
          </w:p>
        </w:tc>
        <w:tc>
          <w:tcPr>
            <w:tcW w:w="22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46,815</w:t>
            </w:r>
          </w:p>
        </w:tc>
        <w:tc>
          <w:tcPr>
            <w:tcW w:w="22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46,685</w:t>
            </w:r>
          </w:p>
        </w:tc>
        <w:tc>
          <w:tcPr>
            <w:tcW w:w="220" w:type="dxa"/>
            <w:vAlign w:val="bottom"/>
            <w:vMerge w:val="continue"/>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46,971</w:t>
            </w:r>
          </w:p>
        </w:tc>
        <w:tc>
          <w:tcPr>
            <w:tcW w:w="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-479425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-179070</wp:posOffset>
            </wp:positionV>
            <wp:extent cx="713232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171450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720"/>
            <w:col w:w="5340"/>
          </w:cols>
          <w:pgMar w:left="320" w:top="576" w:right="339" w:bottom="1440" w:gutter="0" w:footer="0" w:header="0"/>
          <w:type w:val="continuous"/>
        </w:sectPr>
      </w:pPr>
    </w:p>
    <w:p>
      <w:pPr>
        <w:spacing w:after="0" w:line="335" w:lineRule="exact"/>
        <w:rPr>
          <w:sz w:val="20"/>
          <w:szCs w:val="20"/>
          <w:color w:val="auto"/>
        </w:rPr>
      </w:pPr>
    </w:p>
    <w:p>
      <w:pPr>
        <w:ind w:left="500" w:right="20" w:hanging="330"/>
        <w:spacing w:after="0" w:line="261"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and nine-month periods ended September 27, 2025, and September 28, 2024, were both comprised of 13 weeks and 39 weeks, respectively.</w:t>
      </w:r>
    </w:p>
    <w:p>
      <w:pPr>
        <w:ind w:left="500" w:hanging="330"/>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7, 2025, the Company completed the acquisition of Tignis, Inc. and the results of Tignis’ operations have been included since that date.</w:t>
      </w:r>
    </w:p>
    <w:p>
      <w:pPr>
        <w:spacing w:after="0" w:line="17"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both the three- and nine-month periods ended September 27, 2025, and September 28, 2024, potentially dilutive securities were excluded from the per share computations due to their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160" w:type="dxa"/>
            <w:vAlign w:val="bottom"/>
          </w:tcPr>
          <w:p>
            <w:pPr>
              <w:spacing w:after="0"/>
              <w:rPr>
                <w:sz w:val="19"/>
                <w:szCs w:val="19"/>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December 30,</w:t>
            </w:r>
          </w:p>
        </w:tc>
      </w:tr>
      <w:tr>
        <w:trPr>
          <w:trHeight w:val="238"/>
        </w:trPr>
        <w:tc>
          <w:tcPr>
            <w:tcW w:w="78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09"/>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Cash and investments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198,157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262,092</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123,895</w:t>
            </w: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91,619</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134,246</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141,861</w:t>
            </w:r>
          </w:p>
        </w:tc>
        <w:tc>
          <w:tcPr>
            <w:tcW w:w="100" w:type="dxa"/>
            <w:vAlign w:val="bottom"/>
            <w:shd w:val="clear" w:color="auto" w:fill="CCEEFF"/>
          </w:tcPr>
          <w:p>
            <w:pPr>
              <w:spacing w:after="0"/>
              <w:rPr>
                <w:sz w:val="18"/>
                <w:szCs w:val="18"/>
                <w:color w:val="auto"/>
              </w:rPr>
            </w:pPr>
          </w:p>
        </w:tc>
      </w:tr>
      <w:tr>
        <w:trPr>
          <w:trHeight w:val="229"/>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57,218</w:t>
            </w:r>
          </w:p>
        </w:tc>
        <w:tc>
          <w:tcPr>
            <w:tcW w:w="16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38,735</w:t>
            </w:r>
          </w:p>
        </w:tc>
        <w:tc>
          <w:tcPr>
            <w:tcW w:w="100" w:type="dxa"/>
            <w:vAlign w:val="bottom"/>
          </w:tcPr>
          <w:p>
            <w:pPr>
              <w:spacing w:after="0"/>
              <w:rPr>
                <w:sz w:val="19"/>
                <w:szCs w:val="19"/>
                <w:color w:val="auto"/>
              </w:rPr>
            </w:pPr>
          </w:p>
        </w:tc>
      </w:tr>
      <w:tr>
        <w:trPr>
          <w:trHeight w:val="210"/>
        </w:trPr>
        <w:tc>
          <w:tcPr>
            <w:tcW w:w="78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513,516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534,307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&amp; equipment, net</w:t>
            </w: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77,122</w:t>
            </w: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74,786</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282,293</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234,639</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86,442</w:t>
            </w: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110,717</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30,699</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13,908</w:t>
            </w:r>
          </w:p>
        </w:tc>
        <w:tc>
          <w:tcPr>
            <w:tcW w:w="100" w:type="dxa"/>
            <w:vAlign w:val="bottom"/>
            <w:shd w:val="clear" w:color="auto" w:fill="CCEEFF"/>
          </w:tcPr>
          <w:p>
            <w:pPr>
              <w:spacing w:after="0"/>
              <w:rPr>
                <w:sz w:val="18"/>
                <w:szCs w:val="18"/>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31,199</w:t>
            </w:r>
          </w:p>
        </w:tc>
        <w:tc>
          <w:tcPr>
            <w:tcW w:w="16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31,058</w:t>
            </w:r>
          </w:p>
        </w:tc>
        <w:tc>
          <w:tcPr>
            <w:tcW w:w="100" w:type="dxa"/>
            <w:vAlign w:val="bottom"/>
          </w:tcPr>
          <w:p>
            <w:pPr>
              <w:spacing w:after="0"/>
              <w:rPr>
                <w:sz w:val="19"/>
                <w:szCs w:val="19"/>
                <w:color w:val="auto"/>
              </w:rPr>
            </w:pPr>
          </w:p>
        </w:tc>
      </w:tr>
      <w:tr>
        <w:trPr>
          <w:trHeight w:val="223"/>
        </w:trPr>
        <w:tc>
          <w:tcPr>
            <w:tcW w:w="78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1,021,271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999,415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&amp;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9,714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installments of long-term debt</w:t>
            </w: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1,244</w:t>
            </w: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profit</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8,162</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shd w:val="clear" w:color="auto" w:fill="CCEEFF"/>
          </w:tcPr>
          <w:p>
            <w:pPr>
              <w:spacing w:after="0"/>
              <w:rPr>
                <w:sz w:val="18"/>
                <w:szCs w:val="18"/>
                <w:color w:val="auto"/>
              </w:rPr>
            </w:pPr>
          </w:p>
        </w:tc>
      </w:tr>
      <w:tr>
        <w:trPr>
          <w:trHeight w:val="229"/>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97,792</w:t>
            </w:r>
          </w:p>
        </w:tc>
        <w:tc>
          <w:tcPr>
            <w:tcW w:w="16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79,847</w:t>
            </w:r>
          </w:p>
        </w:tc>
        <w:tc>
          <w:tcPr>
            <w:tcW w:w="100" w:type="dxa"/>
            <w:vAlign w:val="bottom"/>
          </w:tcPr>
          <w:p>
            <w:pPr>
              <w:spacing w:after="0"/>
              <w:rPr>
                <w:sz w:val="19"/>
                <w:szCs w:val="19"/>
                <w:color w:val="auto"/>
              </w:rPr>
            </w:pPr>
          </w:p>
        </w:tc>
      </w:tr>
      <w:tr>
        <w:trPr>
          <w:trHeight w:val="210"/>
        </w:trPr>
        <w:tc>
          <w:tcPr>
            <w:tcW w:w="78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116,912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6,881</w:t>
            </w: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7,052</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32,059</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9,893</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34,330</w:t>
            </w: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40,395</w:t>
            </w:r>
          </w:p>
        </w:tc>
        <w:tc>
          <w:tcPr>
            <w:tcW w:w="100" w:type="dxa"/>
            <w:vAlign w:val="bottom"/>
          </w:tcPr>
          <w:p>
            <w:pPr>
              <w:spacing w:after="0"/>
              <w:rPr>
                <w:sz w:val="18"/>
                <w:szCs w:val="18"/>
                <w:color w:val="auto"/>
              </w:rPr>
            </w:pPr>
          </w:p>
        </w:tc>
      </w:tr>
      <w:tr>
        <w:trPr>
          <w:trHeight w:val="229"/>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Cohu stockholders’ equity</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831,089</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856,891</w:t>
            </w:r>
          </w:p>
        </w:tc>
        <w:tc>
          <w:tcPr>
            <w:tcW w:w="100" w:type="dxa"/>
            <w:vAlign w:val="bottom"/>
            <w:shd w:val="clear" w:color="auto" w:fill="CCEEFF"/>
          </w:tcPr>
          <w:p>
            <w:pPr>
              <w:spacing w:after="0"/>
              <w:rPr>
                <w:sz w:val="19"/>
                <w:szCs w:val="19"/>
                <w:color w:val="auto"/>
              </w:rPr>
            </w:pPr>
          </w:p>
        </w:tc>
      </w:tr>
      <w:tr>
        <w:trPr>
          <w:trHeight w:val="223"/>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&amp;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1,021,271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999,415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 On January 7, 2025, the Company made a cash payment of $34.9 million, net of cash received, to acquire Tignis,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September 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June 28,</w:t>
            </w:r>
          </w:p>
        </w:tc>
        <w:tc>
          <w:tcPr>
            <w:tcW w:w="160" w:type="dxa"/>
            <w:vAlign w:val="bottom"/>
          </w:tcPr>
          <w:p>
            <w:pPr>
              <w:spacing w:after="0"/>
              <w:rPr>
                <w:sz w:val="19"/>
                <w:szCs w:val="19"/>
                <w:color w:val="auto"/>
              </w:rPr>
            </w:pPr>
          </w:p>
        </w:tc>
        <w:tc>
          <w:tcPr>
            <w:tcW w:w="14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September 28,</w:t>
            </w:r>
          </w:p>
        </w:tc>
      </w:tr>
      <w:tr>
        <w:trPr>
          <w:trHeight w:val="234"/>
        </w:trPr>
        <w:tc>
          <w:tcPr>
            <w:tcW w:w="6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 - GAAP basis (a)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(15,769)</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included in (b):</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sales (COS)</w:t>
            </w:r>
          </w:p>
        </w:tc>
        <w:tc>
          <w:tcPr>
            <w:tcW w:w="160" w:type="dxa"/>
            <w:vAlign w:val="bottom"/>
          </w:tcPr>
          <w:p>
            <w:pPr>
              <w:spacing w:after="0"/>
              <w:rPr>
                <w:sz w:val="18"/>
                <w:szCs w:val="18"/>
                <w:color w:val="auto"/>
              </w:rPr>
            </w:pPr>
          </w:p>
        </w:tc>
        <w:tc>
          <w:tcPr>
            <w:tcW w:w="14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tcPr>
          <w:p>
            <w:pPr>
              <w:spacing w:after="0"/>
              <w:rPr>
                <w:sz w:val="18"/>
                <w:szCs w:val="18"/>
                <w:color w:val="auto"/>
              </w:rPr>
            </w:pPr>
          </w:p>
        </w:tc>
        <w:tc>
          <w:tcPr>
            <w:tcW w:w="14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(R&amp;D)</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1,514</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765</w:t>
            </w:r>
          </w:p>
        </w:tc>
      </w:tr>
      <w:tr>
        <w:trPr>
          <w:trHeight w:val="229"/>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(SG&amp;A)</w:t>
            </w:r>
          </w:p>
        </w:tc>
        <w:tc>
          <w:tcPr>
            <w:tcW w:w="160" w:type="dxa"/>
            <w:vAlign w:val="bottom"/>
          </w:tcPr>
          <w:p>
            <w:pPr>
              <w:spacing w:after="0"/>
              <w:rPr>
                <w:sz w:val="19"/>
                <w:szCs w:val="19"/>
                <w:color w:val="auto"/>
              </w:rPr>
            </w:pPr>
          </w:p>
        </w:tc>
        <w:tc>
          <w:tcPr>
            <w:tcW w:w="14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3,962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3,763</w:t>
            </w:r>
          </w:p>
        </w:tc>
        <w:tc>
          <w:tcPr>
            <w:tcW w:w="160" w:type="dxa"/>
            <w:vAlign w:val="bottom"/>
          </w:tcPr>
          <w:p>
            <w:pPr>
              <w:spacing w:after="0"/>
              <w:rPr>
                <w:sz w:val="19"/>
                <w:szCs w:val="19"/>
                <w:color w:val="auto"/>
              </w:rPr>
            </w:pPr>
          </w:p>
        </w:tc>
        <w:tc>
          <w:tcPr>
            <w:tcW w:w="14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4,213</w:t>
            </w:r>
          </w:p>
        </w:tc>
      </w:tr>
      <w:tr>
        <w:trPr>
          <w:trHeight w:val="209"/>
        </w:trPr>
        <w:tc>
          <w:tcPr>
            <w:tcW w:w="6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 assets (c)</w:t>
            </w:r>
          </w:p>
        </w:tc>
        <w:tc>
          <w:tcPr>
            <w:tcW w:w="160" w:type="dxa"/>
            <w:vAlign w:val="bottom"/>
          </w:tcPr>
          <w:p>
            <w:pPr>
              <w:spacing w:after="0"/>
              <w:rPr>
                <w:sz w:val="18"/>
                <w:szCs w:val="18"/>
                <w:color w:val="auto"/>
              </w:rPr>
            </w:pPr>
          </w:p>
        </w:tc>
        <w:tc>
          <w:tcPr>
            <w:tcW w:w="14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10,249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10,081</w:t>
            </w:r>
          </w:p>
        </w:tc>
        <w:tc>
          <w:tcPr>
            <w:tcW w:w="160" w:type="dxa"/>
            <w:vAlign w:val="bottom"/>
          </w:tcPr>
          <w:p>
            <w:pPr>
              <w:spacing w:after="0"/>
              <w:rPr>
                <w:sz w:val="18"/>
                <w:szCs w:val="18"/>
                <w:color w:val="auto"/>
              </w:rPr>
            </w:pPr>
          </w:p>
        </w:tc>
        <w:tc>
          <w:tcPr>
            <w:tcW w:w="14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9,791</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 related to inventory adjustments in COS (d)</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charges (d)</w:t>
            </w:r>
          </w:p>
        </w:tc>
        <w:tc>
          <w:tcPr>
            <w:tcW w:w="160" w:type="dxa"/>
            <w:vAlign w:val="bottom"/>
          </w:tcPr>
          <w:p>
            <w:pPr>
              <w:spacing w:after="0"/>
              <w:rPr>
                <w:sz w:val="18"/>
                <w:szCs w:val="18"/>
                <w:color w:val="auto"/>
              </w:rPr>
            </w:pPr>
          </w:p>
        </w:tc>
        <w:tc>
          <w:tcPr>
            <w:tcW w:w="14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1,210</w:t>
            </w:r>
          </w:p>
        </w:tc>
        <w:tc>
          <w:tcPr>
            <w:tcW w:w="160" w:type="dxa"/>
            <w:vAlign w:val="bottom"/>
          </w:tcPr>
          <w:p>
            <w:pPr>
              <w:spacing w:after="0"/>
              <w:rPr>
                <w:sz w:val="18"/>
                <w:szCs w:val="18"/>
                <w:color w:val="auto"/>
              </w:rPr>
            </w:pPr>
          </w:p>
        </w:tc>
        <w:tc>
          <w:tcPr>
            <w:tcW w:w="14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Manufacturing transition and severance costs included in (e):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w:t>
            </w:r>
          </w:p>
        </w:tc>
        <w:tc>
          <w:tcPr>
            <w:tcW w:w="160" w:type="dxa"/>
            <w:vAlign w:val="bottom"/>
          </w:tcPr>
          <w:p>
            <w:pPr>
              <w:spacing w:after="0"/>
              <w:rPr>
                <w:sz w:val="18"/>
                <w:szCs w:val="18"/>
                <w:color w:val="auto"/>
              </w:rPr>
            </w:pPr>
          </w:p>
        </w:tc>
        <w:tc>
          <w:tcPr>
            <w:tcW w:w="14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Pr>
          <w:p>
            <w:pPr>
              <w:spacing w:after="0"/>
              <w:rPr>
                <w:sz w:val="18"/>
                <w:szCs w:val="18"/>
                <w:color w:val="auto"/>
              </w:rPr>
            </w:pPr>
          </w:p>
        </w:tc>
        <w:tc>
          <w:tcPr>
            <w:tcW w:w="14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R&amp;D</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SG&amp;A</w:t>
            </w:r>
          </w:p>
        </w:tc>
        <w:tc>
          <w:tcPr>
            <w:tcW w:w="160" w:type="dxa"/>
            <w:vAlign w:val="bottom"/>
          </w:tcPr>
          <w:p>
            <w:pPr>
              <w:spacing w:after="0"/>
              <w:rPr>
                <w:sz w:val="19"/>
                <w:szCs w:val="19"/>
                <w:color w:val="auto"/>
              </w:rPr>
            </w:pPr>
          </w:p>
        </w:tc>
        <w:tc>
          <w:tcPr>
            <w:tcW w:w="14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Pr>
          <w:p>
            <w:pPr>
              <w:spacing w:after="0"/>
              <w:rPr>
                <w:sz w:val="19"/>
                <w:szCs w:val="19"/>
                <w:color w:val="auto"/>
              </w:rPr>
            </w:pPr>
          </w:p>
        </w:tc>
        <w:tc>
          <w:tcPr>
            <w:tcW w:w="14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393</w:t>
            </w:r>
          </w:p>
        </w:tc>
      </w:tr>
      <w:tr>
        <w:trPr>
          <w:trHeight w:val="209"/>
        </w:trPr>
        <w:tc>
          <w:tcPr>
            <w:tcW w:w="6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charge included in SG&amp;A (f)</w:t>
            </w:r>
          </w:p>
        </w:tc>
        <w:tc>
          <w:tcPr>
            <w:tcW w:w="160" w:type="dxa"/>
            <w:vAlign w:val="bottom"/>
          </w:tcPr>
          <w:p>
            <w:pPr>
              <w:spacing w:after="0"/>
              <w:rPr>
                <w:sz w:val="18"/>
                <w:szCs w:val="18"/>
                <w:color w:val="auto"/>
              </w:rPr>
            </w:pPr>
          </w:p>
        </w:tc>
        <w:tc>
          <w:tcPr>
            <w:tcW w:w="14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Duplicate facility costs included in SG&amp;A (g)</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costs included in SG&amp;A (h)</w:t>
            </w:r>
          </w:p>
        </w:tc>
        <w:tc>
          <w:tcPr>
            <w:tcW w:w="160" w:type="dxa"/>
            <w:vAlign w:val="bottom"/>
          </w:tcPr>
          <w:p>
            <w:pPr>
              <w:spacing w:after="0"/>
              <w:rPr>
                <w:sz w:val="18"/>
                <w:szCs w:val="18"/>
                <w:color w:val="auto"/>
              </w:rPr>
            </w:pPr>
          </w:p>
        </w:tc>
        <w:tc>
          <w:tcPr>
            <w:tcW w:w="14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14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of PP&amp;E step-up included in SG&amp;A (i)</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w:t>
            </w:r>
          </w:p>
        </w:tc>
      </w:tr>
      <w:tr>
        <w:trPr>
          <w:trHeight w:val="263"/>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(loss) from operations - non-GAAP basis (j)</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6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Net loss - GAAP basis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(4,101)</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(16,880)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(18,056)</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Non-GAAP adjustments (as scheduled above)</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17,426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17,383</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15,437</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effect of non-GAAP adjustments (k)</w:t>
            </w:r>
          </w:p>
        </w:tc>
        <w:tc>
          <w:tcPr>
            <w:tcW w:w="160" w:type="dxa"/>
            <w:vAlign w:val="bottom"/>
          </w:tcPr>
          <w:p>
            <w:pPr>
              <w:spacing w:after="0"/>
              <w:rPr>
                <w:sz w:val="18"/>
                <w:szCs w:val="18"/>
                <w:color w:val="auto"/>
              </w:rPr>
            </w:pPr>
          </w:p>
        </w:tc>
        <w:tc>
          <w:tcPr>
            <w:tcW w:w="14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(15,372)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1,757</w:t>
            </w:r>
          </w:p>
        </w:tc>
        <w:tc>
          <w:tcPr>
            <w:tcW w:w="1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curtailment gain (l)</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(1,530)</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income (loss) -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6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GAAP net loss per share -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(0.09)</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16"/>
        </w:trPr>
        <w:tc>
          <w:tcPr>
            <w:tcW w:w="6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(loss) per share - diluted (m)</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(0.06)</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and manufacturing transition activities including employee headcount reductions and other organizational changes to align our business strategies in light of our acquisitions. Restructuring and manufacturing transition costs have been excluded because such expense is not used by management to assess the core profitability of Cohu’s business operations. Depreciation of PP&amp;E step-up costs have been excluded by management as they are unrelated to the core operating activities of the Company. Duplicate facility costs have been excluded to provide investors a clearer view of ongoing operational performance by removing temporary, expenses that do not reflect the Company’s ongoing operations. Acquisition costs and the fair value adjustment to contingent consideration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0" w:lineRule="exact"/>
        <w:rPr>
          <w:sz w:val="20"/>
          <w:szCs w:val="20"/>
          <w:color w:val="auto"/>
        </w:rPr>
      </w:pPr>
    </w:p>
    <w:p>
      <w:pPr>
        <w:ind w:left="500" w:hanging="330"/>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(16.0)% and (16.5)% of net sales, respectively.</w:t>
      </w:r>
    </w:p>
    <w:p>
      <w:pPr>
        <w:spacing w:after="0" w:line="17"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compensation expense for employee stock options, stock units and our employee stock purchase plan.</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amortization of acquired intangible assets.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restructuring costs incurred.</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manufacturing transition and severance costs.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impact of the impairment of the Company’s investment in Fraes-und Technologiezentrum GmbH Frasdorf.</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duplicative facility-related expenses incurred during the build-out of certain new Cohu locations.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professional fees and other direct incremental expenses incurred related to acquisitions.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depreciation of PP&amp;E step-up charges related to the acquisitions.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0.1% and (0.3)% of net sales, respectively.</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adjust the provision for income taxes related to the adjustments described above based on applicable tax rates.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pension curtailment gain recognized associated with headcount reductions made as part of the 2025 Strategic Restructuring plan.</w:t>
      </w:r>
    </w:p>
    <w:p>
      <w:pPr>
        <w:spacing w:after="0" w:line="36"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June 28, 2025, is computed using 46,838 shares outstanding, as the effect of dilutive securities was excluded from GAAP diluted common shares due to the reported net loss under GAAP but are included for non-GAAP diluted common shares since the Company has non-GAAP net income. All other periods presented were calculated using the number of GAAP diluted shares outstanding.</w:t>
      </w:r>
    </w:p>
    <w:p>
      <w:pPr>
        <w:sectPr>
          <w:pgSz w:w="11900" w:h="16838" w:orient="portrait"/>
          <w:cols w:equalWidth="0" w:num="1">
            <w:col w:w="11240"/>
          </w:cols>
          <w:pgMar w:left="320" w:top="576" w:right="339" w:bottom="0" w:gutter="0" w:footer="0" w:header="0"/>
        </w:sectPr>
      </w:pPr>
    </w:p>
    <w:bookmarkStart w:id="11" w:name="page12"/>
    <w:bookmarkEnd w:id="11"/>
    <w:p>
      <w:pPr>
        <w:jc w:val="both"/>
        <w:spacing w:after="0" w:line="266" w:lineRule="auto"/>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0" w:type="dxa"/>
            <w:vAlign w:val="bottom"/>
            <w:gridSpan w:val="6"/>
          </w:tcPr>
          <w:p>
            <w:pPr>
              <w:jc w:val="right"/>
              <w:ind w:right="1139"/>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62"/>
        </w:trPr>
        <w:tc>
          <w:tcPr>
            <w:tcW w:w="7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color w:val="auto"/>
              </w:rPr>
              <w:t>September 27,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439"/>
              <w:spacing w:after="0"/>
              <w:rPr>
                <w:sz w:val="20"/>
                <w:szCs w:val="20"/>
                <w:color w:val="auto"/>
              </w:rPr>
            </w:pPr>
            <w:r>
              <w:rPr>
                <w:rFonts w:ascii="Times New Roman" w:cs="Times New Roman" w:eastAsia="Times New Roman" w:hAnsi="Times New Roman"/>
                <w:sz w:val="14"/>
                <w:szCs w:val="14"/>
                <w:color w:val="auto"/>
              </w:rPr>
              <w:t>September 28,</w:t>
            </w:r>
          </w:p>
        </w:tc>
      </w:tr>
      <w:tr>
        <w:trPr>
          <w:trHeight w:val="171"/>
        </w:trPr>
        <w:tc>
          <w:tcPr>
            <w:tcW w:w="78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4"/>
                <w:szCs w:val="14"/>
                <w:color w:val="auto"/>
              </w:rPr>
            </w:pPr>
          </w:p>
        </w:tc>
      </w:tr>
      <w:tr>
        <w:trPr>
          <w:trHeight w:val="142"/>
        </w:trPr>
        <w:tc>
          <w:tcPr>
            <w:tcW w:w="78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Loss from operations - GAAP basis (a)</w:t>
            </w:r>
          </w:p>
        </w:tc>
        <w:tc>
          <w:tcPr>
            <w:tcW w:w="2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(54,278)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(50,041)</w:t>
            </w:r>
          </w:p>
        </w:tc>
        <w:tc>
          <w:tcPr>
            <w:tcW w:w="120" w:type="dxa"/>
            <w:vAlign w:val="bottom"/>
            <w:shd w:val="clear" w:color="auto" w:fill="CCEEFF"/>
          </w:tcPr>
          <w:p>
            <w:pPr>
              <w:spacing w:after="0"/>
              <w:rPr>
                <w:sz w:val="12"/>
                <w:szCs w:val="12"/>
                <w:color w:val="auto"/>
              </w:rPr>
            </w:pPr>
          </w:p>
        </w:tc>
      </w:tr>
      <w:tr>
        <w:trPr>
          <w:trHeight w:val="148"/>
        </w:trPr>
        <w:tc>
          <w:tcPr>
            <w:tcW w:w="7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Non-GAAP adjustments:</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8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Share-based compensation included in (b):</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78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Cost of sales (COS)</w:t>
            </w:r>
          </w:p>
        </w:tc>
        <w:tc>
          <w:tcPr>
            <w:tcW w:w="200" w:type="dxa"/>
            <w:vAlign w:val="bottom"/>
          </w:tcPr>
          <w:p>
            <w:pPr>
              <w:spacing w:after="0"/>
              <w:rPr>
                <w:sz w:val="12"/>
                <w:szCs w:val="12"/>
                <w:color w:val="auto"/>
              </w:rPr>
            </w:pPr>
          </w:p>
        </w:tc>
        <w:tc>
          <w:tcPr>
            <w:tcW w:w="14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1,064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759</w:t>
            </w:r>
          </w:p>
        </w:tc>
      </w:tr>
      <w:tr>
        <w:trPr>
          <w:trHeight w:val="148"/>
        </w:trPr>
        <w:tc>
          <w:tcPr>
            <w:tcW w:w="78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Research and development (R&amp;D)</w:t>
            </w:r>
          </w:p>
        </w:tc>
        <w:tc>
          <w:tcPr>
            <w:tcW w:w="2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4,089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2,600</w:t>
            </w:r>
          </w:p>
        </w:tc>
      </w:tr>
      <w:tr>
        <w:trPr>
          <w:trHeight w:val="162"/>
        </w:trPr>
        <w:tc>
          <w:tcPr>
            <w:tcW w:w="78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Selling, general and administrative (SG&amp;A)</w:t>
            </w:r>
          </w:p>
        </w:tc>
        <w:tc>
          <w:tcPr>
            <w:tcW w:w="200" w:type="dxa"/>
            <w:vAlign w:val="bottom"/>
          </w:tcPr>
          <w:p>
            <w:pPr>
              <w:spacing w:after="0"/>
              <w:rPr>
                <w:sz w:val="14"/>
                <w:szCs w:val="14"/>
                <w:color w:val="auto"/>
              </w:rPr>
            </w:pPr>
          </w:p>
        </w:tc>
        <w:tc>
          <w:tcPr>
            <w:tcW w:w="14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12,411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12,100</w:t>
            </w:r>
          </w:p>
        </w:tc>
      </w:tr>
      <w:tr>
        <w:trPr>
          <w:trHeight w:val="142"/>
        </w:trPr>
        <w:tc>
          <w:tcPr>
            <w:tcW w:w="78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17,564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15,459</w:t>
            </w:r>
          </w:p>
        </w:tc>
        <w:tc>
          <w:tcPr>
            <w:tcW w:w="120" w:type="dxa"/>
            <w:vAlign w:val="bottom"/>
            <w:tcBorders>
              <w:top w:val="single" w:sz="8" w:color="CCEEFF"/>
            </w:tcBorders>
            <w:shd w:val="clear" w:color="auto" w:fill="CCEEFF"/>
          </w:tcPr>
          <w:p>
            <w:pPr>
              <w:spacing w:after="0"/>
              <w:rPr>
                <w:sz w:val="12"/>
                <w:szCs w:val="12"/>
                <w:color w:val="auto"/>
              </w:rPr>
            </w:pPr>
          </w:p>
        </w:tc>
      </w:tr>
      <w:tr>
        <w:trPr>
          <w:trHeight w:val="148"/>
        </w:trPr>
        <w:tc>
          <w:tcPr>
            <w:tcW w:w="78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Amortization of purchased intangible assets (c)</w:t>
            </w:r>
          </w:p>
        </w:tc>
        <w:tc>
          <w:tcPr>
            <w:tcW w:w="200" w:type="dxa"/>
            <w:vAlign w:val="bottom"/>
          </w:tcPr>
          <w:p>
            <w:pPr>
              <w:spacing w:after="0"/>
              <w:rPr>
                <w:sz w:val="12"/>
                <w:szCs w:val="12"/>
                <w:color w:val="auto"/>
              </w:rPr>
            </w:pPr>
          </w:p>
        </w:tc>
        <w:tc>
          <w:tcPr>
            <w:tcW w:w="14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30,182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29,334</w:t>
            </w:r>
          </w:p>
        </w:tc>
      </w:tr>
      <w:tr>
        <w:trPr>
          <w:trHeight w:val="148"/>
        </w:trPr>
        <w:tc>
          <w:tcPr>
            <w:tcW w:w="78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Restructuring charges related to inventory adjustments in COS (d)</w:t>
            </w:r>
          </w:p>
        </w:tc>
        <w:tc>
          <w:tcPr>
            <w:tcW w:w="2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(36)</w:t>
            </w:r>
          </w:p>
        </w:tc>
      </w:tr>
      <w:tr>
        <w:trPr>
          <w:trHeight w:val="148"/>
        </w:trPr>
        <w:tc>
          <w:tcPr>
            <w:tcW w:w="78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Restructuring charges (d)</w:t>
            </w:r>
          </w:p>
        </w:tc>
        <w:tc>
          <w:tcPr>
            <w:tcW w:w="200" w:type="dxa"/>
            <w:vAlign w:val="bottom"/>
          </w:tcPr>
          <w:p>
            <w:pPr>
              <w:spacing w:after="0"/>
              <w:rPr>
                <w:sz w:val="12"/>
                <w:szCs w:val="12"/>
                <w:color w:val="auto"/>
              </w:rPr>
            </w:pPr>
          </w:p>
        </w:tc>
        <w:tc>
          <w:tcPr>
            <w:tcW w:w="14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8,347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36</w:t>
            </w:r>
          </w:p>
        </w:tc>
      </w:tr>
      <w:tr>
        <w:trPr>
          <w:trHeight w:val="148"/>
        </w:trPr>
        <w:tc>
          <w:tcPr>
            <w:tcW w:w="78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Manufacturing transition and severance costs included in (e):</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78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COS</w:t>
            </w:r>
          </w:p>
        </w:tc>
        <w:tc>
          <w:tcPr>
            <w:tcW w:w="200" w:type="dxa"/>
            <w:vAlign w:val="bottom"/>
          </w:tcPr>
          <w:p>
            <w:pPr>
              <w:spacing w:after="0"/>
              <w:rPr>
                <w:sz w:val="12"/>
                <w:szCs w:val="12"/>
                <w:color w:val="auto"/>
              </w:rPr>
            </w:pPr>
          </w:p>
        </w:tc>
        <w:tc>
          <w:tcPr>
            <w:tcW w:w="14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2</w:t>
            </w:r>
          </w:p>
        </w:tc>
      </w:tr>
      <w:tr>
        <w:trPr>
          <w:trHeight w:val="149"/>
        </w:trPr>
        <w:tc>
          <w:tcPr>
            <w:tcW w:w="78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R&amp;D</w:t>
            </w:r>
          </w:p>
        </w:tc>
        <w:tc>
          <w:tcPr>
            <w:tcW w:w="2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120</w:t>
            </w:r>
          </w:p>
        </w:tc>
      </w:tr>
      <w:tr>
        <w:trPr>
          <w:trHeight w:val="162"/>
        </w:trPr>
        <w:tc>
          <w:tcPr>
            <w:tcW w:w="78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SG&amp;A</w:t>
            </w:r>
          </w:p>
        </w:tc>
        <w:tc>
          <w:tcPr>
            <w:tcW w:w="200" w:type="dxa"/>
            <w:vAlign w:val="bottom"/>
          </w:tcPr>
          <w:p>
            <w:pPr>
              <w:spacing w:after="0"/>
              <w:rPr>
                <w:sz w:val="14"/>
                <w:szCs w:val="14"/>
                <w:color w:val="auto"/>
              </w:rPr>
            </w:pPr>
          </w:p>
        </w:tc>
        <w:tc>
          <w:tcPr>
            <w:tcW w:w="14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3,229</w:t>
            </w:r>
          </w:p>
        </w:tc>
      </w:tr>
      <w:tr>
        <w:trPr>
          <w:trHeight w:val="142"/>
        </w:trPr>
        <w:tc>
          <w:tcPr>
            <w:tcW w:w="78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3,351</w:t>
            </w:r>
          </w:p>
        </w:tc>
        <w:tc>
          <w:tcPr>
            <w:tcW w:w="120" w:type="dxa"/>
            <w:vAlign w:val="bottom"/>
            <w:tcBorders>
              <w:top w:val="single" w:sz="8" w:color="CCEEFF"/>
            </w:tcBorders>
            <w:shd w:val="clear" w:color="auto" w:fill="CCEEFF"/>
          </w:tcPr>
          <w:p>
            <w:pPr>
              <w:spacing w:after="0"/>
              <w:rPr>
                <w:sz w:val="12"/>
                <w:szCs w:val="12"/>
                <w:color w:val="auto"/>
              </w:rPr>
            </w:pPr>
          </w:p>
        </w:tc>
      </w:tr>
      <w:tr>
        <w:trPr>
          <w:trHeight w:val="149"/>
        </w:trPr>
        <w:tc>
          <w:tcPr>
            <w:tcW w:w="7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8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Impairment charge included in SG&amp;A (f)</w:t>
            </w:r>
          </w:p>
        </w:tc>
        <w:tc>
          <w:tcPr>
            <w:tcW w:w="2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903</w:t>
            </w:r>
          </w:p>
        </w:tc>
      </w:tr>
      <w:tr>
        <w:trPr>
          <w:trHeight w:val="148"/>
        </w:trPr>
        <w:tc>
          <w:tcPr>
            <w:tcW w:w="78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Duplicate facility costs included in SG&amp;A (g)</w:t>
            </w:r>
          </w:p>
        </w:tc>
        <w:tc>
          <w:tcPr>
            <w:tcW w:w="200" w:type="dxa"/>
            <w:vAlign w:val="bottom"/>
          </w:tcPr>
          <w:p>
            <w:pPr>
              <w:spacing w:after="0"/>
              <w:rPr>
                <w:sz w:val="12"/>
                <w:szCs w:val="12"/>
                <w:color w:val="auto"/>
              </w:rPr>
            </w:pPr>
          </w:p>
        </w:tc>
        <w:tc>
          <w:tcPr>
            <w:tcW w:w="14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8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Acquisition costs included in SG&amp;A (h)</w:t>
            </w:r>
          </w:p>
        </w:tc>
        <w:tc>
          <w:tcPr>
            <w:tcW w:w="2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353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175</w:t>
            </w:r>
          </w:p>
        </w:tc>
      </w:tr>
      <w:tr>
        <w:trPr>
          <w:trHeight w:val="148"/>
        </w:trPr>
        <w:tc>
          <w:tcPr>
            <w:tcW w:w="78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Depreciation of PP&amp;E step-up included in SG&amp;A (i)</w:t>
            </w:r>
          </w:p>
        </w:tc>
        <w:tc>
          <w:tcPr>
            <w:tcW w:w="200" w:type="dxa"/>
            <w:vAlign w:val="bottom"/>
          </w:tcPr>
          <w:p>
            <w:pPr>
              <w:spacing w:after="0"/>
              <w:rPr>
                <w:sz w:val="12"/>
                <w:szCs w:val="12"/>
                <w:color w:val="auto"/>
              </w:rPr>
            </w:pPr>
          </w:p>
        </w:tc>
        <w:tc>
          <w:tcPr>
            <w:tcW w:w="14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36</w:t>
            </w:r>
          </w:p>
        </w:tc>
      </w:tr>
      <w:tr>
        <w:trPr>
          <w:trHeight w:val="162"/>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 to contingent consideration included in SG&amp;A (j)</w:t>
            </w:r>
          </w:p>
        </w:tc>
        <w:tc>
          <w:tcPr>
            <w:tcW w:w="2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84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color w:val="auto"/>
              </w:rPr>
              <w:t>Income (loss) from operations - non-GAAP basis (k)</w:t>
            </w: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2,073</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(783</w:t>
            </w:r>
          </w:p>
        </w:tc>
        <w:tc>
          <w:tcPr>
            <w:tcW w:w="120" w:type="dxa"/>
            <w:vAlign w:val="bottom"/>
            <w:tcBorders>
              <w:bottom w:val="single" w:sz="8" w:color="CCEEFF"/>
            </w:tcBorders>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r>
      <w:tr>
        <w:trPr>
          <w:trHeight w:val="129"/>
        </w:trPr>
        <w:tc>
          <w:tcPr>
            <w:tcW w:w="7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8"/>
        </w:trPr>
        <w:tc>
          <w:tcPr>
            <w:tcW w:w="7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 GAAP basis</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(51,785)</w:t>
            </w:r>
          </w:p>
        </w:tc>
        <w:tc>
          <w:tcPr>
            <w:tcW w:w="3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(48,460)</w:t>
            </w:r>
          </w:p>
        </w:tc>
      </w:tr>
      <w:tr>
        <w:trPr>
          <w:trHeight w:val="149"/>
        </w:trPr>
        <w:tc>
          <w:tcPr>
            <w:tcW w:w="78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Non-GAAP adjustments (as scheduled above)</w:t>
            </w:r>
          </w:p>
        </w:tc>
        <w:tc>
          <w:tcPr>
            <w:tcW w:w="2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56,351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49,258</w:t>
            </w:r>
          </w:p>
        </w:tc>
      </w:tr>
      <w:tr>
        <w:trPr>
          <w:trHeight w:val="148"/>
        </w:trPr>
        <w:tc>
          <w:tcPr>
            <w:tcW w:w="78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Tax effect of non-GAAP adjustments (l)</w:t>
            </w:r>
          </w:p>
        </w:tc>
        <w:tc>
          <w:tcPr>
            <w:tcW w:w="200" w:type="dxa"/>
            <w:vAlign w:val="bottom"/>
          </w:tcPr>
          <w:p>
            <w:pPr>
              <w:spacing w:after="0"/>
              <w:rPr>
                <w:sz w:val="12"/>
                <w:szCs w:val="12"/>
                <w:color w:val="auto"/>
              </w:rPr>
            </w:pPr>
          </w:p>
        </w:tc>
        <w:tc>
          <w:tcPr>
            <w:tcW w:w="14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(5,139)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(4,577)</w:t>
            </w:r>
          </w:p>
        </w:tc>
      </w:tr>
      <w:tr>
        <w:trPr>
          <w:trHeight w:val="162"/>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Pension curtailment gain (m)</w:t>
            </w:r>
          </w:p>
        </w:tc>
        <w:tc>
          <w:tcPr>
            <w:tcW w:w="2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(2,317)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84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color w:val="auto"/>
              </w:rPr>
              <w:t>Net loss - non-GAAP basis</w:t>
            </w: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(2,890</w:t>
            </w:r>
          </w:p>
        </w:tc>
        <w:tc>
          <w:tcPr>
            <w:tcW w:w="140" w:type="dxa"/>
            <w:vAlign w:val="bottom"/>
            <w:tcBorders>
              <w:bottom w:val="single" w:sz="8" w:color="CCEEFF"/>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(3,779</w:t>
            </w:r>
          </w:p>
        </w:tc>
        <w:tc>
          <w:tcPr>
            <w:tcW w:w="120" w:type="dxa"/>
            <w:vAlign w:val="bottom"/>
            <w:tcBorders>
              <w:bottom w:val="single" w:sz="8" w:color="CCEEFF"/>
            </w:tcBorders>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r>
      <w:tr>
        <w:trPr>
          <w:trHeight w:val="129"/>
        </w:trPr>
        <w:tc>
          <w:tcPr>
            <w:tcW w:w="7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9"/>
        </w:trPr>
        <w:tc>
          <w:tcPr>
            <w:tcW w:w="7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GAAP net loss per share - diluted</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3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(1.03)</w:t>
            </w:r>
          </w:p>
        </w:tc>
      </w:tr>
      <w:tr>
        <w:trPr>
          <w:trHeight w:val="149"/>
        </w:trPr>
        <w:tc>
          <w:tcPr>
            <w:tcW w:w="7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88"/>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Non-GAAP loss per share - diluted (n)</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(0.06)</w:t>
            </w: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and manufacturing transition activities including employee headcount reductions and other organizational changes to align our business strategies in light of our acquisitions. Restructuring and manufacturing transition costs have been excluded because such expense is not used by Management to assess the core profitability of Cohu’s business operations. Impairment charges have been excluded as these amounts are infrequent and are unrelated to the operational performance of Cohu. PP&amp;E and inventory step-up costs have been excluded by management as they are unrelated to the core operating activities of the Company. Duplicate facility costs have been excluded to provide investors a clearer view of ongoing operational performance by removing temporary, expenses that do not reflect the Company’s ongoing operations. Acquisition costs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0" w:lineRule="exact"/>
        <w:rPr>
          <w:sz w:val="20"/>
          <w:szCs w:val="20"/>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 and (16.3)% of net sales, respectively.</w:t>
      </w:r>
    </w:p>
    <w:p>
      <w:pPr>
        <w:spacing w:after="0" w:line="17"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compensation expense for employee stock options, stock units and our employee stock purchase plan.</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amortization of acquired intangible assets.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restructuring costs incurred related to acquisitions.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manufacturing transition and severance costs.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impact of the impairment of the Company’s investment in Fraes-und Technologiezentrum GmbH Frasdorf.</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duplicative facility-related expenses incurred during the build-out of certain new Cohu locations.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professional fees and other direct incremental expenses incurred related to acquisitions.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property, plant &amp; equipment step-up depreciation accelerated related to acquisitions.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fair value adjustment to contingent consideration related to the acquisition of Tignis.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and (0.3)% of net sales, respectively.</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adjust the provision for income taxes related to the adjustments described above based on applicable tax rates.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pension curtailment gain recognized associated with headcount reductions made as part of the 2025 Strategic Restructuring plan.</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periods presented were calculated using the number of GAAP diluted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9"/>
        </w:trPr>
        <w:tc>
          <w:tcPr>
            <w:tcW w:w="5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September 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June 28,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September 28,</w:t>
            </w:r>
          </w:p>
        </w:tc>
      </w:tr>
      <w:tr>
        <w:trPr>
          <w:trHeight w:val="234"/>
        </w:trPr>
        <w:tc>
          <w:tcPr>
            <w:tcW w:w="5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2025</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r>
      <w:tr>
        <w:trPr>
          <w:trHeight w:val="209"/>
        </w:trPr>
        <w:tc>
          <w:tcPr>
            <w:tcW w:w="5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Reconciliation</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Gross profit - GAAP basis (excluding amortization) </w:t>
            </w:r>
            <w:r>
              <w:rPr>
                <w:rFonts w:ascii="Times New Roman" w:cs="Times New Roman" w:eastAsia="Times New Roman" w:hAnsi="Times New Roman"/>
                <w:sz w:val="25"/>
                <w:szCs w:val="25"/>
                <w:color w:val="auto"/>
                <w:vertAlign w:val="superscript"/>
              </w:rPr>
              <w:t>(1)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55,264</w:t>
            </w:r>
          </w:p>
        </w:tc>
        <w:tc>
          <w:tcPr>
            <w:tcW w:w="3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47,109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44,657</w:t>
            </w:r>
          </w:p>
        </w:tc>
      </w:tr>
      <w:tr>
        <w:trPr>
          <w:trHeight w:val="230"/>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Non-GAAP adjustments to cost of sales (as scheduled above)</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696</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r>
      <w:tr>
        <w:trPr>
          <w:trHeight w:val="263"/>
        </w:trPr>
        <w:tc>
          <w:tcPr>
            <w:tcW w:w="5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Gross profit - Non-GAAP basis</w:t>
            </w:r>
          </w:p>
        </w:tc>
        <w:tc>
          <w:tcPr>
            <w:tcW w:w="4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55,658</w:t>
            </w:r>
          </w:p>
        </w:tc>
        <w:tc>
          <w:tcPr>
            <w:tcW w:w="2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47,805</w:t>
            </w:r>
          </w:p>
        </w:tc>
        <w:tc>
          <w:tcPr>
            <w:tcW w:w="2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44,907</w:t>
            </w:r>
          </w:p>
        </w:tc>
        <w:tc>
          <w:tcPr>
            <w:tcW w:w="220" w:type="dxa"/>
            <w:vAlign w:val="bottom"/>
            <w:tcBorders>
              <w:bottom w:val="single" w:sz="8" w:color="CCEEFF"/>
            </w:tcBorders>
          </w:tcPr>
          <w:p>
            <w:pPr>
              <w:spacing w:after="0"/>
              <w:rPr>
                <w:sz w:val="22"/>
                <w:szCs w:val="22"/>
                <w:color w:val="auto"/>
              </w:rPr>
            </w:pPr>
          </w:p>
        </w:tc>
      </w:tr>
      <w:tr>
        <w:trPr>
          <w:trHeight w:val="197"/>
        </w:trPr>
        <w:tc>
          <w:tcPr>
            <w:tcW w:w="56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0"/>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GAAP gross profit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46.8%</w:t>
            </w:r>
          </w:p>
        </w:tc>
      </w:tr>
      <w:tr>
        <w:trPr>
          <w:trHeight w:val="216"/>
        </w:trPr>
        <w:tc>
          <w:tcPr>
            <w:tcW w:w="5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Non-GAAP gross profit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47.1%</w:t>
            </w:r>
          </w:p>
        </w:tc>
      </w:tr>
      <w:tr>
        <w:trPr>
          <w:trHeight w:val="216"/>
        </w:trPr>
        <w:tc>
          <w:tcPr>
            <w:tcW w:w="5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 GAAP Basis</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(4,101)</w:t>
            </w:r>
          </w:p>
        </w:tc>
        <w:tc>
          <w:tcPr>
            <w:tcW w:w="3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(16,880)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(18,056)</w:t>
            </w:r>
          </w:p>
        </w:tc>
      </w:tr>
      <w:tr>
        <w:trPr>
          <w:trHeight w:val="216"/>
        </w:trPr>
        <w:tc>
          <w:tcPr>
            <w:tcW w:w="5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2,049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3,231</w:t>
            </w:r>
          </w:p>
        </w:tc>
      </w:tr>
      <w:tr>
        <w:trPr>
          <w:trHeight w:val="216"/>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5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(2,609)</w:t>
            </w:r>
          </w:p>
        </w:tc>
      </w:tr>
      <w:tr>
        <w:trPr>
          <w:trHeight w:val="216"/>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10,081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9,791</w:t>
            </w:r>
          </w:p>
        </w:tc>
      </w:tr>
      <w:tr>
        <w:trPr>
          <w:trHeight w:val="216"/>
        </w:trPr>
        <w:tc>
          <w:tcPr>
            <w:tcW w:w="5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3,377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3,362</w:t>
            </w:r>
          </w:p>
        </w:tc>
      </w:tr>
      <w:tr>
        <w:trPr>
          <w:trHeight w:val="216"/>
        </w:trPr>
        <w:tc>
          <w:tcPr>
            <w:tcW w:w="56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cloud-based software implementation costs </w:t>
            </w:r>
            <w:r>
              <w:rPr>
                <w:rFonts w:ascii="Times New Roman" w:cs="Times New Roman" w:eastAsia="Times New Roman" w:hAnsi="Times New Roman"/>
                <w:sz w:val="25"/>
                <w:szCs w:val="25"/>
                <w:color w:val="auto"/>
                <w:vertAlign w:val="superscript"/>
              </w:rPr>
              <w:t>(2)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709</w:t>
            </w:r>
          </w:p>
        </w:tc>
      </w:tr>
      <w:tr>
        <w:trPr>
          <w:trHeight w:val="216"/>
        </w:trPr>
        <w:tc>
          <w:tcPr>
            <w:tcW w:w="5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curtailment gain</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non-GAAP adjustments (as scheduled above)</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7,302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5,634</w:t>
            </w:r>
          </w:p>
        </w:tc>
      </w:tr>
      <w:tr>
        <w:trPr>
          <w:trHeight w:val="263"/>
        </w:trPr>
        <w:tc>
          <w:tcPr>
            <w:tcW w:w="5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11,652</w:t>
            </w:r>
          </w:p>
        </w:tc>
        <w:tc>
          <w:tcPr>
            <w:tcW w:w="2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2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220" w:type="dxa"/>
            <w:vAlign w:val="bottom"/>
            <w:tcBorders>
              <w:bottom w:val="single" w:sz="8" w:color="CCEEFF"/>
            </w:tcBorders>
          </w:tcPr>
          <w:p>
            <w:pPr>
              <w:spacing w:after="0"/>
              <w:rPr>
                <w:sz w:val="22"/>
                <w:szCs w:val="22"/>
                <w:color w:val="auto"/>
              </w:rPr>
            </w:pPr>
          </w:p>
        </w:tc>
      </w:tr>
      <w:tr>
        <w:trPr>
          <w:trHeight w:val="197"/>
        </w:trPr>
        <w:tc>
          <w:tcPr>
            <w:tcW w:w="56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0"/>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 GAAP Basis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5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 Reconciliation</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 - GAAP basis</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64,980</w:t>
            </w:r>
          </w:p>
        </w:tc>
        <w:tc>
          <w:tcPr>
            <w:tcW w:w="3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64,345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60,426</w:t>
            </w:r>
          </w:p>
        </w:tc>
      </w:tr>
      <w:tr>
        <w:trPr>
          <w:trHeight w:val="230"/>
        </w:trPr>
        <w:tc>
          <w:tcPr>
            <w:tcW w:w="5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Non-GAAP adjustments to operating expenses (as scheduled above)</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(17,032)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(16,687)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(15,187)</w:t>
            </w:r>
          </w:p>
        </w:tc>
      </w:tr>
      <w:tr>
        <w:trPr>
          <w:trHeight w:val="223"/>
        </w:trPr>
        <w:tc>
          <w:tcPr>
            <w:tcW w:w="5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 - Non-GAAP basis</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ind w:left="300" w:hanging="255"/>
        <w:spacing w:after="0" w:line="261" w:lineRule="auto"/>
        <w:tabs>
          <w:tab w:leader="none" w:pos="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amortization of purchased intangibles of $7,873, $7,739 and $7,518 for the three months ending September 27, 2025, June 28, 2025, and September 28, 2024, respectively.</w:t>
      </w:r>
    </w:p>
    <w:p>
      <w:pPr>
        <w:ind w:left="300" w:hanging="255"/>
        <w:spacing w:after="0"/>
        <w:tabs>
          <w:tab w:leader="none" w:pos="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amortization of capitalized implementation costs related to cloud-based software arrangements that are included within SG&amp;A.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gridSpan w:val="6"/>
          </w:tcPr>
          <w:p>
            <w:pPr>
              <w:jc w:val="right"/>
              <w:ind w:right="114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0"/>
        </w:trPr>
        <w:tc>
          <w:tcPr>
            <w:tcW w:w="6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September 27,</w:t>
            </w:r>
          </w:p>
        </w:tc>
        <w:tc>
          <w:tcPr>
            <w:tcW w:w="160" w:type="dxa"/>
            <w:vAlign w:val="bottom"/>
          </w:tcPr>
          <w:p>
            <w:pPr>
              <w:spacing w:after="0"/>
              <w:rPr>
                <w:sz w:val="19"/>
                <w:szCs w:val="19"/>
                <w:color w:val="auto"/>
              </w:rPr>
            </w:pPr>
          </w:p>
        </w:tc>
        <w:tc>
          <w:tcPr>
            <w:tcW w:w="15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September 28,</w:t>
            </w:r>
          </w:p>
        </w:tc>
      </w:tr>
      <w:tr>
        <w:trPr>
          <w:trHeight w:val="234"/>
        </w:trPr>
        <w:tc>
          <w:tcPr>
            <w:tcW w:w="650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r>
      <w:tr>
        <w:trPr>
          <w:trHeight w:val="20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Reconciliation</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50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Gross profit - GAAP basis (excluding amortization) </w:t>
            </w:r>
            <w:r>
              <w:rPr>
                <w:rFonts w:ascii="Times New Roman" w:cs="Times New Roman" w:eastAsia="Times New Roman" w:hAnsi="Times New Roman"/>
                <w:sz w:val="25"/>
                <w:szCs w:val="25"/>
                <w:color w:val="auto"/>
                <w:vertAlign w:val="superscript"/>
              </w:rPr>
              <w:t>(1)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144,690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140,828</w:t>
            </w:r>
          </w:p>
        </w:tc>
        <w:tc>
          <w:tcPr>
            <w:tcW w:w="200" w:type="dxa"/>
            <w:vAlign w:val="bottom"/>
          </w:tcPr>
          <w:p>
            <w:pPr>
              <w:spacing w:after="0"/>
              <w:rPr>
                <w:sz w:val="18"/>
                <w:szCs w:val="18"/>
                <w:color w:val="auto"/>
              </w:rPr>
            </w:pPr>
          </w:p>
        </w:tc>
      </w:tr>
      <w:tr>
        <w:trPr>
          <w:trHeight w:val="229"/>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Non-GAAP adjustments to cost of sales (as scheduled above)</w:t>
            </w: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1,572</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725</w:t>
            </w:r>
          </w:p>
        </w:tc>
        <w:tc>
          <w:tcPr>
            <w:tcW w:w="200" w:type="dxa"/>
            <w:vAlign w:val="bottom"/>
            <w:shd w:val="clear" w:color="auto" w:fill="CCEEFF"/>
          </w:tcPr>
          <w:p>
            <w:pPr>
              <w:spacing w:after="0"/>
              <w:rPr>
                <w:sz w:val="19"/>
                <w:szCs w:val="19"/>
                <w:color w:val="auto"/>
              </w:rPr>
            </w:pPr>
          </w:p>
        </w:tc>
      </w:tr>
      <w:tr>
        <w:trPr>
          <w:trHeight w:val="263"/>
        </w:trPr>
        <w:tc>
          <w:tcPr>
            <w:tcW w:w="6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Gross profit - Non-GAAP basis</w:t>
            </w:r>
          </w:p>
        </w:tc>
        <w:tc>
          <w:tcPr>
            <w:tcW w:w="12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146,262</w:t>
            </w:r>
          </w:p>
        </w:tc>
        <w:tc>
          <w:tcPr>
            <w:tcW w:w="3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141,553</w:t>
            </w: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r>
      <w:tr>
        <w:trPr>
          <w:trHeight w:val="196"/>
        </w:trPr>
        <w:tc>
          <w:tcPr>
            <w:tcW w:w="65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0"/>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GAAP gross profit</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43.7%</w:t>
            </w: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Non-GAAP gross profit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tcPr>
          <w:p>
            <w:pPr>
              <w:spacing w:after="0"/>
              <w:rPr>
                <w:sz w:val="18"/>
                <w:szCs w:val="18"/>
                <w:color w:val="auto"/>
              </w:rPr>
            </w:pPr>
          </w:p>
        </w:tc>
        <w:tc>
          <w:tcPr>
            <w:tcW w:w="1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46.0%</w:t>
            </w:r>
          </w:p>
        </w:tc>
      </w:tr>
      <w:tr>
        <w:trPr>
          <w:trHeight w:val="216"/>
        </w:trPr>
        <w:tc>
          <w:tcPr>
            <w:tcW w:w="6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 GAAP Basis</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(51,785)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(48,460)</w:t>
            </w:r>
          </w:p>
        </w:tc>
      </w:tr>
      <w:tr>
        <w:trPr>
          <w:trHeight w:val="216"/>
        </w:trPr>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provision</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3,173</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2,817</w:t>
            </w:r>
          </w:p>
        </w:tc>
        <w:tc>
          <w:tcPr>
            <w:tcW w:w="200" w:type="dxa"/>
            <w:vAlign w:val="bottom"/>
          </w:tcPr>
          <w:p>
            <w:pPr>
              <w:spacing w:after="0"/>
              <w:rPr>
                <w:sz w:val="18"/>
                <w:szCs w:val="18"/>
                <w:color w:val="auto"/>
              </w:rPr>
            </w:pPr>
          </w:p>
        </w:tc>
      </w:tr>
      <w:tr>
        <w:trPr>
          <w:trHeight w:val="216"/>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434</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w:t>
            </w:r>
          </w:p>
        </w:tc>
        <w:tc>
          <w:tcPr>
            <w:tcW w:w="200" w:type="dxa"/>
            <w:vAlign w:val="bottom"/>
            <w:shd w:val="clear" w:color="auto" w:fill="CCEEFF"/>
          </w:tcPr>
          <w:p>
            <w:pPr>
              <w:spacing w:after="0"/>
              <w:rPr>
                <w:sz w:val="18"/>
                <w:szCs w:val="18"/>
                <w:color w:val="auto"/>
              </w:rPr>
            </w:pPr>
          </w:p>
        </w:tc>
      </w:tr>
      <w:tr>
        <w:trPr>
          <w:trHeight w:val="216"/>
        </w:trPr>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(4,334)</w:t>
            </w:r>
          </w:p>
        </w:tc>
        <w:tc>
          <w:tcPr>
            <w:tcW w:w="16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(7,651)</w:t>
            </w:r>
          </w:p>
        </w:tc>
      </w:tr>
      <w:tr>
        <w:trPr>
          <w:trHeight w:val="216"/>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30,182</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29,334</w:t>
            </w:r>
          </w:p>
        </w:tc>
        <w:tc>
          <w:tcPr>
            <w:tcW w:w="200" w:type="dxa"/>
            <w:vAlign w:val="bottom"/>
            <w:shd w:val="clear" w:color="auto" w:fill="CCEEFF"/>
          </w:tcPr>
          <w:p>
            <w:pPr>
              <w:spacing w:after="0"/>
              <w:rPr>
                <w:sz w:val="18"/>
                <w:szCs w:val="18"/>
                <w:color w:val="auto"/>
              </w:rPr>
            </w:pPr>
          </w:p>
        </w:tc>
      </w:tr>
      <w:tr>
        <w:trPr>
          <w:trHeight w:val="216"/>
        </w:trPr>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9,953</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10,204</w:t>
            </w:r>
          </w:p>
        </w:tc>
        <w:tc>
          <w:tcPr>
            <w:tcW w:w="200" w:type="dxa"/>
            <w:vAlign w:val="bottom"/>
          </w:tcPr>
          <w:p>
            <w:pPr>
              <w:spacing w:after="0"/>
              <w:rPr>
                <w:sz w:val="18"/>
                <w:szCs w:val="18"/>
                <w:color w:val="auto"/>
              </w:rPr>
            </w:pPr>
          </w:p>
        </w:tc>
      </w:tr>
      <w:tr>
        <w:trPr>
          <w:trHeight w:val="216"/>
        </w:trPr>
        <w:tc>
          <w:tcPr>
            <w:tcW w:w="65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cloud-based software implementation costs </w:t>
            </w:r>
            <w:r>
              <w:rPr>
                <w:rFonts w:ascii="Times New Roman" w:cs="Times New Roman" w:eastAsia="Times New Roman" w:hAnsi="Times New Roman"/>
                <w:sz w:val="25"/>
                <w:szCs w:val="25"/>
                <w:color w:val="auto"/>
                <w:vertAlign w:val="superscript"/>
              </w:rPr>
              <w:t>(2)</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2,127</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2,127</w:t>
            </w:r>
          </w:p>
        </w:tc>
        <w:tc>
          <w:tcPr>
            <w:tcW w:w="200" w:type="dxa"/>
            <w:vAlign w:val="bottom"/>
            <w:shd w:val="clear" w:color="auto" w:fill="CCEEFF"/>
          </w:tcPr>
          <w:p>
            <w:pPr>
              <w:spacing w:after="0"/>
              <w:rPr>
                <w:sz w:val="18"/>
                <w:szCs w:val="18"/>
                <w:color w:val="auto"/>
              </w:rPr>
            </w:pPr>
          </w:p>
        </w:tc>
      </w:tr>
      <w:tr>
        <w:trPr>
          <w:trHeight w:val="216"/>
        </w:trPr>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curtailment gain</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(2,317)</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shd w:val="clear" w:color="auto" w:fill="CCEEFF"/>
          </w:tcPr>
          <w:p>
            <w:pPr>
              <w:spacing w:after="0"/>
              <w:rPr>
                <w:sz w:val="18"/>
                <w:szCs w:val="18"/>
                <w:color w:val="auto"/>
              </w:rPr>
            </w:pPr>
          </w:p>
        </w:tc>
      </w:tr>
      <w:tr>
        <w:trPr>
          <w:trHeight w:val="229"/>
        </w:trPr>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non-GAAP adjustments (as scheduled above)</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26,169</w:t>
            </w:r>
          </w:p>
        </w:tc>
        <w:tc>
          <w:tcPr>
            <w:tcW w:w="1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19,888</w:t>
            </w:r>
          </w:p>
        </w:tc>
        <w:tc>
          <w:tcPr>
            <w:tcW w:w="200" w:type="dxa"/>
            <w:vAlign w:val="bottom"/>
          </w:tcPr>
          <w:p>
            <w:pPr>
              <w:spacing w:after="0"/>
              <w:rPr>
                <w:sz w:val="19"/>
                <w:szCs w:val="19"/>
                <w:color w:val="auto"/>
              </w:rPr>
            </w:pPr>
          </w:p>
        </w:tc>
      </w:tr>
      <w:tr>
        <w:trPr>
          <w:trHeight w:val="223"/>
        </w:trPr>
        <w:tc>
          <w:tcPr>
            <w:tcW w:w="6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7"/>
        </w:trPr>
        <w:tc>
          <w:tcPr>
            <w:tcW w:w="65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r>
      <w:tr>
        <w:trPr>
          <w:trHeight w:val="209"/>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 GAAP Basis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spacing w:after="0"/>
              <w:rPr>
                <w:sz w:val="18"/>
                <w:szCs w:val="18"/>
                <w:color w:val="auto"/>
              </w:rPr>
            </w:pP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Adjusted EBITDA</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6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 Reconciliation</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 - GAAP basis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198,968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190,869</w:t>
            </w:r>
          </w:p>
        </w:tc>
        <w:tc>
          <w:tcPr>
            <w:tcW w:w="200" w:type="dxa"/>
            <w:vAlign w:val="bottom"/>
          </w:tcPr>
          <w:p>
            <w:pPr>
              <w:spacing w:after="0"/>
              <w:rPr>
                <w:sz w:val="18"/>
                <w:szCs w:val="18"/>
                <w:color w:val="auto"/>
              </w:rPr>
            </w:pPr>
          </w:p>
        </w:tc>
      </w:tr>
      <w:tr>
        <w:trPr>
          <w:trHeight w:val="230"/>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Non-GAAP adjustments to operating expenses (as scheduled above)</w:t>
            </w: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(54,779)</w:t>
            </w:r>
          </w:p>
        </w:tc>
        <w:tc>
          <w:tcPr>
            <w:tcW w:w="16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(48,533)</w:t>
            </w:r>
          </w:p>
        </w:tc>
      </w:tr>
      <w:tr>
        <w:trPr>
          <w:trHeight w:val="223"/>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 - Non-GAAP basis</w:t>
            </w:r>
          </w:p>
        </w:tc>
        <w:tc>
          <w:tcPr>
            <w:tcW w:w="1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144,189</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142,336</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ind w:left="360" w:hanging="281"/>
        <w:spacing w:after="0" w:line="261" w:lineRule="auto"/>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amortization of purchased intangibles of $23,171 and $22,526 for the nine months ending September 27, 2025, and September 28, 2024, respectively.</w:t>
      </w:r>
    </w:p>
    <w:p>
      <w:pPr>
        <w:ind w:left="360" w:hanging="281"/>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amortization of capitalized implementation costs related to cloud-based software arrangements that are included within SG&amp;A.</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2025-10-29T15:19:52Z</dcterms:created>
  <dcterms:modified xsi:type="dcterms:W3CDTF">2025-10-29T15:19:52Z</dcterms:modified>
</cp:coreProperties>
</file>