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FORM 8-K</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CURRENT REPORT</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Pursuant to Section 13 or 15(d) of the Securities Exchange Act of 1934</w:t>
      </w:r>
    </w:p>
    <w:p>
      <w:pPr>
        <w:spacing w:after="0" w:line="176" w:lineRule="exact"/>
        <w:rPr>
          <w:sz w:val="24"/>
          <w:szCs w:val="24"/>
          <w:color w:val="auto"/>
        </w:rPr>
      </w:pPr>
    </w:p>
    <w:p>
      <w:pPr>
        <w:jc w:val="center"/>
        <w:ind w:right="-39"/>
        <w:spacing w:after="0"/>
        <w:tabs>
          <w:tab w:leader="none" w:pos="140" w:val="left"/>
        </w:tabs>
        <w:rPr>
          <w:sz w:val="20"/>
          <w:szCs w:val="20"/>
          <w:color w:val="auto"/>
        </w:rPr>
      </w:pPr>
      <w:r>
        <w:rPr>
          <w:rFonts w:ascii="Times New Roman" w:cs="Times New Roman" w:eastAsia="Times New Roman" w:hAnsi="Times New Roman"/>
          <w:sz w:val="16"/>
          <w:szCs w:val="16"/>
          <w:color w:val="auto"/>
        </w:rPr>
        <w:t>Date of Report (Date of Earliest Event Reported):</w:t>
      </w:r>
      <w:r>
        <w:rPr>
          <w:sz w:val="20"/>
          <w:szCs w:val="20"/>
          <w:color w:val="auto"/>
        </w:rPr>
        <w:tab/>
      </w:r>
      <w:r>
        <w:rPr>
          <w:rFonts w:ascii="Times New Roman" w:cs="Times New Roman" w:eastAsia="Times New Roman" w:hAnsi="Times New Roman"/>
          <w:sz w:val="14"/>
          <w:szCs w:val="14"/>
          <w:color w:val="auto"/>
        </w:rPr>
        <w:t>September 24, 2025</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173355</wp:posOffset>
            </wp:positionV>
            <wp:extent cx="16770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3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360" w:type="dxa"/>
            <w:vAlign w:val="bottom"/>
          </w:tcPr>
          <w:p>
            <w:pPr>
              <w:spacing w:after="0"/>
              <w:rPr>
                <w:sz w:val="17"/>
                <w:szCs w:val="17"/>
                <w:color w:val="auto"/>
              </w:rPr>
            </w:pPr>
          </w:p>
        </w:tc>
      </w:tr>
      <w:tr>
        <w:trPr>
          <w:trHeight w:val="350"/>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Delaware</w:t>
            </w:r>
          </w:p>
        </w:tc>
        <w:tc>
          <w:tcPr>
            <w:tcW w:w="3160" w:type="dxa"/>
            <w:vAlign w:val="bottom"/>
            <w:gridSpan w:val="2"/>
          </w:tcPr>
          <w:p>
            <w:pPr>
              <w:jc w:val="center"/>
              <w:ind w:left="442"/>
              <w:spacing w:after="0"/>
              <w:rPr>
                <w:sz w:val="20"/>
                <w:szCs w:val="20"/>
                <w:color w:val="auto"/>
              </w:rPr>
            </w:pPr>
            <w:r>
              <w:rPr>
                <w:rFonts w:ascii="Times New Roman" w:cs="Times New Roman" w:eastAsia="Times New Roman" w:hAnsi="Times New Roman"/>
                <w:sz w:val="16"/>
                <w:szCs w:val="16"/>
                <w:color w:val="auto"/>
                <w:w w:val="98"/>
              </w:rPr>
              <w:t>001-04298</w:t>
            </w:r>
          </w:p>
        </w:tc>
        <w:tc>
          <w:tcPr>
            <w:tcW w:w="540" w:type="dxa"/>
            <w:vAlign w:val="bottom"/>
          </w:tcPr>
          <w:p>
            <w:pPr>
              <w:spacing w:after="0"/>
              <w:rPr>
                <w:sz w:val="24"/>
                <w:szCs w:val="24"/>
                <w:color w:val="auto"/>
              </w:rPr>
            </w:pPr>
          </w:p>
        </w:tc>
        <w:tc>
          <w:tcPr>
            <w:tcW w:w="3360" w:type="dxa"/>
            <w:vAlign w:val="bottom"/>
          </w:tcPr>
          <w:p>
            <w:pPr>
              <w:jc w:val="right"/>
              <w:ind w:right="1222"/>
              <w:spacing w:after="0"/>
              <w:rPr>
                <w:sz w:val="20"/>
                <w:szCs w:val="20"/>
                <w:color w:val="auto"/>
              </w:rPr>
            </w:pPr>
            <w:r>
              <w:rPr>
                <w:rFonts w:ascii="Times New Roman" w:cs="Times New Roman" w:eastAsia="Times New Roman" w:hAnsi="Times New Roman"/>
                <w:sz w:val="16"/>
                <w:szCs w:val="16"/>
                <w:color w:val="auto"/>
              </w:rPr>
              <w:t>95-1934119</w:t>
            </w:r>
          </w:p>
        </w:tc>
      </w:tr>
      <w:tr>
        <w:trPr>
          <w:trHeight w:val="159"/>
        </w:trPr>
        <w:tc>
          <w:tcPr>
            <w:tcW w:w="35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(State or other jurisdiction</w:t>
            </w:r>
          </w:p>
        </w:tc>
        <w:tc>
          <w:tcPr>
            <w:tcW w:w="520" w:type="dxa"/>
            <w:vAlign w:val="bottom"/>
          </w:tcPr>
          <w:p>
            <w:pPr>
              <w:spacing w:after="0"/>
              <w:rPr>
                <w:sz w:val="13"/>
                <w:szCs w:val="13"/>
                <w:color w:val="auto"/>
              </w:rPr>
            </w:pPr>
          </w:p>
        </w:tc>
        <w:tc>
          <w:tcPr>
            <w:tcW w:w="26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(Commission</w:t>
            </w:r>
          </w:p>
        </w:tc>
        <w:tc>
          <w:tcPr>
            <w:tcW w:w="540" w:type="dxa"/>
            <w:vAlign w:val="bottom"/>
          </w:tcPr>
          <w:p>
            <w:pPr>
              <w:spacing w:after="0"/>
              <w:rPr>
                <w:sz w:val="13"/>
                <w:szCs w:val="13"/>
                <w:color w:val="auto"/>
              </w:rPr>
            </w:pPr>
          </w:p>
        </w:tc>
        <w:tc>
          <w:tcPr>
            <w:tcW w:w="336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w w:val="96"/>
              </w:rPr>
              <w:t>(I.R.S. Employer</w:t>
            </w:r>
          </w:p>
        </w:tc>
      </w:tr>
      <w:tr>
        <w:trPr>
          <w:trHeight w:val="203"/>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of incorporation)</w:t>
            </w:r>
          </w:p>
        </w:tc>
        <w:tc>
          <w:tcPr>
            <w:tcW w:w="520" w:type="dxa"/>
            <w:vAlign w:val="bottom"/>
          </w:tcPr>
          <w:p>
            <w:pPr>
              <w:spacing w:after="0"/>
              <w:rPr>
                <w:sz w:val="17"/>
                <w:szCs w:val="17"/>
                <w:color w:val="auto"/>
              </w:rPr>
            </w:pPr>
          </w:p>
        </w:tc>
        <w:tc>
          <w:tcPr>
            <w:tcW w:w="31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w w:val="99"/>
              </w:rPr>
              <w:t>File Number)</w:t>
            </w: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35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12367 Crosthwaite Circle, Poway, California</w:t>
            </w:r>
          </w:p>
        </w:tc>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Borders>
              <w:bottom w:val="single" w:sz="8" w:color="auto"/>
            </w:tcBorders>
          </w:tcPr>
          <w:p>
            <w:pPr>
              <w:jc w:val="right"/>
              <w:ind w:right="1402"/>
              <w:spacing w:after="0"/>
              <w:rPr>
                <w:sz w:val="20"/>
                <w:szCs w:val="20"/>
                <w:color w:val="auto"/>
              </w:rPr>
            </w:pPr>
            <w:r>
              <w:rPr>
                <w:rFonts w:ascii="Times New Roman" w:cs="Times New Roman" w:eastAsia="Times New Roman" w:hAnsi="Times New Roman"/>
                <w:sz w:val="16"/>
                <w:szCs w:val="16"/>
                <w:color w:val="auto"/>
              </w:rPr>
              <w:t>92064</w:t>
            </w:r>
          </w:p>
        </w:tc>
      </w:tr>
      <w:tr>
        <w:trPr>
          <w:trHeight w:val="195"/>
        </w:trPr>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  858-848-8100</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2519045</wp:posOffset>
            </wp:positionH>
            <wp:positionV relativeFrom="paragraph">
              <wp:posOffset>150495</wp:posOffset>
            </wp:positionV>
            <wp:extent cx="1677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180" w:hanging="174"/>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 w:lineRule="exact"/>
        <w:rPr>
          <w:rFonts w:ascii="MS PGothic" w:cs="MS PGothic" w:eastAsia="MS PGothic" w:hAnsi="MS PGothic"/>
          <w:sz w:val="16"/>
          <w:szCs w:val="16"/>
          <w:color w:val="auto"/>
        </w:rPr>
      </w:pPr>
    </w:p>
    <w:p>
      <w:pPr>
        <w:ind w:left="180" w:hanging="174"/>
        <w:spacing w:after="0" w:line="234" w:lineRule="auto"/>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ind w:left="180" w:hanging="174"/>
        <w:spacing w:after="0" w:line="234" w:lineRule="auto"/>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ind w:left="180" w:hanging="174"/>
        <w:spacing w:after="0"/>
        <w:tabs>
          <w:tab w:leader="none" w:pos="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940" w:type="dxa"/>
            <w:vAlign w:val="bottom"/>
            <w:gridSpan w:val="3"/>
          </w:tcPr>
          <w:p>
            <w:pPr>
              <w:jc w:val="right"/>
              <w:ind w:right="262"/>
              <w:spacing w:after="0"/>
              <w:rPr>
                <w:sz w:val="20"/>
                <w:szCs w:val="20"/>
                <w:color w:val="auto"/>
              </w:rPr>
            </w:pPr>
            <w:r>
              <w:rPr>
                <w:rFonts w:ascii="Times New Roman" w:cs="Times New Roman" w:eastAsia="Times New Roman" w:hAnsi="Times New Roman"/>
                <w:sz w:val="16"/>
                <w:szCs w:val="16"/>
                <w:color w:val="auto"/>
                <w:w w:val="97"/>
              </w:rPr>
              <w:t>Securities registered pursuant to Section 12(b) of the Act: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300" w:type="dxa"/>
            <w:vAlign w:val="bottom"/>
          </w:tcPr>
          <w:p>
            <w:pPr>
              <w:spacing w:after="0"/>
              <w:rPr>
                <w:sz w:val="24"/>
                <w:szCs w:val="24"/>
                <w:color w:val="auto"/>
              </w:rPr>
            </w:pPr>
          </w:p>
        </w:tc>
        <w:tc>
          <w:tcPr>
            <w:tcW w:w="2640" w:type="dxa"/>
            <w:vAlign w:val="bottom"/>
            <w:gridSpan w:val="2"/>
          </w:tcPr>
          <w:p>
            <w:pPr>
              <w:jc w:val="right"/>
              <w:ind w:right="1382"/>
              <w:spacing w:after="0"/>
              <w:rPr>
                <w:sz w:val="20"/>
                <w:szCs w:val="20"/>
                <w:color w:val="auto"/>
              </w:rPr>
            </w:pPr>
            <w:r>
              <w:rPr>
                <w:rFonts w:ascii="Times New Roman" w:cs="Times New Roman" w:eastAsia="Times New Roman" w:hAnsi="Times New Roman"/>
                <w:sz w:val="16"/>
                <w:szCs w:val="16"/>
                <w:color w:val="auto"/>
                <w:w w:val="94"/>
              </w:rPr>
              <w:t>Title of Each Class</w:t>
            </w:r>
          </w:p>
        </w:tc>
        <w:tc>
          <w:tcPr>
            <w:tcW w:w="312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color w:val="auto"/>
                <w:w w:val="97"/>
              </w:rPr>
              <w:t>Trading Symbol(s)</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Name of exchange on which registered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vMerge w:val="restart"/>
          </w:tcPr>
          <w:p>
            <w:pPr>
              <w:jc w:val="right"/>
              <w:ind w:right="962"/>
              <w:spacing w:after="0"/>
              <w:rPr>
                <w:sz w:val="20"/>
                <w:szCs w:val="20"/>
                <w:color w:val="auto"/>
              </w:rPr>
            </w:pPr>
            <w:r>
              <w:rPr>
                <w:rFonts w:ascii="Times New Roman" w:cs="Times New Roman" w:eastAsia="Times New Roman" w:hAnsi="Times New Roman"/>
                <w:sz w:val="16"/>
                <w:szCs w:val="16"/>
                <w:color w:val="auto"/>
              </w:rPr>
              <w:t>value</w:t>
            </w: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Common Stock, $1.00 par</w:t>
            </w:r>
          </w:p>
        </w:tc>
        <w:tc>
          <w:tcPr>
            <w:tcW w:w="1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color w:val="auto"/>
                <w:w w:val="96"/>
              </w:rPr>
              <w:t>COHU</w:t>
            </w:r>
          </w:p>
        </w:tc>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7"/>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42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4" w:lineRule="exact"/>
        <w:rPr>
          <w:sz w:val="24"/>
          <w:szCs w:val="24"/>
          <w:color w:val="auto"/>
        </w:rPr>
      </w:pPr>
    </w:p>
    <w:p>
      <w:pPr>
        <w:ind w:right="280"/>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302895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37" w:right="68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1.50% Convertible Senior Notes due 2031</w:t>
      </w:r>
    </w:p>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On September 29, 2025, Cohu, Inc. (the “Company”) issued $287.5 million aggregate principal amount of 1.50% Convertible Senior Notes due 2031 (the “Notes”). The Notes issued on September 29, 2025 include the full exercise by the initial purchasers on September 25, 2025 of their option to purchase an additional $27.5 million aggregate principal amount of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Proceeds</w:t>
      </w:r>
    </w:p>
    <w:p>
      <w:pPr>
        <w:spacing w:after="0" w:line="180"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Company’s net proceeds from this offering were approximately $278.9 million, after deducting the initial purchasers’ discounts and commissions but before estimated offering expenses. The Company used approximately $28.4 million of the net proceeds from the offering to pay the cost of the capped call transactions (as described below). The Company intends to use the remaining net proceeds for general corporate purposes.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Indenture</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The Company issued the Notes pursuant to an indenture (the “Indenture”), dated as of September 29, 2025, between the Company and U.S. Bank Trust Company, National Association, as trustee (the “Trustee”).</w:t>
      </w:r>
    </w:p>
    <w:p>
      <w:pPr>
        <w:spacing w:after="0" w:line="14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The Notes will mature on January 15, 2031, unless earlier converted, redeemed or repurchased. Interest on the Notes will accrue at a rate of 1.50% per year and will be payable semiannually in arrears on January 15 and July 15 of each year, beginning on January 15, 2026. 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of the Company’s subsidiaries.</w:t>
      </w:r>
    </w:p>
    <w:p>
      <w:pPr>
        <w:spacing w:after="0" w:line="161"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the Company will satisfy its conversion obligations by paying cash up to the aggregate principal amount of the Notes to be converted and paying and/or delivering, as the case may be, cash, shares of its common stock or a combination of cash and shares of its common stock, at its election, in respect of the remainder, if any, of its conversion obligation in excess of the aggregate principal amount of the Notes being converted. The initial conversion rate for the Notes is 36.7975 shares of common stock per $1,000 principal amount of Notes (equivalent to an initial conversion price of approximately $ 27.1758 per share of common stock), which represents an approximately 32.50% conversion premium over the reference price of $20.51 per share of the Company’s common stock, which was the last reported sale price of the Company’s common stock on September 24, 2025 (the “Reference Price”). The conversion rate (and accordingly the conversion price) is subject to adjustment upon the occurrence of certain events. In addition, upon certain corporate events or upon a notice of redemption (as described below), the Company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160"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The Notes will not be redeemable before January 22, 2029. The Notes will be redeemable, in whole or in part, for cash at the Company’s option at any time, and from time to time, on or after January 22, 2029 and prior to the 51st scheduled trading day immediately preceding the maturity date, if (1) the Notes are “freely tradable” (as defined in the Indenture), and certain accrued and unpaid additional interest, if any, has been paid in full, as of the first interest payment date occurring on or before the date the Company sends such notice and (2) the last reported sale price per share of the Company’s common stock has been at least 130% of the conversion price for a specified period of time. The redemption price will be equal to 100% of the principal amount of the Notes to be redeemed, plus accrued and unpaid interest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 w:name="page3"/>
    <w:bookmarkEnd w:id="2"/>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If a Fundamental Change (as defined in the Indenture) occurs, then, subject to certain conditions, noteholders may require the Company to repurchase all or any portion of their Notes for cash. The repurchase price will be equal to 100% of the principal amount of the Notes to be repurchased, plus accrued and unpaid interest to, but excluding, the applicable repurchase date. The definition of Fundamental Change includes certain business combination transactions involving the Company and certain de-listing events with respect to the common stock.</w:t>
      </w:r>
    </w:p>
    <w:p>
      <w:pPr>
        <w:spacing w:after="0" w:line="155"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The Indenture contains customary provisions relating to the occurrence of “Events of Default” (as defined in the Indenture), which include the following: (i) certain payment defaults on the Notes; (ii) the Company’s failure to send certain notices under the Indenture within specified periods of time; (iii) the Company’s failure to comply with certain covenants in the Indenture relating to the Company’s ability to consolidate with, merge with or into, or sell, convey, transfer or lease all or substantially all of the consolidated properties and assets of the Company and its subsidiaries, taken as a whole, to another person; (iv) a default by the Company in its other agreements under the Indenture or the Notes if such default is not cured or waived within 60 days after notice is given in accordance with the Indenture; (v) certain defaults by the Company or any of its significant subsidiaries with respect to indebtedness for money borrowed in excess of $50,000,000; and (vi) certain events of bankruptcy, insolvency and reorganization involving the Company or any of its significant subsidiaries.</w:t>
      </w:r>
    </w:p>
    <w:p>
      <w:pPr>
        <w:spacing w:after="0" w:line="158"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4"/>
          <w:szCs w:val="14"/>
          <w:color w:val="auto"/>
        </w:rPr>
        <w:t>If an Event of Default involving bankruptcy, insolvency or reorganization with respect to the Company (and not solely with respect to a significant subsidiary of the Company) occurs, then 100% the principal amount of, and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aggregate principal amount of the Notes then outstanding, by notice to the Company and the Trustee, may declare 100% of the principal of, and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additional interest on the Notes during the first 180 days after the occurrence of such Event of Default at a rate per annum equal to 0.25% on the principal amount of the Notes and, thereafter, at a rate per annum equal to 0.50% on the principal amount of the Notes.</w:t>
      </w:r>
    </w:p>
    <w:p>
      <w:pPr>
        <w:spacing w:after="0" w:line="134"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above description of the Indenture and the Notes is a summary and is not complete. A copy of the Indenture and the form of the Notes are filed as exhibits 4.1 and 4.2, respectively, to this Current Report on Form 8-K, and the above summary is qualified by reference to the terms of the Indenture and the Notes set forth in such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Capped Call Transactions</w:t>
      </w:r>
    </w:p>
    <w:p>
      <w:pPr>
        <w:spacing w:after="0" w:line="180"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4"/>
          <w:szCs w:val="14"/>
          <w:color w:val="auto"/>
        </w:rPr>
        <w:t>On September 24, 2025, in connection with the pricing of the Notes, the Company entered into privately negotiated capped call transactions (the “Base Capped Call Transactions”) with an affiliate of one or more of the initial purchasers and certain other financial institutions (the “Option Counterparties”). In addition, on September 25, 2025, in connection with the initial purchasers’ exercise in full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are generally expected to reduce the potential dilution to the Company’s common stock upon any conversion of the Notes and/or offset any potential cash payments the Company is required to make in excess of the principal amount of converted Notes, as the case may be, with such reduction and/or offset subject to a cap. The cap price of the capped call transactions is initially approximately $ 41.02 per share of the Company’s common stock, representing a premium of approximately 100% above the Reference Price, and is subject to certain adjustments under the terms of the capped call transactions.</w:t>
      </w:r>
    </w:p>
    <w:p>
      <w:pPr>
        <w:spacing w:after="0" w:line="134"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The Capped Call Transactions are separate transactions entered into by the Company with the Option Counterparties, are not part of the terms of the Notes and will not change the noteholders’ rights. Noteholders will not have any rights with respect to the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3" w:name="page4"/>
    <w:bookmarkEnd w:id="3"/>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The description of the Capped Call Transactions above is qualified in its entirety by reference to the full text of the form of the capped call confirmation relating to the Capped Call Transactions, which is filed as Exhibit 10.1 to this Current Report on Form 8-K and is incorporated by reference into this Item 1.01.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2.03 Creation of a Direct Financial Obligation or an Obligation under an Off-Balance Sheet Arrangement.</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disclosure set forth in Item 1.01 above is incorporated by reference into this Item 2.03.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78"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reasonably believed to be “qualified institutional buyers,” as defined in, and in accordance with, Rule 144A under the Securities Act. Any shares of common stock that may be issued upon conversion of the Notes will be issued in reliance upon Section 3(a)(9) of the Securities Act as involving an exchange by the Company with its security holders where no commission or other remuneration is expected to be paid in connection with conversion of the Notes and any resulting issuance of shares of common stock. Initially, a maximum of 14,017,552 shares of the Company’s common stock may be issued upon conversion of the Notes, based on the initial maximum conversion rate of 36.7975 shares of common stock per $1,000 principal amount of Notes, which is subject to customary anti-dilution adjustment provisions.</w:t>
      </w:r>
    </w:p>
    <w:p>
      <w:pPr>
        <w:spacing w:after="0" w:line="161"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Neither the Notes nor the underlying common stock (if conversions of the Notes are settled through delivery of common stock) have been registered under the Securities Act or may be offered or sold in the United States absent registration or an applicable exemption from registration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78"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On September 29, 2025, the Company issued a press release announcing the closing of the Notes offering. A copy of the press release is furnished hereto as Exhibit 99.2 to this Current Report on Form 8-K.</w:t>
      </w:r>
    </w:p>
    <w:p>
      <w:pPr>
        <w:spacing w:after="0" w:line="143"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information in this Item 7.01, including Exhibit 99.2, is being furnished and shall not be deemed to be “filed” for purposes of Section 18 of the Securities Exchange Act of 1934, as amended (the “Exchange Act’), or otherwise subject to the liabilities of that section, nor shall it be deemed to be incorporated by reference into any filing under the Securities Act or the Exchange Act, except to the extent expressly set forth by specific reference in such filings.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78" w:lineRule="exact"/>
        <w:rPr>
          <w:sz w:val="20"/>
          <w:szCs w:val="20"/>
          <w:color w:val="auto"/>
        </w:rPr>
      </w:pPr>
    </w:p>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On September 24, 2025, the Company issued a press release announcing the pricing of the Notes. A copy of the press release is attached hereto as Exhibit 99.1 to this Current Report on Form 8-K and incorporated herein by reference.</w:t>
      </w:r>
    </w:p>
    <w:p>
      <w:pPr>
        <w:spacing w:after="0" w:line="143"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Neither this Current Report on Form 8-K nor the press release constitutes an offer to sell, or the solicitation of an offer to buy, the Notes or any shares of common stock issuable upon conversion of the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Exhibit  Description</w:t>
      </w:r>
    </w:p>
    <w:p>
      <w:pPr>
        <w:spacing w:after="0" w:line="10" w:lineRule="exact"/>
        <w:rPr>
          <w:sz w:val="20"/>
          <w:szCs w:val="20"/>
          <w:color w:val="auto"/>
        </w:rPr>
      </w:pP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4.1</w:t>
      </w:r>
      <w:r>
        <w:rPr>
          <w:sz w:val="20"/>
          <w:szCs w:val="20"/>
          <w:color w:val="auto"/>
        </w:rPr>
        <w:tab/>
      </w:r>
      <w:hyperlink w:anchor="page1">
        <w:r>
          <w:rPr>
            <w:rFonts w:ascii="Times New Roman" w:cs="Times New Roman" w:eastAsia="Times New Roman" w:hAnsi="Times New Roman"/>
            <w:sz w:val="14"/>
            <w:szCs w:val="14"/>
            <w:u w:val="single" w:color="auto"/>
            <w:color w:val="0000EE"/>
          </w:rPr>
          <w:t>Indenture, dated as of September 29, 2025, between Cohu, Inc. and U.S. Bank Trust Company, National Association, as Truste</w:t>
        </w:r>
      </w:hyperlink>
      <w:r>
        <w:rPr>
          <w:rFonts w:ascii="Times New Roman" w:cs="Times New Roman" w:eastAsia="Times New Roman" w:hAnsi="Times New Roman"/>
          <w:sz w:val="14"/>
          <w:szCs w:val="14"/>
          <w:color w:val="0000EE"/>
        </w:rPr>
        <w:t>e</w:t>
      </w: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4.2</w:t>
      </w:r>
      <w:r>
        <w:rPr>
          <w:sz w:val="20"/>
          <w:szCs w:val="20"/>
          <w:color w:val="auto"/>
        </w:rPr>
        <w:tab/>
      </w:r>
      <w:hyperlink w:anchor="page1">
        <w:r>
          <w:rPr>
            <w:rFonts w:ascii="Times New Roman" w:cs="Times New Roman" w:eastAsia="Times New Roman" w:hAnsi="Times New Roman"/>
            <w:sz w:val="14"/>
            <w:szCs w:val="14"/>
            <w:u w:val="single" w:color="auto"/>
            <w:color w:val="0000EE"/>
          </w:rPr>
          <w:t>Form of 1.5% Convertible Senior Notes due 2031 (included as Exhibit A to Exhibit 4.1</w:t>
        </w:r>
      </w:hyperlink>
      <w:r>
        <w:rPr>
          <w:rFonts w:ascii="Times New Roman" w:cs="Times New Roman" w:eastAsia="Times New Roman" w:hAnsi="Times New Roman"/>
          <w:sz w:val="14"/>
          <w:szCs w:val="14"/>
          <w:color w:val="0000EE"/>
        </w:rPr>
        <w:t>)</w:t>
      </w:r>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10.1</w:t>
      </w:r>
      <w:r>
        <w:rPr>
          <w:sz w:val="20"/>
          <w:szCs w:val="20"/>
          <w:color w:val="auto"/>
        </w:rPr>
        <w:tab/>
      </w:r>
      <w:hyperlink w:anchor="page1">
        <w:r>
          <w:rPr>
            <w:rFonts w:ascii="Times New Roman" w:cs="Times New Roman" w:eastAsia="Times New Roman" w:hAnsi="Times New Roman"/>
            <w:sz w:val="14"/>
            <w:szCs w:val="14"/>
            <w:u w:val="single" w:color="auto"/>
            <w:color w:val="0000EE"/>
          </w:rPr>
          <w:t>Form of Capped Call Confirmation</w:t>
        </w:r>
      </w:hyperlink>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99.1</w:t>
      </w:r>
      <w:r>
        <w:rPr>
          <w:sz w:val="20"/>
          <w:szCs w:val="20"/>
          <w:color w:val="auto"/>
        </w:rPr>
        <w:tab/>
      </w:r>
      <w:hyperlink w:anchor="page1">
        <w:r>
          <w:rPr>
            <w:rFonts w:ascii="Times New Roman" w:cs="Times New Roman" w:eastAsia="Times New Roman" w:hAnsi="Times New Roman"/>
            <w:sz w:val="14"/>
            <w:szCs w:val="14"/>
            <w:u w:val="single" w:color="auto"/>
            <w:color w:val="0000EE"/>
          </w:rPr>
          <w:t>Press Release of Cohu, Inc., dated September 24, 2025</w:t>
        </w:r>
      </w:hyperlink>
    </w:p>
    <w:p>
      <w:pPr>
        <w:spacing w:after="0"/>
        <w:tabs>
          <w:tab w:leader="none" w:pos="5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99.2</w:t>
      </w:r>
      <w:r>
        <w:rPr>
          <w:sz w:val="20"/>
          <w:szCs w:val="20"/>
          <w:color w:val="auto"/>
        </w:rPr>
        <w:tab/>
      </w:r>
      <w:hyperlink w:anchor="page1">
        <w:r>
          <w:rPr>
            <w:rFonts w:ascii="Times New Roman" w:cs="Times New Roman" w:eastAsia="Times New Roman" w:hAnsi="Times New Roman"/>
            <w:sz w:val="14"/>
            <w:szCs w:val="14"/>
            <w:u w:val="single" w:color="auto"/>
            <w:color w:val="0000EE"/>
          </w:rPr>
          <w:t>Press Release of Cohu, Inc., dated September 29, 2025</w:t>
        </w:r>
      </w:hyperlink>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808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Cohu, Inc.</w:t>
            </w:r>
          </w:p>
        </w:tc>
      </w:tr>
      <w:tr>
        <w:trPr>
          <w:trHeight w:val="35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September 29, 2025</w:t>
            </w:r>
          </w:p>
        </w:tc>
        <w:tc>
          <w:tcPr>
            <w:tcW w:w="80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By:  /s/ Jeffrey D. Jones</w:t>
            </w:r>
          </w:p>
        </w:tc>
      </w:tr>
      <w:tr>
        <w:trPr>
          <w:trHeight w:val="159"/>
        </w:trPr>
        <w:tc>
          <w:tcPr>
            <w:tcW w:w="2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42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Name: Jeffrey D. Jones</w:t>
            </w:r>
          </w:p>
        </w:tc>
      </w:tr>
      <w:tr>
        <w:trPr>
          <w:trHeight w:val="203"/>
        </w:trPr>
        <w:tc>
          <w:tcPr>
            <w:tcW w:w="2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Title: Senior VP Finance and Chief Financial Officer</w:t>
            </w:r>
          </w:p>
        </w:tc>
      </w:tr>
    </w:tbl>
    <w:p>
      <w:pPr>
        <w:sectPr>
          <w:pgSz w:w="11900" w:h="16840" w:orient="portrait"/>
          <w:cols w:equalWidth="0" w:num="1">
            <w:col w:w="10560"/>
          </w:cols>
          <w:pgMar w:left="660" w:top="963" w:right="68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1066800</wp:posOffset>
            </wp:positionV>
            <wp:extent cx="670750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2286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1120140</wp:posOffset>
            </wp:positionV>
            <wp:extent cx="67075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color w:val="auto"/>
        </w:rPr>
        <w:t>COHU, INC.,</w:t>
      </w:r>
    </w:p>
    <w:p>
      <w:pPr>
        <w:spacing w:after="0" w:line="1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as Issuer</w:t>
      </w:r>
    </w:p>
    <w:p>
      <w:pPr>
        <w:spacing w:after="0" w:line="200" w:lineRule="exact"/>
        <w:rPr>
          <w:sz w:val="20"/>
          <w:szCs w:val="20"/>
          <w:color w:val="auto"/>
        </w:rPr>
      </w:pPr>
    </w:p>
    <w:p>
      <w:pPr>
        <w:spacing w:after="0" w:line="3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AND</w:t>
      </w:r>
    </w:p>
    <w:p>
      <w:pPr>
        <w:spacing w:after="0" w:line="35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as Trustee</w:t>
      </w:r>
    </w:p>
    <w:p>
      <w:pPr>
        <w:spacing w:after="0" w:line="200" w:lineRule="exact"/>
        <w:rPr>
          <w:sz w:val="20"/>
          <w:szCs w:val="20"/>
          <w:color w:val="auto"/>
        </w:rPr>
      </w:pPr>
    </w:p>
    <w:p>
      <w:pPr>
        <w:spacing w:after="0" w:line="3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INDENTURE</w:t>
      </w:r>
    </w:p>
    <w:p>
      <w:pPr>
        <w:spacing w:after="0" w:line="200" w:lineRule="exact"/>
        <w:rPr>
          <w:sz w:val="20"/>
          <w:szCs w:val="20"/>
          <w:color w:val="auto"/>
        </w:rPr>
      </w:pPr>
    </w:p>
    <w:p>
      <w:pPr>
        <w:spacing w:after="0" w:line="33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color w:val="auto"/>
        </w:rPr>
        <w:t>Dated as of September 29, 2025</w:t>
      </w:r>
    </w:p>
    <w:p>
      <w:pPr>
        <w:spacing w:after="0" w:line="17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6"/>
          <w:szCs w:val="16"/>
          <w:color w:val="auto"/>
        </w:rPr>
        <w:t>1.50%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264795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302895</wp:posOffset>
            </wp:positionV>
            <wp:extent cx="670750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2286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676275</wp:posOffset>
            </wp:positionV>
            <wp:extent cx="67075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555" w:right="66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0" w:type="dxa"/>
            <w:vAlign w:val="bottom"/>
          </w:tcPr>
          <w:p>
            <w:pPr>
              <w:ind w:left="36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8440" w:type="dxa"/>
            <w:vAlign w:val="bottom"/>
            <w:gridSpan w:val="2"/>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1 Definitions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1.01.</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Definitions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1.02.</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References to Interest</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40" w:type="dxa"/>
            <w:vAlign w:val="bottom"/>
            <w:gridSpan w:val="2"/>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4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2 Issue, Description, Execution, Registration and Exchange of Notes</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2.01.</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Designation and Amount</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2.02.</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Form of Notes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2.03.</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Date and Denomination of Notes; Payments of Interest and Defaulted Amounts</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2.04.</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Execution, Authentication and Delivery of Notes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2.05.</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Exchange and Registration of Transfer of Notes; Restrictions on Transfer; Depositary</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2.06.</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Mutilated, Destroyed, Lost or Stolen Notes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2.07.</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Temporary Notes</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2.08.</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Cancellation of Notes Paid, Converted, Etc</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2.09.</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CUSIP Numbers</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2.10.</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Additional Notes; Repurchases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40" w:type="dxa"/>
            <w:vAlign w:val="bottom"/>
            <w:gridSpan w:val="2"/>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3 Satisfaction and Discharge</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3.01.</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Satisfaction and Discharge</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40" w:type="dxa"/>
            <w:vAlign w:val="bottom"/>
            <w:gridSpan w:val="2"/>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4 Particular Covenants of the Company</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4.01.</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Payment of Principal and Interest</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4.02.</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Maintenance of Office or Agency</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4.03.</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Appointments to Fill Vacancies in Trustee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Office</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4.04.</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Provisions as to Paying Agent</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4.05.</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Existence</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4.06.</w:t>
            </w:r>
          </w:p>
        </w:tc>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Rule 144A Information Requirement and Annual Reports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4.07.</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Stay, Extension and Usury Laws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4.08.</w:t>
            </w:r>
          </w:p>
        </w:tc>
        <w:tc>
          <w:tcPr>
            <w:tcW w:w="7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Compliance Certificate; Statements as to Defaults</w:t>
            </w:r>
          </w:p>
        </w:tc>
        <w:tc>
          <w:tcPr>
            <w:tcW w:w="2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4.09.</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Further Instruments and Acts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440" w:type="dxa"/>
            <w:vAlign w:val="bottom"/>
            <w:gridSpan w:val="2"/>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4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5 Lists of Holders and Reports by the Company and the Trustee</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5.01.</w:t>
            </w:r>
          </w:p>
        </w:tc>
        <w:tc>
          <w:tcPr>
            <w:tcW w:w="740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Lists of Holders</w:t>
            </w:r>
          </w:p>
        </w:tc>
        <w:tc>
          <w:tcPr>
            <w:tcW w:w="2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Preservation and Disclosure of Lists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3" w:right="68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6 Defaults and Remedies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6.01.</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Events of Default</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6.02.</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Acceleration; Rescission and Annulment</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6.03.</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Additional Interest</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6.04.</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Payments of Notes on Default; Suit Therefor</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6.05.</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Application of Monies Collected by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6.06.</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Proceedings by Holders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6.07.</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Proceedings by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6.08.</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Remedies Cumulative and Continuing</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6.09.</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Direction of Proceedings and Waiver of Defaults by Majority of Holders</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6.10.</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Notice of Defaults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6.11.</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Undertaking to Pay Costs</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000" w:type="dxa"/>
            <w:vAlign w:val="bottom"/>
            <w:gridSpan w:val="2"/>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0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7 Concerning the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7.01.</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Duties and Responsibilities of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7.02.</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Reliance on Documents, Opinions, Etc</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7.03.</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No Responsibility for Recitals, Etc</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7.04.</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Trustee, Paying Agents, Conversion Agents, Bid Solicitation Agent or Note Registrar May Own Notes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7.05.</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Monies and Shares of Common Stock to Be Held in Trust</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7.06.</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Compensation and Expenses of Trustee</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7.07.</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Certificate as Evidence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7.08.</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Eligibility of Trustee</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7.09.</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Resignation or Removal of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7.10.</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Acceptance by Successor Trustee</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7.11.</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Succession by Merger, Etc</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7.12.</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Application for Instructions from the Company</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9000" w:type="dxa"/>
            <w:vAlign w:val="bottom"/>
            <w:gridSpan w:val="2"/>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0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8 Concerning the Holders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9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8.01.</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Action by Holders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8.02.</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Proof of Execution by Holders</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8.03.</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Who Are Deemed Absolute Owners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8.04.</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Company-Owned Notes Disregarded</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8.05.</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Revocation of Consents; Future Holders Bound</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000" w:type="dxa"/>
            <w:vAlign w:val="bottom"/>
            <w:gridSpan w:val="2"/>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0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9 Holders’ Meetings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9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9.01.</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Purpose of Meetings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9.02.</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Call of Meetings by Trustee</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9.03.</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Call of Meetings by Company or Holders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9.04.</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Qualifications for Voting</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9.05.</w:t>
            </w:r>
          </w:p>
        </w:tc>
        <w:tc>
          <w:tcPr>
            <w:tcW w:w="796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Regulations</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9.06.</w:t>
            </w:r>
          </w:p>
        </w:tc>
        <w:tc>
          <w:tcPr>
            <w:tcW w:w="79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rPr>
              <w:t>Voting</w:t>
            </w:r>
          </w:p>
        </w:tc>
        <w:tc>
          <w:tcPr>
            <w:tcW w:w="15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9.07.</w:t>
            </w:r>
          </w:p>
        </w:tc>
        <w:tc>
          <w:tcPr>
            <w:tcW w:w="7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No Delay of Rights by Meeting</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74"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10 Supplemental Indentures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10.01.</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Supplemental Indentures Without Consent of Holders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10.02.</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Supplemental Indentures with Consent of Holders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10.03.</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Effect of Supplemental Indentures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10.04.</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Notation on Notes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10.05.</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Evidence of Compliance of Supplemental Indenture to Be Furnished to Trustee</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1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11 Consolidation, Merger, Sale, Conveyance and Lease of the Company</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11.01.</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Company May Consolidate, Etc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on Certain Terms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11.02.</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Successor Corporation to Be Substituted</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18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12 Immunity of Incorporators, Stockholders, Officers and Directors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12.01.</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Indenture and Notes Solely Corporate Obligations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18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13 [Intentionally Omitted]</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18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14 Conversion of Notes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14.01.</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Conversion Privilege</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14.02.</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Conversion Procedure; Settlement Upon Conversion</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Section 14.03.</w:t>
            </w:r>
          </w:p>
        </w:tc>
        <w:tc>
          <w:tcPr>
            <w:tcW w:w="910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i w:val="1"/>
                <w:iCs w:val="1"/>
                <w:color w:val="auto"/>
                <w:w w:val="99"/>
              </w:rPr>
              <w:t>Increased Conversion Rate Applicable to Certain Notes Surrendered in Connection with Make-Whole Fundamental Changes or a Notice of</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14.04.</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Adjustment of Conversion Rate</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14.05.</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Adjustments of Prices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14.06.</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Shares to Be Fully Paid</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14.07.</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Effect of Recapitalizations, Reclassifications and Changes of the Common Stock</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14.08.</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Certain Covenants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14.09.</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Responsibility of Trustee</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14.10.</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Notice to Holders Prior to Certain Actions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14.11.</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Stockholder Rights Plans</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14.12.</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Exchange in Lieu of Conversion</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18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1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ARTICLE 15 Repurchase of Notes at Option of Holders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15.01.</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[Intentionally Omitted]</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15.02.</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Repurchase at Option of Holders Upon a Fundamental Change</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15.03.</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Withdrawal of Fundamental Change Repurchase Notice</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15.04.</w:t>
            </w:r>
          </w:p>
        </w:tc>
        <w:tc>
          <w:tcPr>
            <w:tcW w:w="910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Deposit of Fundamental Change Repurchase Price</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15.05.</w:t>
            </w:r>
          </w:p>
        </w:tc>
        <w:tc>
          <w:tcPr>
            <w:tcW w:w="91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i w:val="1"/>
                <w:iCs w:val="1"/>
                <w:color w:val="auto"/>
              </w:rPr>
              <w:t>Covenant to Comply with Applicable Laws Upon Repurchase of Notes</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74" w:right="68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16 Optional Redemption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16.01.</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Optional Redemption</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16.02.</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Notice of Optional Redemption; Selection of Notes</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16.03.</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Payment of Notes Called for Redemption</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16.04.</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Restrictions on Redemption</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940" w:type="dxa"/>
            <w:vAlign w:val="bottom"/>
            <w:gridSpan w:val="2"/>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9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ARTICLE 17 Miscellaneous Provisions</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17.01.</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Provisions Binding on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Successors</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17.02.</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Official Acts by Successor</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17.03.</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Addresses for Notices, Etc</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17.04.</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Governing Law; Jurisdiction</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17.05.</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Evidence of Compliance with Conditions Precedent; Certificates and Opinions of Counsel to Trustee</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17.06.</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Legal Holidays</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17.07.</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No Security Interest Created</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17.08.</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Benefits of Indenture</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17.09.</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Table of Contents, Headings, Etc</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17.10.</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Authenticating Agent</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17.11.</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Execution in Counterparts</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17.12.</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Severability</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17.13.</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Waiver of Jury Trial</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17.14.</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Force Majeure</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17.15.</w:t>
            </w:r>
          </w:p>
        </w:tc>
        <w:tc>
          <w:tcPr>
            <w:tcW w:w="79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Calculations</w:t>
            </w:r>
          </w:p>
        </w:tc>
        <w:tc>
          <w:tcPr>
            <w:tcW w:w="1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Section 17.16.</w:t>
            </w:r>
          </w:p>
        </w:tc>
        <w:tc>
          <w:tcPr>
            <w:tcW w:w="79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i w:val="1"/>
                <w:iCs w:val="1"/>
                <w:color w:val="auto"/>
              </w:rPr>
              <w:t>USA PATRIOT Act</w:t>
            </w:r>
          </w:p>
        </w:tc>
        <w:tc>
          <w:tcPr>
            <w:tcW w:w="1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17.17.</w:t>
            </w:r>
          </w:p>
        </w:tc>
        <w:tc>
          <w:tcPr>
            <w:tcW w:w="7980" w:type="dxa"/>
            <w:vAlign w:val="bottom"/>
          </w:tcPr>
          <w:p>
            <w:pPr>
              <w:ind w:left="300"/>
              <w:spacing w:after="0"/>
              <w:rPr>
                <w:sz w:val="20"/>
                <w:szCs w:val="20"/>
                <w:color w:val="auto"/>
              </w:rPr>
            </w:pPr>
            <w:r>
              <w:rPr>
                <w:rFonts w:ascii="Times New Roman" w:cs="Times New Roman" w:eastAsia="Times New Roman" w:hAnsi="Times New Roman"/>
                <w:sz w:val="16"/>
                <w:szCs w:val="16"/>
                <w:i w:val="1"/>
                <w:iCs w:val="1"/>
                <w:color w:val="auto"/>
              </w:rPr>
              <w:t>Electronic Signatures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525"/>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7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A</w:t>
            </w:r>
          </w:p>
        </w:tc>
        <w:tc>
          <w:tcPr>
            <w:tcW w:w="7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Form of Note</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74" w:right="680" w:bottom="1440" w:gutter="0" w:footer="0" w:header="0"/>
        </w:sectPr>
      </w:pPr>
    </w:p>
    <w:bookmarkStart w:id="10" w:name="page11"/>
    <w:bookmarkEnd w:id="10"/>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INDENTURE dated as of September 29, 2025 between COHU, INC., a Delaware corporation, as issuer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as more fully set forth in Section 1.01) and U.S. Bank Trust Company, National Association, a national banking association organized under the laws of the United States, as trustee (the “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more fully set forth in Section 1.01).</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74"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WHEREAS, for its lawful corporate purposes, the Company has duly authorized the issuance of its 1.50% Convertible Senior Notes due 2031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initially in an aggregate principal amount of $287,500,000, and in order to provide the terms and conditions upon which the Notes are to be authenticated, issued and delivered, the Company has duly authorized the execution and delivery of this Indenture; and</w:t>
      </w:r>
    </w:p>
    <w:p>
      <w:pPr>
        <w:spacing w:after="0" w:line="152"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43"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 xml:space="preserve">WHEREAS, all acts and things necessary to make the Notes, when executed by the Company and authenticated and delivered by the Trustee or a duly authorized authenticating agent, as in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NOW, THEREFORE, THIS INDENTURE WITNESSETH:</w:t>
      </w:r>
    </w:p>
    <w:p>
      <w:pPr>
        <w:spacing w:after="0" w:line="176"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5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ARTICLE 1</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Definitions</w:t>
      </w:r>
    </w:p>
    <w:p>
      <w:pPr>
        <w:spacing w:after="0" w:line="156"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 Exception</w:t>
      </w:r>
      <w:r>
        <w:rPr>
          <w:rFonts w:ascii="Times New Roman" w:cs="Times New Roman" w:eastAsia="Times New Roman" w:hAnsi="Times New Roman"/>
          <w:sz w:val="16"/>
          <w:szCs w:val="16"/>
          <w:color w:val="auto"/>
        </w:rPr>
        <w:t>” shall have the meaning specified in Section 14.04(j).</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Interest</w:t>
      </w:r>
      <w:r>
        <w:rPr>
          <w:rFonts w:ascii="Times New Roman" w:cs="Times New Roman" w:eastAsia="Times New Roman" w:hAnsi="Times New Roman"/>
          <w:sz w:val="16"/>
          <w:szCs w:val="16"/>
          <w:color w:val="auto"/>
        </w:rPr>
        <w:t>” means all amounts, if any, payable pursuant to Section 4.06(d), Section 4.06(e) and Section 6.03, as applicable.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shall have the meaning specified in Section 14.03(a).</w:t>
      </w:r>
    </w:p>
    <w:p>
      <w:pPr>
        <w:spacing w:after="0" w:line="17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another Person for purposes of this Indenture shall be made based on the facts at the time such determination is made or required to be made, as the case may be, hereunder.</w:t>
      </w:r>
    </w:p>
    <w:p>
      <w:pPr>
        <w:spacing w:after="0" w:line="156"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Bid Solicitation Agent</w:t>
      </w:r>
      <w:r>
        <w:rPr>
          <w:rFonts w:ascii="Times New Roman" w:cs="Times New Roman" w:eastAsia="Times New Roman" w:hAnsi="Times New Roman"/>
          <w:sz w:val="16"/>
          <w:szCs w:val="16"/>
          <w:color w:val="auto"/>
        </w:rPr>
        <w:t>” means the Company or the Person appointed by the Company to solicit bids for the Trading Price of the Notes in accordance with Section 14.01(b). The Company shall initially act as the Bid Solicitation Agent. The Company may, however, appoint another person to act as Bid Solicitation Agent at any time without prior notice to Holders.</w:t>
      </w:r>
    </w:p>
    <w:p>
      <w:pPr>
        <w:spacing w:after="0" w:line="150"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for it hereunder, or with respect to the relevant corporate action or determination specified herein, as the case may be.</w:t>
      </w:r>
    </w:p>
    <w:p>
      <w:pPr>
        <w:spacing w:after="0" w:line="138"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a resolution or minutes of a meeting of the Board of Directors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jc w:val="both"/>
        <w:ind w:right="4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Note, any day other than a Saturday, a Sunday or a day on which the Federal Reserve Bank of New York is authorized or required by law or executive order to close or be closed.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Called Notes</w:t>
      </w:r>
      <w:r>
        <w:rPr>
          <w:rFonts w:ascii="Times New Roman" w:cs="Times New Roman" w:eastAsia="Times New Roman" w:hAnsi="Times New Roman"/>
          <w:sz w:val="16"/>
          <w:szCs w:val="16"/>
          <w:color w:val="auto"/>
        </w:rPr>
        <w:t>” means Notes called for redemption pursuant to Article 16 or subject to a Deemed Redemption.</w:t>
      </w:r>
    </w:p>
    <w:p>
      <w:pPr>
        <w:spacing w:after="0" w:line="176"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shall have the meaning specified in Section 14.02(a).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shall have the meaning specified in Section 14.04(c).</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5:00 p.m. (New York City time).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shall have the meaning specified in Section 14.02(a).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76"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Equity</w:t>
      </w:r>
      <w:r>
        <w:rPr>
          <w:rFonts w:ascii="Times New Roman" w:cs="Times New Roman" w:eastAsia="Times New Roman" w:hAnsi="Times New Roman"/>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common stock of the Company, par value $1.00 per share, at the date of this Indenture, subject to Section 14.07.</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have the meaning specified in the first paragraph of this Indenture, and subject to the provisions of Article 11, shall include its successors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assigns.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Order</w:t>
      </w:r>
      <w:r>
        <w:rPr>
          <w:rFonts w:ascii="Times New Roman" w:cs="Times New Roman" w:eastAsia="Times New Roman" w:hAnsi="Times New Roman"/>
          <w:sz w:val="16"/>
          <w:szCs w:val="16"/>
          <w:color w:val="auto"/>
        </w:rPr>
        <w:t>” means a written order of the Company signed by any of its Officers and delivered to the Trustee.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shall have the meaning specified in Section 4.02.</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shall have the meaning specified in Section 14.12(a).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shall have the meaning specified in Section 14.02(c).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shall have the meaning specified in Section 14.01(a).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Price</w:t>
      </w:r>
      <w:r>
        <w:rPr>
          <w:rFonts w:ascii="Times New Roman" w:cs="Times New Roman" w:eastAsia="Times New Roman" w:hAnsi="Times New Roman"/>
          <w:sz w:val="16"/>
          <w:szCs w:val="16"/>
          <w:color w:val="auto"/>
        </w:rPr>
        <w:t xml:space="preserve">” means as of any time, $1,000,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Conversion Rate as of such time.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shall have the meaning specified in Section 14.01(a).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Event</w:t>
      </w:r>
      <w:r>
        <w:rPr>
          <w:rFonts w:ascii="Times New Roman" w:cs="Times New Roman" w:eastAsia="Times New Roman" w:hAnsi="Times New Roman"/>
          <w:sz w:val="16"/>
          <w:szCs w:val="16"/>
          <w:color w:val="auto"/>
        </w:rPr>
        <w:t>” shall have the meaning specified in Section 14.01(b)(iii).</w:t>
      </w:r>
    </w:p>
    <w:p>
      <w:pPr>
        <w:spacing w:after="0" w:line="176"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designated office of the Trustee at which at any time this Indenture shall be administered, which office at the date hereof is located at U.S. Bank Trust Company, National Association, 5065 Wooster Road, Cincinnati, OH 45226, Attention: J. Byrnes (Cohu, Inc.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Custodian</w:t>
      </w:r>
      <w:r>
        <w:rPr>
          <w:rFonts w:ascii="Times New Roman" w:cs="Times New Roman" w:eastAsia="Times New Roman" w:hAnsi="Times New Roman"/>
          <w:sz w:val="16"/>
          <w:szCs w:val="16"/>
          <w:color w:val="auto"/>
        </w:rPr>
        <w:t>” means the Trustee, as custodian for The Depository Trust Company, with respect to the Global Notes, or any successor entity thereto.</w:t>
      </w:r>
    </w:p>
    <w:p>
      <w:pPr>
        <w:spacing w:after="0" w:line="17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Conversion Value</w:t>
      </w:r>
      <w:r>
        <w:rPr>
          <w:rFonts w:ascii="Times New Roman" w:cs="Times New Roman" w:eastAsia="Times New Roman" w:hAnsi="Times New Roman"/>
          <w:sz w:val="16"/>
          <w:szCs w:val="16"/>
          <w:color w:val="auto"/>
        </w:rPr>
        <w:t>” means, for each of the 50 consecutive Trading Days during the relevant Observation Period, one-fiftieth of the product of (a) the Conversion Rate on such Trading Day and (b) the Daily VWAP for such Trading Day.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Measurement Value</w:t>
      </w:r>
      <w:r>
        <w:rPr>
          <w:rFonts w:ascii="Times New Roman" w:cs="Times New Roman" w:eastAsia="Times New Roman" w:hAnsi="Times New Roman"/>
          <w:sz w:val="16"/>
          <w:szCs w:val="16"/>
          <w:color w:val="auto"/>
        </w:rPr>
        <w:t xml:space="preserve">” means shall mean the Specified Dollar Amount (if any)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50.</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Settlement Amount</w:t>
      </w:r>
      <w:r>
        <w:rPr>
          <w:rFonts w:ascii="Times New Roman" w:cs="Times New Roman" w:eastAsia="Times New Roman" w:hAnsi="Times New Roman"/>
          <w:sz w:val="16"/>
          <w:szCs w:val="16"/>
          <w:color w:val="auto"/>
        </w:rPr>
        <w:t>,” for each of the 50 consecutive Trading Days during the relevant Observation Period, shall consist of:</w:t>
      </w:r>
    </w:p>
    <w:p>
      <w:pPr>
        <w:spacing w:after="0" w:line="178" w:lineRule="exact"/>
        <w:rPr>
          <w:sz w:val="20"/>
          <w:szCs w:val="20"/>
          <w:color w:val="auto"/>
        </w:rPr>
      </w:pPr>
    </w:p>
    <w:p>
      <w:pPr>
        <w:ind w:left="1380" w:hanging="366"/>
        <w:spacing w:after="0"/>
        <w:tabs>
          <w:tab w:leader="none" w:pos="1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equal to the lesser of (i) the Daily Measurement Value and (ii) the Daily Conversion Value on such Trading Day; and</w:t>
      </w:r>
    </w:p>
    <w:p>
      <w:pPr>
        <w:spacing w:after="0" w:line="176" w:lineRule="exact"/>
        <w:rPr>
          <w:rFonts w:ascii="Times New Roman" w:cs="Times New Roman" w:eastAsia="Times New Roman" w:hAnsi="Times New Roman"/>
          <w:sz w:val="16"/>
          <w:szCs w:val="16"/>
          <w:color w:val="auto"/>
        </w:rPr>
      </w:pPr>
    </w:p>
    <w:p>
      <w:pPr>
        <w:ind w:left="580" w:firstLine="434"/>
        <w:spacing w:after="0" w:line="259" w:lineRule="auto"/>
        <w:tabs>
          <w:tab w:leader="none" w:pos="138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Daily Conversion Value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Daily VWAP for such Trading Day.</w:t>
      </w:r>
    </w:p>
    <w:p>
      <w:pPr>
        <w:spacing w:after="0" w:line="141"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any Trading Day, the per share volume-weighted average price as displayed under the heading “Bloomberg VWAP” on Bloomberg page “COHU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 -weighted average method, by a nationally recognized independent investment banking firm retained for this purpose by the Company). The “</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xml:space="preserve"> ” shall be determined without regard to after-hours trading or any other trading outside of the regular trading session trading hours.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Deemed Redemption</w:t>
      </w:r>
      <w:r>
        <w:rPr>
          <w:rFonts w:ascii="Times New Roman" w:cs="Times New Roman" w:eastAsia="Times New Roman" w:hAnsi="Times New Roman"/>
          <w:sz w:val="16"/>
          <w:szCs w:val="16"/>
          <w:color w:val="auto"/>
        </w:rPr>
        <w:t xml:space="preserve">” shall have the meaning specified in </w:t>
      </w:r>
      <w:r>
        <w:rPr>
          <w:rFonts w:ascii="Arial" w:cs="Arial" w:eastAsia="Arial" w:hAnsi="Arial"/>
          <w:sz w:val="16"/>
          <w:szCs w:val="16"/>
          <w:color w:val="auto"/>
        </w:rPr>
        <w:t>​</w:t>
      </w:r>
      <w:r>
        <w:rPr>
          <w:rFonts w:ascii="Times New Roman" w:cs="Times New Roman" w:eastAsia="Times New Roman" w:hAnsi="Times New Roman"/>
          <w:sz w:val="16"/>
          <w:szCs w:val="16"/>
          <w:color w:val="auto"/>
        </w:rPr>
        <w:t>Section 14.01(b)(v).</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or passage of time, or both, would be, an Event of Default.</w:t>
      </w:r>
    </w:p>
    <w:p>
      <w:pPr>
        <w:spacing w:after="0" w:line="176"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Defaulted Amounts</w:t>
      </w:r>
      <w:r>
        <w:rPr>
          <w:rFonts w:ascii="Times New Roman" w:cs="Times New Roman" w:eastAsia="Times New Roman" w:hAnsi="Times New Roman"/>
          <w:sz w:val="16"/>
          <w:szCs w:val="16"/>
          <w:color w:val="auto"/>
        </w:rPr>
        <w:t>” means any amounts on any Note (including, without limitation, the Redemption Price, the Fundamental Change Repurchase Price, principal and interest) that are payable but are not punctually paid or duly provided for.</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Interest</w:t>
      </w:r>
      <w:r>
        <w:rPr>
          <w:rFonts w:ascii="Times New Roman" w:cs="Times New Roman" w:eastAsia="Times New Roman" w:hAnsi="Times New Roman"/>
          <w:sz w:val="16"/>
          <w:szCs w:val="16"/>
          <w:color w:val="auto"/>
        </w:rPr>
        <w:t>” shall have the meaning specified in Section 2.03(c).</w:t>
      </w:r>
    </w:p>
    <w:p>
      <w:pPr>
        <w:spacing w:after="0" w:line="176" w:lineRule="exact"/>
        <w:rPr>
          <w:sz w:val="20"/>
          <w:szCs w:val="20"/>
          <w:color w:val="auto"/>
        </w:rPr>
      </w:pPr>
    </w:p>
    <w:p>
      <w:pPr>
        <w:jc w:val="both"/>
        <w:ind w:right="20" w:firstLine="576"/>
        <w:spacing w:after="0" w:line="334"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shall mean or include such successor.</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shall have the meaning specified in Section 14.12(a).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shall have the meaning specified in Section 14.03(c), except that, as used in Section 14.04 and Section 14.05,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shall have the meaning specified in Section 6.01.</w:t>
      </w:r>
    </w:p>
    <w:p>
      <w:pPr>
        <w:spacing w:after="0" w:line="17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Ex-Dividend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shall have the meaning specified in Section 14.12(a).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Exempted Fundamental Change</w:t>
      </w:r>
      <w:r>
        <w:rPr>
          <w:rFonts w:ascii="Times New Roman" w:cs="Times New Roman" w:eastAsia="Times New Roman" w:hAnsi="Times New Roman"/>
          <w:sz w:val="16"/>
          <w:szCs w:val="16"/>
          <w:color w:val="auto"/>
        </w:rPr>
        <w:t>” shall have the meaning specified in Section 15.02(f).</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 of Assignment and Transfer</w:t>
      </w:r>
      <w:r>
        <w:rPr>
          <w:rFonts w:ascii="Times New Roman" w:cs="Times New Roman" w:eastAsia="Times New Roman" w:hAnsi="Times New Roman"/>
          <w:sz w:val="14"/>
          <w:szCs w:val="14"/>
          <w:color w:val="auto"/>
        </w:rPr>
        <w:t>” means the “Form of Assignment and Transfer” attached as Attachment 3 to the Form of Note attached hereto as Exhibit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t>
      </w:r>
    </w:p>
    <w:p>
      <w:pPr>
        <w:spacing w:after="0" w:line="15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Fundamental Change Repurchase Notice</w:t>
      </w:r>
      <w:r>
        <w:rPr>
          <w:rFonts w:ascii="Times New Roman" w:cs="Times New Roman" w:eastAsia="Times New Roman" w:hAnsi="Times New Roman"/>
          <w:sz w:val="16"/>
          <w:szCs w:val="16"/>
          <w:color w:val="auto"/>
        </w:rPr>
        <w:t>” means the “Form of Fundamental Change Repurchase Notice” attached as Attachment 2 to the Form of Note attached hereto as Exhibit A.</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Note</w:t>
      </w:r>
      <w:r>
        <w:rPr>
          <w:rFonts w:ascii="Times New Roman" w:cs="Times New Roman" w:eastAsia="Times New Roman" w:hAnsi="Times New Roman"/>
          <w:sz w:val="16"/>
          <w:szCs w:val="16"/>
          <w:color w:val="auto"/>
        </w:rPr>
        <w:t>” means the “Form of Note” attached hereto as Exhibit 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Notice of Conversion</w:t>
      </w:r>
      <w:r>
        <w:rPr>
          <w:rFonts w:ascii="Times New Roman" w:cs="Times New Roman" w:eastAsia="Times New Roman" w:hAnsi="Times New Roman"/>
          <w:sz w:val="16"/>
          <w:szCs w:val="16"/>
          <w:color w:val="auto"/>
        </w:rPr>
        <w:t>” means the “Form of Notice of Conversion” attached as Attachment 1 to the Form of Note attached hereto as Exhibit A.</w:t>
      </w:r>
    </w:p>
    <w:p>
      <w:pPr>
        <w:spacing w:after="0" w:line="176"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Freely Tradable</w:t>
      </w:r>
      <w:r>
        <w:rPr>
          <w:rFonts w:ascii="Times New Roman" w:cs="Times New Roman" w:eastAsia="Times New Roman" w:hAnsi="Times New Roman"/>
          <w:sz w:val="16"/>
          <w:szCs w:val="16"/>
          <w:color w:val="auto"/>
        </w:rPr>
        <w:t>” means, with respect to any Note, that such note would be eligible to be offered, sold or otherwise transferred pursuant to Rule 144 under the Securities Act or otherwise if held by a person that is not an affiliate of ours, and that has not been an affiliate of ours during the immediately preceding three months, without any requirements as to volume, manner of sale, availability of current public information or notice under the Securities Act (except that, during the six-month period beginning on, and including, the date that is six months after the last date of the original issuance of such Note, any such requirement as to the availability of current public information will be disregarded if the same is satisfied at that time); provided, however, that from and after the date that is one year after the last date of the original issuance of such note, such note will not be deemed “Freely Tradable” unless such note (x) is not identified by a “restricted” CUSIP number; and (y) is represented by any certificate that does not bear any restricted note legend.</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shall be deemed to have occurred at the time after the Notes are originally issued if any of the following occurs:</w:t>
      </w:r>
    </w:p>
    <w:p>
      <w:pPr>
        <w:spacing w:after="0" w:line="178" w:lineRule="exact"/>
        <w:rPr>
          <w:sz w:val="20"/>
          <w:szCs w:val="20"/>
          <w:color w:val="auto"/>
        </w:rPr>
      </w:pPr>
    </w:p>
    <w:p>
      <w:pPr>
        <w:jc w:val="both"/>
        <w:ind w:right="20" w:firstLine="434"/>
        <w:spacing w:after="0" w:line="275" w:lineRule="auto"/>
        <w:tabs>
          <w:tab w:leader="none" w:pos="82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in connection with transactions described in clause (b) below, a “person” or “group” within the meaning of Section 13(d) of the Exchange Act, other than the Company, its direct or indirect Wholly Owned Subsidiaries and the employee benefit plans of the Company and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(A) shares of the Company’s Common Equity representing more than 50% of the voting power of the Company’s Common Equity or (B) issued and outstanding shares of Common Stock representing more than 50% of all then-outstanding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320" w:lineRule="exact"/>
        <w:rPr>
          <w:rFonts w:ascii="Times New Roman" w:cs="Times New Roman" w:eastAsia="Times New Roman" w:hAnsi="Times New Roman"/>
          <w:sz w:val="14"/>
          <w:szCs w:val="14"/>
          <w:color w:val="auto"/>
        </w:rPr>
      </w:pPr>
    </w:p>
    <w:p>
      <w:pPr>
        <w:jc w:val="both"/>
        <w:ind w:firstLine="434"/>
        <w:spacing w:after="0" w:line="238" w:lineRule="auto"/>
        <w:tabs>
          <w:tab w:leader="none" w:pos="8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58" w:lineRule="exact"/>
        <w:rPr>
          <w:rFonts w:ascii="Times New Roman" w:cs="Times New Roman" w:eastAsia="Times New Roman" w:hAnsi="Times New Roman"/>
          <w:sz w:val="16"/>
          <w:szCs w:val="16"/>
          <w:color w:val="auto"/>
        </w:rPr>
      </w:pPr>
    </w:p>
    <w:p>
      <w:pPr>
        <w:ind w:left="800" w:hanging="366"/>
        <w:spacing w:after="0"/>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any plan or proposal for the liquidation or dissolution of the Company; or</w:t>
      </w:r>
    </w:p>
    <w:p>
      <w:pPr>
        <w:spacing w:after="0" w:line="176" w:lineRule="exact"/>
        <w:rPr>
          <w:rFonts w:ascii="Times New Roman" w:cs="Times New Roman" w:eastAsia="Times New Roman" w:hAnsi="Times New Roman"/>
          <w:sz w:val="16"/>
          <w:szCs w:val="16"/>
          <w:color w:val="auto"/>
        </w:rPr>
      </w:pPr>
    </w:p>
    <w:p>
      <w:pPr>
        <w:ind w:right="20" w:firstLine="434"/>
        <w:spacing w:after="0" w:line="259" w:lineRule="auto"/>
        <w:tabs>
          <w:tab w:leader="none" w:pos="8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(or other Common Equity underlying the Notes) ceases to be listed or quoted on any of The New York Stock Exchange, The Nasdaq Global Select Market or The Nasdaq Global Market (or any of their respective successors);</w:t>
      </w:r>
    </w:p>
    <w:p>
      <w:pPr>
        <w:spacing w:after="0" w:line="14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66675</wp:posOffset>
            </wp:positionV>
            <wp:extent cx="67075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000"/>
          </w:cols>
          <w:pgMar w:left="1240" w:top="963" w:right="660" w:bottom="1440" w:gutter="0" w:footer="0" w:header="0"/>
        </w:sectPr>
      </w:pPr>
    </w:p>
    <w:bookmarkStart w:id="16" w:name="page17"/>
    <w:bookmarkEnd w:id="16"/>
    <w:p>
      <w:pPr>
        <w:jc w:val="both"/>
        <w:spacing w:after="0" w:line="236"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transaction or transactions described in clause (b) above shall not constitute a Fundamental Change, if at least 90% of the consideration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or to be received by the holders of Common Stock of the Company, excluding cash payments for fractional shares and cash payments made in respect of dissenters’ appraisal rights, in connection with such transaction or transactions consists of shares of Common Equity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In addition, it shall not constitute a Fundamental Change pursuant to clause (d) above if (x) the Common Stock (or other Common Equity underlying the Notes) ceases to be listed or quoted on any of The New York Stock Exchange, The Nasdaq Global Select Market or The Nasdaq Global Market (or any of their respective successors) solely after the close of the regular trading session on any Scheduled Trading Day and (y) the Common Stock (or other Common Equity underlying the Notes) is re-listed or re-quoted on one of The New York Stock Exchange, The Nasdaq Global Select Market or The Nasdaq Global Market (or any of their respective successors) prior to open of the regular trading session on the immediately succeeding Scheduled Trading Day.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 Whole Fundamental Change but for the proviso immediately following clause (d) of this definition, following the effective date of such transaction), references to the Company in this definition shall instead be references to such other entity and references to the Company’s Common Stock shall instead be references to any Common Equity (or American depositary receipts (or other interests) in respect thereof) underlying the Notes.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shall have the meaning specified in Section 15.02(c).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shall have the meaning specified in Section 15.02(a).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shall have the meaning specified in Section 15.02(b)(i).</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shall have the meaning specified in Section 15.02(a).</w:t>
      </w:r>
    </w:p>
    <w:p>
      <w:pPr>
        <w:spacing w:after="0" w:line="17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The terms “</w:t>
      </w:r>
      <w:r>
        <w:rPr>
          <w:rFonts w:ascii="Times New Roman" w:cs="Times New Roman" w:eastAsia="Times New Roman" w:hAnsi="Times New Roman"/>
          <w:sz w:val="16"/>
          <w:szCs w:val="16"/>
          <w:b w:val="1"/>
          <w:bCs w:val="1"/>
          <w:color w:val="auto"/>
        </w:rPr>
        <w:t>given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mailed</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notify</w:t>
      </w:r>
      <w:r>
        <w:rPr>
          <w:rFonts w:ascii="Times New Roman" w:cs="Times New Roman" w:eastAsia="Times New Roman" w:hAnsi="Times New Roman"/>
          <w:sz w:val="16"/>
          <w:szCs w:val="16"/>
          <w:color w:val="auto"/>
        </w:rPr>
        <w:t xml:space="preserve">” or “ </w:t>
      </w:r>
      <w:r>
        <w:rPr>
          <w:rFonts w:ascii="Times New Roman" w:cs="Times New Roman" w:eastAsia="Times New Roman" w:hAnsi="Times New Roman"/>
          <w:sz w:val="16"/>
          <w:szCs w:val="16"/>
          <w:b w:val="1"/>
          <w:bCs w:val="1"/>
          <w:color w:val="auto"/>
        </w:rPr>
        <w:t>sent</w:t>
      </w:r>
      <w:r>
        <w:rPr>
          <w:rFonts w:ascii="Times New Roman" w:cs="Times New Roman" w:eastAsia="Times New Roman" w:hAnsi="Times New Roman"/>
          <w:sz w:val="16"/>
          <w:szCs w:val="16"/>
          <w:color w:val="auto"/>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shall have the meaning specified in Section 2.05(b).</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7" w:name="page18"/>
    <w:bookmarkEnd w:id="17"/>
    <w:p>
      <w:pPr>
        <w:jc w:val="both"/>
        <w:ind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xml:space="preserve"> ,” as applied to any Note, or other similar terms (but excluding the term “beneficial holder”), means any Person in whose name at the time a particular Note is registered on the Note Register.</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or, if amended or supplemented as herein provided, as so amended or supplemented.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Purchasers</w:t>
      </w:r>
      <w:r>
        <w:rPr>
          <w:rFonts w:ascii="Times New Roman" w:cs="Times New Roman" w:eastAsia="Times New Roman" w:hAnsi="Times New Roman"/>
          <w:sz w:val="16"/>
          <w:szCs w:val="16"/>
          <w:color w:val="auto"/>
        </w:rPr>
        <w:t>” shall have the meaning set forth in the Purchase Agreement.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each January 15 and July 15 of each year, beginning on January 15, 2026.</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Irrevocable Election Notice</w:t>
      </w:r>
      <w:r>
        <w:rPr>
          <w:rFonts w:ascii="Times New Roman" w:cs="Times New Roman" w:eastAsia="Times New Roman" w:hAnsi="Times New Roman"/>
          <w:sz w:val="16"/>
          <w:szCs w:val="16"/>
          <w:color w:val="auto"/>
        </w:rPr>
        <w:t>” shall have the meaning specified in Section 14.02(a)(iv).</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September 29, 2025.</w:t>
      </w:r>
    </w:p>
    <w:p>
      <w:pPr>
        <w:spacing w:after="0" w:line="17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of the Common Stock (or any other security for which a closing sale price must be determined) on any date means the closing sale price per share of Common Stock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xml:space="preserve">” shall be the last quoted bid price per share for the Common Stock (or such other security) in the over-the-counter market on the relevant date as reported by OTC Markets Group Inc. or a similar organization. If the Common Stock (or such other security) is not so quoted, the “ </w:t>
      </w:r>
      <w:r>
        <w:rPr>
          <w:rFonts w:ascii="Times New Roman" w:cs="Times New Roman" w:eastAsia="Times New Roman" w:hAnsi="Times New Roman"/>
          <w:sz w:val="16"/>
          <w:szCs w:val="16"/>
          <w:b w:val="1"/>
          <w:bCs w:val="1"/>
          <w:color w:val="auto"/>
        </w:rPr>
        <w:t>Last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Reported Sale Price</w:t>
      </w:r>
      <w:r>
        <w:rPr>
          <w:rFonts w:ascii="Times New Roman" w:cs="Times New Roman" w:eastAsia="Times New Roman" w:hAnsi="Times New Roman"/>
          <w:sz w:val="16"/>
          <w:szCs w:val="16"/>
          <w:color w:val="auto"/>
        </w:rPr>
        <w:t>” shall be the average of the mid-point of the last bid and ask prices per share for the Common Stock (or such other security) on the relevant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each of at least three nationally recognized independent investment banking firms selected by the Company for this purpose.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determined without regard to after-hours trading or any other trading outside of regular trading session hours.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Legend Removal Deadline Date</w:t>
      </w:r>
      <w:r>
        <w:rPr>
          <w:rFonts w:ascii="Times New Roman" w:cs="Times New Roman" w:eastAsia="Times New Roman" w:hAnsi="Times New Roman"/>
          <w:sz w:val="16"/>
          <w:szCs w:val="16"/>
          <w:color w:val="auto"/>
        </w:rPr>
        <w:t>” shall have the meaning specified in Section 4.06(e).</w:t>
      </w:r>
    </w:p>
    <w:p>
      <w:pPr>
        <w:spacing w:after="0" w:line="17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w:t>
      </w:r>
      <w:r>
        <w:rPr>
          <w:rFonts w:ascii="Times New Roman" w:cs="Times New Roman" w:eastAsia="Times New Roman" w:hAnsi="Times New Roman"/>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6"/>
          <w:szCs w:val="16"/>
          <w:i w:val="1"/>
          <w:iCs w:val="1"/>
          <w:color w:val="auto"/>
        </w:rPr>
        <w:t>proviso</w:t>
      </w:r>
      <w:r>
        <w:rPr>
          <w:rFonts w:ascii="Times New Roman" w:cs="Times New Roman" w:eastAsia="Times New Roman" w:hAnsi="Times New Roman"/>
          <w:sz w:val="16"/>
          <w:szCs w:val="16"/>
          <w:color w:val="auto"/>
        </w:rPr>
        <w:t xml:space="preserve"> in clause (b) of the definition thereof).</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shall have the meaning specified in Section 14.03(a).</w:t>
      </w:r>
    </w:p>
    <w:p>
      <w:pPr>
        <w:spacing w:after="0" w:line="17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January 15, 2031.</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Measurement Period</w:t>
      </w:r>
      <w:r>
        <w:rPr>
          <w:rFonts w:ascii="Times New Roman" w:cs="Times New Roman" w:eastAsia="Times New Roman" w:hAnsi="Times New Roman"/>
          <w:sz w:val="16"/>
          <w:szCs w:val="16"/>
          <w:color w:val="auto"/>
        </w:rPr>
        <w:t>” shall have the meaning specified in Section 14.01(b).</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Non-Affiliate Legend</w:t>
      </w:r>
      <w:r>
        <w:rPr>
          <w:rFonts w:ascii="Times New Roman" w:cs="Times New Roman" w:eastAsia="Times New Roman" w:hAnsi="Times New Roman"/>
          <w:sz w:val="16"/>
          <w:szCs w:val="16"/>
          <w:color w:val="auto"/>
        </w:rPr>
        <w:t>” means a legend substantially in the form included in the form of note, as designated therein.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shall have the meaning specified in the first paragraph of the recitals of this Indenture.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shall have the meaning specified in Section 2.05(a).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shall have the meaning specified in Section 2.05(a).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shall have the meaning specified in Section 14.02(b).</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shall have the meaning specified in Section 16.02(a).</w:t>
      </w:r>
    </w:p>
    <w:p>
      <w:pPr>
        <w:spacing w:after="0" w:line="17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Observation Period</w:t>
      </w:r>
      <w:r>
        <w:rPr>
          <w:rFonts w:ascii="Times New Roman" w:cs="Times New Roman" w:eastAsia="Times New Roman" w:hAnsi="Times New Roman"/>
          <w:sz w:val="16"/>
          <w:szCs w:val="16"/>
          <w:color w:val="auto"/>
        </w:rPr>
        <w:t>” with respect to any Note surrendered for conversion means: (i) subject to clause (ii), if the relevant Conversion Date occurs prior to October 15, 2030, the 50 consecutive Trading Day period beginning on, and including, the second Trading Day immediately succeeding such Conversion Date; (ii) with respect to any Called Notes, if the relevant Conversion Date occurs during the related Redemption Period, the 50 consecutive Trading Days beginning on, and including, the 51st Scheduled Trading Day immediately preceding such Redemption Date; and (iii) subject to clause (ii), if the relevant Conversion Date occurs on or after October 15, 2030, the 50 consecutive Trading Days beginning on, and including, the 51st Scheduled Trading Day immediately preceding the Maturity Date.</w:t>
      </w:r>
    </w:p>
    <w:p>
      <w:pPr>
        <w:spacing w:after="0" w:line="157"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Offering Memorandum</w:t>
      </w:r>
      <w:r>
        <w:rPr>
          <w:rFonts w:ascii="Times New Roman" w:cs="Times New Roman" w:eastAsia="Times New Roman" w:hAnsi="Times New Roman"/>
          <w:sz w:val="16"/>
          <w:szCs w:val="16"/>
          <w:color w:val="auto"/>
        </w:rPr>
        <w:t xml:space="preserve"> ” means the preliminary offering memorandum dated September 23, 2025, as supplemented by the related pricing term sheet dated September 24, 2025, relating to the offering and sale of the Notes.</w:t>
      </w:r>
    </w:p>
    <w:p>
      <w:pPr>
        <w:spacing w:after="0" w:line="138"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w:t>
      </w:r>
      <w:r>
        <w:rPr>
          <w:rFonts w:ascii="Times New Roman" w:cs="Times New Roman" w:eastAsia="Times New Roman" w:hAnsi="Times New Roman"/>
          <w:sz w:val="16"/>
          <w:szCs w:val="16"/>
          <w:color w:val="auto"/>
        </w:rPr>
        <w:t>” means, with respect to the Company, the chief executive officer, the president, the chief financial officer, any executive vice president, any senior vice president, the general counsel, the chief legal officer, the corporate controller, the secretary, any assistant secretary, the treasurer and any assistant treasurer (or any other individual designated as an “Officer” for the purposes of this Indenture by the Board of Directors, the sole member or the sole manager (as applicable), or by the president, chief executive officer, chief financial officer, executive vice president, corporate controller or chief legal officer, of the Company) (a) of such Person or (b) if such Person is owned or managed by a single entity, of such entity.</w:t>
      </w:r>
    </w:p>
    <w:p>
      <w:pPr>
        <w:spacing w:after="0" w:line="157"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Officer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Certificate,</w:t>
      </w:r>
      <w:r>
        <w:rPr>
          <w:rFonts w:ascii="Times New Roman" w:cs="Times New Roman" w:eastAsia="Times New Roman" w:hAnsi="Times New Roman"/>
          <w:sz w:val="16"/>
          <w:szCs w:val="16"/>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legal or accounting officer (including, without limitation, the Corporate Controller) of the Company.</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of business</w:t>
      </w:r>
      <w:r>
        <w:rPr>
          <w:rFonts w:ascii="Times New Roman" w:cs="Times New Roman" w:eastAsia="Times New Roman" w:hAnsi="Times New Roman"/>
          <w:sz w:val="16"/>
          <w:szCs w:val="16"/>
          <w:color w:val="auto"/>
        </w:rPr>
        <w:t>” means 9:00 a.m. (New York City time).</w:t>
      </w:r>
    </w:p>
    <w:p>
      <w:pPr>
        <w:spacing w:after="0" w:line="176"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shall have the meaning specified in Section 16.01.</w:t>
      </w:r>
    </w:p>
    <w:p>
      <w:pPr>
        <w:spacing w:after="0" w:line="17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Notes, shall, subject to the provisions of Section 8.04, mean, as of any particular time, all Notes authenticated and delivered by the Trustee under this Indenture, except:</w:t>
      </w:r>
    </w:p>
    <w:p>
      <w:pPr>
        <w:spacing w:after="0" w:line="140" w:lineRule="exact"/>
        <w:rPr>
          <w:sz w:val="20"/>
          <w:szCs w:val="20"/>
          <w:color w:val="auto"/>
        </w:rPr>
      </w:pPr>
    </w:p>
    <w:p>
      <w:pPr>
        <w:ind w:left="1380" w:hanging="366"/>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theretofore canceled by the Trustee or accepted by the Trustee for cancellation;</w:t>
      </w:r>
    </w:p>
    <w:p>
      <w:pPr>
        <w:spacing w:after="0" w:line="176" w:lineRule="exact"/>
        <w:rPr>
          <w:rFonts w:ascii="Times New Roman" w:cs="Times New Roman" w:eastAsia="Times New Roman" w:hAnsi="Times New Roman"/>
          <w:sz w:val="16"/>
          <w:szCs w:val="16"/>
          <w:color w:val="auto"/>
        </w:rPr>
      </w:pPr>
    </w:p>
    <w:p>
      <w:pPr>
        <w:jc w:val="both"/>
        <w:ind w:left="580" w:right="20" w:firstLine="434"/>
        <w:spacing w:after="0" w:line="247" w:lineRule="auto"/>
        <w:tabs>
          <w:tab w:leader="none" w:pos="139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52" w:lineRule="exact"/>
        <w:rPr>
          <w:rFonts w:ascii="Times New Roman" w:cs="Times New Roman" w:eastAsia="Times New Roman" w:hAnsi="Times New Roman"/>
          <w:sz w:val="16"/>
          <w:szCs w:val="16"/>
          <w:color w:val="auto"/>
        </w:rPr>
      </w:pPr>
    </w:p>
    <w:p>
      <w:pPr>
        <w:jc w:val="both"/>
        <w:ind w:left="580" w:firstLine="434"/>
        <w:spacing w:after="0" w:line="247" w:lineRule="auto"/>
        <w:tabs>
          <w:tab w:leader="none" w:pos="143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52" w:lineRule="exact"/>
        <w:rPr>
          <w:rFonts w:ascii="Times New Roman" w:cs="Times New Roman" w:eastAsia="Times New Roman" w:hAnsi="Times New Roman"/>
          <w:sz w:val="16"/>
          <w:szCs w:val="16"/>
          <w:color w:val="auto"/>
        </w:rPr>
      </w:pPr>
    </w:p>
    <w:p>
      <w:pPr>
        <w:ind w:left="580" w:right="40" w:firstLine="434"/>
        <w:spacing w:after="0" w:line="259" w:lineRule="auto"/>
        <w:tabs>
          <w:tab w:leader="none" w:pos="136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surrendered for purchase in accordance with Article 15 for which the Paying Agent holds money sufficient to pay the Fundamental Change Repurchase Price, in accordance with Section 15.04(b);</w:t>
      </w:r>
    </w:p>
    <w:p>
      <w:pPr>
        <w:spacing w:after="0" w:line="143" w:lineRule="exact"/>
        <w:rPr>
          <w:rFonts w:ascii="Times New Roman" w:cs="Times New Roman" w:eastAsia="Times New Roman" w:hAnsi="Times New Roman"/>
          <w:sz w:val="16"/>
          <w:szCs w:val="16"/>
          <w:color w:val="auto"/>
        </w:rPr>
      </w:pPr>
    </w:p>
    <w:p>
      <w:pPr>
        <w:ind w:left="1420" w:hanging="406"/>
        <w:spacing w:after="0"/>
        <w:tabs>
          <w:tab w:leader="none" w:pos="1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converted pursuant to Article 14 and required to be cancelled pursuant to Section 2.08; and</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redeemed pursuant to Article 16.</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Partial Redemption Limitation</w:t>
      </w:r>
      <w:r>
        <w:rPr>
          <w:rFonts w:ascii="Times New Roman" w:cs="Times New Roman" w:eastAsia="Times New Roman" w:hAnsi="Times New Roman"/>
          <w:sz w:val="16"/>
          <w:szCs w:val="16"/>
          <w:color w:val="auto"/>
        </w:rPr>
        <w:t>” shall have the meaning specified in Section 16.01.</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shall have the meaning specified in Section 4.02.</w:t>
      </w:r>
    </w:p>
    <w:p>
      <w:pPr>
        <w:spacing w:after="0" w:line="176" w:lineRule="exact"/>
        <w:rPr>
          <w:sz w:val="20"/>
          <w:szCs w:val="20"/>
          <w:color w:val="auto"/>
        </w:rPr>
      </w:pPr>
    </w:p>
    <w:p>
      <w:pPr>
        <w:ind w:right="4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0" w:name="page21"/>
    <w:bookmarkEnd w:id="20"/>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Notes</w:t>
      </w:r>
      <w:r>
        <w:rPr>
          <w:rFonts w:ascii="Times New Roman" w:cs="Times New Roman" w:eastAsia="Times New Roman" w:hAnsi="Times New Roman"/>
          <w:sz w:val="16"/>
          <w:szCs w:val="16"/>
          <w:color w:val="auto"/>
        </w:rPr>
        <w:t>” means permanent certificated Notes in registered form issued in minimum denominations of $1,000 principal amount and integral multiples in excess thereof.</w:t>
      </w:r>
    </w:p>
    <w:p>
      <w:pPr>
        <w:spacing w:after="0" w:line="138"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Predecessor Note</w:t>
      </w:r>
      <w:r>
        <w:rPr>
          <w:rFonts w:ascii="Times New Roman" w:cs="Times New Roman" w:eastAsia="Times New Roman" w:hAnsi="Times New Roman"/>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 means that certain Purchase Agreement, dated September 24, 2025, among the Company and Jefferies LLC, Evercore Group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TD Securities (USA) LLC, as representatives of the several Initial Purchasers.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shall have the meaning specified in Section 16.02(a).</w:t>
      </w:r>
    </w:p>
    <w:p>
      <w:pPr>
        <w:spacing w:after="0" w:line="176"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Redemption Period</w:t>
      </w:r>
      <w:r>
        <w:rPr>
          <w:rFonts w:ascii="Times New Roman" w:cs="Times New Roman" w:eastAsia="Times New Roman" w:hAnsi="Times New Roman"/>
          <w:sz w:val="16"/>
          <w:szCs w:val="16"/>
          <w:color w:val="auto"/>
        </w:rPr>
        <w:t xml:space="preserve"> ” 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52"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Redemption Price</w:t>
      </w:r>
      <w:r>
        <w:rPr>
          <w:rFonts w:ascii="Times New Roman" w:cs="Times New Roman" w:eastAsia="Times New Roman" w:hAnsi="Times New Roman"/>
          <w:sz w:val="16"/>
          <w:szCs w:val="16"/>
          <w:color w:val="auto"/>
        </w:rPr>
        <w:t>” means, for any Notes to be redeemed pursuant to Section 16.01, 100% of the principal amount of such Notes,</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if any, to, but excluding, the Redemption Date (unless the Redemption Date falls after a Regular Record Date but on or prior to the immediately succeeding Interest Payment Date, in which case any Interest accrued and unpaid to, but excluding,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shall have the meaning specified in Section 14.07(a).</w:t>
      </w:r>
    </w:p>
    <w:p>
      <w:pPr>
        <w:spacing w:after="0" w:line="176"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Regular Record Date</w:t>
      </w:r>
      <w:r>
        <w:rPr>
          <w:rFonts w:ascii="Times New Roman" w:cs="Times New Roman" w:eastAsia="Times New Roman" w:hAnsi="Times New Roman"/>
          <w:sz w:val="16"/>
          <w:szCs w:val="16"/>
          <w:color w:val="auto"/>
        </w:rPr>
        <w:t>” with respect to any Interest Payment Date, means the January 1 or July 1 (whether or not such day is a Business Day) immediately preceding the applicable January 15 or July 15 Interest Payment Date, respectively.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Reporting Event of Default</w:t>
      </w:r>
      <w:r>
        <w:rPr>
          <w:rFonts w:ascii="Times New Roman" w:cs="Times New Roman" w:eastAsia="Times New Roman" w:hAnsi="Times New Roman"/>
          <w:sz w:val="16"/>
          <w:szCs w:val="16"/>
          <w:color w:val="auto"/>
        </w:rPr>
        <w:t>” shall have the meaning specified in Section 6.03.</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Resale Restriction Termination Date</w:t>
      </w:r>
      <w:r>
        <w:rPr>
          <w:rFonts w:ascii="Times New Roman" w:cs="Times New Roman" w:eastAsia="Times New Roman" w:hAnsi="Times New Roman"/>
          <w:sz w:val="16"/>
          <w:szCs w:val="16"/>
          <w:color w:val="auto"/>
        </w:rPr>
        <w:t>” shall have the meaning specified in Section 2.05(c).</w:t>
      </w:r>
    </w:p>
    <w:p>
      <w:pPr>
        <w:spacing w:after="0" w:line="176"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Responsible Officer</w:t>
      </w:r>
      <w:r>
        <w:rPr>
          <w:rFonts w:ascii="Times New Roman" w:cs="Times New Roman" w:eastAsia="Times New Roman" w:hAnsi="Times New Roman"/>
          <w:sz w:val="14"/>
          <w:szCs w:val="14"/>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have the meaning specified in Section 2.05(c).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Restrictive Notes Legend</w:t>
      </w:r>
      <w:r>
        <w:rPr>
          <w:rFonts w:ascii="Times New Roman" w:cs="Times New Roman" w:eastAsia="Times New Roman" w:hAnsi="Times New Roman"/>
          <w:sz w:val="16"/>
          <w:szCs w:val="16"/>
          <w:color w:val="auto"/>
        </w:rPr>
        <w:t>” shall have the meaning specified in Section 2.05(c).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as promulgated under the Securities Act.</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144A</w:t>
      </w:r>
      <w:r>
        <w:rPr>
          <w:rFonts w:ascii="Times New Roman" w:cs="Times New Roman" w:eastAsia="Times New Roman" w:hAnsi="Times New Roman"/>
          <w:sz w:val="16"/>
          <w:szCs w:val="16"/>
          <w:color w:val="auto"/>
        </w:rPr>
        <w:t>” means Rule 144A as promulgated under the Securities Act.</w:t>
      </w:r>
    </w:p>
    <w:p>
      <w:pPr>
        <w:spacing w:after="0" w:line="176" w:lineRule="exact"/>
        <w:rPr>
          <w:sz w:val="20"/>
          <w:szCs w:val="20"/>
          <w:color w:val="auto"/>
        </w:rPr>
      </w:pPr>
    </w:p>
    <w:p>
      <w:pPr>
        <w:jc w:val="both"/>
        <w:ind w:right="20" w:firstLine="576"/>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Scheduled Trading Day</w:t>
      </w:r>
      <w:r>
        <w:rPr>
          <w:rFonts w:ascii="Times New Roman" w:cs="Times New Roman" w:eastAsia="Times New Roman" w:hAnsi="Times New Roman"/>
          <w:sz w:val="14"/>
          <w:szCs w:val="14"/>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4"/>
          <w:szCs w:val="14"/>
          <w:b w:val="1"/>
          <w:bCs w:val="1"/>
          <w:color w:val="auto"/>
        </w:rPr>
        <w:t>Scheduled Trading Day</w:t>
      </w:r>
      <w:r>
        <w:rPr>
          <w:rFonts w:ascii="Times New Roman" w:cs="Times New Roman" w:eastAsia="Times New Roman" w:hAnsi="Times New Roman"/>
          <w:sz w:val="14"/>
          <w:szCs w:val="14"/>
          <w:color w:val="auto"/>
        </w:rPr>
        <w:t>” means a Business Day.</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Amount</w:t>
      </w:r>
      <w:r>
        <w:rPr>
          <w:rFonts w:ascii="Times New Roman" w:cs="Times New Roman" w:eastAsia="Times New Roman" w:hAnsi="Times New Roman"/>
          <w:sz w:val="16"/>
          <w:szCs w:val="16"/>
          <w:color w:val="auto"/>
        </w:rPr>
        <w:t>” has the meaning specified in Section 14.02(a).</w:t>
      </w:r>
    </w:p>
    <w:p>
      <w:pPr>
        <w:spacing w:after="0" w:line="17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w:t>
      </w:r>
      <w:r>
        <w:rPr>
          <w:rFonts w:ascii="Times New Roman" w:cs="Times New Roman" w:eastAsia="Times New Roman" w:hAnsi="Times New Roman"/>
          <w:sz w:val="16"/>
          <w:szCs w:val="16"/>
          <w:color w:val="auto"/>
        </w:rPr>
        <w:t>” means, with respect to any conversion of Notes, Cash Settlement or Combination Settlement, as elected (or deemed to have been elected) by the Company pursuant to the terms of this Indenture.</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has the meaning specified in Section 14.02(a)(iii).</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 Exchange Event</w:t>
      </w:r>
      <w:r>
        <w:rPr>
          <w:rFonts w:ascii="Times New Roman" w:cs="Times New Roman" w:eastAsia="Times New Roman" w:hAnsi="Times New Roman"/>
          <w:sz w:val="16"/>
          <w:szCs w:val="16"/>
          <w:color w:val="auto"/>
        </w:rPr>
        <w:t>” shall have the meaning specified in Section 14.07(a).</w:t>
      </w:r>
    </w:p>
    <w:p>
      <w:pPr>
        <w:spacing w:after="0" w:line="17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means a Subsidiary of the Company that is a “significant subsidiary” as defined in Article 1, Rule 1-02(w) of Regulation S-X promulgated by the Commission.</w:t>
      </w:r>
    </w:p>
    <w:p>
      <w:pPr>
        <w:spacing w:after="0" w:line="138"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Dollar Amount</w:t>
      </w:r>
      <w:r>
        <w:rPr>
          <w:rFonts w:ascii="Times New Roman" w:cs="Times New Roman" w:eastAsia="Times New Roman" w:hAnsi="Times New Roman"/>
          <w:sz w:val="16"/>
          <w:szCs w:val="16"/>
          <w:color w:val="auto"/>
        </w:rPr>
        <w:t>” shall mean the maximum cash amount per $1,000 principal amount of Notes to be received upon conversion as specified (or deemed specified) in the Settlement Notice related to any Notes.</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shall have the meaning specified in Section 14.03(c).</w:t>
      </w:r>
    </w:p>
    <w:p>
      <w:pPr>
        <w:spacing w:after="0" w:line="176"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shall have the meaning specified in Section 11.01(a).</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2" w:name="page23"/>
    <w:bookmarkEnd w:id="22"/>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except for determining amounts due upon conversion,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Common Stock (or such other security) is not so listed or traded,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Business Day;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further </w:t>
      </w:r>
      <w:r>
        <w:rPr>
          <w:rFonts w:ascii="Times New Roman" w:cs="Times New Roman" w:eastAsia="Times New Roman" w:hAnsi="Times New Roman"/>
          <w:sz w:val="16"/>
          <w:szCs w:val="16"/>
          <w:color w:val="auto"/>
        </w:rPr>
        <w:t>that, for purposes of determining amounts due upon conversion only,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day on which (x) there is no Market Disruption Event and (y)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Business Day.</w:t>
      </w:r>
    </w:p>
    <w:p>
      <w:pPr>
        <w:spacing w:after="0" w:line="162" w:lineRule="exact"/>
        <w:rPr>
          <w:sz w:val="20"/>
          <w:szCs w:val="20"/>
          <w:color w:val="auto"/>
        </w:rPr>
      </w:pPr>
    </w:p>
    <w:p>
      <w:pPr>
        <w:jc w:val="both"/>
        <w:ind w:right="20" w:firstLine="576"/>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Price</w:t>
      </w:r>
      <w:r>
        <w:rPr>
          <w:rFonts w:ascii="Times New Roman" w:cs="Times New Roman" w:eastAsia="Times New Roman" w:hAnsi="Times New Roman"/>
          <w:sz w:val="14"/>
          <w:szCs w:val="14"/>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which may include one or more of the Initial Purchasers;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principal amount of Notes from a nationally recognized securities dealer, then the Trading Price per $1,000 principal amount of Notes on such determination date shall be deemed to be less than 98% of the product of the Last Reported Sale Price of the Common Stock and the Conversion Rate on such determination date.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shall have the meaning specified in Section 2.05(c).</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Trigger Event</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 xml:space="preserve"> ” means the Trust Indenture Act of 1939, as amended, as it was in force at the date of execution of this Indenture;</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0"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named as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mean or include each Person who is then a Trustee hereunder.</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shall have the meaning specified in Section 14.07(a).</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Valuation Period</w:t>
      </w:r>
      <w:r>
        <w:rPr>
          <w:rFonts w:ascii="Times New Roman" w:cs="Times New Roman" w:eastAsia="Times New Roman" w:hAnsi="Times New Roman"/>
          <w:sz w:val="16"/>
          <w:szCs w:val="16"/>
          <w:color w:val="auto"/>
        </w:rPr>
        <w:t>” shall have the meaning specified in Section 14.04(c).</w:t>
      </w:r>
    </w:p>
    <w:p>
      <w:pPr>
        <w:spacing w:after="0" w:line="176"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52"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i w:val="1"/>
          <w:iCs w:val="1"/>
          <w:color w:val="auto"/>
        </w:rPr>
        <w:t>References to Interest</w:t>
      </w:r>
      <w:r>
        <w:rPr>
          <w:rFonts w:ascii="Times New Roman" w:cs="Times New Roman" w:eastAsia="Times New Roman" w:hAnsi="Times New Roman"/>
          <w:sz w:val="14"/>
          <w:szCs w:val="14"/>
          <w:color w:val="auto"/>
        </w:rPr>
        <w: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and/or any interest payable on any Defaulted Amounts as set forth in Section 2.03(c). Unless the context otherwise requires, any express mention of Additional Interest in any provision hereof shall not be construed as excluding Additional Interest in those provisions hereof where such express mention is not made.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Issue, Description, Execution, Registration and Exchange of Notes</w:t>
      </w:r>
    </w:p>
    <w:p>
      <w:pPr>
        <w:spacing w:after="0" w:line="156"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Designation and Amount</w:t>
      </w:r>
      <w:r>
        <w:rPr>
          <w:rFonts w:ascii="Times New Roman" w:cs="Times New Roman" w:eastAsia="Times New Roman" w:hAnsi="Times New Roman"/>
          <w:sz w:val="16"/>
          <w:szCs w:val="16"/>
          <w:color w:val="auto"/>
        </w:rPr>
        <w:t>. The Notes shall be designated as the “1.50% Convertible Senior Notes due 2031.” The aggregate principal amount of Notes that may be authenticated and delivered under this Indenture is initially limited to $287,500,000, subject to Section 2.10 and except for Notes authenticated and delivered upon registration or transfer of, or in exchange for, or in lieu of other Notes to the extent expressly permitted hereunder.</w:t>
      </w:r>
    </w:p>
    <w:p>
      <w:pPr>
        <w:spacing w:after="0" w:line="150"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Notes</w:t>
      </w:r>
      <w:r>
        <w:rPr>
          <w:rFonts w:ascii="Times New Roman" w:cs="Times New Roman" w:eastAsia="Times New Roman" w:hAnsi="Times New Roman"/>
          <w:sz w:val="16"/>
          <w:szCs w:val="16"/>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54"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24" w:name="page25"/>
    <w:bookmarkEnd w:id="24"/>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57" w:lineRule="exact"/>
        <w:rPr>
          <w:sz w:val="20"/>
          <w:szCs w:val="20"/>
          <w:color w:val="auto"/>
        </w:rPr>
      </w:pPr>
    </w:p>
    <w:p>
      <w:pPr>
        <w:jc w:val="both"/>
        <w:ind w:right="20" w:firstLine="576"/>
        <w:spacing w:after="0" w:line="278" w:lineRule="auto"/>
        <w:rPr>
          <w:sz w:val="20"/>
          <w:szCs w:val="20"/>
          <w:color w:val="auto"/>
        </w:rPr>
      </w:pPr>
      <w:r>
        <w:rPr>
          <w:rFonts w:ascii="Times New Roman" w:cs="Times New Roman" w:eastAsia="Times New Roman" w:hAnsi="Times New Roman"/>
          <w:sz w:val="14"/>
          <w:szCs w:val="14"/>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the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33"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Date and Denomination of Notes; Payments of Interest and Defaulted Amounts</w:t>
      </w:r>
      <w:r>
        <w:rPr>
          <w:rFonts w:ascii="Times New Roman" w:cs="Times New Roman" w:eastAsia="Times New Roman" w:hAnsi="Times New Roman"/>
          <w:sz w:val="16"/>
          <w:szCs w:val="16"/>
          <w:color w:val="auto"/>
        </w:rPr>
        <w:t>. The Notes shall be issuable in registered form without coupons in minimum denominations of $1,000 principal amount and integral multiples of $1,000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54" w:lineRule="exact"/>
        <w:rPr>
          <w:sz w:val="20"/>
          <w:szCs w:val="20"/>
          <w:color w:val="auto"/>
        </w:rPr>
      </w:pPr>
    </w:p>
    <w:p>
      <w:pPr>
        <w:jc w:val="both"/>
        <w:ind w:firstLine="582"/>
        <w:spacing w:after="0" w:line="237" w:lineRule="auto"/>
        <w:tabs>
          <w:tab w:leader="none" w:pos="9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on any Global Note by wire transfer of immediately available funds to the account of the Depositary or its nominee.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25" w:name="page26"/>
    <w:bookmarkEnd w:id="25"/>
    <w:p>
      <w:pPr>
        <w:jc w:val="both"/>
        <w:ind w:right="20" w:firstLine="582"/>
        <w:spacing w:after="0" w:line="299" w:lineRule="auto"/>
        <w:tabs>
          <w:tab w:leader="none" w:pos="98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Defaulted Amounts shall forthwith cease to be payable to the Holder on the relevant payment date but shall accrue interest per annum at the then applicable rate borne by the Notes (“</w:t>
      </w:r>
      <w:r>
        <w:rPr>
          <w:rFonts w:ascii="Times New Roman" w:cs="Times New Roman" w:eastAsia="Times New Roman" w:hAnsi="Times New Roman"/>
          <w:sz w:val="14"/>
          <w:szCs w:val="14"/>
          <w:b w:val="1"/>
          <w:bCs w:val="1"/>
          <w:color w:val="auto"/>
        </w:rPr>
        <w:t>Default Interest</w:t>
      </w:r>
      <w:r>
        <w:rPr>
          <w:rFonts w:ascii="Times New Roman" w:cs="Times New Roman" w:eastAsia="Times New Roman" w:hAnsi="Times New Roman"/>
          <w:sz w:val="14"/>
          <w:szCs w:val="14"/>
          <w:color w:val="auto"/>
        </w:rPr>
        <w: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18" w:lineRule="exact"/>
        <w:rPr>
          <w:rFonts w:ascii="Times New Roman" w:cs="Times New Roman" w:eastAsia="Times New Roman" w:hAnsi="Times New Roman"/>
          <w:sz w:val="14"/>
          <w:szCs w:val="14"/>
          <w:color w:val="auto"/>
        </w:rPr>
      </w:pPr>
    </w:p>
    <w:p>
      <w:pPr>
        <w:jc w:val="both"/>
        <w:ind w:left="580" w:firstLine="434"/>
        <w:spacing w:after="0" w:line="237" w:lineRule="auto"/>
        <w:tabs>
          <w:tab w:leader="none" w:pos="1407"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157" w:lineRule="exact"/>
        <w:rPr>
          <w:rFonts w:ascii="Times New Roman" w:cs="Times New Roman" w:eastAsia="Times New Roman" w:hAnsi="Times New Roman"/>
          <w:sz w:val="16"/>
          <w:szCs w:val="16"/>
          <w:color w:val="auto"/>
        </w:rPr>
      </w:pPr>
    </w:p>
    <w:p>
      <w:pPr>
        <w:jc w:val="both"/>
        <w:ind w:left="580" w:firstLine="434"/>
        <w:spacing w:after="0" w:line="243" w:lineRule="auto"/>
        <w:tabs>
          <w:tab w:leader="none" w:pos="1418"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55" w:lineRule="exact"/>
        <w:rPr>
          <w:rFonts w:ascii="Times New Roman" w:cs="Times New Roman" w:eastAsia="Times New Roman" w:hAnsi="Times New Roman"/>
          <w:sz w:val="16"/>
          <w:szCs w:val="16"/>
          <w:color w:val="auto"/>
        </w:rPr>
      </w:pPr>
    </w:p>
    <w:p>
      <w:pPr>
        <w:jc w:val="both"/>
        <w:ind w:left="580" w:right="20" w:firstLine="434"/>
        <w:spacing w:after="0" w:line="247" w:lineRule="auto"/>
        <w:tabs>
          <w:tab w:leader="none" w:pos="145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26" w:name="page27"/>
    <w:bookmarkEnd w:id="26"/>
    <w:p>
      <w:pPr>
        <w:jc w:val="both"/>
        <w:ind w:left="580" w:right="20" w:firstLine="434"/>
        <w:spacing w:after="0" w:line="281" w:lineRule="auto"/>
        <w:tabs>
          <w:tab w:leader="none" w:pos="1488"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if any Defaulted Amounts, together with any required Default Interest, are paid to Holders in accordance with the terms of this Indenture prior to (x) the expiration of any applicable grace period with respect to the Default in the relevant payment as set forth in Article 6 or</w:t>
      </w:r>
    </w:p>
    <w:p>
      <w:pPr>
        <w:spacing w:after="0" w:line="1" w:lineRule="exact"/>
        <w:rPr>
          <w:rFonts w:ascii="Times New Roman" w:cs="Times New Roman" w:eastAsia="Times New Roman" w:hAnsi="Times New Roman"/>
          <w:sz w:val="14"/>
          <w:szCs w:val="14"/>
          <w:color w:val="auto"/>
        </w:rPr>
      </w:pPr>
    </w:p>
    <w:p>
      <w:pPr>
        <w:ind w:left="580" w:right="20" w:firstLine="2"/>
        <w:spacing w:after="0" w:line="238" w:lineRule="auto"/>
        <w:tabs>
          <w:tab w:leader="none" w:pos="81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later, the delivery of any related notice of acceleration, such payment Default shall be deemed cured and the Notes shall not be subject to acceleration on account of such payment Default.</w:t>
      </w:r>
    </w:p>
    <w:p>
      <w:pPr>
        <w:spacing w:after="0" w:line="155"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Execution, Authentication and Delivery of Notes</w:t>
      </w:r>
      <w:r>
        <w:rPr>
          <w:rFonts w:ascii="Times New Roman" w:cs="Times New Roman" w:eastAsia="Times New Roman" w:hAnsi="Times New Roman"/>
          <w:sz w:val="16"/>
          <w:szCs w:val="16"/>
          <w:color w:val="auto"/>
        </w:rPr>
        <w:t>. The Notes shall be signed in the name and on behalf of the Company by the manual, facsimile or other electronic signature of its Chief Executive Officer, President, Chief Financial Officer, Treasurer, Chief Legal Officer, Corporate Controller or Secretary.</w:t>
      </w:r>
    </w:p>
    <w:p>
      <w:pPr>
        <w:spacing w:after="0" w:line="152"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subject to Section 17.05, the Trustee shall receive an Officer’s Certificate and an Opinion of Counsel of the Company with respect to the issuance, authentication and delivery of such Notes.</w:t>
      </w:r>
    </w:p>
    <w:p>
      <w:pPr>
        <w:spacing w:after="0" w:line="157"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57"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Exchange and Registration of Transfer of Notes; Restrictions on Transfer; Depositary</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firstLine="582"/>
        <w:spacing w:after="0" w:line="241" w:lineRule="auto"/>
        <w:tabs>
          <w:tab w:leader="none" w:pos="95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for the purpose of registering Notes and transfers of Notes as herein provided. The Company may appoint one or more co-Note Registrars in accordance with Section 4.02.</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27" w:name="page28"/>
    <w:bookmarkEnd w:id="27"/>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55"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Notes may be exchanged for other Notes of any authorized denominations and of a like aggregate principal amount, upon surrender of the Notes to be exchanged at any such office or agency maintained by the Company pursuant to Section 4.02 without payment of any service charge, but the Company or the Trustee may require a Holder to pay a sum sufficient to cover any documentary, stamp or similar issue or transfer tax that may be imposed in connection therewith as a result of the name of the Holder of the new Notes issued upon such exchange of Notes being different from the name of the Holder of the old Notes surrendered for such exchange.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61"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All Notes presented or surrendered for registration of transfer or for exchange, repurchase or conversion shall (if so required by the Company, the Trustee, the Note Registrar or any co- Note Registrar) be duly endorsed, or be accompanied by a written instrument or instruments of transfer in form satisfactory to the Company and duly executed, by the Holder thereof or its attorney-in-fact duly authorized in writing.</w:t>
      </w:r>
    </w:p>
    <w:p>
      <w:pPr>
        <w:spacing w:after="0" w:line="152"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No service charge shall be imposed by the Company, the Trustee, the Note Registrar, any co-Note Registrar or the Paying Agent for any registration of transfer or exchange of Notes, but the Company or the Trustee may require a Holder to pay a sum sufficient to cover any transfer tax or other similar governmental charge required by law or permitted by this Indenture.</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required repurchase upon a Fundamental Change (and not withdrawn) in accordance with Article 15 or (iii) any Notes selected for redemption in accordance with Article 16, except the unredeemed portion of any Note being redeemed in part.</w:t>
      </w:r>
    </w:p>
    <w:p>
      <w:pPr>
        <w:spacing w:after="0" w:line="155"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43" w:lineRule="exact"/>
        <w:rPr>
          <w:sz w:val="20"/>
          <w:szCs w:val="20"/>
          <w:color w:val="auto"/>
        </w:rPr>
      </w:pPr>
    </w:p>
    <w:p>
      <w:pPr>
        <w:jc w:val="both"/>
        <w:ind w:right="20" w:firstLine="582"/>
        <w:spacing w:after="0" w:line="241" w:lineRule="auto"/>
        <w:tabs>
          <w:tab w:leader="none" w:pos="95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28" w:name="page29"/>
    <w:bookmarkEnd w:id="28"/>
    <w:p>
      <w:pPr>
        <w:ind w:firstLine="582"/>
        <w:spacing w:after="0" w:line="239" w:lineRule="auto"/>
        <w:tabs>
          <w:tab w:leader="none" w:pos="102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encompasses any sale, pledge, transfer or other disposition whatsoever of any Restricted Security.</w:t>
      </w:r>
    </w:p>
    <w:p>
      <w:pPr>
        <w:spacing w:after="0" w:line="159" w:lineRule="exact"/>
        <w:rPr>
          <w:sz w:val="20"/>
          <w:szCs w:val="20"/>
          <w:color w:val="auto"/>
        </w:rPr>
      </w:pPr>
    </w:p>
    <w:p>
      <w:pPr>
        <w:jc w:val="both"/>
        <w:ind w:right="20" w:firstLine="576"/>
        <w:spacing w:after="0" w:line="279" w:lineRule="auto"/>
        <w:rPr>
          <w:sz w:val="20"/>
          <w:szCs w:val="20"/>
          <w:color w:val="auto"/>
        </w:rPr>
      </w:pPr>
      <w:r>
        <w:rPr>
          <w:rFonts w:ascii="Times New Roman" w:cs="Times New Roman" w:eastAsia="Times New Roman" w:hAnsi="Times New Roman"/>
          <w:sz w:val="14"/>
          <w:szCs w:val="14"/>
          <w:color w:val="auto"/>
        </w:rPr>
        <w:t>Any certificate evidencing a Note will bear the Non- Affiliate Legend. Until the date (the “</w:t>
      </w:r>
      <w:r>
        <w:rPr>
          <w:rFonts w:ascii="Times New Roman" w:cs="Times New Roman" w:eastAsia="Times New Roman" w:hAnsi="Times New Roman"/>
          <w:sz w:val="14"/>
          <w:szCs w:val="14"/>
          <w:b w:val="1"/>
          <w:bCs w:val="1"/>
          <w:color w:val="auto"/>
        </w:rPr>
        <w:t>Resale Restriction Termination Date</w:t>
      </w:r>
      <w:r>
        <w:rPr>
          <w:rFonts w:ascii="Times New Roman" w:cs="Times New Roman" w:eastAsia="Times New Roman" w:hAnsi="Times New Roman"/>
          <w:sz w:val="14"/>
          <w:szCs w:val="14"/>
          <w:color w:val="auto"/>
        </w:rPr>
        <w:t>”) that is the later of (1) the date that is one year after the Issue Date hereof,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4"/>
          <w:szCs w:val="14"/>
          <w:b w:val="1"/>
          <w:bCs w:val="1"/>
          <w:color w:val="auto"/>
        </w:rPr>
        <w:t>Restrictive Notes Legend</w:t>
      </w:r>
      <w:r>
        <w:rPr>
          <w:rFonts w:ascii="Times New Roman" w:cs="Times New Roman" w:eastAsia="Times New Roman" w:hAnsi="Times New Roman"/>
          <w:sz w:val="14"/>
          <w:szCs w:val="14"/>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32" w:lineRule="exact"/>
        <w:rPr>
          <w:sz w:val="20"/>
          <w:szCs w:val="20"/>
          <w:color w:val="auto"/>
        </w:rPr>
      </w:pPr>
    </w:p>
    <w:p>
      <w:pPr>
        <w:jc w:val="both"/>
        <w:ind w:right="80" w:firstLine="576"/>
        <w:spacing w:after="0" w:line="243" w:lineRule="auto"/>
        <w:rPr>
          <w:sz w:val="20"/>
          <w:szCs w:val="20"/>
          <w:color w:val="auto"/>
        </w:rPr>
      </w:pPr>
      <w:r>
        <w:rPr>
          <w:rFonts w:ascii="Times New Roman" w:cs="Times New Roman" w:eastAsia="Times New Roman" w:hAnsi="Times New Roman"/>
          <w:sz w:val="16"/>
          <w:szCs w:val="16"/>
          <w:color w:val="auto"/>
        </w:rPr>
        <w:t xml:space="preserve">THIS SECURITY AND ANY COMMON STOCK ISSUABLE UPON CONVERSION OF THIS SECURITY HAVE NOT BEEN REGISTERED UNDER THE SECURITIES ACT OF 1933, AS AMENDED (THE “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580" w:right="80" w:firstLine="434"/>
        <w:spacing w:after="0" w:line="247" w:lineRule="auto"/>
        <w:tabs>
          <w:tab w:leader="none" w:pos="14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0" w:lineRule="exact"/>
        <w:rPr>
          <w:rFonts w:ascii="Times New Roman" w:cs="Times New Roman" w:eastAsia="Times New Roman" w:hAnsi="Times New Roman"/>
          <w:sz w:val="16"/>
          <w:szCs w:val="16"/>
          <w:color w:val="auto"/>
        </w:rPr>
      </w:pPr>
    </w:p>
    <w:p>
      <w:pPr>
        <w:jc w:val="both"/>
        <w:ind w:left="580" w:right="60" w:firstLine="434"/>
        <w:spacing w:after="0" w:line="244" w:lineRule="auto"/>
        <w:tabs>
          <w:tab w:leader="none" w:pos="14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COHU,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ISSUE DATE HEREOF OR SUCH SHORTER PERIOD OF TIME AS PERMITTED BY RULE 144 UNDER THE SECURITIES ACT OR ANY SUCCESSOR PROVISION THERETO AND (Y) SUCH LATER DATE, IF ANY, AS MAY BE REQUIRED BY APPLICABLE LAW, EXCEPT:</w:t>
      </w:r>
    </w:p>
    <w:p>
      <w:pPr>
        <w:spacing w:after="0" w:line="154" w:lineRule="exact"/>
        <w:rPr>
          <w:rFonts w:ascii="Times New Roman" w:cs="Times New Roman" w:eastAsia="Times New Roman" w:hAnsi="Times New Roman"/>
          <w:sz w:val="16"/>
          <w:szCs w:val="16"/>
          <w:color w:val="auto"/>
        </w:rPr>
      </w:pPr>
    </w:p>
    <w:p>
      <w:pPr>
        <w:ind w:left="1900" w:hanging="454"/>
        <w:spacing w:after="0"/>
        <w:tabs>
          <w:tab w:leader="none" w:pos="19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29" w:name="page30"/>
    <w:bookmarkEnd w:id="29"/>
    <w:p>
      <w:pPr>
        <w:ind w:left="1880" w:hanging="434"/>
        <w:spacing w:after="0"/>
        <w:tabs>
          <w:tab w:leader="none" w:pos="1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WHICH HAS BECOME EFFECTIVE UNDER THE SECURITIES ACT, OR</w:t>
      </w:r>
    </w:p>
    <w:p>
      <w:pPr>
        <w:spacing w:after="0" w:line="176" w:lineRule="exact"/>
        <w:rPr>
          <w:rFonts w:ascii="Times New Roman" w:cs="Times New Roman" w:eastAsia="Times New Roman" w:hAnsi="Times New Roman"/>
          <w:sz w:val="16"/>
          <w:szCs w:val="16"/>
          <w:color w:val="auto"/>
        </w:rPr>
      </w:pPr>
    </w:p>
    <w:p>
      <w:pPr>
        <w:ind w:left="1020" w:right="80" w:firstLine="426"/>
        <w:spacing w:after="0" w:line="259" w:lineRule="auto"/>
        <w:tabs>
          <w:tab w:leader="none" w:pos="195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3" w:lineRule="exact"/>
        <w:rPr>
          <w:rFonts w:ascii="Times New Roman" w:cs="Times New Roman" w:eastAsia="Times New Roman" w:hAnsi="Times New Roman"/>
          <w:sz w:val="16"/>
          <w:szCs w:val="16"/>
          <w:color w:val="auto"/>
        </w:rPr>
      </w:pPr>
    </w:p>
    <w:p>
      <w:pPr>
        <w:ind w:left="1020" w:right="40" w:firstLine="426"/>
        <w:spacing w:after="0" w:line="259" w:lineRule="auto"/>
        <w:tabs>
          <w:tab w:leader="none" w:pos="201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(IF AVAILABLE) OR ANY OTHER AVAILABLE EXEMPTION FROM THE REGISTRATION REQUIREMENTS OF THE SECURITIES ACT.</w:t>
      </w:r>
    </w:p>
    <w:p>
      <w:pPr>
        <w:spacing w:after="0" w:line="143"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57" w:lineRule="exact"/>
        <w:rPr>
          <w:sz w:val="20"/>
          <w:szCs w:val="20"/>
          <w:color w:val="auto"/>
        </w:rPr>
      </w:pPr>
    </w:p>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No transfer of any Note prior to the Resale Restriction Termination Date will be registered by the Note Registrar unless the applicable box on the Form of Assignment and Transfer has been checked.</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Any Note (or security issued in exchange or substitution therefor) (i) as to which such restrictions on transfer shall have expired in accordance with their terms,</w:t>
      </w:r>
    </w:p>
    <w:p>
      <w:pPr>
        <w:spacing w:after="0" w:line="37" w:lineRule="exact"/>
        <w:rPr>
          <w:sz w:val="20"/>
          <w:szCs w:val="20"/>
          <w:color w:val="auto"/>
        </w:rPr>
      </w:pPr>
    </w:p>
    <w:p>
      <w:pPr>
        <w:jc w:val="both"/>
        <w:ind w:firstLine="6"/>
        <w:spacing w:after="0" w:line="235" w:lineRule="auto"/>
        <w:tabs>
          <w:tab w:leader="none" w:pos="23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30" w:name="page31"/>
    <w:bookmarkEnd w:id="30"/>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55"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52"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4"/>
          <w:szCs w:val="14"/>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34"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55"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31" w:name="page32"/>
    <w:bookmarkEnd w:id="31"/>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None of the Company, the Trustee (including in its capacity as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19" w:lineRule="exact"/>
        <w:rPr>
          <w:sz w:val="20"/>
          <w:szCs w:val="20"/>
          <w:color w:val="auto"/>
        </w:rPr>
      </w:pPr>
    </w:p>
    <w:p>
      <w:pPr>
        <w:jc w:val="both"/>
        <w:ind w:right="40" w:firstLine="582"/>
        <w:spacing w:after="0" w:line="239" w:lineRule="auto"/>
        <w:tabs>
          <w:tab w:leader="none" w:pos="9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56" w:lineRule="exact"/>
        <w:rPr>
          <w:sz w:val="20"/>
          <w:szCs w:val="20"/>
          <w:color w:val="auto"/>
        </w:rPr>
      </w:pPr>
    </w:p>
    <w:p>
      <w:pPr>
        <w:jc w:val="both"/>
        <w:ind w:right="60" w:firstLine="576"/>
        <w:spacing w:after="0" w:line="248"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2" w:lineRule="exact"/>
        <w:rPr>
          <w:sz w:val="20"/>
          <w:szCs w:val="20"/>
          <w:color w:val="auto"/>
        </w:rPr>
      </w:pPr>
    </w:p>
    <w:p>
      <w:pPr>
        <w:jc w:val="both"/>
        <w:ind w:left="580" w:right="80" w:firstLine="434"/>
        <w:spacing w:after="0" w:line="247" w:lineRule="auto"/>
        <w:tabs>
          <w:tab w:leader="none" w:pos="146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0" w:lineRule="exact"/>
        <w:rPr>
          <w:rFonts w:ascii="Times New Roman" w:cs="Times New Roman" w:eastAsia="Times New Roman" w:hAnsi="Times New Roman"/>
          <w:sz w:val="16"/>
          <w:szCs w:val="16"/>
          <w:color w:val="auto"/>
        </w:rPr>
      </w:pPr>
    </w:p>
    <w:p>
      <w:pPr>
        <w:jc w:val="both"/>
        <w:ind w:left="580" w:right="60" w:firstLine="434"/>
        <w:spacing w:after="0" w:line="241" w:lineRule="auto"/>
        <w:tabs>
          <w:tab w:leader="none" w:pos="146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COHU,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PRIOR TO THE DATE THAT IS THE LATER OF (X) ONE YEAR AFTER THE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58" w:lineRule="exact"/>
        <w:rPr>
          <w:rFonts w:ascii="Times New Roman" w:cs="Times New Roman" w:eastAsia="Times New Roman" w:hAnsi="Times New Roman"/>
          <w:sz w:val="16"/>
          <w:szCs w:val="16"/>
          <w:color w:val="auto"/>
        </w:rPr>
      </w:pPr>
    </w:p>
    <w:p>
      <w:pPr>
        <w:ind w:left="1900" w:hanging="454"/>
        <w:spacing w:after="0"/>
        <w:tabs>
          <w:tab w:leader="none" w:pos="19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76" w:lineRule="exact"/>
        <w:rPr>
          <w:rFonts w:ascii="Times New Roman" w:cs="Times New Roman" w:eastAsia="Times New Roman" w:hAnsi="Times New Roman"/>
          <w:sz w:val="16"/>
          <w:szCs w:val="16"/>
          <w:color w:val="auto"/>
        </w:rPr>
      </w:pPr>
    </w:p>
    <w:p>
      <w:pPr>
        <w:ind w:left="1880" w:hanging="434"/>
        <w:spacing w:after="0"/>
        <w:tabs>
          <w:tab w:leader="none" w:pos="18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WHICH HAS BECOME EFFECTIVE UNDER THE SECURITIES ACT, OR</w:t>
      </w:r>
    </w:p>
    <w:p>
      <w:pPr>
        <w:spacing w:after="0" w:line="176" w:lineRule="exact"/>
        <w:rPr>
          <w:rFonts w:ascii="Times New Roman" w:cs="Times New Roman" w:eastAsia="Times New Roman" w:hAnsi="Times New Roman"/>
          <w:sz w:val="16"/>
          <w:szCs w:val="16"/>
          <w:color w:val="auto"/>
        </w:rPr>
      </w:pPr>
    </w:p>
    <w:p>
      <w:pPr>
        <w:ind w:left="1020" w:right="100" w:firstLine="426"/>
        <w:spacing w:after="0" w:line="259" w:lineRule="auto"/>
        <w:tabs>
          <w:tab w:leader="none" w:pos="195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32" w:name="page33"/>
    <w:bookmarkEnd w:id="32"/>
    <w:p>
      <w:pPr>
        <w:ind w:left="1020" w:right="20" w:firstLine="426"/>
        <w:spacing w:after="0" w:line="259" w:lineRule="auto"/>
        <w:tabs>
          <w:tab w:leader="none" w:pos="201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(IF AVAILABLE) OR ANY OTHER AVAILABLE EXEMPTION FROM THE REGISTRATION REQUIREMENTS OF THE SECURITIES ACT.</w:t>
      </w:r>
    </w:p>
    <w:p>
      <w:pPr>
        <w:spacing w:after="0" w:line="143"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57"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4"/>
          <w:szCs w:val="14"/>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28" w:lineRule="exact"/>
        <w:rPr>
          <w:sz w:val="20"/>
          <w:szCs w:val="20"/>
          <w:color w:val="auto"/>
        </w:rPr>
      </w:pPr>
    </w:p>
    <w:p>
      <w:pPr>
        <w:jc w:val="both"/>
        <w:ind w:firstLine="576"/>
        <w:spacing w:after="0" w:line="289"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5" w:lineRule="exact"/>
        <w:rPr>
          <w:sz w:val="20"/>
          <w:szCs w:val="20"/>
          <w:color w:val="auto"/>
        </w:rPr>
      </w:pPr>
    </w:p>
    <w:p>
      <w:pPr>
        <w:jc w:val="both"/>
        <w:ind w:firstLine="582"/>
        <w:spacing w:after="0" w:line="241" w:lineRule="auto"/>
        <w:tabs>
          <w:tab w:leader="none" w:pos="99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 or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The Company will use commercially reasonable efforts to prevent any of its controlled Affiliates from acquiring any Notes (or any beneficial interest therein).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5" w:right="680" w:bottom="1440" w:gutter="0" w:footer="0" w:header="0"/>
        </w:sectPr>
      </w:pPr>
    </w:p>
    <w:bookmarkStart w:id="33" w:name="page34"/>
    <w:bookmarkEnd w:id="33"/>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Mutilated, Destroyed, Lost or Stolen Notes</w:t>
      </w:r>
      <w:r>
        <w:rPr>
          <w:rFonts w:ascii="Times New Roman" w:cs="Times New Roman" w:eastAsia="Times New Roman" w:hAnsi="Times New Roman"/>
          <w:sz w:val="16"/>
          <w:szCs w:val="16"/>
          <w:color w:val="auto"/>
        </w:rPr>
        <w:t>.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60" w:lineRule="exact"/>
        <w:rPr>
          <w:sz w:val="20"/>
          <w:szCs w:val="20"/>
          <w:color w:val="auto"/>
        </w:rPr>
      </w:pPr>
    </w:p>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60"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34" w:name="page35"/>
    <w:bookmarkEnd w:id="34"/>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Temporary Notes</w:t>
      </w:r>
      <w:r>
        <w:rPr>
          <w:rFonts w:ascii="Times New Roman" w:cs="Times New Roman" w:eastAsia="Times New Roman" w:hAnsi="Times New Roman"/>
          <w:sz w:val="16"/>
          <w:szCs w:val="16"/>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56"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Cancellation of Notes Paid, Converted, Etc</w:t>
      </w:r>
      <w:r>
        <w:rPr>
          <w:rFonts w:ascii="Times New Roman" w:cs="Times New Roman" w:eastAsia="Times New Roman" w:hAnsi="Times New Roman"/>
          <w:sz w:val="16"/>
          <w:szCs w:val="16"/>
          <w:color w:val="auto"/>
        </w:rPr>
        <w:t>. The Company shall cause all Notes surrendered for the purpose of payment at maturity, repurchase upon a Fundamental Change, redemption, registration of transfer or exchange or conversion (other than any Notes exchanged pursuant to Section 14.12), if surrendered to the Company, any of its agents that it controls or its Subsidiaries, to be surrendered to the Trustee for cancellation. All Notes delivered to the Trustee shall be canceled promptly by it in accordance with its customary procedures upon the Company’s written request.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58"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35" w:name="page36"/>
    <w:bookmarkEnd w:id="35"/>
    <w:p>
      <w:pPr>
        <w:jc w:val="both"/>
        <w:ind w:firstLine="576"/>
        <w:spacing w:after="0" w:line="236"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Additional Notes; Repurchases</w:t>
      </w:r>
      <w:r>
        <w:rPr>
          <w:rFonts w:ascii="Times New Roman" w:cs="Times New Roman" w:eastAsia="Times New Roman" w:hAnsi="Times New Roman"/>
          <w:sz w:val="16"/>
          <w:szCs w:val="16"/>
          <w:color w:val="auto"/>
        </w:rPr>
        <w:t xml:space="preserve">. The Company may, without the consent of, or notice to, the Holders and notwithstanding Section 2.01, reopen this Indenture and issue additional Notes hereunder with the same terms as the Notes issued on the Issue Date (other than differences in the issue date, the issue price, the initial Interest Payment Date,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additional Notes are not fungible with the Notes issued on the Issue Date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without consent of the Holders of the Notes,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 -settled swaps or other derivatives, in each case, without the consent of or notice to the Holders of the Notes. The Company may, at its option, reissue, resell or surrender to the Trustee for cancellation any Notes that it repurchases, in the case of a reissuance or resale, so long as such Notes do not constitute “restricted securities” (as defined under Rule 144) upon such reissuance or resale;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reissued or resold Notes are not fungible with the Notes issued on the Issue Date for U.S. federal income tax or securities law purposes, such reissued or resold Notes shall have one or more separate CUSIP numbers. Any Notes that the Company may repurchase (other than in connection with a Fundamental Change or upon redemption)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Satisfaction and Discharge</w:t>
      </w:r>
    </w:p>
    <w:p>
      <w:pPr>
        <w:spacing w:after="0" w:line="156"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Satisfaction and Discharge</w:t>
      </w:r>
      <w:r>
        <w:rPr>
          <w:rFonts w:ascii="Times New Roman" w:cs="Times New Roman" w:eastAsia="Times New Roman" w:hAnsi="Times New Roman"/>
          <w:sz w:val="16"/>
          <w:szCs w:val="16"/>
          <w:color w:val="auto"/>
        </w:rPr>
        <w:t>. This Indenture and the Notes shall cease to be of further effect when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the Company has deposited with the Trustee, or, in the case of shares of Common Stock to satisfy conversions, the transfer agent for the Common Stock, or delivered to Holders, as applicable, after the Notes have become due and payable, whether on the Maturity Date, any Redemption Date, any Fundamental Change Repurchase Date, upon conversion or otherwise, cash or, solely in the case of conversion, cash and shares of Common Stock, if applicable, sufficient to pay all of the outstanding Notes and all other sums due and payable under this Indenture or the Notes by the Company; and the Trustee upon request of the Company contained in an Officer’s Certificate and at the expense of the Company, shall execute such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under Section 7.06 shall survive.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Particular Covenants of the Company</w:t>
      </w:r>
    </w:p>
    <w:p>
      <w:pPr>
        <w:spacing w:after="0" w:line="156"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36" w:name="page37"/>
    <w:bookmarkEnd w:id="36"/>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Any applicable withholding taxes (including backup withholding) that are paid on behalf of a Holder or beneficial owner of the Notes, including any withholding taxes that are paid as a result of an adjustment or the non- occurrence of an adjustment to the Conversion Rate, may be withheld from or set off against interest payments and payments or deliveries received upon conversion, repurchase, redemption or maturity of the Notes (or, in some circumstances, any payments on the Common Stock) or sales proceeds received by, or other funds or assets of, the Holder or beneficial owner.</w:t>
      </w:r>
    </w:p>
    <w:p>
      <w:pPr>
        <w:spacing w:after="0" w:line="153"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Maintenance of Office or Agency</w:t>
      </w:r>
      <w:r>
        <w:rPr>
          <w:rFonts w:ascii="Times New Roman" w:cs="Times New Roman" w:eastAsia="Times New Roman" w:hAnsi="Times New Roman"/>
          <w:sz w:val="16"/>
          <w:szCs w:val="16"/>
          <w:color w:val="auto"/>
        </w:rPr>
        <w:t>. The Company will maintain in the contiguous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or for conversion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xml:space="preserve"> ”)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contiguous United States of America.</w:t>
      </w:r>
    </w:p>
    <w:p>
      <w:pPr>
        <w:spacing w:after="0" w:line="158"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designation or rescission shall in any manner relieve the Company of its obligation to maintain an office or agency in the contiguous United States of America for such purposes. The Company will give prompt written notice to the Trustee of any such designation or rescission and of any change in the location of any such other office or agency. The terms “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include any such additional or other offices or agencies, as applicable.</w:t>
      </w:r>
    </w:p>
    <w:p>
      <w:pPr>
        <w:spacing w:after="0" w:line="157"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 xml:space="preserve">The Company hereby initially designates the Trustee as the Paying Agent, Note Registrar, Custodian and Conversion Agent and the Corporate Trust Office as the office or agency 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office of the Trustee shall be a place for service of legal process for the Company.</w:t>
      </w:r>
    </w:p>
    <w:p>
      <w:pPr>
        <w:spacing w:after="0" w:line="153"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Appointments to Fill Vacancies in Trustee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Office</w:t>
      </w:r>
      <w:r>
        <w:rPr>
          <w:rFonts w:ascii="Times New Roman" w:cs="Times New Roman" w:eastAsia="Times New Roman" w:hAnsi="Times New Roman"/>
          <w:sz w:val="16"/>
          <w:szCs w:val="16"/>
          <w:color w:val="auto"/>
        </w:rPr>
        <w:t>. The Company, whenever necessary to avoid or fill a vacancy in the office of Trustee, will appoint, in the manner provided in Section 7.09, a Trustee, so that there shall at all times be a Trustee hereunder.</w:t>
      </w:r>
    </w:p>
    <w:p>
      <w:pPr>
        <w:spacing w:after="0" w:line="138"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Provisions as to Paying Agent</w:t>
      </w:r>
      <w:r>
        <w:rPr>
          <w:rFonts w:ascii="Times New Roman" w:cs="Times New Roman" w:eastAsia="Times New Roman" w:hAnsi="Times New Roman"/>
          <w:sz w:val="16"/>
          <w:szCs w:val="16"/>
          <w:color w:val="auto"/>
        </w:rPr>
        <w:t>.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40" w:lineRule="exact"/>
        <w:rPr>
          <w:sz w:val="20"/>
          <w:szCs w:val="20"/>
          <w:color w:val="auto"/>
        </w:rPr>
      </w:pPr>
    </w:p>
    <w:p>
      <w:pPr>
        <w:ind w:left="580" w:firstLine="434"/>
        <w:spacing w:after="0" w:line="259" w:lineRule="auto"/>
        <w:tabs>
          <w:tab w:leader="none" w:pos="13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37" w:name="page38"/>
    <w:bookmarkEnd w:id="37"/>
    <w:p>
      <w:pPr>
        <w:jc w:val="both"/>
        <w:ind w:left="580" w:right="20" w:firstLine="434"/>
        <w:spacing w:after="0" w:line="247" w:lineRule="auto"/>
        <w:tabs>
          <w:tab w:leader="none" w:pos="133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52"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at any time during the continuance of an Event of Default, upon request of the Trustee, it will forthwith pay to the Trustee all sums so held in</w:t>
      </w:r>
    </w:p>
    <w:p>
      <w:pPr>
        <w:spacing w:after="0" w:line="37"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trust.</w:t>
      </w:r>
    </w:p>
    <w:p>
      <w:pPr>
        <w:spacing w:after="0" w:line="158"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deposit is made on the due date, such deposit must be received by the Paying Agent by 11:00 a.m., New York City time, on such date.</w:t>
      </w:r>
    </w:p>
    <w:p>
      <w:pPr>
        <w:spacing w:after="0" w:line="157" w:lineRule="exact"/>
        <w:rPr>
          <w:sz w:val="20"/>
          <w:szCs w:val="20"/>
          <w:color w:val="auto"/>
        </w:rPr>
      </w:pPr>
    </w:p>
    <w:p>
      <w:pPr>
        <w:jc w:val="both"/>
        <w:ind w:firstLine="582"/>
        <w:spacing w:after="0" w:line="239" w:lineRule="auto"/>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61" w:lineRule="exact"/>
        <w:rPr>
          <w:rFonts w:ascii="Times New Roman" w:cs="Times New Roman" w:eastAsia="Times New Roman" w:hAnsi="Times New Roman"/>
          <w:sz w:val="16"/>
          <w:szCs w:val="16"/>
          <w:color w:val="auto"/>
        </w:rPr>
      </w:pPr>
    </w:p>
    <w:p>
      <w:pPr>
        <w:jc w:val="both"/>
        <w:ind w:right="20" w:firstLine="582"/>
        <w:spacing w:after="0" w:line="289" w:lineRule="auto"/>
        <w:tabs>
          <w:tab w:leader="none" w:pos="90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24" w:lineRule="exact"/>
        <w:rPr>
          <w:rFonts w:ascii="Times New Roman" w:cs="Times New Roman" w:eastAsia="Times New Roman" w:hAnsi="Times New Roman"/>
          <w:sz w:val="14"/>
          <w:szCs w:val="14"/>
          <w:color w:val="auto"/>
        </w:rPr>
      </w:pPr>
    </w:p>
    <w:p>
      <w:pPr>
        <w:jc w:val="both"/>
        <w:ind w:right="20" w:firstLine="582"/>
        <w:spacing w:after="0" w:line="239" w:lineRule="auto"/>
        <w:tabs>
          <w:tab w:leader="none" w:pos="95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4"/>
          <w:szCs w:val="14"/>
          <w:color w:val="auto"/>
        </w:rPr>
        <w:t xml:space="preserve">(e)  Upon any Event of Default pursuant to Section 6.01(h) or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with respect to the Company, the Trustee shall automatically be Paying Agent for the Notes.</w:t>
      </w:r>
    </w:p>
    <w:p>
      <w:pPr>
        <w:spacing w:after="0" w:line="197"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i w:val="1"/>
          <w:iCs w:val="1"/>
          <w:color w:val="auto"/>
        </w:rPr>
        <w:t>Existence</w:t>
      </w:r>
      <w:r>
        <w:rPr>
          <w:rFonts w:ascii="Times New Roman" w:cs="Times New Roman" w:eastAsia="Times New Roman" w:hAnsi="Times New Roman"/>
          <w:sz w:val="16"/>
          <w:szCs w:val="16"/>
          <w:color w:val="auto"/>
        </w:rPr>
        <w:t>. Subject to Article 11, the Company shall do or cause to be done all things necessary to preserve and keep in full force and effect its corporate existence.</w:t>
      </w:r>
    </w:p>
    <w:p>
      <w:pPr>
        <w:spacing w:after="0" w:line="138"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i w:val="1"/>
          <w:iCs w:val="1"/>
          <w:color w:val="auto"/>
        </w:rPr>
        <w:t>Rule 144A Information Requirement and Annual Reports</w:t>
      </w:r>
      <w:r>
        <w:rPr>
          <w:rFonts w:ascii="Times New Roman" w:cs="Times New Roman" w:eastAsia="Times New Roman" w:hAnsi="Times New Roman"/>
          <w:sz w:val="14"/>
          <w:szCs w:val="14"/>
          <w:color w:val="auto"/>
        </w:rPr>
        <w:t>.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 The Company shall take such further action as any Holder or beneficial owner of such Notes or such Common Stock, as the case may be, may reasonably request to the extent from time to time required to enable such Holder or beneficial owner to sell such Notes or such Common Stock, as the case may be, in accordance with Rule 144A under the Securities Act, as such rule may be amended from time to time. The provisions of this Section 4.06(a) shall expire when the restrictive legend on the Notes specified in Section 2.05(c) has been removed.</w:t>
      </w:r>
    </w:p>
    <w:p>
      <w:pPr>
        <w:spacing w:after="0" w:line="136" w:lineRule="exact"/>
        <w:rPr>
          <w:sz w:val="20"/>
          <w:szCs w:val="20"/>
          <w:color w:val="auto"/>
        </w:rPr>
      </w:pPr>
    </w:p>
    <w:p>
      <w:pPr>
        <w:jc w:val="both"/>
        <w:ind w:firstLine="582"/>
        <w:spacing w:after="0" w:line="238" w:lineRule="auto"/>
        <w:tabs>
          <w:tab w:leader="none" w:pos="89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giving effect to any grace period provided by Rule 12b-25 under the Exchange Act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160" w:lineRule="exact"/>
        <w:rPr>
          <w:rFonts w:ascii="Times New Roman" w:cs="Times New Roman" w:eastAsia="Times New Roman" w:hAnsi="Times New Roman"/>
          <w:sz w:val="16"/>
          <w:szCs w:val="16"/>
          <w:color w:val="auto"/>
        </w:rPr>
      </w:pPr>
    </w:p>
    <w:p>
      <w:pPr>
        <w:jc w:val="both"/>
        <w:ind w:firstLine="582"/>
        <w:spacing w:after="0" w:line="299" w:lineRule="auto"/>
        <w:tabs>
          <w:tab w:leader="none" w:pos="87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39" w:name="page40"/>
    <w:bookmarkEnd w:id="39"/>
    <w:p>
      <w:pPr>
        <w:ind w:firstLine="582"/>
        <w:spacing w:after="0" w:line="272" w:lineRule="auto"/>
        <w:tabs>
          <w:tab w:leader="none" w:pos="88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during the six-month period beginning on, and including, the date that is six months after the Issue Date, the Company fails to timely file any document or report that it is required to file with the Commission pursuant to Section 13 or 15(d) of the Exchange Act, as applicable (after giving effect to all applicable grace periods thereunder and other than reports on Form 8-K, including any grace period provided by Rule 12b-25 (or any successor rule), which grace period for the avoidance of doubt, shall be deemed applicable whether or not the Company checks the box in the relevant Rule 12b-25 filing indicating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0.25% per annum for the principal amount of the Notes outstanding for each day during the first 90 days of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and at the rate of 0.50% per annum of the principal amount of the Notes outstanding for each day after the 90th day of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0" w:name="page41"/>
    <w:bookmarkEnd w:id="40"/>
    <w:p>
      <w:pPr>
        <w:jc w:val="both"/>
        <w:ind w:firstLine="582"/>
        <w:spacing w:after="0" w:line="236" w:lineRule="auto"/>
        <w:tabs>
          <w:tab w:leader="none" w:pos="90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380th day after the Issue Date (the “</w:t>
      </w:r>
      <w:r>
        <w:rPr>
          <w:rFonts w:ascii="Times New Roman" w:cs="Times New Roman" w:eastAsia="Times New Roman" w:hAnsi="Times New Roman"/>
          <w:sz w:val="16"/>
          <w:szCs w:val="16"/>
          <w:b w:val="1"/>
          <w:bCs w:val="1"/>
          <w:color w:val="auto"/>
        </w:rPr>
        <w:t>Legend Removal Deadline Date</w:t>
      </w:r>
      <w:r>
        <w:rPr>
          <w:rFonts w:ascii="Times New Roman" w:cs="Times New Roman" w:eastAsia="Times New Roman" w:hAnsi="Times New Roman"/>
          <w:sz w:val="16"/>
          <w:szCs w:val="16"/>
          <w:color w:val="auto"/>
        </w:rPr>
        <w:t xml:space="preserve">”), the Company shall pay Additional Interest on the Notes at a rate equal to 0.25% per annum of the principal amount of Notes outstanding for each day during the period beginning on, and including, the Legend Removal Deadline Date and ending on the earlier of (x) the 90th day immediately following the Legend Removal Deadline Date and (y) the date on which the Restrictive Notes Legend has been removed from the Notes, the Notes are assigned an unrestricted CUSIP number and the Notes are freely tradable pursuant to Rule 144 by Holders other than the Company’s Affiliates (or Holders that were the Company’s Affiliates at any time during the three months immediately preceding) and at a rate equal to 0.50% per annum of the principal amount of Notes outstanding for each day during the period beginning on, and including, the 91st day immediately following the Legend Removal Deadline Date and ending on the date on which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Additional Interest shall accrue or be owed pursuant to this Section 4.06(e) until the fifteenth Business Day following written notification to the Company by any Holder or beneficial owner of the Notes requesting that the Company comply with its obligations described in this Section 4.06(e) (which notice may be given at any time after the 330th day after the Issue Date), it being understood and agreed that in no event shall Additional Interest accrue or be owed pursuant to this Section 4.06(e) for any period prior to the 380th day after the Issue Date.</w:t>
      </w:r>
    </w:p>
    <w:p>
      <w:pPr>
        <w:spacing w:after="0" w:line="166" w:lineRule="exact"/>
        <w:rPr>
          <w:rFonts w:ascii="Times New Roman" w:cs="Times New Roman" w:eastAsia="Times New Roman" w:hAnsi="Times New Roman"/>
          <w:sz w:val="16"/>
          <w:szCs w:val="16"/>
          <w:color w:val="auto"/>
        </w:rPr>
      </w:pPr>
    </w:p>
    <w:p>
      <w:pPr>
        <w:ind w:left="920" w:hanging="338"/>
        <w:spacing w:after="0"/>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Interest will be payable in arrears on each Interest Payment Date following accrual in the same manner as regular interest on the Notes.</w:t>
      </w:r>
    </w:p>
    <w:p>
      <w:pPr>
        <w:spacing w:after="0" w:line="176" w:lineRule="exact"/>
        <w:rPr>
          <w:rFonts w:ascii="Times New Roman" w:cs="Times New Roman" w:eastAsia="Times New Roman" w:hAnsi="Times New Roman"/>
          <w:sz w:val="16"/>
          <w:szCs w:val="16"/>
          <w:color w:val="auto"/>
        </w:rPr>
      </w:pPr>
    </w:p>
    <w:p>
      <w:pPr>
        <w:jc w:val="both"/>
        <w:ind w:right="20" w:firstLine="582"/>
        <w:spacing w:after="0" w:line="239" w:lineRule="auto"/>
        <w:tabs>
          <w:tab w:leader="none" w:pos="92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57"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91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Additional Interest is payable by the Company pursuant to Section 4.06(d) or Section 4.06(e), the Company shall deliver to the Trustee an Officer’s Certificate to that effect stating the amount of such Additional Interest that is payable and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55"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1" w:name="page42"/>
    <w:bookmarkEnd w:id="41"/>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Compliance Certificate; Statements as to Defaults</w:t>
      </w:r>
      <w:r>
        <w:rPr>
          <w:rFonts w:ascii="Times New Roman" w:cs="Times New Roman" w:eastAsia="Times New Roman" w:hAnsi="Times New Roman"/>
          <w:sz w:val="16"/>
          <w:szCs w:val="16"/>
          <w:color w:val="auto"/>
        </w:rPr>
        <w:t>. The Company shall deliver to the Trustee within 120 days after the end of each fiscal year of the Company (beginning with the fiscal year ending on December 27, 2025) an Officer’s Certificate stating whether the signers thereof have knowledge of any Event of Default that occurred during the previous year and, if so, specifying each such Event of Default and the nature thereof.</w:t>
      </w:r>
    </w:p>
    <w:p>
      <w:pPr>
        <w:spacing w:after="0" w:line="152"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is not required to deliver such notice if such Event of Default or Default has been cured (or deemed cured) or is no longer continuing.</w:t>
      </w:r>
    </w:p>
    <w:p>
      <w:pPr>
        <w:spacing w:after="0" w:line="153"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i w:val="1"/>
          <w:iCs w:val="1"/>
          <w:color w:val="auto"/>
        </w:rPr>
        <w:t>Further Instruments and Acts</w:t>
      </w:r>
      <w:r>
        <w:rPr>
          <w:rFonts w:ascii="Times New Roman" w:cs="Times New Roman" w:eastAsia="Times New Roman" w:hAnsi="Times New Roman"/>
          <w:sz w:val="16"/>
          <w:szCs w:val="16"/>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5</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Lists of Holders and Reports by the Company and the Trustee</w:t>
      </w:r>
    </w:p>
    <w:p>
      <w:pPr>
        <w:spacing w:after="0" w:line="15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Lists of Holders</w:t>
      </w:r>
      <w:r>
        <w:rPr>
          <w:rFonts w:ascii="Times New Roman" w:cs="Times New Roman" w:eastAsia="Times New Roman" w:hAnsi="Times New Roman"/>
          <w:sz w:val="16"/>
          <w:szCs w:val="16"/>
          <w:color w:val="auto"/>
        </w:rPr>
        <w:t xml:space="preserve"> . The Company covenants and agrees that it will furnish or cause to be furnished to the Trustee, semi-annually, not more than 15 days after each January 1 and July 1 in each year beginning with January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56"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Preservation and Disclosure of Lists</w:t>
      </w:r>
      <w:r>
        <w:rPr>
          <w:rFonts w:ascii="Times New Roman" w:cs="Times New Roman" w:eastAsia="Times New Roman" w:hAnsi="Times New Roman"/>
          <w:sz w:val="16"/>
          <w:szCs w:val="16"/>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Defaults and Remedies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Each of the following events shall be an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the Notes:</w:t>
      </w:r>
    </w:p>
    <w:p>
      <w:pPr>
        <w:spacing w:after="0" w:line="178" w:lineRule="exact"/>
        <w:rPr>
          <w:sz w:val="20"/>
          <w:szCs w:val="20"/>
          <w:color w:val="auto"/>
        </w:rPr>
      </w:pPr>
    </w:p>
    <w:p>
      <w:pPr>
        <w:ind w:left="5200" w:right="2160" w:hanging="4618"/>
        <w:spacing w:after="0" w:line="494" w:lineRule="auto"/>
        <w:tabs>
          <w:tab w:leader="none" w:pos="94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any payment of interest on any Note when due and payable, and the default continues for a period of 30 days;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67075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42" w:name="page43"/>
    <w:bookmarkEnd w:id="42"/>
    <w:p>
      <w:pPr>
        <w:ind w:right="20" w:firstLine="582"/>
        <w:spacing w:after="0" w:line="259" w:lineRule="auto"/>
        <w:tabs>
          <w:tab w:leader="none" w:pos="94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principal of any Note when due and payable on the Maturity Date, upon Optional Redemption, upon any required repurchase, upon declaration of acceleration or otherwise;</w:t>
      </w:r>
    </w:p>
    <w:p>
      <w:pPr>
        <w:spacing w:after="0" w:line="143" w:lineRule="exact"/>
        <w:rPr>
          <w:rFonts w:ascii="Times New Roman" w:cs="Times New Roman" w:eastAsia="Times New Roman" w:hAnsi="Times New Roman"/>
          <w:sz w:val="16"/>
          <w:szCs w:val="16"/>
          <w:color w:val="auto"/>
        </w:rPr>
      </w:pPr>
    </w:p>
    <w:p>
      <w:pPr>
        <w:ind w:right="20" w:firstLine="582"/>
        <w:spacing w:after="0" w:line="259" w:lineRule="auto"/>
        <w:tabs>
          <w:tab w:leader="none" w:pos="9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 to convert the Notes in accordance with this Indenture upon exercise of a Holder’s conversion right and such failure continues for five Business Days;</w:t>
      </w:r>
    </w:p>
    <w:p>
      <w:pPr>
        <w:spacing w:after="0" w:line="143" w:lineRule="exact"/>
        <w:rPr>
          <w:rFonts w:ascii="Times New Roman" w:cs="Times New Roman" w:eastAsia="Times New Roman" w:hAnsi="Times New Roman"/>
          <w:sz w:val="16"/>
          <w:szCs w:val="16"/>
          <w:color w:val="auto"/>
        </w:rPr>
      </w:pPr>
    </w:p>
    <w:p>
      <w:pPr>
        <w:jc w:val="both"/>
        <w:ind w:firstLine="582"/>
        <w:spacing w:after="0" w:line="247" w:lineRule="auto"/>
        <w:tabs>
          <w:tab w:leader="none" w:pos="9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issue a Fundamental Change Company Notice in accordance with Section 15.02(c) or notice of a Make-Whole Fundamental Change in accordance with Section 14.03(b), in either case when due and such failure continues for two Business Days, or notice of a specified corporate event in accordance with Section 14.01(b)(ii) or 14.01(b)(iii) when due and such failure continues for five Business Days;</w:t>
      </w:r>
    </w:p>
    <w:p>
      <w:pPr>
        <w:spacing w:after="0" w:line="152"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obligations under Article 11;</w:t>
      </w:r>
    </w:p>
    <w:p>
      <w:pPr>
        <w:spacing w:after="0" w:line="176" w:lineRule="exact"/>
        <w:rPr>
          <w:rFonts w:ascii="Times New Roman" w:cs="Times New Roman" w:eastAsia="Times New Roman" w:hAnsi="Times New Roman"/>
          <w:sz w:val="16"/>
          <w:szCs w:val="16"/>
          <w:color w:val="auto"/>
        </w:rPr>
      </w:pPr>
    </w:p>
    <w:p>
      <w:pPr>
        <w:ind w:firstLine="582"/>
        <w:spacing w:after="0" w:line="259" w:lineRule="auto"/>
        <w:tabs>
          <w:tab w:leader="none" w:pos="90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43" w:lineRule="exact"/>
        <w:rPr>
          <w:rFonts w:ascii="Times New Roman" w:cs="Times New Roman" w:eastAsia="Times New Roman" w:hAnsi="Times New Roman"/>
          <w:sz w:val="16"/>
          <w:szCs w:val="16"/>
          <w:color w:val="auto"/>
        </w:rPr>
      </w:pPr>
    </w:p>
    <w:p>
      <w:pPr>
        <w:jc w:val="both"/>
        <w:ind w:firstLine="582"/>
        <w:spacing w:after="0" w:line="238" w:lineRule="auto"/>
        <w:tabs>
          <w:tab w:leader="none" w:pos="99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$50,000,000 (or its foreign currency equivalent) in the aggregate of the Company and/or any such Significant Subsidiary, whether such indebtedness now exists or shall hereafter be created resulting in such indebtedness becoming or being declared due and payable prior to its stated maturity date or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w:t>
      </w:r>
    </w:p>
    <w:p>
      <w:pPr>
        <w:spacing w:after="0" w:line="160"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94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 shall commence a voluntary case or other proceeding seeking liquidation, reorganization or other relief with respect to the Company or such Significant Subsidiary of its respective debts under any bankruptcy, insolvency or other similar law now or hereafter in effect or seeking the appointment of a trustee, receiver, liquidator, custodian or other similar official of the Company or such Significant Subsidiary or any substantial part of its respective property, or shall consent to any such relief or to the appointment of or taking possession by any such official in an involuntary case or other proceeding commenced against it, or shall make a general assignment for the benefit of creditors; or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3" w:name="page44"/>
    <w:bookmarkEnd w:id="43"/>
    <w:p>
      <w:pPr>
        <w:jc w:val="both"/>
        <w:ind w:firstLine="582"/>
        <w:spacing w:after="0" w:line="289" w:lineRule="auto"/>
        <w:tabs>
          <w:tab w:leader="none" w:pos="97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case or other proceeding shall be commenced against the Company or any Significant Subsidiary seeking liquidation, reorganization or other relief with respect to the Company or such Significant Subsidiary of its respective debts under any bankruptcy, insolvency or other similar law now or hereafter in effect or seeking the appointment of a trustee, receiver, liquidator, custodian or other similar official of the Company or such Significant Subsidiary or any substantial part of its respective property, and such involuntary case or other proceeding shall remain undismissed and unstayed for a period of 30 consecutive days.</w:t>
      </w:r>
    </w:p>
    <w:p>
      <w:pPr>
        <w:spacing w:after="0" w:line="123"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Acceleration; Rescission and Annulment</w:t>
      </w:r>
      <w:r>
        <w:rPr>
          <w:rFonts w:ascii="Times New Roman" w:cs="Times New Roman" w:eastAsia="Times New Roman" w:hAnsi="Times New Roman"/>
          <w:sz w:val="16"/>
          <w:szCs w:val="16"/>
          <w:color w:val="auto"/>
        </w:rPr>
        <w:t>. If one or more Events of Default shall have occurred and be continuing, then, and in each and every such case (other than an Event of Default specified in Section 6.01(h) or Section 6.01(i) with respect to the Company), unless the principal of, and accrued and unpaid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For the avoidance of doubt, if such Event of Default is not continuing at the time such notice is provided (that is, such Event of Default has been cured or waived as of such time), then such notice will not be effective to cause such amounts to become due and payable immediately. If an Event of Default specified in Section 6.01(h) or Section 6.01(i) with respect to the Company occurs and is continuing, 100% of the principal of, and accrued and unpaid interest, if any, on, all Notes shall become and shall automatically be immediately due and payable.</w:t>
      </w:r>
    </w:p>
    <w:p>
      <w:pPr>
        <w:spacing w:after="0" w:line="158"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(including, without limitation, consents obtained in connection with a repurchase of, or tender or exchange offer for, Notes),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4" w:name="page45"/>
    <w:bookmarkEnd w:id="44"/>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For the avoidance of doubt, (i) a Default consisting of a failure to send a notice in accordance with the terms of this Indenture will be cured upon the sending of such notice; (ii) a Default in making any payment on (or delivering any other consideration in respect of) any Note will be cured upon the delivery, in accordance with the terms of this Indenture, of such payment (or other consideration) together, if applicable, with Default Interest thereon; and (iii) a Default that is a Reporting Event of Default shall be cured upon the filing of the relevant report(s) giving rise to such Reporting Event of Default; provided that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interest that accrues prior to the time of such cure. In addition, for the avoidance of doubt, if a Default that is not an Event of Default is cured or waived before such Default would have constituted an Event of Default, then no Event of Default will result from such Default. For the avoidance of doubt, nothing in the immediately preceding two sentences shall constitute a waiver of or in any way limit the Trustee’s or any Holder’s right to institute suit for any damages incurred as a result of the Company’s breach of any covenant under agreement even if such breach is subsequently cured.</w:t>
      </w:r>
    </w:p>
    <w:p>
      <w:pPr>
        <w:spacing w:after="0" w:line="162" w:lineRule="exact"/>
        <w:rPr>
          <w:sz w:val="20"/>
          <w:szCs w:val="20"/>
          <w:color w:val="auto"/>
        </w:rPr>
      </w:pPr>
    </w:p>
    <w:p>
      <w:pPr>
        <w:jc w:val="both"/>
        <w:ind w:firstLine="576"/>
        <w:spacing w:after="0" w:line="273" w:lineRule="auto"/>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i w:val="1"/>
          <w:iCs w:val="1"/>
          <w:color w:val="auto"/>
        </w:rPr>
        <w:t>Additional Interest for Reporting Events of Default</w:t>
      </w:r>
      <w:r>
        <w:rPr>
          <w:rFonts w:ascii="Times New Roman" w:cs="Times New Roman" w:eastAsia="Times New Roman" w:hAnsi="Times New Roman"/>
          <w:sz w:val="14"/>
          <w:szCs w:val="14"/>
          <w:color w:val="auto"/>
        </w:rPr>
        <w:t>. Notwithstanding anything in this Indenture or in the Notes to the contrary, to the extent the Company elects, the sole remedy for an Event of Default relating to the Company’s failure to comply with its obligations as set forth in Section 4.06(b) (a “</w:t>
      </w:r>
      <w:r>
        <w:rPr>
          <w:rFonts w:ascii="Times New Roman" w:cs="Times New Roman" w:eastAsia="Times New Roman" w:hAnsi="Times New Roman"/>
          <w:sz w:val="14"/>
          <w:szCs w:val="14"/>
          <w:b w:val="1"/>
          <w:bCs w:val="1"/>
          <w:color w:val="auto"/>
        </w:rPr>
        <w:t>Reporting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shall, for the first 365 days after the occurrence of such an Event of Default, consist exclusively of the right to receive Additional Interest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Notes at a rate equal to (x) 0.25% per annum of the principal amount of the Notes outstanding for each day that such Event of Default is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For the avoidance of doubt, the 365-day period shall not commence until the expiration of the 60-day period specified in Section 6.01(f). Subject to the last paragraph of this Section 6.03, Additional Interest payable pursuant to this Section 6.03 shall be in addition to, not in lieu of, any Additional Interest payable pursuant to Section 4.06(d) or Section 4.06(e). If the Company so elects, such Additional Interest shall be payable in the same manner and on the same dates as the stated 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w:t>
      </w:r>
      <w:r>
        <w:rPr>
          <w:rFonts w:ascii="Arial" w:cs="Arial" w:eastAsia="Arial" w:hAnsi="Arial"/>
          <w:sz w:val="14"/>
          <w:szCs w:val="14"/>
          <w:color w:val="auto"/>
        </w:rPr>
        <w:t>​</w:t>
      </w:r>
      <w:r>
        <w:rPr>
          <w:rFonts w:ascii="Times New Roman" w:cs="Times New Roman" w:eastAsia="Times New Roman" w:hAnsi="Times New Roman"/>
          <w:sz w:val="14"/>
          <w:szCs w:val="14"/>
          <w:color w:val="auto"/>
        </w:rPr>
        <w:t>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5" w:name="page46"/>
    <w:bookmarkEnd w:id="45"/>
    <w:p>
      <w:pPr>
        <w:jc w:val="both"/>
        <w:ind w:right="20" w:firstLine="576"/>
        <w:spacing w:after="0" w:line="237" w:lineRule="auto"/>
        <w:rPr>
          <w:sz w:val="20"/>
          <w:szCs w:val="20"/>
          <w:color w:val="auto"/>
        </w:rPr>
      </w:pPr>
      <w:r>
        <w:rPr>
          <w:rFonts w:ascii="Times New Roman" w:cs="Times New Roman" w:eastAsia="Times New Roman" w:hAnsi="Times New Roman"/>
          <w:sz w:val="16"/>
          <w:szCs w:val="16"/>
          <w:color w:val="auto"/>
        </w:rPr>
        <w:t xml:space="preserve">In order to elect to pay Additional Interest as the sole remedy during the first 365 days after the occurrence of any Event of Default relating to the Company’s failure to comply with its obligations as set forth in </w:t>
      </w:r>
      <w:r>
        <w:rPr>
          <w:rFonts w:ascii="Arial" w:cs="Arial" w:eastAsia="Arial" w:hAnsi="Arial"/>
          <w:sz w:val="16"/>
          <w:szCs w:val="16"/>
          <w:color w:val="auto"/>
        </w:rPr>
        <w:t>​</w:t>
      </w:r>
      <w:r>
        <w:rPr>
          <w:rFonts w:ascii="Times New Roman" w:cs="Times New Roman" w:eastAsia="Times New Roman" w:hAnsi="Times New Roman"/>
          <w:sz w:val="16"/>
          <w:szCs w:val="16"/>
          <w:color w:val="auto"/>
        </w:rPr>
        <w:t>Section 4.06(b)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 For the avoidance of doubt, if (x) the Company timely elects to pay Additional Interest as the sole remedy during the first 365 days after the occurrence of an Event of Default relating to the failure to comply with the reporting obligations in accordance with this Section 6.03, (y) the Company pays such Additional Interest as provided in Section 6.03 and (z) the Company files the delinquent reports that were required to be filed and gave rise to the relevant Event of Default (in each case in clause (z) pursuant to the provisions described in Section 4.06(b) prior to the 366th day after the occurrence of such Event of Default (or prior to the delivery of any related notice of acceleration on or after such 366th day), such Event of Default will be deemed cured and the notes will not be subject to acceleration as a result of the initial failure to comply with the Company’s reporting obligations pursuant to this Indenture.</w:t>
      </w:r>
    </w:p>
    <w:p>
      <w:pPr>
        <w:spacing w:after="0" w:line="163"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reports on Form 8 -K), pursuant to Section 4.06(d), accrue at a rate in excess of 0.50% per annum pursuant to this Indenture, regardless of the number of events or circumstances giving rise to the requirement to pay such Additional Interest.</w:t>
      </w:r>
    </w:p>
    <w:p>
      <w:pPr>
        <w:spacing w:after="0" w:line="155"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Payments of Notes on Default; Suit Therefor</w:t>
      </w:r>
      <w:r>
        <w:rPr>
          <w:rFonts w:ascii="Times New Roman" w:cs="Times New Roman" w:eastAsia="Times New Roman" w:hAnsi="Times New Roman"/>
          <w:sz w:val="16"/>
          <w:szCs w:val="16"/>
          <w:color w:val="auto"/>
        </w:rPr>
        <w:t>.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then applicable rate borne by the Notes at such time and, in addition thereto, such further amount as shall be sufficient to cover any amounts due to the Trustee (in each of its capacities)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46" w:name="page47"/>
    <w:bookmarkEnd w:id="46"/>
    <w:p>
      <w:pPr>
        <w:jc w:val="both"/>
        <w:ind w:firstLine="576"/>
        <w:spacing w:after="0" w:line="272" w:lineRule="auto"/>
        <w:rPr>
          <w:sz w:val="20"/>
          <w:szCs w:val="20"/>
          <w:color w:val="auto"/>
        </w:rPr>
      </w:pPr>
      <w:r>
        <w:rPr>
          <w:rFonts w:ascii="Times New Roman" w:cs="Times New Roman" w:eastAsia="Times New Roman" w:hAnsi="Times New Roman"/>
          <w:sz w:val="14"/>
          <w:szCs w:val="14"/>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(in each of its capacities)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200" w:lineRule="exact"/>
        <w:rPr>
          <w:sz w:val="20"/>
          <w:szCs w:val="20"/>
          <w:color w:val="auto"/>
        </w:rPr>
      </w:pPr>
    </w:p>
    <w:p>
      <w:pPr>
        <w:spacing w:after="0" w:line="302"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52"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55"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9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47" w:name="page48"/>
    <w:bookmarkEnd w:id="47"/>
    <w:p>
      <w:pPr>
        <w:jc w:val="both"/>
        <w:ind w:right="4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Application of Monies Collected by Trustee</w:t>
      </w:r>
      <w:r>
        <w:rPr>
          <w:rFonts w:ascii="Times New Roman" w:cs="Times New Roman" w:eastAsia="Times New Roman" w:hAnsi="Times New Roman"/>
          <w:sz w:val="16"/>
          <w:szCs w:val="16"/>
          <w:color w:val="auto"/>
        </w:rPr>
        <w:t>.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to the payment of all amounts due the Trustee in all of its capacities under this Indenture;</w:t>
      </w:r>
    </w:p>
    <w:p>
      <w:pPr>
        <w:spacing w:after="0" w:line="176"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in case the principal of the outstanding Notes shall not have become due and be unpaid, to the payment of interest on, and any cash due upon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 of, the Notes in default in the order of the date due of the payments of such interest and cash due upon conversion, as the case may be, with interest (to the extent that such interest has been collected by the Trustee) upon such overdue payments at the then applicable rate borne by the Notes at such time, such payments to be made ratably to the Persons entitled thereto;</w:t>
      </w:r>
    </w:p>
    <w:p>
      <w:pPr>
        <w:spacing w:after="0" w:line="152"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in case the principal of the outstanding Notes shall have become due, by declaration or otherwise, and be unpaid to the payment of the whole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then applicable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to the payment of the remainder, if any, to the Company.</w:t>
      </w:r>
    </w:p>
    <w:p>
      <w:pPr>
        <w:spacing w:after="0" w:line="17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Proceedings by Holders</w:t>
      </w:r>
      <w:r>
        <w:rPr>
          <w:rFonts w:ascii="Times New Roman" w:cs="Times New Roman" w:eastAsia="Times New Roman" w:hAnsi="Times New Roman"/>
          <w:sz w:val="16"/>
          <w:szCs w:val="16"/>
          <w:color w:val="auto"/>
        </w:rPr>
        <w:t>.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59" w:lineRule="exact"/>
        <w:rPr>
          <w:sz w:val="20"/>
          <w:szCs w:val="20"/>
          <w:color w:val="auto"/>
        </w:rPr>
      </w:pPr>
    </w:p>
    <w:p>
      <w:pPr>
        <w:ind w:left="960" w:hanging="378"/>
        <w:spacing w:after="0"/>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previously shall have given to the Trustee written notice of an Event of Default and of the continuance thereof, as herein provided;</w:t>
      </w:r>
    </w:p>
    <w:p>
      <w:pPr>
        <w:spacing w:after="0" w:line="176" w:lineRule="exact"/>
        <w:rPr>
          <w:rFonts w:ascii="Times New Roman" w:cs="Times New Roman" w:eastAsia="Times New Roman" w:hAnsi="Times New Roman"/>
          <w:sz w:val="16"/>
          <w:szCs w:val="16"/>
          <w:color w:val="auto"/>
        </w:rPr>
      </w:pPr>
    </w:p>
    <w:p>
      <w:pPr>
        <w:ind w:firstLine="582"/>
        <w:spacing w:after="0" w:line="259" w:lineRule="auto"/>
        <w:tabs>
          <w:tab w:leader="none" w:pos="99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48" w:name="page49"/>
    <w:bookmarkEnd w:id="48"/>
    <w:p>
      <w:pPr>
        <w:ind w:right="60" w:firstLine="582"/>
        <w:spacing w:after="0" w:line="259" w:lineRule="auto"/>
        <w:tabs>
          <w:tab w:leader="none" w:pos="92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Holders shall have offered, and if requested, provided to the Trustee such security or indemnity reasonably satisfactory to it against any loss, claim, liability or expense to be incurred therein or thereby;</w:t>
      </w:r>
    </w:p>
    <w:p>
      <w:pPr>
        <w:spacing w:after="0" w:line="143" w:lineRule="exact"/>
        <w:rPr>
          <w:rFonts w:ascii="Times New Roman" w:cs="Times New Roman" w:eastAsia="Times New Roman" w:hAnsi="Times New Roman"/>
          <w:sz w:val="16"/>
          <w:szCs w:val="16"/>
          <w:color w:val="auto"/>
        </w:rPr>
      </w:pPr>
    </w:p>
    <w:p>
      <w:pPr>
        <w:ind w:right="40" w:firstLine="582"/>
        <w:spacing w:after="0" w:line="259" w:lineRule="auto"/>
        <w:tabs>
          <w:tab w:leader="none" w:pos="95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notice, request and offer of such security or indemnity, shall have neglected or refused to institute any such action, suit or proceeding; and</w:t>
      </w:r>
    </w:p>
    <w:p>
      <w:pPr>
        <w:spacing w:after="0" w:line="143" w:lineRule="exact"/>
        <w:rPr>
          <w:rFonts w:ascii="Times New Roman" w:cs="Times New Roman" w:eastAsia="Times New Roman" w:hAnsi="Times New Roman"/>
          <w:sz w:val="16"/>
          <w:szCs w:val="16"/>
          <w:color w:val="auto"/>
        </w:rPr>
      </w:pPr>
    </w:p>
    <w:p>
      <w:pPr>
        <w:ind w:firstLine="582"/>
        <w:spacing w:after="0" w:line="259" w:lineRule="auto"/>
        <w:tabs>
          <w:tab w:leader="none" w:pos="90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43"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1" w:lineRule="exact"/>
        <w:rPr>
          <w:sz w:val="20"/>
          <w:szCs w:val="20"/>
          <w:color w:val="auto"/>
        </w:rPr>
      </w:pPr>
    </w:p>
    <w:p>
      <w:pPr>
        <w:jc w:val="both"/>
        <w:ind w:right="60" w:firstLine="576"/>
        <w:spacing w:after="0" w:line="243" w:lineRule="auto"/>
        <w:rPr>
          <w:sz w:val="20"/>
          <w:szCs w:val="20"/>
          <w:color w:val="auto"/>
        </w:rPr>
      </w:pPr>
      <w:r>
        <w:rPr>
          <w:rFonts w:ascii="Times New Roman" w:cs="Times New Roman" w:eastAsia="Times New Roman" w:hAnsi="Times New Roman"/>
          <w:sz w:val="16"/>
          <w:szCs w:val="16"/>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53" w:lineRule="exact"/>
        <w:rPr>
          <w:sz w:val="20"/>
          <w:szCs w:val="20"/>
          <w:color w:val="auto"/>
        </w:rPr>
      </w:pPr>
    </w:p>
    <w:p>
      <w:pPr>
        <w:jc w:val="both"/>
        <w:ind w:right="4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Proceedings by Trustee</w:t>
      </w:r>
      <w:r>
        <w:rPr>
          <w:rFonts w:ascii="Times New Roman" w:cs="Times New Roman" w:eastAsia="Times New Roman" w:hAnsi="Times New Roman"/>
          <w:sz w:val="16"/>
          <w:szCs w:val="16"/>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2" w:lineRule="exact"/>
        <w:rPr>
          <w:sz w:val="20"/>
          <w:szCs w:val="20"/>
          <w:color w:val="auto"/>
        </w:rPr>
      </w:pPr>
    </w:p>
    <w:p>
      <w:pPr>
        <w:jc w:val="both"/>
        <w:ind w:right="40"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Remedies Cumulative and Continuing</w:t>
      </w:r>
      <w:r>
        <w:rPr>
          <w:rFonts w:ascii="Times New Roman" w:cs="Times New Roman" w:eastAsia="Times New Roman" w:hAnsi="Times New Roman"/>
          <w:sz w:val="16"/>
          <w:szCs w:val="16"/>
          <w:color w:val="auto"/>
        </w:rPr>
        <w:t>.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20"/>
          </w:cols>
          <w:pgMar w:left="660" w:top="965" w:right="620" w:bottom="1440" w:gutter="0" w:footer="0" w:header="0"/>
        </w:sectPr>
      </w:pPr>
    </w:p>
    <w:bookmarkStart w:id="49" w:name="page50"/>
    <w:bookmarkEnd w:id="49"/>
    <w:p>
      <w:pPr>
        <w:jc w:val="both"/>
        <w:ind w:right="20" w:firstLine="576"/>
        <w:spacing w:after="0" w:line="272" w:lineRule="auto"/>
        <w:rPr>
          <w:sz w:val="20"/>
          <w:szCs w:val="20"/>
          <w:color w:val="auto"/>
        </w:rPr>
      </w:pPr>
      <w:r>
        <w:rPr>
          <w:rFonts w:ascii="Times New Roman" w:cs="Times New Roman" w:eastAsia="Times New Roman" w:hAnsi="Times New Roman"/>
          <w:sz w:val="14"/>
          <w:szCs w:val="14"/>
          <w:color w:val="auto"/>
        </w:rPr>
        <w:t xml:space="preserve">Section 6.09. </w:t>
      </w:r>
      <w:r>
        <w:rPr>
          <w:rFonts w:ascii="Times New Roman" w:cs="Times New Roman" w:eastAsia="Times New Roman" w:hAnsi="Times New Roman"/>
          <w:sz w:val="14"/>
          <w:szCs w:val="14"/>
          <w:i w:val="1"/>
          <w:iCs w:val="1"/>
          <w:color w:val="auto"/>
        </w:rPr>
        <w:t>Direction of Proceedings and Waiver of Defaults by Majority of Holders</w:t>
      </w:r>
      <w:r>
        <w:rPr>
          <w:rFonts w:ascii="Times New Roman" w:cs="Times New Roman" w:eastAsia="Times New Roman" w:hAnsi="Times New Roman"/>
          <w:sz w:val="14"/>
          <w:szCs w:val="14"/>
          <w:color w:val="auto"/>
        </w:rPr>
        <w:t xml:space="preserve">. Subject to certain restrictions as contained in this Indenture,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direction shall not be in conflict with any rule of law or with this Indenture, and the Trustee may take any other action deemed proper by the Trustee and that is not inconsistent with such direction. The Trustee may refuse to follow any direction that it determines is unduly prejudicial to the rights of any other Holder or that would involve the Trustee in personal liability (it being understood that the Trustee does not have an affirmative duty to determine whether any action is prejudicial to any Holder). The Holders of a majority in aggregate principal amount of the Notes at the time outstanding determined in accordance with Section 8.04 (including, without limitation, consents obtained in connection with a repurchase of, or tender or exchange offer for, Notes) may on behalf of the Holders of all of the Notes waive any past Default or Event of Default hereunder and its consequences except any continuing defaults relating to a default in the payment of accrued and unpaid interest, if any, on, or the principal (including any Redemption Price and any Fundamental Change Repurchase Price) of, the Notes when due that has not been cured pursuant to the provisions of Section 6.01, a failure by the Company to pay or deliver, as the case may be, the consideration due upon conversion of the Notes or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324"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Notice of Defaults</w:t>
      </w:r>
      <w:r>
        <w:rPr>
          <w:rFonts w:ascii="Times New Roman" w:cs="Times New Roman" w:eastAsia="Times New Roman" w:hAnsi="Times New Roman"/>
          <w:sz w:val="16"/>
          <w:szCs w:val="16"/>
          <w:color w:val="auto"/>
        </w:rPr>
        <w:t xml:space="preserve">. If a Default occurs and is continuing (which, for the avoidance of doubt, shall not include any Default that has been deemed cured and otherwise remedied) and is actually known to a Responsible Officer, the Trustee shall deliver to all Holders notice of the Default upon the later of (x) within 90 days after the date on which such default occurred, if actually known to a Responsible Officer, and (y) promptly after a Responsible Officer obtains knowledge thereof, unless such Default shall have been cured or waived before the giving of such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in the case of a Default in the payment of the principal of (including the Redemption Price and the Fundamental Change Repurchase Price, if applicable), or accrued and unpaid interest on the Notes or a Default in the payment or delivery of the consideration due upon conversion, the Trustee may withhold (and shall be protected in so withholding) such notice if and so long as it determines that the withholding of such notice is in the interests of the Holders. For the avoidance of doubt, the Trustee will not be required to deliver such notice at any time after such Default of Event of Default is cured or waived.</w:t>
      </w:r>
    </w:p>
    <w:p>
      <w:pPr>
        <w:spacing w:after="0" w:line="1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3" w:right="640" w:bottom="1440" w:gutter="0" w:footer="0" w:header="0"/>
        </w:sectPr>
      </w:pPr>
    </w:p>
    <w:bookmarkStart w:id="50" w:name="page51"/>
    <w:bookmarkEnd w:id="50"/>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Undertaking to Pay Costs</w:t>
      </w:r>
      <w:r>
        <w:rPr>
          <w:rFonts w:ascii="Times New Roman" w:cs="Times New Roman" w:eastAsia="Times New Roman" w:hAnsi="Times New Roman"/>
          <w:sz w:val="16"/>
          <w:szCs w:val="16"/>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7</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Concerning the Trustee</w:t>
      </w:r>
    </w:p>
    <w:p>
      <w:pPr>
        <w:spacing w:after="0" w:line="156"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Duties and Responsibilities of Trustee</w:t>
      </w:r>
      <w:r>
        <w:rPr>
          <w:rFonts w:ascii="Times New Roman" w:cs="Times New Roman" w:eastAsia="Times New Roman" w:hAnsi="Times New Roman"/>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6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grossly negligent action, its own grossly negligent failure to act or its own willful misconduct, except that:</w:t>
      </w:r>
    </w:p>
    <w:p>
      <w:pPr>
        <w:spacing w:after="0" w:line="143" w:lineRule="exact"/>
        <w:rPr>
          <w:sz w:val="20"/>
          <w:szCs w:val="20"/>
          <w:color w:val="auto"/>
        </w:rPr>
      </w:pPr>
    </w:p>
    <w:p>
      <w:pPr>
        <w:ind w:left="980" w:hanging="398"/>
        <w:spacing w:after="0"/>
        <w:tabs>
          <w:tab w:leader="none" w:pos="9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and after the curing or waiving of all Events of Default that may have occurred:</w:t>
      </w:r>
    </w:p>
    <w:p>
      <w:pPr>
        <w:spacing w:after="0" w:line="176" w:lineRule="exact"/>
        <w:rPr>
          <w:rFonts w:ascii="Times New Roman" w:cs="Times New Roman" w:eastAsia="Times New Roman" w:hAnsi="Times New Roman"/>
          <w:sz w:val="16"/>
          <w:szCs w:val="16"/>
          <w:color w:val="auto"/>
        </w:rPr>
      </w:pPr>
    </w:p>
    <w:p>
      <w:pPr>
        <w:jc w:val="both"/>
        <w:ind w:left="580" w:firstLine="434"/>
        <w:spacing w:after="0" w:line="247" w:lineRule="auto"/>
        <w:tabs>
          <w:tab w:leader="none" w:pos="138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51" w:name="page52"/>
    <w:bookmarkEnd w:id="51"/>
    <w:p>
      <w:pPr>
        <w:jc w:val="both"/>
        <w:ind w:left="580" w:right="20" w:firstLine="434"/>
        <w:spacing w:after="0" w:line="241" w:lineRule="auto"/>
        <w:tabs>
          <w:tab w:leader="none" w:pos="141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gross negligence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56" w:lineRule="exact"/>
        <w:rPr>
          <w:rFonts w:ascii="Times New Roman" w:cs="Times New Roman" w:eastAsia="Times New Roman" w:hAnsi="Times New Roman"/>
          <w:sz w:val="16"/>
          <w:szCs w:val="16"/>
          <w:color w:val="auto"/>
        </w:rPr>
      </w:pPr>
    </w:p>
    <w:p>
      <w:pPr>
        <w:ind w:right="40" w:firstLine="582"/>
        <w:spacing w:after="0" w:line="259" w:lineRule="auto"/>
        <w:tabs>
          <w:tab w:leader="none" w:pos="93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99" w:lineRule="auto"/>
        <w:tabs>
          <w:tab w:leader="none" w:pos="95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18" w:lineRule="exact"/>
        <w:rPr>
          <w:rFonts w:ascii="Times New Roman" w:cs="Times New Roman" w:eastAsia="Times New Roman" w:hAnsi="Times New Roman"/>
          <w:sz w:val="14"/>
          <w:szCs w:val="14"/>
          <w:color w:val="auto"/>
        </w:rPr>
      </w:pPr>
    </w:p>
    <w:p>
      <w:pPr>
        <w:ind w:right="20" w:firstLine="582"/>
        <w:spacing w:after="0" w:line="259" w:lineRule="auto"/>
        <w:tabs>
          <w:tab w:leader="none" w:pos="91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provided, every provision of this Indenture relating to the conduct or affecting the liability of, or affording protection to, the Trustee shall be subject to the provisions of this Section;</w:t>
      </w:r>
    </w:p>
    <w:p>
      <w:pPr>
        <w:spacing w:after="0" w:line="143" w:lineRule="exact"/>
        <w:rPr>
          <w:rFonts w:ascii="Times New Roman" w:cs="Times New Roman" w:eastAsia="Times New Roman" w:hAnsi="Times New Roman"/>
          <w:sz w:val="16"/>
          <w:szCs w:val="16"/>
          <w:color w:val="auto"/>
        </w:rPr>
      </w:pPr>
    </w:p>
    <w:p>
      <w:pPr>
        <w:ind w:right="20" w:firstLine="582"/>
        <w:spacing w:after="0" w:line="259" w:lineRule="auto"/>
        <w:tabs>
          <w:tab w:leader="none" w:pos="92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43" w:lineRule="exact"/>
        <w:rPr>
          <w:rFonts w:ascii="Times New Roman" w:cs="Times New Roman" w:eastAsia="Times New Roman" w:hAnsi="Times New Roman"/>
          <w:sz w:val="16"/>
          <w:szCs w:val="16"/>
          <w:color w:val="auto"/>
        </w:rPr>
      </w:pPr>
    </w:p>
    <w:p>
      <w:pPr>
        <w:ind w:right="40" w:firstLine="582"/>
        <w:spacing w:after="0" w:line="259" w:lineRule="auto"/>
        <w:tabs>
          <w:tab w:leader="none" w:pos="94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43" w:lineRule="exact"/>
        <w:rPr>
          <w:rFonts w:ascii="Times New Roman" w:cs="Times New Roman" w:eastAsia="Times New Roman" w:hAnsi="Times New Roman"/>
          <w:sz w:val="16"/>
          <w:szCs w:val="16"/>
          <w:color w:val="auto"/>
        </w:rPr>
      </w:pPr>
    </w:p>
    <w:p>
      <w:pPr>
        <w:ind w:left="1000" w:hanging="418"/>
        <w:spacing w:after="0"/>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required to give any bond or surety in respect of the execution of the trusts and powers under this Indenture;</w:t>
      </w:r>
    </w:p>
    <w:p>
      <w:pPr>
        <w:spacing w:after="0" w:line="176" w:lineRule="exact"/>
        <w:rPr>
          <w:rFonts w:ascii="Times New Roman" w:cs="Times New Roman" w:eastAsia="Times New Roman" w:hAnsi="Times New Roman"/>
          <w:sz w:val="16"/>
          <w:szCs w:val="16"/>
          <w:color w:val="auto"/>
        </w:rPr>
      </w:pPr>
    </w:p>
    <w:p>
      <w:pPr>
        <w:jc w:val="both"/>
        <w:ind w:firstLine="582"/>
        <w:spacing w:after="0" w:line="241" w:lineRule="auto"/>
        <w:tabs>
          <w:tab w:leader="none" w:pos="93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56" w:lineRule="exact"/>
        <w:rPr>
          <w:rFonts w:ascii="Times New Roman" w:cs="Times New Roman" w:eastAsia="Times New Roman" w:hAnsi="Times New Roman"/>
          <w:sz w:val="16"/>
          <w:szCs w:val="16"/>
          <w:color w:val="auto"/>
        </w:rPr>
      </w:pPr>
    </w:p>
    <w:p>
      <w:pPr>
        <w:ind w:firstLine="582"/>
        <w:spacing w:after="0" w:line="247" w:lineRule="auto"/>
        <w:tabs>
          <w:tab w:leader="none" w:pos="101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52" w:name="page53"/>
    <w:bookmarkEnd w:id="52"/>
    <w:p>
      <w:pPr>
        <w:ind w:firstLine="576"/>
        <w:spacing w:after="0" w:line="259" w:lineRule="auto"/>
        <w:rPr>
          <w:sz w:val="20"/>
          <w:szCs w:val="20"/>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Reliance on Documents, Opinions, Etc</w:t>
      </w:r>
      <w:r>
        <w:rPr>
          <w:rFonts w:ascii="Times New Roman" w:cs="Times New Roman" w:eastAsia="Times New Roman" w:hAnsi="Times New Roman"/>
          <w:sz w:val="16"/>
          <w:szCs w:val="16"/>
          <w:color w:val="auto"/>
        </w:rPr>
        <w:t>. Except as otherwise provided in Section 7.01:</w:t>
      </w:r>
    </w:p>
    <w:p>
      <w:pPr>
        <w:spacing w:after="0" w:line="178" w:lineRule="exact"/>
        <w:rPr>
          <w:sz w:val="20"/>
          <w:szCs w:val="20"/>
          <w:color w:val="auto"/>
        </w:rPr>
      </w:pPr>
    </w:p>
    <w:p>
      <w:pPr>
        <w:jc w:val="both"/>
        <w:ind w:firstLine="582"/>
        <w:spacing w:after="0" w:line="247" w:lineRule="auto"/>
        <w:tabs>
          <w:tab w:leader="none" w:pos="97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consent, order, judgment, bond, note, coupon or other paper or document believed by it in good faith to be genuine and to have been signed or presented by the proper party or parties;</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100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99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52" w:lineRule="exact"/>
        <w:rPr>
          <w:rFonts w:ascii="Times New Roman" w:cs="Times New Roman" w:eastAsia="Times New Roman" w:hAnsi="Times New Roman"/>
          <w:sz w:val="16"/>
          <w:szCs w:val="16"/>
          <w:color w:val="auto"/>
        </w:rPr>
      </w:pPr>
    </w:p>
    <w:p>
      <w:pPr>
        <w:jc w:val="both"/>
        <w:ind w:firstLine="582"/>
        <w:spacing w:after="0" w:line="247" w:lineRule="auto"/>
        <w:tabs>
          <w:tab w:leader="none" w:pos="97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52" w:lineRule="exact"/>
        <w:rPr>
          <w:rFonts w:ascii="Times New Roman" w:cs="Times New Roman" w:eastAsia="Times New Roman" w:hAnsi="Times New Roman"/>
          <w:sz w:val="16"/>
          <w:szCs w:val="16"/>
          <w:color w:val="auto"/>
        </w:rPr>
      </w:pPr>
    </w:p>
    <w:p>
      <w:pPr>
        <w:jc w:val="both"/>
        <w:ind w:firstLine="582"/>
        <w:spacing w:after="0" w:line="241" w:lineRule="auto"/>
        <w:tabs>
          <w:tab w:leader="none" w:pos="101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judgment,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56"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102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52"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rights of the Trustee enumerated herein shall not be construed as duties;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3" w:name="page54"/>
    <w:bookmarkEnd w:id="53"/>
    <w:p>
      <w:pPr>
        <w:jc w:val="both"/>
        <w:ind w:right="20" w:firstLine="582"/>
        <w:spacing w:after="0" w:line="247" w:lineRule="auto"/>
        <w:tabs>
          <w:tab w:leader="none" w:pos="97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2" w:lineRule="exact"/>
        <w:rPr>
          <w:rFonts w:ascii="Times New Roman" w:cs="Times New Roman" w:eastAsia="Times New Roman" w:hAnsi="Times New Roman"/>
          <w:sz w:val="16"/>
          <w:szCs w:val="16"/>
          <w:color w:val="auto"/>
        </w:rPr>
      </w:pPr>
    </w:p>
    <w:p>
      <w:pPr>
        <w:jc w:val="both"/>
        <w:ind w:firstLine="582"/>
        <w:spacing w:after="0" w:line="241" w:lineRule="auto"/>
        <w:tabs>
          <w:tab w:leader="none" w:pos="89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56" w:lineRule="exact"/>
        <w:rPr>
          <w:rFonts w:ascii="Times New Roman" w:cs="Times New Roman" w:eastAsia="Times New Roman" w:hAnsi="Times New Roman"/>
          <w:sz w:val="16"/>
          <w:szCs w:val="16"/>
          <w:color w:val="auto"/>
        </w:rPr>
      </w:pPr>
    </w:p>
    <w:p>
      <w:pPr>
        <w:ind w:right="20" w:firstLine="582"/>
        <w:spacing w:after="0" w:line="259" w:lineRule="auto"/>
        <w:tabs>
          <w:tab w:leader="none" w:pos="93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43" w:lineRule="exact"/>
        <w:rPr>
          <w:rFonts w:ascii="Times New Roman" w:cs="Times New Roman" w:eastAsia="Times New Roman" w:hAnsi="Times New Roman"/>
          <w:sz w:val="16"/>
          <w:szCs w:val="16"/>
          <w:color w:val="auto"/>
        </w:rPr>
      </w:pPr>
    </w:p>
    <w:p>
      <w:pPr>
        <w:jc w:val="both"/>
        <w:ind w:firstLine="582"/>
        <w:spacing w:after="0" w:line="247" w:lineRule="auto"/>
        <w:tabs>
          <w:tab w:leader="none" w:pos="101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w:t>
      </w:r>
    </w:p>
    <w:p>
      <w:pPr>
        <w:spacing w:after="0" w:line="152" w:lineRule="exact"/>
        <w:rPr>
          <w:rFonts w:ascii="Times New Roman" w:cs="Times New Roman" w:eastAsia="Times New Roman" w:hAnsi="Times New Roman"/>
          <w:sz w:val="16"/>
          <w:szCs w:val="16"/>
          <w:color w:val="auto"/>
        </w:rPr>
      </w:pPr>
    </w:p>
    <w:p>
      <w:pPr>
        <w:ind w:right="20" w:firstLine="582"/>
        <w:spacing w:after="0" w:line="259" w:lineRule="auto"/>
        <w:tabs>
          <w:tab w:leader="none" w:pos="92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Trustee be liable for any special, indirect, punitive, incidental or consequential loss or damage of any kind whatsoever (including but not limited to lost profits), even if the Trustee has been advised of the likelihood of such loss or damage and regardless of the form of action;</w:t>
      </w:r>
    </w:p>
    <w:p>
      <w:pPr>
        <w:spacing w:after="0" w:line="143" w:lineRule="exact"/>
        <w:rPr>
          <w:rFonts w:ascii="Times New Roman" w:cs="Times New Roman" w:eastAsia="Times New Roman" w:hAnsi="Times New Roman"/>
          <w:sz w:val="16"/>
          <w:szCs w:val="16"/>
          <w:color w:val="auto"/>
        </w:rPr>
      </w:pPr>
    </w:p>
    <w:p>
      <w:pPr>
        <w:jc w:val="both"/>
        <w:ind w:right="20" w:firstLine="582"/>
        <w:spacing w:after="0" w:line="247" w:lineRule="auto"/>
        <w:tabs>
          <w:tab w:leader="none" w:pos="97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the Conversion Agent shall be obligated to take possession of any Common Stock, whether upon conversion of Notes or in connection with any discharge of this Indenture pursuant to Article 3 hereof, but shall satisfy its obligation as Conversion Agent by working through the stock transfer agent of the Company from time to time as directed by the Company; and</w:t>
      </w:r>
    </w:p>
    <w:p>
      <w:pPr>
        <w:spacing w:after="0" w:line="152" w:lineRule="exact"/>
        <w:rPr>
          <w:rFonts w:ascii="Times New Roman" w:cs="Times New Roman" w:eastAsia="Times New Roman" w:hAnsi="Times New Roman"/>
          <w:sz w:val="16"/>
          <w:szCs w:val="16"/>
          <w:color w:val="auto"/>
        </w:rPr>
      </w:pPr>
    </w:p>
    <w:p>
      <w:pPr>
        <w:jc w:val="both"/>
        <w:ind w:firstLine="582"/>
        <w:spacing w:after="0" w:line="247" w:lineRule="auto"/>
        <w:tabs>
          <w:tab w:leader="none" w:pos="95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50"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No Responsibility for Recitals, Etc</w:t>
      </w:r>
      <w:r>
        <w:rPr>
          <w:rFonts w:ascii="Times New Roman" w:cs="Times New Roman" w:eastAsia="Times New Roman" w:hAnsi="Times New Roman"/>
          <w:sz w:val="16"/>
          <w:szCs w:val="16"/>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4" w:name="page55"/>
    <w:bookmarkEnd w:id="54"/>
    <w:p>
      <w:pPr>
        <w:jc w:val="both"/>
        <w:ind w:right="20" w:firstLine="576"/>
        <w:spacing w:after="0" w:line="301" w:lineRule="auto"/>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i w:val="1"/>
          <w:iCs w:val="1"/>
          <w:color w:val="auto"/>
        </w:rPr>
        <w:t>Trustee, Paying Agents, Conversion Agents, Bid Solicitation Agent or Note Registrar May Own Notes</w:t>
      </w:r>
      <w:r>
        <w:rPr>
          <w:rFonts w:ascii="Times New Roman" w:cs="Times New Roman" w:eastAsia="Times New Roman" w:hAnsi="Times New Roman"/>
          <w:sz w:val="14"/>
          <w:szCs w:val="14"/>
          <w:color w:val="auto"/>
        </w:rPr>
        <w:t>.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14"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Monies and Shares of Common Stock to Be Held in Trust</w:t>
      </w:r>
      <w:r>
        <w:rPr>
          <w:rFonts w:ascii="Times New Roman" w:cs="Times New Roman" w:eastAsia="Times New Roman" w:hAnsi="Times New Roman"/>
          <w:sz w:val="16"/>
          <w:szCs w:val="16"/>
          <w:color w:val="auto"/>
        </w:rPr>
        <w:t>.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152" w:lineRule="exact"/>
        <w:rPr>
          <w:sz w:val="20"/>
          <w:szCs w:val="20"/>
          <w:color w:val="auto"/>
        </w:rPr>
      </w:pPr>
    </w:p>
    <w:p>
      <w:pPr>
        <w:jc w:val="both"/>
        <w:ind w:firstLine="576"/>
        <w:spacing w:after="0" w:line="272" w:lineRule="auto"/>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i w:val="1"/>
          <w:iCs w:val="1"/>
          <w:color w:val="auto"/>
        </w:rPr>
        <w:t>Compensation and Expenses of Trustee</w:t>
      </w:r>
      <w:r>
        <w:rPr>
          <w:rFonts w:ascii="Times New Roman" w:cs="Times New Roman" w:eastAsia="Times New Roman" w:hAnsi="Times New Roman"/>
          <w:sz w:val="14"/>
          <w:szCs w:val="14"/>
          <w:color w:val="auto"/>
        </w:rPr>
        <w:t>.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order of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as determined by a final order of a court of competent jurisdiction,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55" w:name="page56"/>
    <w:bookmarkEnd w:id="55"/>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50"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Certificate as Evidence</w:t>
      </w:r>
      <w:r>
        <w:rPr>
          <w:rFonts w:ascii="Times New Roman" w:cs="Times New Roman" w:eastAsia="Times New Roman" w:hAnsi="Times New Roman"/>
          <w:sz w:val="16"/>
          <w:szCs w:val="16"/>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willful misconduct on the part of the Trustee, shall be full warrant to the Trustee for any action taken or omitted by it under the provisions of this Indenture upon the faith thereof.</w:t>
      </w:r>
    </w:p>
    <w:p>
      <w:pPr>
        <w:spacing w:after="0" w:line="156"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Eligibility of Trustee</w:t>
      </w:r>
      <w:r>
        <w:rPr>
          <w:rFonts w:ascii="Times New Roman" w:cs="Times New Roman" w:eastAsia="Times New Roman" w:hAnsi="Times New Roman"/>
          <w:sz w:val="16"/>
          <w:szCs w:val="16"/>
          <w:color w:val="auto"/>
        </w:rPr>
        <w:t>.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5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7.09. </w:t>
      </w:r>
      <w:r>
        <w:rPr>
          <w:rFonts w:ascii="Times New Roman" w:cs="Times New Roman" w:eastAsia="Times New Roman" w:hAnsi="Times New Roman"/>
          <w:sz w:val="16"/>
          <w:szCs w:val="16"/>
          <w:i w:val="1"/>
          <w:iCs w:val="1"/>
          <w:color w:val="auto"/>
        </w:rPr>
        <w:t>Resignation or Removal of Trustee</w:t>
      </w:r>
      <w:r>
        <w:rPr>
          <w:rFonts w:ascii="Times New Roman" w:cs="Times New Roman" w:eastAsia="Times New Roman" w:hAnsi="Times New Roman"/>
          <w:sz w:val="16"/>
          <w:szCs w:val="16"/>
          <w:color w:val="auto"/>
        </w:rPr>
        <w:t>.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63" w:lineRule="exact"/>
        <w:rPr>
          <w:sz w:val="20"/>
          <w:szCs w:val="20"/>
          <w:color w:val="auto"/>
        </w:rPr>
      </w:pPr>
    </w:p>
    <w:p>
      <w:pPr>
        <w:ind w:left="960" w:hanging="378"/>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76" w:lineRule="exact"/>
        <w:rPr>
          <w:rFonts w:ascii="Times New Roman" w:cs="Times New Roman" w:eastAsia="Times New Roman" w:hAnsi="Times New Roman"/>
          <w:sz w:val="16"/>
          <w:szCs w:val="16"/>
          <w:color w:val="auto"/>
        </w:rPr>
      </w:pPr>
    </w:p>
    <w:p>
      <w:pPr>
        <w:ind w:left="580" w:firstLine="434"/>
        <w:spacing w:after="0" w:line="259" w:lineRule="auto"/>
        <w:tabs>
          <w:tab w:leader="none" w:pos="138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7.08 and shall fail to resign after written request therefor by the Company or by any such Holder, or</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6" w:name="page57"/>
    <w:bookmarkEnd w:id="56"/>
    <w:p>
      <w:pPr>
        <w:jc w:val="both"/>
        <w:ind w:left="580" w:firstLine="434"/>
        <w:spacing w:after="0" w:line="247" w:lineRule="auto"/>
        <w:tabs>
          <w:tab w:leader="none" w:pos="14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7" w:lineRule="exact"/>
        <w:rPr>
          <w:sz w:val="20"/>
          <w:szCs w:val="20"/>
          <w:color w:val="auto"/>
        </w:rPr>
      </w:pPr>
    </w:p>
    <w:p>
      <w:pPr>
        <w:jc w:val="both"/>
        <w:ind w:right="20" w:firstLine="582"/>
        <w:spacing w:after="0" w:line="243" w:lineRule="auto"/>
        <w:tabs>
          <w:tab w:leader="none" w:pos="9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55" w:lineRule="exact"/>
        <w:rPr>
          <w:rFonts w:ascii="Times New Roman" w:cs="Times New Roman" w:eastAsia="Times New Roman" w:hAnsi="Times New Roman"/>
          <w:sz w:val="16"/>
          <w:szCs w:val="16"/>
          <w:color w:val="auto"/>
        </w:rPr>
      </w:pPr>
    </w:p>
    <w:p>
      <w:pPr>
        <w:ind w:right="20" w:firstLine="582"/>
        <w:spacing w:after="0" w:line="259" w:lineRule="auto"/>
        <w:tabs>
          <w:tab w:leader="none" w:pos="99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41" w:lineRule="exact"/>
        <w:rPr>
          <w:sz w:val="20"/>
          <w:szCs w:val="20"/>
          <w:color w:val="auto"/>
        </w:rPr>
      </w:pPr>
    </w:p>
    <w:p>
      <w:pPr>
        <w:jc w:val="both"/>
        <w:ind w:firstLine="576"/>
        <w:spacing w:after="0" w:line="277" w:lineRule="auto"/>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i w:val="1"/>
          <w:iCs w:val="1"/>
          <w:color w:val="auto"/>
        </w:rPr>
        <w:t>Acceptance by Successor Trustee</w:t>
      </w:r>
      <w:r>
        <w:rPr>
          <w:rFonts w:ascii="Times New Roman" w:cs="Times New Roman" w:eastAsia="Times New Roman" w:hAnsi="Times New Roman"/>
          <w:sz w:val="14"/>
          <w:szCs w:val="14"/>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7" w:name="page58"/>
    <w:bookmarkEnd w:id="57"/>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No successor trustee shall accept appointment as provided in this Section 7.10 unless at the time of such acceptance such successor trustee shall be eligible under the provisions of Section 7.08.</w:t>
      </w:r>
    </w:p>
    <w:p>
      <w:pPr>
        <w:spacing w:after="0" w:line="143"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53"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Succession by Merger, Etc</w:t>
      </w:r>
      <w:r>
        <w:rPr>
          <w:rFonts w:ascii="Times New Roman" w:cs="Times New Roman" w:eastAsia="Times New Roman" w:hAnsi="Times New Roman"/>
          <w:sz w:val="16"/>
          <w:szCs w:val="16"/>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58"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 that the right to adopt the certificate of authentication of any predecessor trustee or to authenticate Notes in the name of any predecessor trustee shall apply only to its successor or successors by merger, conversion or consolidation.</w:t>
      </w:r>
    </w:p>
    <w:p>
      <w:pPr>
        <w:spacing w:after="0" w:line="15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Application for Instructions from the Company</w:t>
      </w:r>
      <w:r>
        <w:rPr>
          <w:rFonts w:ascii="Times New Roman" w:cs="Times New Roman" w:eastAsia="Times New Roman" w:hAnsi="Times New Roman"/>
          <w:sz w:val="16"/>
          <w:szCs w:val="16"/>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6"/>
          <w:szCs w:val="16"/>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Concerning the Holders</w:t>
      </w:r>
    </w:p>
    <w:p>
      <w:pPr>
        <w:spacing w:after="0" w:line="15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Action by Holders</w:t>
      </w:r>
      <w:r>
        <w:rPr>
          <w:rFonts w:ascii="Times New Roman" w:cs="Times New Roman" w:eastAsia="Times New Roman" w:hAnsi="Times New Roman"/>
          <w:sz w:val="16"/>
          <w:szCs w:val="16"/>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or by the record of the Holders voting in favor thereof at any meeting of Holders duly called and held in accordance with the provisions of Article 9, or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61"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Proof of Execution by Holders</w:t>
      </w:r>
      <w:r>
        <w:rPr>
          <w:rFonts w:ascii="Times New Roman" w:cs="Times New Roman" w:eastAsia="Times New Roman" w:hAnsi="Times New Roman"/>
          <w:sz w:val="16"/>
          <w:szCs w:val="16"/>
          <w:color w:val="auto"/>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52" w:lineRule="exact"/>
        <w:rPr>
          <w:sz w:val="20"/>
          <w:szCs w:val="20"/>
          <w:color w:val="auto"/>
        </w:rPr>
      </w:pPr>
    </w:p>
    <w:p>
      <w:pPr>
        <w:jc w:val="both"/>
        <w:ind w:firstLine="576"/>
        <w:spacing w:after="0" w:line="275" w:lineRule="auto"/>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i w:val="1"/>
          <w:iCs w:val="1"/>
          <w:color w:val="auto"/>
        </w:rPr>
        <w:t>Who Are Deemed Absolute Owners</w:t>
      </w:r>
      <w:r>
        <w:rPr>
          <w:rFonts w:ascii="Times New Roman" w:cs="Times New Roman" w:eastAsia="Times New Roman" w:hAnsi="Times New Roman"/>
          <w:sz w:val="14"/>
          <w:szCs w:val="14"/>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59" w:name="page60"/>
    <w:bookmarkEnd w:id="59"/>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Company -Owned Notes Disregarded</w:t>
      </w:r>
      <w:r>
        <w:rPr>
          <w:rFonts w:ascii="Times New Roman" w:cs="Times New Roman" w:eastAsia="Times New Roman" w:hAnsi="Times New Roman"/>
          <w:sz w:val="16"/>
          <w:szCs w:val="16"/>
          <w:color w:val="auto"/>
        </w:rPr>
        <w:t xml:space="preserve"> .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62"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Revocation of Consents; Future Holders Bound</w:t>
      </w:r>
      <w:r>
        <w:rPr>
          <w:rFonts w:ascii="Times New Roman" w:cs="Times New Roman" w:eastAsia="Times New Roman" w:hAnsi="Times New Roman"/>
          <w:sz w:val="16"/>
          <w:szCs w:val="16"/>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9</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Holders’ Meetings</w:t>
      </w:r>
    </w:p>
    <w:p>
      <w:pPr>
        <w:spacing w:after="0" w:line="156" w:lineRule="exact"/>
        <w:rPr>
          <w:sz w:val="20"/>
          <w:szCs w:val="20"/>
          <w:color w:val="auto"/>
        </w:rPr>
      </w:pPr>
    </w:p>
    <w:p>
      <w:pPr>
        <w:ind w:right="4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Purpose of Meetings</w:t>
      </w:r>
      <w:r>
        <w:rPr>
          <w:rFonts w:ascii="Times New Roman" w:cs="Times New Roman" w:eastAsia="Times New Roman" w:hAnsi="Times New Roman"/>
          <w:sz w:val="16"/>
          <w:szCs w:val="16"/>
          <w:color w:val="auto"/>
        </w:rPr>
        <w:t>. A meeting of Holders may be called at any time and from time to time pursuant to the provisions of this Article 9 for any of the following purposes:</w:t>
      </w:r>
    </w:p>
    <w:p>
      <w:pPr>
        <w:spacing w:after="0" w:line="140" w:lineRule="exact"/>
        <w:rPr>
          <w:sz w:val="20"/>
          <w:szCs w:val="20"/>
          <w:color w:val="auto"/>
        </w:rPr>
      </w:pPr>
    </w:p>
    <w:p>
      <w:pPr>
        <w:jc w:val="both"/>
        <w:ind w:firstLine="582"/>
        <w:spacing w:after="0" w:line="247" w:lineRule="auto"/>
        <w:tabs>
          <w:tab w:leader="none" w:pos="94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60" w:name="page61"/>
    <w:bookmarkEnd w:id="60"/>
    <w:p>
      <w:pPr>
        <w:ind w:left="960" w:hanging="378"/>
        <w:spacing w:after="0"/>
        <w:tabs>
          <w:tab w:leader="none" w:pos="9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the Trustee and nominate a successor trustee pursuant to the provisions of Article 7;</w:t>
      </w:r>
    </w:p>
    <w:p>
      <w:pPr>
        <w:spacing w:after="0" w:line="176" w:lineRule="exact"/>
        <w:rPr>
          <w:rFonts w:ascii="Times New Roman" w:cs="Times New Roman" w:eastAsia="Times New Roman" w:hAnsi="Times New Roman"/>
          <w:sz w:val="16"/>
          <w:szCs w:val="16"/>
          <w:color w:val="auto"/>
        </w:rPr>
      </w:pPr>
    </w:p>
    <w:p>
      <w:pPr>
        <w:ind w:left="980" w:hanging="398"/>
        <w:spacing w:after="0"/>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consent to the execution of an indenture or indentures supplemental hereto pursuant to the provisions of Section 10.02; or</w:t>
      </w:r>
    </w:p>
    <w:p>
      <w:pPr>
        <w:spacing w:after="0" w:line="176" w:lineRule="exact"/>
        <w:rPr>
          <w:rFonts w:ascii="Times New Roman" w:cs="Times New Roman" w:eastAsia="Times New Roman" w:hAnsi="Times New Roman"/>
          <w:sz w:val="16"/>
          <w:szCs w:val="16"/>
          <w:color w:val="auto"/>
        </w:rPr>
      </w:pPr>
    </w:p>
    <w:p>
      <w:pPr>
        <w:ind w:right="20" w:firstLine="582"/>
        <w:spacing w:after="0" w:line="259" w:lineRule="auto"/>
        <w:tabs>
          <w:tab w:leader="none" w:pos="98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41"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i w:val="1"/>
          <w:iCs w:val="1"/>
          <w:color w:val="auto"/>
        </w:rPr>
        <w:t>Call of Meetings by Trustee</w:t>
      </w:r>
      <w:r>
        <w:rPr>
          <w:rFonts w:ascii="Times New Roman" w:cs="Times New Roman" w:eastAsia="Times New Roman" w:hAnsi="Times New Roman"/>
          <w:sz w:val="14"/>
          <w:szCs w:val="14"/>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24"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50"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i w:val="1"/>
          <w:iCs w:val="1"/>
          <w:color w:val="auto"/>
        </w:rPr>
        <w:t>Call of Meetings by Company or Holders</w:t>
      </w:r>
      <w:r>
        <w:rPr>
          <w:rFonts w:ascii="Times New Roman" w:cs="Times New Roman" w:eastAsia="Times New Roman" w:hAnsi="Times New Roman"/>
          <w:sz w:val="16"/>
          <w:szCs w:val="16"/>
          <w:color w:val="auto"/>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57"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9.04. </w:t>
      </w:r>
      <w:r>
        <w:rPr>
          <w:rFonts w:ascii="Times New Roman" w:cs="Times New Roman" w:eastAsia="Times New Roman" w:hAnsi="Times New Roman"/>
          <w:sz w:val="16"/>
          <w:szCs w:val="16"/>
          <w:i w:val="1"/>
          <w:iCs w:val="1"/>
          <w:color w:val="auto"/>
        </w:rPr>
        <w:t>Qualifications for Voting</w:t>
      </w:r>
      <w:r>
        <w:rPr>
          <w:rFonts w:ascii="Times New Roman" w:cs="Times New Roman" w:eastAsia="Times New Roman" w:hAnsi="Times New Roman"/>
          <w:sz w:val="16"/>
          <w:szCs w:val="16"/>
          <w:color w:val="auto"/>
        </w:rPr>
        <w:t>. To be entitled to vote at any meeting of Holders a Person shall be a Holder of one or more Notes on the record date pertaining to such meeting or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2" w:lineRule="exact"/>
        <w:rPr>
          <w:sz w:val="20"/>
          <w:szCs w:val="20"/>
          <w:color w:val="auto"/>
        </w:rPr>
      </w:pPr>
    </w:p>
    <w:p>
      <w:pPr>
        <w:jc w:val="both"/>
        <w:ind w:right="20"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9.05. </w:t>
      </w:r>
      <w:r>
        <w:rPr>
          <w:rFonts w:ascii="Times New Roman" w:cs="Times New Roman" w:eastAsia="Times New Roman" w:hAnsi="Times New Roman"/>
          <w:sz w:val="16"/>
          <w:szCs w:val="16"/>
          <w:i w:val="1"/>
          <w:iCs w:val="1"/>
          <w:color w:val="auto"/>
        </w:rPr>
        <w:t>Regulations</w:t>
      </w:r>
      <w:r>
        <w:rPr>
          <w:rFonts w:ascii="Times New Roman" w:cs="Times New Roman" w:eastAsia="Times New Roman" w:hAnsi="Times New Roman"/>
          <w:sz w:val="16"/>
          <w:szCs w:val="16"/>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1" w:name="page62"/>
    <w:bookmarkEnd w:id="61"/>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55"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59"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9.06. </w:t>
      </w:r>
      <w:r>
        <w:rPr>
          <w:rFonts w:ascii="Times New Roman" w:cs="Times New Roman" w:eastAsia="Times New Roman" w:hAnsi="Times New Roman"/>
          <w:sz w:val="16"/>
          <w:szCs w:val="16"/>
          <w:i w:val="1"/>
          <w:iCs w:val="1"/>
          <w:color w:val="auto"/>
        </w:rPr>
        <w:t>Voting</w:t>
      </w:r>
      <w:r>
        <w:rPr>
          <w:rFonts w:ascii="Times New Roman" w:cs="Times New Roman" w:eastAsia="Times New Roman" w:hAnsi="Times New Roman"/>
          <w:sz w:val="16"/>
          <w:szCs w:val="16"/>
          <w:color w:val="auto"/>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record so signed and verified shall be conclusive evidence of the matters therein stated.</w:t>
      </w:r>
    </w:p>
    <w:p>
      <w:pPr>
        <w:spacing w:after="0" w:line="174"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9.07. </w:t>
      </w:r>
      <w:r>
        <w:rPr>
          <w:rFonts w:ascii="Times New Roman" w:cs="Times New Roman" w:eastAsia="Times New Roman" w:hAnsi="Times New Roman"/>
          <w:sz w:val="16"/>
          <w:szCs w:val="16"/>
          <w:i w:val="1"/>
          <w:iCs w:val="1"/>
          <w:color w:val="auto"/>
        </w:rPr>
        <w:t>No Delay of Rights by Meeting</w:t>
      </w:r>
      <w:r>
        <w:rPr>
          <w:rFonts w:ascii="Times New Roman" w:cs="Times New Roman" w:eastAsia="Times New Roman" w:hAnsi="Times New Roman"/>
          <w:sz w:val="16"/>
          <w:szCs w:val="16"/>
          <w:color w:val="auto"/>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6"/>
          <w:szCs w:val="16"/>
          <w:color w:val="auto"/>
        </w:rPr>
        <w:t>ARTICLE 10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Supplemental Indentures</w:t>
      </w:r>
    </w:p>
    <w:p>
      <w:pPr>
        <w:spacing w:after="0" w:line="156" w:lineRule="exact"/>
        <w:rPr>
          <w:sz w:val="20"/>
          <w:szCs w:val="20"/>
          <w:color w:val="auto"/>
        </w:rPr>
      </w:pPr>
    </w:p>
    <w:p>
      <w:pPr>
        <w:ind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Supplemental Indentures Without Consent of Holders</w:t>
      </w:r>
      <w:r>
        <w:rPr>
          <w:rFonts w:ascii="Times New Roman" w:cs="Times New Roman" w:eastAsia="Times New Roman" w:hAnsi="Times New Roman"/>
          <w:sz w:val="16"/>
          <w:szCs w:val="16"/>
          <w:color w:val="auto"/>
        </w:rPr>
        <w:t>. The Company and the Trustee, at the Company’s expense, may from time to time and at any time enter into an indenture or indentures supplemental hereto for one or more of the following purposes:</w:t>
      </w:r>
    </w:p>
    <w:p>
      <w:pPr>
        <w:spacing w:after="0" w:line="140" w:lineRule="exact"/>
        <w:rPr>
          <w:sz w:val="20"/>
          <w:szCs w:val="20"/>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mistake, omission, defect or inconsistency;</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assumption by a Successor Company of the obligations of the Company under this Indenture pursuant to Article 11;</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guarantees with respect to the Notes;</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secure the Notes;</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the Company’s covenants or Events of Default for the benefit of the Holders or surrender any right or power conferred upon the Company;</w:t>
      </w:r>
    </w:p>
    <w:p>
      <w:pPr>
        <w:spacing w:after="0" w:line="176" w:lineRule="exact"/>
        <w:rPr>
          <w:rFonts w:ascii="Times New Roman" w:cs="Times New Roman" w:eastAsia="Times New Roman" w:hAnsi="Times New Roman"/>
          <w:sz w:val="16"/>
          <w:szCs w:val="16"/>
          <w:color w:val="auto"/>
        </w:rPr>
      </w:pPr>
    </w:p>
    <w:p>
      <w:pPr>
        <w:ind w:left="980" w:hanging="398"/>
        <w:spacing w:after="0"/>
        <w:tabs>
          <w:tab w:leader="none" w:pos="9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that does not adversely affect the rights of any Holder as determined by the Company in good faith;</w:t>
      </w:r>
    </w:p>
    <w:p>
      <w:pPr>
        <w:spacing w:after="0" w:line="176" w:lineRule="exact"/>
        <w:rPr>
          <w:rFonts w:ascii="Times New Roman" w:cs="Times New Roman" w:eastAsia="Times New Roman" w:hAnsi="Times New Roman"/>
          <w:sz w:val="16"/>
          <w:szCs w:val="16"/>
          <w:color w:val="auto"/>
        </w:rPr>
      </w:pPr>
    </w:p>
    <w:p>
      <w:pPr>
        <w:ind w:firstLine="582"/>
        <w:spacing w:after="0" w:line="259" w:lineRule="auto"/>
        <w:tabs>
          <w:tab w:leader="none" w:pos="101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143" w:lineRule="exact"/>
        <w:rPr>
          <w:rFonts w:ascii="Times New Roman" w:cs="Times New Roman" w:eastAsia="Times New Roman" w:hAnsi="Times New Roman"/>
          <w:sz w:val="16"/>
          <w:szCs w:val="16"/>
          <w:color w:val="auto"/>
        </w:rPr>
      </w:pPr>
    </w:p>
    <w:p>
      <w:pPr>
        <w:ind w:left="940" w:hanging="358"/>
        <w:spacing w:after="0"/>
        <w:tabs>
          <w:tab w:leader="none" w:pos="9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provisions of this Indenture or the Notes to the “Description of Notes” section of the Offering Memorandum as evidenced in an Officer’s</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Certificate;</w:t>
      </w:r>
    </w:p>
    <w:p>
      <w:pPr>
        <w:spacing w:after="0" w:line="158" w:lineRule="exact"/>
        <w:rPr>
          <w:rFonts w:ascii="Times New Roman" w:cs="Times New Roman" w:eastAsia="Times New Roman" w:hAnsi="Times New Roman"/>
          <w:sz w:val="14"/>
          <w:szCs w:val="14"/>
          <w:color w:val="auto"/>
        </w:rPr>
      </w:pPr>
    </w:p>
    <w:p>
      <w:pPr>
        <w:ind w:right="20" w:firstLine="582"/>
        <w:spacing w:after="0" w:line="259" w:lineRule="auto"/>
        <w:tabs>
          <w:tab w:leader="none" w:pos="99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rules of any applicable Depositary, including The Depository Trust Company, so long as such amendment does not adversely affect the rights of any Holder in any material respect;</w:t>
      </w:r>
    </w:p>
    <w:p>
      <w:pPr>
        <w:spacing w:after="0" w:line="143"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appoint a successor trustee with respect to the Notes;</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increase the Conversion Rate of the Notes;</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issuance of additional Notes in accordance with Section 2.10;</w:t>
      </w:r>
    </w:p>
    <w:p>
      <w:pPr>
        <w:spacing w:after="0" w:line="176" w:lineRule="exact"/>
        <w:rPr>
          <w:rFonts w:ascii="Times New Roman" w:cs="Times New Roman" w:eastAsia="Times New Roman" w:hAnsi="Times New Roman"/>
          <w:sz w:val="16"/>
          <w:szCs w:val="16"/>
          <w:color w:val="auto"/>
        </w:rPr>
      </w:pPr>
    </w:p>
    <w:p>
      <w:pPr>
        <w:ind w:right="40" w:firstLine="582"/>
        <w:spacing w:after="0" w:line="259" w:lineRule="auto"/>
        <w:tabs>
          <w:tab w:leader="none" w:pos="102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acceptance of appointment by a successor Trustee, Note Registrar, Paying Agent, Bid Solicitation Agent or Conversion Agent to facilitate the administration of the trusts under this Indenture by more than one trustee; or</w:t>
      </w:r>
    </w:p>
    <w:p>
      <w:pPr>
        <w:spacing w:after="0" w:line="143" w:lineRule="exact"/>
        <w:rPr>
          <w:rFonts w:ascii="Times New Roman" w:cs="Times New Roman" w:eastAsia="Times New Roman" w:hAnsi="Times New Roman"/>
          <w:sz w:val="16"/>
          <w:szCs w:val="16"/>
          <w:color w:val="auto"/>
        </w:rPr>
      </w:pPr>
    </w:p>
    <w:p>
      <w:pPr>
        <w:jc w:val="both"/>
        <w:ind w:firstLine="582"/>
        <w:spacing w:after="0" w:line="247" w:lineRule="auto"/>
        <w:tabs>
          <w:tab w:leader="none" w:pos="103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irrevocably elect a Settlement Method and/or Specified Dollar Amount, or eliminate the Company’s right to choose a particular Settlement Method; provided, however, that no such election or elimination will affect any settlement method theretofore elected (or deemed to be elected) with respect to any note pursuant to Section 14.02(a); provided further, that in no event will the Specified Dollar Amount be less than $1,000 per $1,000 principal amount of Notes.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5" w:right="680" w:bottom="1440" w:gutter="0" w:footer="0" w:header="0"/>
        </w:sectPr>
      </w:pPr>
    </w:p>
    <w:bookmarkStart w:id="63" w:name="page64"/>
    <w:bookmarkEnd w:id="63"/>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Upon the written request of the Company and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2"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41"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Supplemental Indentures with Consent of Holders</w:t>
      </w:r>
      <w:r>
        <w:rPr>
          <w:rFonts w:ascii="Times New Roman" w:cs="Times New Roman" w:eastAsia="Times New Roman" w:hAnsi="Times New Roman"/>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without the consent of each Holder of an outstanding Note affected, no such supplemental indenture shall:</w:t>
      </w:r>
    </w:p>
    <w:p>
      <w:pPr>
        <w:spacing w:after="0" w:line="158" w:lineRule="exact"/>
        <w:rPr>
          <w:sz w:val="20"/>
          <w:szCs w:val="20"/>
          <w:color w:val="auto"/>
        </w:rPr>
      </w:pPr>
    </w:p>
    <w:p>
      <w:pPr>
        <w:ind w:left="980" w:hanging="398"/>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Notes whose Holders must consent to an amendment;</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rate of or extend the stated time for payment of interest on any Note;</w:t>
      </w:r>
    </w:p>
    <w:p>
      <w:pPr>
        <w:spacing w:after="0" w:line="176" w:lineRule="exact"/>
        <w:rPr>
          <w:rFonts w:ascii="Times New Roman" w:cs="Times New Roman" w:eastAsia="Times New Roman" w:hAnsi="Times New Roman"/>
          <w:sz w:val="16"/>
          <w:szCs w:val="16"/>
          <w:color w:val="auto"/>
        </w:rPr>
      </w:pPr>
    </w:p>
    <w:p>
      <w:pPr>
        <w:ind w:left="980" w:hanging="398"/>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of or change the Maturity Date of any Note;</w:t>
      </w:r>
    </w:p>
    <w:p>
      <w:pPr>
        <w:spacing w:after="0" w:line="176" w:lineRule="exact"/>
        <w:rPr>
          <w:rFonts w:ascii="Times New Roman" w:cs="Times New Roman" w:eastAsia="Times New Roman" w:hAnsi="Times New Roman"/>
          <w:sz w:val="16"/>
          <w:szCs w:val="16"/>
          <w:color w:val="auto"/>
        </w:rPr>
      </w:pPr>
    </w:p>
    <w:p>
      <w:pPr>
        <w:ind w:left="1000" w:hanging="418"/>
        <w:spacing w:after="0"/>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this Indenture, make any change that adversely affects the conversion rights of any Notes;</w:t>
      </w:r>
    </w:p>
    <w:p>
      <w:pPr>
        <w:spacing w:after="0" w:line="176" w:lineRule="exact"/>
        <w:rPr>
          <w:rFonts w:ascii="Times New Roman" w:cs="Times New Roman" w:eastAsia="Times New Roman" w:hAnsi="Times New Roman"/>
          <w:sz w:val="16"/>
          <w:szCs w:val="16"/>
          <w:color w:val="auto"/>
        </w:rPr>
      </w:pPr>
    </w:p>
    <w:p>
      <w:pPr>
        <w:ind w:right="40" w:firstLine="582"/>
        <w:spacing w:after="0" w:line="259" w:lineRule="auto"/>
        <w:tabs>
          <w:tab w:leader="none" w:pos="98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43" w:lineRule="exact"/>
        <w:rPr>
          <w:rFonts w:ascii="Times New Roman" w:cs="Times New Roman" w:eastAsia="Times New Roman" w:hAnsi="Times New Roman"/>
          <w:sz w:val="16"/>
          <w:szCs w:val="16"/>
          <w:color w:val="auto"/>
        </w:rPr>
      </w:pPr>
    </w:p>
    <w:p>
      <w:pPr>
        <w:ind w:left="980" w:hanging="398"/>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Note payable in a currency, or at a place of payment, other than that stated in the Note;</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ranking of the Notes; or</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this Article 10 that requires each Holder’s consent or in the waiver provisions in Section 6.02 or Section 6.09.</w:t>
      </w:r>
    </w:p>
    <w:p>
      <w:pPr>
        <w:spacing w:after="0" w:line="176" w:lineRule="exact"/>
        <w:rPr>
          <w:sz w:val="20"/>
          <w:szCs w:val="20"/>
          <w:color w:val="auto"/>
        </w:rPr>
      </w:pPr>
    </w:p>
    <w:p>
      <w:pPr>
        <w:jc w:val="both"/>
        <w:ind w:right="40" w:firstLine="576"/>
        <w:spacing w:after="0" w:line="299" w:lineRule="auto"/>
        <w:rPr>
          <w:sz w:val="20"/>
          <w:szCs w:val="20"/>
          <w:color w:val="auto"/>
        </w:rPr>
      </w:pPr>
      <w:r>
        <w:rPr>
          <w:rFonts w:ascii="Times New Roman" w:cs="Times New Roman" w:eastAsia="Times New Roman" w:hAnsi="Times New Roman"/>
          <w:sz w:val="14"/>
          <w:szCs w:val="14"/>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64" w:name="page65"/>
    <w:bookmarkEnd w:id="64"/>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Holders do not need under this Section 10.02 to approve the particular form of any proposed supplemental indenture. It shall be sufficient if such Holders approve the substance thereof. After any such supplemental indenture described in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53"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Effect of Supplemental Indentures</w:t>
      </w:r>
      <w:r>
        <w:rPr>
          <w:rFonts w:ascii="Times New Roman" w:cs="Times New Roman" w:eastAsia="Times New Roman" w:hAnsi="Times New Roman"/>
          <w:sz w:val="16"/>
          <w:szCs w:val="16"/>
          <w:color w:val="auto"/>
        </w:rPr>
        <w:t>.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7" w:lineRule="exact"/>
        <w:rPr>
          <w:sz w:val="20"/>
          <w:szCs w:val="20"/>
          <w:color w:val="auto"/>
        </w:rPr>
      </w:pPr>
    </w:p>
    <w:p>
      <w:pPr>
        <w:jc w:val="both"/>
        <w:ind w:firstLine="576"/>
        <w:spacing w:after="0" w:line="281" w:lineRule="auto"/>
        <w:rPr>
          <w:sz w:val="20"/>
          <w:szCs w:val="20"/>
          <w:color w:val="auto"/>
        </w:rPr>
      </w:pPr>
      <w:r>
        <w:rPr>
          <w:rFonts w:ascii="Times New Roman" w:cs="Times New Roman" w:eastAsia="Times New Roman" w:hAnsi="Times New Roman"/>
          <w:sz w:val="14"/>
          <w:szCs w:val="14"/>
          <w:color w:val="auto"/>
        </w:rPr>
        <w:t xml:space="preserve">Section 10.04. </w:t>
      </w:r>
      <w:r>
        <w:rPr>
          <w:rFonts w:ascii="Times New Roman" w:cs="Times New Roman" w:eastAsia="Times New Roman" w:hAnsi="Times New Roman"/>
          <w:sz w:val="14"/>
          <w:szCs w:val="14"/>
          <w:i w:val="1"/>
          <w:iCs w:val="1"/>
          <w:color w:val="auto"/>
        </w:rPr>
        <w:t>Notation on Notes</w:t>
      </w:r>
      <w:r>
        <w:rPr>
          <w:rFonts w:ascii="Times New Roman" w:cs="Times New Roman" w:eastAsia="Times New Roman" w:hAnsi="Times New Roman"/>
          <w:sz w:val="14"/>
          <w:szCs w:val="14"/>
          <w:color w:val="auto"/>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 Failure to make the appropriate notation or issue a new Note shall not affect the validity and effect of such amendment, supplement or waiver.</w:t>
      </w:r>
    </w:p>
    <w:p>
      <w:pPr>
        <w:spacing w:after="0" w:line="129"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Evidence of Compliance of Supplemental Indenture to Be Furnished to Trustee</w:t>
      </w:r>
      <w:r>
        <w:rPr>
          <w:rFonts w:ascii="Times New Roman" w:cs="Times New Roman" w:eastAsia="Times New Roman" w:hAnsi="Times New Roman"/>
          <w:sz w:val="16"/>
          <w:szCs w:val="16"/>
          <w:color w:val="auto"/>
        </w:rPr>
        <w:t>.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11</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Consolidation, Merger, Sale, Conveyance and Lease of the Company</w:t>
      </w:r>
    </w:p>
    <w:p>
      <w:pPr>
        <w:spacing w:after="0" w:line="156" w:lineRule="exact"/>
        <w:rPr>
          <w:sz w:val="20"/>
          <w:szCs w:val="20"/>
          <w:color w:val="auto"/>
        </w:rPr>
      </w:pPr>
    </w:p>
    <w:p>
      <w:pPr>
        <w:jc w:val="both"/>
        <w:ind w:right="20" w:firstLine="576"/>
        <w:spacing w:after="0" w:line="301" w:lineRule="auto"/>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i w:val="1"/>
          <w:iCs w:val="1"/>
          <w:color w:val="auto"/>
        </w:rPr>
        <w:t>Company May Consolidate, Etc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on Certain Terms</w:t>
      </w:r>
      <w:r>
        <w:rPr>
          <w:rFonts w:ascii="Times New Roman" w:cs="Times New Roman" w:eastAsia="Times New Roman" w:hAnsi="Times New Roman"/>
          <w:sz w:val="14"/>
          <w:szCs w:val="14"/>
          <w:color w:val="auto"/>
        </w:rPr>
        <w:t>.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w:t>
      </w:r>
    </w:p>
    <w:p>
      <w:pPr>
        <w:spacing w:after="0" w:line="114" w:lineRule="exact"/>
        <w:rPr>
          <w:sz w:val="20"/>
          <w:szCs w:val="20"/>
          <w:color w:val="auto"/>
        </w:rPr>
      </w:pPr>
    </w:p>
    <w:p>
      <w:pPr>
        <w:jc w:val="both"/>
        <w:ind w:right="20" w:firstLine="582"/>
        <w:spacing w:after="0" w:line="248" w:lineRule="auto"/>
        <w:tabs>
          <w:tab w:leader="none" w:pos="99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(the “</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5" w:name="page66"/>
    <w:bookmarkEnd w:id="65"/>
    <w:p>
      <w:pPr>
        <w:ind w:left="960" w:hanging="378"/>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transaction, no Default or Event of Default shall have occurred and be continuing under this Indenture.</w:t>
      </w:r>
    </w:p>
    <w:p>
      <w:pPr>
        <w:spacing w:after="0" w:line="176"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53" w:lineRule="exact"/>
        <w:rPr>
          <w:sz w:val="20"/>
          <w:szCs w:val="20"/>
          <w:color w:val="auto"/>
        </w:rPr>
      </w:pPr>
    </w:p>
    <w:p>
      <w:pPr>
        <w:jc w:val="both"/>
        <w:ind w:firstLine="576"/>
        <w:spacing w:after="0" w:line="272" w:lineRule="auto"/>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i w:val="1"/>
          <w:iCs w:val="1"/>
          <w:color w:val="auto"/>
        </w:rPr>
        <w:t>Successor Corporation to Be Substituted</w:t>
      </w:r>
      <w:r>
        <w:rPr>
          <w:rFonts w:ascii="Times New Roman" w:cs="Times New Roman" w:eastAsia="Times New Roman" w:hAnsi="Times New Roman"/>
          <w:sz w:val="14"/>
          <w:szCs w:val="14"/>
          <w:color w:val="auto"/>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such consolidation, merger, sale, conveyance, transfer or lease, such changes in phraseology and form (but not in substance) may be made in the Notes thereafter to be issued as may be appropriate.</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6"/>
          <w:szCs w:val="16"/>
          <w:color w:val="auto"/>
        </w:rPr>
        <w:t>ARTICLE 12</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Immunity of Incorporators, Stockholders, Officers and Directors</w:t>
      </w:r>
    </w:p>
    <w:p>
      <w:pPr>
        <w:spacing w:after="0" w:line="156"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Indenture and Notes Solely Corporate Obligations</w:t>
      </w:r>
      <w:r>
        <w:rPr>
          <w:rFonts w:ascii="Times New Roman" w:cs="Times New Roman" w:eastAsia="Times New Roman" w:hAnsi="Times New Roman"/>
          <w:sz w:val="16"/>
          <w:szCs w:val="16"/>
          <w:color w:val="auto"/>
        </w:rPr>
        <w:t>. No recourse for the payment of the principal of or accrued and unpaid interest on, or the payment or delivery if consideration due upon conversion of,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any such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13</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[Intentionally Omitted]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Conversion of Notes</w:t>
      </w:r>
    </w:p>
    <w:p>
      <w:pPr>
        <w:spacing w:after="0" w:line="156" w:lineRule="exact"/>
        <w:rPr>
          <w:sz w:val="20"/>
          <w:szCs w:val="20"/>
          <w:color w:val="auto"/>
        </w:rPr>
      </w:pPr>
    </w:p>
    <w:p>
      <w:pPr>
        <w:ind w:left="580"/>
        <w:spacing w:after="0"/>
        <w:tabs>
          <w:tab w:leader="none" w:pos="1620" w:val="left"/>
        </w:tabs>
        <w:rPr>
          <w:sz w:val="20"/>
          <w:szCs w:val="20"/>
          <w:color w:val="auto"/>
        </w:rPr>
      </w:pPr>
      <w:r>
        <w:rPr>
          <w:rFonts w:ascii="Times New Roman" w:cs="Times New Roman" w:eastAsia="Times New Roman" w:hAnsi="Times New Roman"/>
          <w:sz w:val="16"/>
          <w:szCs w:val="16"/>
          <w:color w:val="auto"/>
        </w:rPr>
        <w:t>Section 14.01.</w:t>
      </w:r>
      <w:r>
        <w:rPr>
          <w:sz w:val="20"/>
          <w:szCs w:val="20"/>
          <w:color w:val="auto"/>
        </w:rPr>
        <w:tab/>
      </w:r>
      <w:r>
        <w:rPr>
          <w:rFonts w:ascii="Times New Roman" w:cs="Times New Roman" w:eastAsia="Times New Roman" w:hAnsi="Times New Roman"/>
          <w:sz w:val="14"/>
          <w:szCs w:val="14"/>
          <w:i w:val="1"/>
          <w:iCs w:val="1"/>
          <w:color w:val="auto"/>
        </w:rPr>
        <w:t>Conversion Privilege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82"/>
        <w:spacing w:after="0" w:line="239" w:lineRule="auto"/>
        <w:tabs>
          <w:tab w:leader="none" w:pos="94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and upon compliance with the provisions of this Article 14, each Holder of a Note shall have the right, at such Holder’s option, to convert all or any portion (if the portion to be converted is a minimum of $1,000 principal amount or an integral multiple thereof) of such Note subject to satisfaction of the conditions described in Section 14.01(b), at any time prior to the close of business on the Business Day immediately preceding October 15, 2030 under the circumstances and during the periods set forth in Section 14.01(b), and regardless of the conditions described in Section 14.01(b), on or after October 15, 2030 and prior to the close of business on the second Scheduled Trading Day immediately preceding the Maturity Date, in each case, at an initial conversion rate of 36.7975 shares of Common Stock (subject to adjustment as provided in this Article 14, the “ </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per $1,000 principal amount of Notes (subject to, and in accordance with, the settlement provisions of Section 14.02, the “</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7" w:name="page68"/>
    <w:bookmarkEnd w:id="67"/>
    <w:p>
      <w:pPr>
        <w:jc w:val="both"/>
        <w:ind w:firstLine="582"/>
        <w:spacing w:after="0" w:line="271" w:lineRule="auto"/>
        <w:tabs>
          <w:tab w:leader="none" w:pos="103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close of business on the Business Day immediately preceding October 15, 2030, a Holder may surrender all or any portion of its Notes for conversion at any time during the five Business Day period after any ten consecutive Trading Day period (the “</w:t>
      </w:r>
      <w:r>
        <w:rPr>
          <w:rFonts w:ascii="Times New Roman" w:cs="Times New Roman" w:eastAsia="Times New Roman" w:hAnsi="Times New Roman"/>
          <w:sz w:val="14"/>
          <w:szCs w:val="14"/>
          <w:b w:val="1"/>
          <w:bCs w:val="1"/>
          <w:color w:val="auto"/>
        </w:rPr>
        <w:t>Measurement Period</w:t>
      </w:r>
      <w:r>
        <w:rPr>
          <w:rFonts w:ascii="Times New Roman" w:cs="Times New Roman" w:eastAsia="Times New Roman" w:hAnsi="Times New Roman"/>
          <w:sz w:val="14"/>
          <w:szCs w:val="14"/>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aggregate principal amount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in writing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At such time as the Company instructs the Bid Solicitation Agent (if other than the Company) in writing to obtain bids, the Company shall provide the Bid Solicitation Agent with the names and contact information for the securities dealers it selected and the Company shall instruct such securities dealers to provide bids to the Bid Solicitation Agent.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200" w:lineRule="exact"/>
        <w:rPr>
          <w:rFonts w:ascii="Times New Roman" w:cs="Times New Roman" w:eastAsia="Times New Roman" w:hAnsi="Times New Roman"/>
          <w:sz w:val="14"/>
          <w:szCs w:val="14"/>
          <w:color w:val="auto"/>
        </w:rPr>
      </w:pPr>
    </w:p>
    <w:p>
      <w:pPr>
        <w:spacing w:after="0" w:line="298" w:lineRule="exact"/>
        <w:rPr>
          <w:rFonts w:ascii="Times New Roman" w:cs="Times New Roman" w:eastAsia="Times New Roman" w:hAnsi="Times New Roman"/>
          <w:sz w:val="14"/>
          <w:szCs w:val="14"/>
          <w:color w:val="auto"/>
        </w:rPr>
      </w:pPr>
    </w:p>
    <w:p>
      <w:pPr>
        <w:ind w:left="1400" w:hanging="386"/>
        <w:spacing w:after="0"/>
        <w:tabs>
          <w:tab w:leader="none" w:pos="140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prior to the close of business on the Business Day immediately preceding October 15, 2030, the Company elects to:</w:t>
      </w:r>
    </w:p>
    <w:p>
      <w:pPr>
        <w:spacing w:after="0" w:line="176" w:lineRule="exact"/>
        <w:rPr>
          <w:sz w:val="20"/>
          <w:szCs w:val="20"/>
          <w:color w:val="auto"/>
        </w:rPr>
      </w:pPr>
    </w:p>
    <w:p>
      <w:pPr>
        <w:jc w:val="both"/>
        <w:ind w:left="1020" w:firstLine="426"/>
        <w:spacing w:after="0" w:line="241" w:lineRule="auto"/>
        <w:tabs>
          <w:tab w:leader="none" w:pos="178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8" w:name="page69"/>
    <w:bookmarkEnd w:id="68"/>
    <w:p>
      <w:pPr>
        <w:jc w:val="both"/>
        <w:ind w:left="1020" w:right="20" w:firstLine="426"/>
        <w:spacing w:after="0" w:line="243" w:lineRule="auto"/>
        <w:tabs>
          <w:tab w:leader="none" w:pos="190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exceeding 10% of the Last Reported Sale Price of the Common Stock on the Trading Day preceding the date of announcement for such distribution,</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then, in either case, the Company shall notify all Holders of the Notes, the Trustee and the Conversion Agent (if other than the Trustee) in writing at least 60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Holders may not convert their Notes pursuant to this subsection (b)(ii) if they participate, at the same time and upon the same terms as holders of the Common Stock and solely as a result of holding the Notes, in any of the transactions described in clause (A) or (B) of this subsection (b)</w:t>
      </w:r>
    </w:p>
    <w:p>
      <w:pPr>
        <w:spacing w:after="0" w:line="1" w:lineRule="exact"/>
        <w:rPr>
          <w:sz w:val="20"/>
          <w:szCs w:val="20"/>
          <w:color w:val="auto"/>
        </w:rPr>
      </w:pPr>
    </w:p>
    <w:p>
      <w:pPr>
        <w:ind w:firstLine="6"/>
        <w:spacing w:after="0" w:line="238" w:lineRule="auto"/>
        <w:tabs>
          <w:tab w:leader="none" w:pos="23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having to convert their Notes as if they held a number of shares of Common Stock equal to the Conversion Rate as of the Record Date for such distribution, </w:t>
      </w:r>
      <w:r>
        <w:rPr>
          <w:rFonts w:ascii="Times New Roman" w:cs="Times New Roman" w:eastAsia="Times New Roman" w:hAnsi="Times New Roman"/>
          <w:sz w:val="16"/>
          <w:szCs w:val="16"/>
          <w:i w:val="1"/>
          <w:iCs w:val="1"/>
          <w:color w:val="auto"/>
        </w:rPr>
        <w:t xml:space="preserve">multiplied by </w:t>
      </w:r>
      <w:r>
        <w:rPr>
          <w:rFonts w:ascii="Times New Roman" w:cs="Times New Roman" w:eastAsia="Times New Roman" w:hAnsi="Times New Roman"/>
          <w:sz w:val="16"/>
          <w:szCs w:val="16"/>
          <w:color w:val="auto"/>
        </w:rPr>
        <w:t>the principal amount (expressed in thousands) of Notes held by such Holder.</w:t>
      </w:r>
    </w:p>
    <w:p>
      <w:pPr>
        <w:spacing w:after="0" w:line="157" w:lineRule="exact"/>
        <w:rPr>
          <w:rFonts w:ascii="Times New Roman" w:cs="Times New Roman" w:eastAsia="Times New Roman" w:hAnsi="Times New Roman"/>
          <w:sz w:val="16"/>
          <w:szCs w:val="16"/>
          <w:color w:val="auto"/>
        </w:rPr>
      </w:pPr>
    </w:p>
    <w:p>
      <w:pPr>
        <w:jc w:val="both"/>
        <w:ind w:left="580" w:firstLine="434"/>
        <w:spacing w:after="0" w:line="273" w:lineRule="auto"/>
        <w:tabs>
          <w:tab w:leader="none" w:pos="1401"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transaction or event that constitutes a Fundamental Change or a Make-Whole Fundamental Change occurs prior to the close of business on the Business Day immediately preceding October 15, 2030, regardless of whether a Holder has the right to require the Company to repurchase the Notes pursuant to Section 15.02, or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 that occurs prior to the close of business on the Business Day immediately preceding October 15, 2030 (each such Fundamental Change, Make-Whole Fundamental Change or Share Exchange Event, a “</w:t>
      </w:r>
      <w:r>
        <w:rPr>
          <w:rFonts w:ascii="Times New Roman" w:cs="Times New Roman" w:eastAsia="Times New Roman" w:hAnsi="Times New Roman"/>
          <w:sz w:val="14"/>
          <w:szCs w:val="14"/>
          <w:b w:val="1"/>
          <w:bCs w:val="1"/>
          <w:color w:val="auto"/>
        </w:rPr>
        <w:t>Corporate Event</w:t>
      </w:r>
      <w:r>
        <w:rPr>
          <w:rFonts w:ascii="Times New Roman" w:cs="Times New Roman" w:eastAsia="Times New Roman" w:hAnsi="Times New Roman"/>
          <w:sz w:val="14"/>
          <w:szCs w:val="14"/>
          <w:color w:val="auto"/>
        </w:rPr>
        <w:t>”), all or any portion of a Holder’s Notes may be surrendered for conversion at any time from or after the effective date of such Corporate Event until the earlier of (x) 35 Trading Days after the effective date of the Corporate Event (or, if the Company gives notice after the effective date of such Corporate Event, until 35 Trading Days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If the Company does not provide such notice by the second Business Day after such effective date, then the last day on which the Notes are convertible will be extended by the number of Business Days from, and including, the second Business Day after such effective date to, but excluding, the date the Company provides such notice.</w:t>
      </w: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69" w:name="page70"/>
    <w:bookmarkEnd w:id="69"/>
    <w:p>
      <w:pPr>
        <w:jc w:val="both"/>
        <w:ind w:left="-200" w:firstLine="434"/>
        <w:spacing w:after="0" w:line="214" w:lineRule="auto"/>
        <w:tabs>
          <w:tab w:leader="none" w:pos="70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close of business on the Business Day immediately preceding October 15, 2030, for any fiscal quarter commencing after the fiscal quarter ending on December 27, 2025, if the Last Reported Sale Price of the Common Stock for at least 5 Trading Days (whether or not consecutive) during the first 20 Trading Days of such fiscal quarter is greater than or equal to 130% of the Conversion Price on each applicable Trading Day, then a Holder of Notes may surrender all or any portion of its Notes for conversion at any time at its option during the 30 Trading Day period beginning on, and including,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Trading Day of such quarter.</w:t>
      </w:r>
    </w:p>
    <w:p>
      <w:pPr>
        <w:spacing w:after="0" w:line="157" w:lineRule="exact"/>
        <w:rPr>
          <w:rFonts w:ascii="Times New Roman" w:cs="Times New Roman" w:eastAsia="Times New Roman" w:hAnsi="Times New Roman"/>
          <w:sz w:val="16"/>
          <w:szCs w:val="16"/>
          <w:color w:val="auto"/>
        </w:rPr>
      </w:pPr>
    </w:p>
    <w:p>
      <w:pPr>
        <w:jc w:val="both"/>
        <w:ind w:left="-200" w:firstLine="434"/>
        <w:spacing w:after="0" w:line="236" w:lineRule="auto"/>
        <w:tabs>
          <w:tab w:leader="none" w:pos="71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any Notes for redemption pursuant to Article 16, then a Holder may surrender all or any portion of its Called Notes for conversion at any time prior to the close of business on the second Scheduled Trading Day immediately preceding the applicable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Section 16.01, and the Holder of any Note (or any owner of a beneficial interest in any Global Note) is reasonably not able to determine, prior to the close of business on the 52nd Scheduled Trading Day immediately preceding the relevant Redemption Date, whether such Note or beneficial interest, as applicable, is to be redeemed pursuant to such Optional Redemption, then such Holder or owner, as applicable, will be entitled to convert such Note or beneficial interest, as applicable, at any time before the close of business on the second Scheduled Trading Day immediately preceding such Redemption Date, unless the Company defaults in the payment of the Redemption Price, in which case such Holder or owner, as applicable, will be entitled to convert such Note or beneficial interest, as applicable, until the close of business on the Scheduled Trading Day immediately preceding the date on which the Redemption Price has been paid or duly provided for,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6"/>
          <w:szCs w:val="16"/>
          <w:b w:val="1"/>
          <w:bCs w:val="1"/>
          <w:color w:val="auto"/>
        </w:rPr>
        <w:t>Deemed Redemption</w:t>
      </w:r>
      <w:r>
        <w:rPr>
          <w:rFonts w:ascii="Times New Roman" w:cs="Times New Roman" w:eastAsia="Times New Roman" w:hAnsi="Times New Roman"/>
          <w:sz w:val="16"/>
          <w:szCs w:val="16"/>
          <w:color w:val="auto"/>
        </w:rPr>
        <w:t xml:space="preserve">”). In connection with an Optional Redemption pursuant to Section 16.01, if a Holder elects to convert Called Notes during the related Redemption Period, the Company will, under certain circumstances, increase the Conversion Rate for such Called Notes pursuant to Section 14.03. Accordingly, if the Company elects to redeem fewer than all of the outstanding Notes pursuant to Section 16.01, Holders of the Notes that are not Called Notes will not be entitled to convert such Notes pursuant to this Section 14.01(b)(v) and will not be entitled to an increase in the Conversion Rate on account of the Notice of Redemption for conversions of such Notes during the related Redemption Period, even if such Notes are otherwise convertible pursuant to any other provision of this </w:t>
      </w:r>
      <w:r>
        <w:rPr>
          <w:rFonts w:ascii="Arial" w:cs="Arial" w:eastAsia="Arial" w:hAnsi="Arial"/>
          <w:sz w:val="16"/>
          <w:szCs w:val="16"/>
          <w:color w:val="auto"/>
        </w:rPr>
        <w:t>​</w:t>
      </w:r>
      <w:r>
        <w:rPr>
          <w:rFonts w:ascii="Times New Roman" w:cs="Times New Roman" w:eastAsia="Times New Roman" w:hAnsi="Times New Roman"/>
          <w:sz w:val="16"/>
          <w:szCs w:val="16"/>
          <w:color w:val="auto"/>
        </w:rPr>
        <w:t>Section 14.01(b).</w:t>
      </w:r>
    </w:p>
    <w:p>
      <w:pPr>
        <w:spacing w:after="0" w:line="1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5" w:right="66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6"/>
          <w:szCs w:val="16"/>
          <w:color w:val="auto"/>
        </w:rPr>
        <w:t xml:space="preserve">Section 14.02.  </w:t>
      </w:r>
      <w:r>
        <w:rPr>
          <w:rFonts w:ascii="Times New Roman" w:cs="Times New Roman" w:eastAsia="Times New Roman" w:hAnsi="Times New Roman"/>
          <w:sz w:val="16"/>
          <w:szCs w:val="16"/>
          <w:i w:val="1"/>
          <w:iCs w:val="1"/>
          <w:color w:val="auto"/>
        </w:rPr>
        <w:t>Conversion Procedure; Settlement Upon Conversion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582"/>
        <w:spacing w:after="0" w:line="248" w:lineRule="auto"/>
        <w:tabs>
          <w:tab w:leader="none" w:pos="104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14.03(b) and Section 14.07(a), upon conversion of any Note, the Company shall pay cash (“</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or a combination of cash and shares of Common Stock, together with cash, if applicable, in lieu of delivering any fractional shares of Common Stock in accordance with Section 14.02(j) (“</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at its election, to the converting Holder.</w:t>
      </w:r>
    </w:p>
    <w:p>
      <w:pPr>
        <w:spacing w:after="0" w:line="151" w:lineRule="exact"/>
        <w:rPr>
          <w:rFonts w:ascii="Times New Roman" w:cs="Times New Roman" w:eastAsia="Times New Roman" w:hAnsi="Times New Roman"/>
          <w:sz w:val="16"/>
          <w:szCs w:val="16"/>
          <w:color w:val="auto"/>
        </w:rPr>
      </w:pPr>
    </w:p>
    <w:p>
      <w:pPr>
        <w:jc w:val="both"/>
        <w:ind w:left="580" w:right="20" w:firstLine="434"/>
        <w:spacing w:after="0" w:line="247" w:lineRule="auto"/>
        <w:tabs>
          <w:tab w:leader="none" w:pos="137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conversions of (a) Called Notes for which the relevant Conversion Date occurs during the related Redemption Period, (b) on or after October 15, 2030 and (c) following the Company’s irrevocable election of a Settlement Method as described in Section 14.02(a)(iv), in each case, shall be settled using the same Settlement Method (including the same Specified Dollar Amount, if applicable).</w:t>
      </w:r>
    </w:p>
    <w:p>
      <w:pPr>
        <w:spacing w:after="0" w:line="152" w:lineRule="exact"/>
        <w:rPr>
          <w:rFonts w:ascii="Times New Roman" w:cs="Times New Roman" w:eastAsia="Times New Roman" w:hAnsi="Times New Roman"/>
          <w:sz w:val="16"/>
          <w:szCs w:val="16"/>
          <w:color w:val="auto"/>
        </w:rPr>
      </w:pPr>
    </w:p>
    <w:p>
      <w:pPr>
        <w:jc w:val="both"/>
        <w:ind w:left="580" w:firstLine="434"/>
        <w:spacing w:after="0" w:line="241" w:lineRule="auto"/>
        <w:tabs>
          <w:tab w:leader="none" w:pos="141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Company’s irrevocable election of a Settlement Method as described below, and except for any conversions of Called Notes for which the relevant Conversion Date occurs during the related Redemption Period, and any conversions for which the relevant Conversion Date occurs on or after October 15, 2030, the Company shall use the same Settlement Method (including the same Specified Dollar Amount, if applicable) for all conversions with the same Conversion Date, but the Company shall not have any obligation to use the same Settlement Method with respect to conversions with different Conversion Dates.</w:t>
      </w:r>
    </w:p>
    <w:p>
      <w:pPr>
        <w:spacing w:after="0" w:line="156" w:lineRule="exact"/>
        <w:rPr>
          <w:rFonts w:ascii="Times New Roman" w:cs="Times New Roman" w:eastAsia="Times New Roman" w:hAnsi="Times New Roman"/>
          <w:sz w:val="16"/>
          <w:szCs w:val="16"/>
          <w:color w:val="auto"/>
        </w:rPr>
      </w:pPr>
    </w:p>
    <w:p>
      <w:pPr>
        <w:jc w:val="both"/>
        <w:ind w:left="580" w:firstLine="434"/>
        <w:spacing w:after="0" w:line="237" w:lineRule="auto"/>
        <w:tabs>
          <w:tab w:leader="none" w:pos="1476"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respect of any Conversion Date (or any conversions of Called Notes for which the relevant Conversion Date occurs during the related Redemption Period or any conversions for which the relevant Conversion Date occurs on or after October 15, 2030), the Company elects a Settlement Method, the Company shall inform converting Holders, the Trustee and the Conversion Agent (if other than the Trustee) of such election (the “</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no later than the close of business on the Trading Day immediately following the relevant Conversion Date (or, in the case of any conversions of Called Notes for which the relevant Conversion Date occurs during the related Redemption Period, in the related Notice of Redemption or any conversions of Notes for which the relevant Conversion Date occurs on or after October 15, 2030, no later than October 15, 2030). If the Company calls all or any Notes for redemption and the related Redemption Date is on or after October 15, 2030, then the Settlement Method that the Company elects to apply for conversions with a Conversion Date occurring during the related Redemption Period must be the same Settlement Method that applies to all conversions with a Conversion Date that occurs on or after October 15, 2030. If the Company does not timely elect a Settlement Method, the Company shall no longer have the right to elect Cash Settlement, and the Company shall be deemed to have elected Combination Settlement in respect of its conversion obligation, and the Specified Dollar Amount will be equal to $1,000. If the Company elects Combination Settlement, the related Specified Dollar Amount shall be at least equal to $1,000 per $1,000 principal amount of Notes. If the Company elects Combination Settlement, but the Company does not timely notify the converting Holder of the Specified Dollar Amount, such Specified Dollar Amount shall be deemed to be $1,000. For the avoidance of doubt, the Company’s failure to timely elect a settlement method or specify, as applicable, a specified dollar amount will not constitute a default under this Indenture.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71" w:name="page72"/>
    <w:bookmarkEnd w:id="71"/>
    <w:p>
      <w:pPr>
        <w:jc w:val="both"/>
        <w:ind w:firstLine="434"/>
        <w:spacing w:after="0" w:line="273" w:lineRule="auto"/>
        <w:tabs>
          <w:tab w:leader="none" w:pos="93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notice to Holders of the Notes (an “</w:t>
      </w:r>
      <w:r>
        <w:rPr>
          <w:rFonts w:ascii="Times New Roman" w:cs="Times New Roman" w:eastAsia="Times New Roman" w:hAnsi="Times New Roman"/>
          <w:sz w:val="14"/>
          <w:szCs w:val="14"/>
          <w:b w:val="1"/>
          <w:bCs w:val="1"/>
          <w:color w:val="auto"/>
        </w:rPr>
        <w:t>Irrevocable Election Notice</w:t>
      </w:r>
      <w:r>
        <w:rPr>
          <w:rFonts w:ascii="Times New Roman" w:cs="Times New Roman" w:eastAsia="Times New Roman" w:hAnsi="Times New Roman"/>
          <w:sz w:val="14"/>
          <w:szCs w:val="14"/>
          <w:color w:val="auto"/>
        </w:rPr>
        <w:t>”), the Trustee and the Conversion Agent (if other than the Trustee), the Company may, prior to October 15, 2030, at its option, irrevocably elect to satisfy its Conversion Obligation with respect to the Notes through any Settlement Method that the Company is then permitted to elect (including Combination Settlement with a Specified Dollar Amount of $1,000 or with an ability to continue to set the Specified Dollar Amount at or above any specified amount set forth in such election notice) for all Conversion Dates occurring subsequent to delivery of such notice. If the Company elects to irrevocably fix the Settlement Method to Combination Settlement with an ability to continue to set the Specified Dollar Amount at or above a specified amount, the Company shall, after the date of such election, as the case may be, inform Holders converting their Notes, the Trustee and the Conversion Agent (if other than the Trustee) in writing of such Specified Dollar Amount in respect of the relevant conversion or conversions no later than the relevant settlement method election deadline for such conversion or conversions as described in Section 14.02(a)(iii), or, if the Company does not timely inform the Holders, the Trustee and the Conversion Agent of the Specified Dollar Amount, such Specified Dollar Amount shall be the specific amount set forth in the election notice or, if no specific amount was set forth in the election notice, such Specified Dollar Amount shall be deemed to be $1,000. In no event may the Company elect Combination Settlement with a Specified Dollar Amount that is less than $1,000 per $1,000 principal amount of Notes. Notwithstanding the foregoing, no such irrevocable election will affect any Settlement Method theretofore elected (or deemed to be elected) with respect to any note pursuant to this Section 14.02(a). For the avoidance of doubt, such an irrevocable election, if made, will be effective without the need to amend this Indenture or the Notes, including pursuant to Section 10.01(n); however, the Company may nonetheless choose to execute such an amendment at its option.</w:t>
      </w:r>
    </w:p>
    <w:p>
      <w:pPr>
        <w:spacing w:after="0" w:line="322" w:lineRule="exact"/>
        <w:rPr>
          <w:sz w:val="20"/>
          <w:szCs w:val="20"/>
          <w:color w:val="auto"/>
        </w:rPr>
      </w:pPr>
    </w:p>
    <w:p>
      <w:pPr>
        <w:ind w:firstLine="864"/>
        <w:spacing w:after="0" w:line="259" w:lineRule="auto"/>
        <w:rPr>
          <w:sz w:val="20"/>
          <w:szCs w:val="20"/>
          <w:color w:val="auto"/>
        </w:rPr>
      </w:pPr>
      <w:r>
        <w:rPr>
          <w:rFonts w:ascii="Times New Roman" w:cs="Times New Roman" w:eastAsia="Times New Roman" w:hAnsi="Times New Roman"/>
          <w:sz w:val="16"/>
          <w:szCs w:val="16"/>
          <w:color w:val="auto"/>
        </w:rPr>
        <w:t>If the Company irrevocably fixes the Settlement Method pursuant this Section 14.02(a)(iv), then the Company shall either post the fixed settlement method on its website or disclose the same in a current report on Form 8-K (or any successor form) that they filed with the SEC.</w:t>
      </w:r>
    </w:p>
    <w:p>
      <w:pPr>
        <w:spacing w:after="0" w:line="141" w:lineRule="exact"/>
        <w:rPr>
          <w:sz w:val="20"/>
          <w:szCs w:val="20"/>
          <w:color w:val="auto"/>
        </w:rPr>
      </w:pPr>
    </w:p>
    <w:p>
      <w:pPr>
        <w:ind w:firstLine="434"/>
        <w:spacing w:after="0" w:line="262" w:lineRule="auto"/>
        <w:tabs>
          <w:tab w:leader="none" w:pos="84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shares of Common Stock or combination of cash and shares of Common Stock in respect of any conversion of Notes (the “</w:t>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 shall be computed as follows:</w:t>
      </w:r>
    </w:p>
    <w:p>
      <w:pPr>
        <w:spacing w:after="0" w:line="140" w:lineRule="exact"/>
        <w:rPr>
          <w:rFonts w:ascii="Times New Roman" w:cs="Times New Roman" w:eastAsia="Times New Roman" w:hAnsi="Times New Roman"/>
          <w:sz w:val="16"/>
          <w:szCs w:val="16"/>
          <w:color w:val="auto"/>
        </w:rPr>
      </w:pPr>
    </w:p>
    <w:p>
      <w:pPr>
        <w:ind w:left="1280" w:hanging="414"/>
        <w:spacing w:after="0"/>
        <w:tabs>
          <w:tab w:leader="none" w:pos="128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66675</wp:posOffset>
            </wp:positionV>
            <wp:extent cx="67075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000"/>
          </w:cols>
          <w:pgMar w:left="1240" w:top="963" w:right="660" w:bottom="1440" w:gutter="0" w:footer="0" w:header="0"/>
        </w:sectPr>
      </w:pPr>
    </w:p>
    <w:bookmarkStart w:id="72" w:name="page73"/>
    <w:bookmarkEnd w:id="72"/>
    <w:p>
      <w:pPr>
        <w:jc w:val="both"/>
        <w:ind w:left="1020" w:right="20" w:firstLine="426"/>
        <w:spacing w:after="0" w:line="247" w:lineRule="auto"/>
        <w:tabs>
          <w:tab w:leader="none" w:pos="1870"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50 consecutive Trading Days during the related Observation Period; and</w:t>
      </w:r>
    </w:p>
    <w:p>
      <w:pPr>
        <w:spacing w:after="0" w:line="152" w:lineRule="exact"/>
        <w:rPr>
          <w:rFonts w:ascii="Times New Roman" w:cs="Times New Roman" w:eastAsia="Times New Roman" w:hAnsi="Times New Roman"/>
          <w:sz w:val="16"/>
          <w:szCs w:val="16"/>
          <w:color w:val="auto"/>
        </w:rPr>
      </w:pPr>
    </w:p>
    <w:p>
      <w:pPr>
        <w:jc w:val="both"/>
        <w:ind w:left="1020" w:right="20" w:firstLine="426"/>
        <w:spacing w:after="0" w:line="243" w:lineRule="auto"/>
        <w:tabs>
          <w:tab w:leader="none" w:pos="1907"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50 consecutive Trading Days during the related Observation Period (plus cash in lieu of any fractional share of Common Stock issuable upon conversion).</w:t>
      </w:r>
    </w:p>
    <w:p>
      <w:pPr>
        <w:spacing w:after="0" w:line="155" w:lineRule="exact"/>
        <w:rPr>
          <w:rFonts w:ascii="Times New Roman" w:cs="Times New Roman" w:eastAsia="Times New Roman" w:hAnsi="Times New Roman"/>
          <w:sz w:val="16"/>
          <w:szCs w:val="16"/>
          <w:color w:val="auto"/>
        </w:rPr>
      </w:pPr>
    </w:p>
    <w:p>
      <w:pPr>
        <w:jc w:val="both"/>
        <w:ind w:left="580" w:right="20" w:firstLine="434"/>
        <w:spacing w:after="0" w:line="241" w:lineRule="auto"/>
        <w:tabs>
          <w:tab w:leader="none" w:pos="149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Daily Settlement Amounts and the Daily Conversion Values shall be determined by the Company promptly following the last day of the Observation Period. Promptly after such determination of the Daily Settlement Amounts and the Daily Conversion Values and the amount of cash payable in lieu of delivering any fractional share of Common Stock, the Company shall notify the Trustee and the Conversion Agent (if other than the Trustee) of the Daily Settlement Amounts and the Daily Conversion Values and the amount of cash payable in lieu of delivering any fractional shares of Common Stock. The Trustee and the Conversion Agent (if other than the Trustee) shall have no responsibility for any such determination.</w:t>
      </w:r>
    </w:p>
    <w:p>
      <w:pPr>
        <w:spacing w:after="0" w:line="156" w:lineRule="exact"/>
        <w:rPr>
          <w:rFonts w:ascii="Times New Roman" w:cs="Times New Roman" w:eastAsia="Times New Roman" w:hAnsi="Times New Roman"/>
          <w:sz w:val="16"/>
          <w:szCs w:val="16"/>
          <w:color w:val="auto"/>
        </w:rPr>
      </w:pPr>
    </w:p>
    <w:p>
      <w:pPr>
        <w:jc w:val="both"/>
        <w:ind w:firstLine="582"/>
        <w:spacing w:after="0" w:line="274" w:lineRule="auto"/>
        <w:tabs>
          <w:tab w:leader="none" w:pos="98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14.02(e), before any Holder of a Note shall be entitled to convert a Note as set forth above, such Holder shall in the case of a Global Note, comply with the applicable procedures of the Depositary in effect at that time and, if required, pay funds equal to interest payable on the next Interest Payment Date to which such Holder is not entitled as set forth in Section 14.02(h) and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 w:cs="Times New Roman" w:eastAsia="Times New Roman" w:hAnsi="Times New Roman"/>
          <w:sz w:val="14"/>
          <w:szCs w:val="14"/>
          <w:b w:val="1"/>
          <w:bCs w:val="1"/>
          <w:color w:val="auto"/>
        </w:rPr>
        <w:t>Notice of Conversion</w:t>
      </w:r>
      <w:r>
        <w:rPr>
          <w:rFonts w:ascii="Times New Roman" w:cs="Times New Roman" w:eastAsia="Times New Roman" w:hAnsi="Times New Roman"/>
          <w:sz w:val="14"/>
          <w:szCs w:val="14"/>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73" w:name="page74"/>
    <w:bookmarkEnd w:id="73"/>
    <w:p>
      <w:pPr>
        <w:ind w:right="40" w:firstLine="576"/>
        <w:spacing w:after="0" w:line="259" w:lineRule="auto"/>
        <w:rPr>
          <w:sz w:val="20"/>
          <w:szCs w:val="20"/>
          <w:color w:val="auto"/>
        </w:rPr>
      </w:pPr>
      <w:r>
        <w:rPr>
          <w:rFonts w:ascii="Times New Roman" w:cs="Times New Roman" w:eastAsia="Times New Roman" w:hAnsi="Times New Roman"/>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41" w:lineRule="exact"/>
        <w:rPr>
          <w:sz w:val="20"/>
          <w:szCs w:val="20"/>
          <w:color w:val="auto"/>
        </w:rPr>
      </w:pPr>
    </w:p>
    <w:p>
      <w:pPr>
        <w:ind w:right="40" w:firstLine="582"/>
        <w:spacing w:after="0" w:line="262" w:lineRule="auto"/>
        <w:tabs>
          <w:tab w:leader="none" w:pos="100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shall be deemed to have been converted immediately prior to the close of business on the date (the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that the Holder has complied with the requirements set forth in subsection (b) above.</w:t>
      </w:r>
    </w:p>
    <w:p>
      <w:pPr>
        <w:spacing w:after="0" w:line="140"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Subject to Section 14.03(b) and Section 14.07(a), the Company shall pay or pay and deliver the Settlement Amount due in respect of the Conversion Obligation on the second Business Day immediately following the last Trading Day of the relevant Observation Period.</w:t>
      </w:r>
    </w:p>
    <w:p>
      <w:pPr>
        <w:spacing w:after="0" w:line="143"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satisfaction of the Company’s Conversion Obligation.</w:t>
      </w:r>
    </w:p>
    <w:p>
      <w:pPr>
        <w:spacing w:after="0" w:line="152" w:lineRule="exact"/>
        <w:rPr>
          <w:sz w:val="20"/>
          <w:szCs w:val="20"/>
          <w:color w:val="auto"/>
        </w:rPr>
      </w:pPr>
    </w:p>
    <w:p>
      <w:pPr>
        <w:jc w:val="both"/>
        <w:ind w:right="20" w:firstLine="582"/>
        <w:spacing w:after="0" w:line="241" w:lineRule="auto"/>
        <w:tabs>
          <w:tab w:leader="none" w:pos="101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that may be imposed in connection therewith as a result of the name of the Holder of the new Note or Notes issued upon such conversion being different from the name of the Holder of the old Note surrendered for such conversion.</w:t>
      </w:r>
    </w:p>
    <w:p>
      <w:pPr>
        <w:spacing w:after="0" w:line="156" w:lineRule="exact"/>
        <w:rPr>
          <w:rFonts w:ascii="Times New Roman" w:cs="Times New Roman" w:eastAsia="Times New Roman" w:hAnsi="Times New Roman"/>
          <w:sz w:val="16"/>
          <w:szCs w:val="16"/>
          <w:color w:val="auto"/>
        </w:rPr>
      </w:pPr>
    </w:p>
    <w:p>
      <w:pPr>
        <w:jc w:val="both"/>
        <w:ind w:firstLine="582"/>
        <w:spacing w:after="0" w:line="289" w:lineRule="auto"/>
        <w:tabs>
          <w:tab w:leader="none" w:pos="96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24" w:lineRule="exact"/>
        <w:rPr>
          <w:rFonts w:ascii="Times New Roman" w:cs="Times New Roman" w:eastAsia="Times New Roman" w:hAnsi="Times New Roman"/>
          <w:sz w:val="14"/>
          <w:szCs w:val="14"/>
          <w:color w:val="auto"/>
        </w:rPr>
      </w:pPr>
    </w:p>
    <w:p>
      <w:pPr>
        <w:ind w:right="40" w:firstLine="582"/>
        <w:spacing w:after="0" w:line="259" w:lineRule="auto"/>
        <w:tabs>
          <w:tab w:leader="none" w:pos="94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14.04, no adjustment shall be made for dividends on any shares of Common Stock issued upon the conversion of any Note as provided in this Article 14.</w:t>
      </w:r>
    </w:p>
    <w:p>
      <w:pPr>
        <w:spacing w:after="0" w:line="143" w:lineRule="exact"/>
        <w:rPr>
          <w:rFonts w:ascii="Times New Roman" w:cs="Times New Roman" w:eastAsia="Times New Roman" w:hAnsi="Times New Roman"/>
          <w:sz w:val="16"/>
          <w:szCs w:val="16"/>
          <w:color w:val="auto"/>
        </w:rPr>
      </w:pPr>
    </w:p>
    <w:p>
      <w:pPr>
        <w:jc w:val="both"/>
        <w:ind w:right="40" w:firstLine="582"/>
        <w:spacing w:after="0" w:line="247" w:lineRule="auto"/>
        <w:tabs>
          <w:tab w:leader="none" w:pos="98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74" w:name="page75"/>
    <w:bookmarkEnd w:id="74"/>
    <w:p>
      <w:pPr>
        <w:jc w:val="both"/>
        <w:ind w:firstLine="582"/>
        <w:spacing w:after="0" w:line="272" w:lineRule="auto"/>
        <w:tabs>
          <w:tab w:leader="none" w:pos="88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to, but not including, the relevant Conversion Date shall be deemed to be paid in full rather than cancelled, extinguished or forfeited. Upon a conversion of Notes, accrued and unpaid interest shall be deemed to be paid first out of the cash paid upon such conversion. Notwithstanding the foregoing, if Notes are converted after the close of business on a Regular Record Date for the payment of interest but prior to the open of business on the immediately following Interest Payment Date, Holders of such Notes as of the close of business on such Regular Record Date will receive the full amount of interest payable on such Notes on the corresponding Interest Payment Date notwithstanding the conversion. As applicable,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the corresponding Regular Record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payment shall be required (1) for conversions following the Regular Record Date immediately preceding the Maturity Date; (2) for conversions of Called Notes, if the Company has specified a Redemption Date that is after a Regular Record Date and on or prior to the second Scheduled Trading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 exists at the time of conversion with respect to such Note. Therefore, for the avoidance of doubt, all Holders of record on the Regular Record Date immediately preceding (i) the Maturity Date, (ii) any Redemption Date described in clause (2) of the immediately preceding sentence and (iii) any Fundamental Change Repurchase Date described in clause (3) of the immediately preceding sentence, as applicable, shall receive the full interest payment due on the Maturity Date or other applicable Interest Payment Date in cash regardless of whether their Notes have been converted following such Regular Record Date, and the converting Holder shall not be required to make a corresponding payment.</w:t>
      </w:r>
    </w:p>
    <w:p>
      <w:pPr>
        <w:spacing w:after="0" w:line="200" w:lineRule="exact"/>
        <w:rPr>
          <w:rFonts w:ascii="Times New Roman" w:cs="Times New Roman" w:eastAsia="Times New Roman" w:hAnsi="Times New Roman"/>
          <w:sz w:val="14"/>
          <w:szCs w:val="14"/>
          <w:color w:val="auto"/>
        </w:rPr>
      </w:pPr>
    </w:p>
    <w:p>
      <w:pPr>
        <w:spacing w:after="0" w:line="301" w:lineRule="exact"/>
        <w:rPr>
          <w:rFonts w:ascii="Times New Roman" w:cs="Times New Roman" w:eastAsia="Times New Roman" w:hAnsi="Times New Roman"/>
          <w:sz w:val="14"/>
          <w:szCs w:val="14"/>
          <w:color w:val="auto"/>
        </w:rPr>
      </w:pPr>
    </w:p>
    <w:p>
      <w:pPr>
        <w:jc w:val="both"/>
        <w:ind w:right="20" w:firstLine="582"/>
        <w:spacing w:after="0" w:line="247" w:lineRule="auto"/>
        <w:tabs>
          <w:tab w:leader="none" w:pos="99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any shares of Common Stock shall be issuable upon conversion shall be treated as a stockholder of record as of the last Trading Day of the relevant Observation Period (in the case of Combination Settlement). Upon a conversion of Notes, such Person shall no longer be a Holder of such Notes surrendered for conversion.</w:t>
      </w:r>
    </w:p>
    <w:p>
      <w:pPr>
        <w:spacing w:after="0" w:line="152" w:lineRule="exact"/>
        <w:rPr>
          <w:rFonts w:ascii="Times New Roman" w:cs="Times New Roman" w:eastAsia="Times New Roman" w:hAnsi="Times New Roman"/>
          <w:sz w:val="16"/>
          <w:szCs w:val="16"/>
          <w:color w:val="auto"/>
        </w:rPr>
      </w:pPr>
    </w:p>
    <w:p>
      <w:pPr>
        <w:jc w:val="both"/>
        <w:ind w:firstLine="582"/>
        <w:spacing w:after="0" w:line="241" w:lineRule="auto"/>
        <w:tabs>
          <w:tab w:leader="none" w:pos="97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in the case of Combination Settlement, if any, that shall be issued upon conversion thereof shall be computed on the basis of the aggregate Daily Settlement Amounts for the relevant Observation Period and any fractional shares remaining after such computation shall be paid in cash.</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75" w:name="page76"/>
    <w:bookmarkEnd w:id="75"/>
    <w:p>
      <w:pPr>
        <w:ind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14.03. </w:t>
      </w:r>
      <w:r>
        <w:rPr>
          <w:rFonts w:ascii="Times New Roman" w:cs="Times New Roman" w:eastAsia="Times New Roman" w:hAnsi="Times New Roman"/>
          <w:sz w:val="16"/>
          <w:szCs w:val="16"/>
          <w:i w:val="1"/>
          <w:iCs w:val="1"/>
          <w:color w:val="auto"/>
        </w:rPr>
        <w:t>Increased Conversion Rate Applicable to Certain Notes Surrendered in Connection with Make-Whole Fundamental Changes or a Notice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Redemption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582"/>
        <w:spacing w:after="0" w:line="236" w:lineRule="auto"/>
        <w:tabs>
          <w:tab w:leader="none" w:pos="95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Effective Date of a Make-Whole Fundamental Change occurs prior to the Maturity Date and a Holder elects to convert its Notes in connection with such Make-Whole Fundamental Change or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cs="Times New Roman" w:eastAsia="Times New Roman" w:hAnsi="Times New Roman"/>
          <w:sz w:val="16"/>
          <w:szCs w:val="16"/>
          <w:i w:val="1"/>
          <w:iCs w:val="1"/>
          <w:color w:val="auto"/>
        </w:rPr>
        <w:t xml:space="preserve">proviso </w:t>
      </w:r>
      <w:r>
        <w:rPr>
          <w:rFonts w:ascii="Times New Roman" w:cs="Times New Roman" w:eastAsia="Times New Roman" w:hAnsi="Times New Roman"/>
          <w:sz w:val="16"/>
          <w:szCs w:val="16"/>
          <w:color w:val="auto"/>
        </w:rPr>
        <w:t>in clause (b) of the definition thereof, the 35th Trading Day immediately following the Effective Date of such Make-Whole Fundamental Change) (such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If the Company issues a Notice of Redemption, the Company shall increase the Conversion Rate during the related Redemption Period only with respect to Called Notes, and not for Notes not called (or deemed called) for redemption. For the avoidance of doubt, if the Company elects to redeem fewer than all of the outstanding Notes in an Optional Redemption pursuant to Section 16.01, Holders of the Notes that are not Called Notes will not be entitled to convert such Notes pursuant to Section 14.01(b)(v) and will not be entitled to an increase in the Conversion Rate for conversions of such Notes (on account of the Notice of Redemption) during the applicable Redemption Period, even if such Notes are otherwise convertible pursuant to Section 14.01(b)-(v).</w:t>
      </w:r>
    </w:p>
    <w:p>
      <w:pPr>
        <w:spacing w:after="0" w:line="167" w:lineRule="exact"/>
        <w:rPr>
          <w:rFonts w:ascii="Times New Roman" w:cs="Times New Roman" w:eastAsia="Times New Roman" w:hAnsi="Times New Roman"/>
          <w:sz w:val="16"/>
          <w:szCs w:val="16"/>
          <w:color w:val="auto"/>
        </w:rPr>
      </w:pPr>
    </w:p>
    <w:p>
      <w:pPr>
        <w:jc w:val="both"/>
        <w:ind w:right="20" w:firstLine="582"/>
        <w:spacing w:after="0" w:line="238" w:lineRule="auto"/>
        <w:tabs>
          <w:tab w:leader="none" w:pos="100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surrender of Notes for conversion in connection with a Make-Whole Fundamental Change or a Notice of Redemption, the Company may, at its option, satisfy its Conversion Obligation by Cash Settlement or Combination Settlement in accordance with Section 14.02 based on the Conversion Rate as increased to reflect the Additional Shares in accordance with this Section 14.03;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Settlement Amount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such Stock Price. In such event, the Settlement Amount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76" w:name="page77"/>
    <w:bookmarkEnd w:id="76"/>
    <w:p>
      <w:pPr>
        <w:jc w:val="both"/>
        <w:ind w:firstLine="582"/>
        <w:spacing w:after="0" w:line="237" w:lineRule="auto"/>
        <w:tabs>
          <w:tab w:leader="none" w:pos="8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and the price (the “</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paid (or deemed to be paid) per share of the Common Stock in the Make-Whole Fundamental Change or determined with respect to the Notice of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will be entitled to a single increase to the Conversion Rate with respect to the first to occur of the date of the Notice of Redemption or the Effective Date of the Make-Whole Fundamental Change, as applicable, and the later event shall be deemed not to have occurred for purposes of such conversion for purposes of this Section 14.03.</w:t>
      </w:r>
    </w:p>
    <w:p>
      <w:pPr>
        <w:spacing w:after="0" w:line="162" w:lineRule="exact"/>
        <w:rPr>
          <w:rFonts w:ascii="Times New Roman" w:cs="Times New Roman" w:eastAsia="Times New Roman" w:hAnsi="Times New Roman"/>
          <w:sz w:val="16"/>
          <w:szCs w:val="16"/>
          <w:color w:val="auto"/>
        </w:rPr>
      </w:pPr>
    </w:p>
    <w:p>
      <w:pPr>
        <w:jc w:val="both"/>
        <w:ind w:firstLine="582"/>
        <w:spacing w:after="0" w:line="241" w:lineRule="auto"/>
        <w:tabs>
          <w:tab w:leader="none" w:pos="98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56" w:lineRule="exact"/>
        <w:rPr>
          <w:rFonts w:ascii="Times New Roman" w:cs="Times New Roman" w:eastAsia="Times New Roman" w:hAnsi="Times New Roman"/>
          <w:sz w:val="16"/>
          <w:szCs w:val="16"/>
          <w:color w:val="auto"/>
        </w:rPr>
      </w:pPr>
    </w:p>
    <w:p>
      <w:pPr>
        <w:ind w:right="20" w:firstLine="582"/>
        <w:spacing w:after="0" w:line="259" w:lineRule="auto"/>
        <w:tabs>
          <w:tab w:leader="none" w:pos="98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Stock price</w:t>
            </w: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gridSpan w:val="2"/>
            <w:vMerge w:val="continue"/>
          </w:tcPr>
          <w:p>
            <w:pPr>
              <w:spacing w:after="0"/>
              <w:rPr>
                <w:sz w:val="12"/>
                <w:szCs w:val="12"/>
                <w:color w:val="auto"/>
              </w:rPr>
            </w:pPr>
          </w:p>
        </w:tc>
        <w:tc>
          <w:tcPr>
            <w:tcW w:w="860" w:type="dxa"/>
            <w:vAlign w:val="bottom"/>
          </w:tcPr>
          <w:p>
            <w:pPr>
              <w:jc w:val="center"/>
              <w:ind w:right="34"/>
              <w:spacing w:after="0" w:line="148" w:lineRule="exact"/>
              <w:rPr>
                <w:sz w:val="20"/>
                <w:szCs w:val="20"/>
                <w:color w:val="auto"/>
              </w:rPr>
            </w:pPr>
            <w:r>
              <w:rPr>
                <w:rFonts w:ascii="Times New Roman" w:cs="Times New Roman" w:eastAsia="Times New Roman" w:hAnsi="Times New Roman"/>
                <w:sz w:val="13"/>
                <w:szCs w:val="13"/>
                <w:b w:val="1"/>
                <w:bCs w:val="1"/>
                <w:color w:val="auto"/>
              </w:rPr>
              <w:t>$20.51</w:t>
            </w:r>
          </w:p>
        </w:tc>
        <w:tc>
          <w:tcPr>
            <w:tcW w:w="960" w:type="dxa"/>
            <w:vAlign w:val="bottom"/>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$23.50</w:t>
            </w:r>
          </w:p>
        </w:tc>
        <w:tc>
          <w:tcPr>
            <w:tcW w:w="960" w:type="dxa"/>
            <w:vAlign w:val="bottom"/>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$27.18</w:t>
            </w:r>
          </w:p>
        </w:tc>
        <w:tc>
          <w:tcPr>
            <w:tcW w:w="960" w:type="dxa"/>
            <w:vAlign w:val="bottom"/>
          </w:tcPr>
          <w:p>
            <w:pPr>
              <w:jc w:val="right"/>
              <w:ind w:right="234"/>
              <w:spacing w:after="0" w:line="148" w:lineRule="exact"/>
              <w:rPr>
                <w:sz w:val="20"/>
                <w:szCs w:val="20"/>
                <w:color w:val="auto"/>
              </w:rPr>
            </w:pPr>
            <w:r>
              <w:rPr>
                <w:rFonts w:ascii="Times New Roman" w:cs="Times New Roman" w:eastAsia="Times New Roman" w:hAnsi="Times New Roman"/>
                <w:sz w:val="13"/>
                <w:szCs w:val="13"/>
                <w:b w:val="1"/>
                <w:bCs w:val="1"/>
                <w:color w:val="auto"/>
              </w:rPr>
              <w:t>$30.00</w:t>
            </w:r>
          </w:p>
        </w:tc>
        <w:tc>
          <w:tcPr>
            <w:tcW w:w="1220" w:type="dxa"/>
            <w:vAlign w:val="bottom"/>
          </w:tcPr>
          <w:p>
            <w:pPr>
              <w:jc w:val="right"/>
              <w:ind w:right="494"/>
              <w:spacing w:after="0" w:line="148" w:lineRule="exact"/>
              <w:rPr>
                <w:sz w:val="20"/>
                <w:szCs w:val="20"/>
                <w:color w:val="auto"/>
              </w:rPr>
            </w:pPr>
            <w:r>
              <w:rPr>
                <w:rFonts w:ascii="Times New Roman" w:cs="Times New Roman" w:eastAsia="Times New Roman" w:hAnsi="Times New Roman"/>
                <w:sz w:val="13"/>
                <w:szCs w:val="13"/>
                <w:b w:val="1"/>
                <w:bCs w:val="1"/>
                <w:color w:val="auto"/>
              </w:rPr>
              <w:t>$35.33</w:t>
            </w:r>
          </w:p>
        </w:tc>
        <w:tc>
          <w:tcPr>
            <w:tcW w:w="680" w:type="dxa"/>
            <w:vAlign w:val="bottom"/>
          </w:tcPr>
          <w:p>
            <w:pPr>
              <w:jc w:val="right"/>
              <w:ind w:right="214"/>
              <w:spacing w:after="0" w:line="148" w:lineRule="exact"/>
              <w:rPr>
                <w:sz w:val="20"/>
                <w:szCs w:val="20"/>
                <w:color w:val="auto"/>
              </w:rPr>
            </w:pPr>
            <w:r>
              <w:rPr>
                <w:rFonts w:ascii="Times New Roman" w:cs="Times New Roman" w:eastAsia="Times New Roman" w:hAnsi="Times New Roman"/>
                <w:sz w:val="13"/>
                <w:szCs w:val="13"/>
                <w:b w:val="1"/>
                <w:bCs w:val="1"/>
                <w:color w:val="auto"/>
              </w:rPr>
              <w:t>$45.00</w:t>
            </w:r>
          </w:p>
        </w:tc>
        <w:tc>
          <w:tcPr>
            <w:tcW w:w="940" w:type="dxa"/>
            <w:vAlign w:val="bottom"/>
          </w:tcPr>
          <w:p>
            <w:pPr>
              <w:jc w:val="right"/>
              <w:ind w:right="214"/>
              <w:spacing w:after="0" w:line="148" w:lineRule="exact"/>
              <w:rPr>
                <w:sz w:val="20"/>
                <w:szCs w:val="20"/>
                <w:color w:val="auto"/>
              </w:rPr>
            </w:pPr>
            <w:r>
              <w:rPr>
                <w:rFonts w:ascii="Times New Roman" w:cs="Times New Roman" w:eastAsia="Times New Roman" w:hAnsi="Times New Roman"/>
                <w:sz w:val="13"/>
                <w:szCs w:val="13"/>
                <w:b w:val="1"/>
                <w:bCs w:val="1"/>
                <w:color w:val="auto"/>
              </w:rPr>
              <w:t>$60.00</w:t>
            </w:r>
          </w:p>
        </w:tc>
        <w:tc>
          <w:tcPr>
            <w:tcW w:w="900" w:type="dxa"/>
            <w:vAlign w:val="bottom"/>
          </w:tcPr>
          <w:p>
            <w:pPr>
              <w:jc w:val="right"/>
              <w:ind w:right="194"/>
              <w:spacing w:after="0" w:line="148" w:lineRule="exact"/>
              <w:rPr>
                <w:sz w:val="20"/>
                <w:szCs w:val="20"/>
                <w:color w:val="auto"/>
              </w:rPr>
            </w:pPr>
            <w:r>
              <w:rPr>
                <w:rFonts w:ascii="Times New Roman" w:cs="Times New Roman" w:eastAsia="Times New Roman" w:hAnsi="Times New Roman"/>
                <w:sz w:val="13"/>
                <w:szCs w:val="13"/>
                <w:b w:val="1"/>
                <w:bCs w:val="1"/>
                <w:color w:val="auto"/>
              </w:rPr>
              <w:t>$80.00</w:t>
            </w:r>
          </w:p>
        </w:tc>
        <w:tc>
          <w:tcPr>
            <w:tcW w:w="9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$110.00</w:t>
            </w:r>
          </w:p>
        </w:tc>
        <w:tc>
          <w:tcPr>
            <w:tcW w:w="860" w:type="dxa"/>
            <w:vAlign w:val="bottom"/>
          </w:tcPr>
          <w:p>
            <w:pPr>
              <w:jc w:val="center"/>
              <w:ind w:left="14"/>
              <w:spacing w:after="0" w:line="148" w:lineRule="exact"/>
              <w:rPr>
                <w:sz w:val="20"/>
                <w:szCs w:val="20"/>
                <w:color w:val="auto"/>
              </w:rPr>
            </w:pPr>
            <w:r>
              <w:rPr>
                <w:rFonts w:ascii="Times New Roman" w:cs="Times New Roman" w:eastAsia="Times New Roman" w:hAnsi="Times New Roman"/>
                <w:sz w:val="13"/>
                <w:szCs w:val="13"/>
                <w:b w:val="1"/>
                <w:bCs w:val="1"/>
                <w:color w:val="auto"/>
                <w:w w:val="99"/>
              </w:rPr>
              <w:t>$160.00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September 29, 2025</w:t>
            </w:r>
          </w:p>
        </w:tc>
        <w:tc>
          <w:tcPr>
            <w:tcW w:w="860" w:type="dxa"/>
            <w:vAlign w:val="bottom"/>
            <w:tcBorders>
              <w:top w:val="single" w:sz="8" w:color="auto"/>
            </w:tcBorders>
            <w:shd w:val="clear" w:color="auto" w:fill="CCEEFF"/>
          </w:tcPr>
          <w:p>
            <w:pPr>
              <w:jc w:val="center"/>
              <w:ind w:right="54"/>
              <w:spacing w:after="0" w:line="148" w:lineRule="exact"/>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9.1166</w:t>
            </w:r>
          </w:p>
        </w:tc>
        <w:tc>
          <w:tcPr>
            <w:tcW w:w="96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6.7318</w:t>
            </w:r>
          </w:p>
        </w:tc>
        <w:tc>
          <w:tcPr>
            <w:tcW w:w="960" w:type="dxa"/>
            <w:vAlign w:val="bottom"/>
            <w:tcBorders>
              <w:top w:val="single" w:sz="8" w:color="auto"/>
            </w:tcBorders>
            <w:shd w:val="clear" w:color="auto" w:fill="CCEEFF"/>
          </w:tcPr>
          <w:p>
            <w:pPr>
              <w:jc w:val="right"/>
              <w:ind w:right="234"/>
              <w:spacing w:after="0" w:line="148" w:lineRule="exact"/>
              <w:rPr>
                <w:sz w:val="20"/>
                <w:szCs w:val="20"/>
                <w:color w:val="auto"/>
              </w:rPr>
            </w:pPr>
            <w:r>
              <w:rPr>
                <w:rFonts w:ascii="Times New Roman" w:cs="Times New Roman" w:eastAsia="Times New Roman" w:hAnsi="Times New Roman"/>
                <w:sz w:val="13"/>
                <w:szCs w:val="13"/>
                <w:color w:val="auto"/>
              </w:rPr>
              <w:t>5.4360</w:t>
            </w:r>
          </w:p>
        </w:tc>
        <w:tc>
          <w:tcPr>
            <w:tcW w:w="1220" w:type="dxa"/>
            <w:vAlign w:val="bottom"/>
            <w:tcBorders>
              <w:top w:val="single" w:sz="8" w:color="auto"/>
            </w:tcBorders>
            <w:shd w:val="clear" w:color="auto" w:fill="CCEEFF"/>
          </w:tcPr>
          <w:p>
            <w:pPr>
              <w:jc w:val="right"/>
              <w:ind w:right="494"/>
              <w:spacing w:after="0" w:line="148" w:lineRule="exact"/>
              <w:rPr>
                <w:sz w:val="20"/>
                <w:szCs w:val="20"/>
                <w:color w:val="auto"/>
              </w:rPr>
            </w:pPr>
            <w:r>
              <w:rPr>
                <w:rFonts w:ascii="Times New Roman" w:cs="Times New Roman" w:eastAsia="Times New Roman" w:hAnsi="Times New Roman"/>
                <w:sz w:val="13"/>
                <w:szCs w:val="13"/>
                <w:color w:val="auto"/>
              </w:rPr>
              <w:t>3.7588</w:t>
            </w:r>
          </w:p>
        </w:tc>
        <w:tc>
          <w:tcPr>
            <w:tcW w:w="680" w:type="dxa"/>
            <w:vAlign w:val="bottom"/>
            <w:tcBorders>
              <w:top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rPr>
              <w:t>2.0978</w:t>
            </w:r>
          </w:p>
        </w:tc>
        <w:tc>
          <w:tcPr>
            <w:tcW w:w="940" w:type="dxa"/>
            <w:vAlign w:val="bottom"/>
            <w:tcBorders>
              <w:top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rPr>
              <w:t>0.9725</w:t>
            </w:r>
          </w:p>
        </w:tc>
        <w:tc>
          <w:tcPr>
            <w:tcW w:w="900" w:type="dxa"/>
            <w:vAlign w:val="bottom"/>
            <w:tcBorders>
              <w:top w:val="single" w:sz="8" w:color="auto"/>
            </w:tcBorders>
            <w:shd w:val="clear" w:color="auto" w:fill="CCEEFF"/>
          </w:tcPr>
          <w:p>
            <w:pPr>
              <w:jc w:val="right"/>
              <w:ind w:right="194"/>
              <w:spacing w:after="0" w:line="148" w:lineRule="exact"/>
              <w:rPr>
                <w:sz w:val="20"/>
                <w:szCs w:val="20"/>
                <w:color w:val="auto"/>
              </w:rPr>
            </w:pPr>
            <w:r>
              <w:rPr>
                <w:rFonts w:ascii="Times New Roman" w:cs="Times New Roman" w:eastAsia="Times New Roman" w:hAnsi="Times New Roman"/>
                <w:sz w:val="13"/>
                <w:szCs w:val="13"/>
                <w:color w:val="auto"/>
              </w:rPr>
              <w:t>0.3914</w:t>
            </w:r>
          </w:p>
        </w:tc>
        <w:tc>
          <w:tcPr>
            <w:tcW w:w="94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0.0916</w:t>
            </w:r>
          </w:p>
        </w:tc>
        <w:tc>
          <w:tcPr>
            <w:tcW w:w="86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January 15, 2026</w:t>
            </w: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9.1166</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6.7182</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5.4070</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3.7158</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2.0536</w:t>
            </w: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0.9402</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0.3731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0.0842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15, 2027</w:t>
            </w:r>
          </w:p>
        </w:tc>
        <w:tc>
          <w:tcPr>
            <w:tcW w:w="8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9.0702</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6.5155</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5.1533</w:t>
            </w:r>
          </w:p>
        </w:tc>
        <w:tc>
          <w:tcPr>
            <w:tcW w:w="12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3.4325</w:t>
            </w:r>
          </w:p>
        </w:tc>
        <w:tc>
          <w:tcPr>
            <w:tcW w:w="6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1.8038</w:t>
            </w: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0.7758</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0.2870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0.0539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January 15, 2028</w:t>
            </w: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8.7940</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6.1008</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4.6983</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2.9808</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1.4496</w:t>
            </w: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0.5693</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0.1914</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0.0255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15, 2029</w:t>
            </w:r>
          </w:p>
        </w:tc>
        <w:tc>
          <w:tcPr>
            <w:tcW w:w="86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8.3068</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5.4308</w:t>
            </w:r>
          </w:p>
        </w:tc>
        <w:tc>
          <w:tcPr>
            <w:tcW w:w="9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3.9910</w:t>
            </w:r>
          </w:p>
        </w:tc>
        <w:tc>
          <w:tcPr>
            <w:tcW w:w="12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2.3235</w:t>
            </w:r>
          </w:p>
        </w:tc>
        <w:tc>
          <w:tcPr>
            <w:tcW w:w="6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0.9902</w:t>
            </w: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0.3418</w:t>
            </w:r>
          </w:p>
        </w:tc>
        <w:tc>
          <w:tcPr>
            <w:tcW w:w="9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0.1040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0.0071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January 15, 2030</w:t>
            </w: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7.4034</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4.2369</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2.7880</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1.3247</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0.4307</w:t>
            </w: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0.1297</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0.0391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15, 2031</w:t>
            </w:r>
          </w:p>
        </w:tc>
        <w:tc>
          <w:tcPr>
            <w:tcW w:w="86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9"/>
              </w:rPr>
              <w:t>11.9592</w:t>
            </w:r>
          </w:p>
        </w:tc>
        <w:tc>
          <w:tcPr>
            <w:tcW w:w="9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5.7557</w:t>
            </w:r>
          </w:p>
        </w:tc>
        <w:tc>
          <w:tcPr>
            <w:tcW w:w="9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0.0000</w:t>
            </w:r>
          </w:p>
        </w:tc>
        <w:tc>
          <w:tcPr>
            <w:tcW w:w="9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0.0000</w:t>
            </w:r>
          </w:p>
        </w:tc>
        <w:tc>
          <w:tcPr>
            <w:tcW w:w="122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0.0000</w:t>
            </w:r>
          </w:p>
        </w:tc>
        <w:tc>
          <w:tcPr>
            <w:tcW w:w="6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0.0000</w:t>
            </w:r>
          </w:p>
        </w:tc>
        <w:tc>
          <w:tcPr>
            <w:tcW w:w="94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0.0000</w:t>
            </w: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0.0000</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exact Stock Price and Effective Date may not be set forth in the table above, in which case:</w:t>
      </w:r>
    </w:p>
    <w:p>
      <w:pPr>
        <w:spacing w:after="0" w:line="176" w:lineRule="exact"/>
        <w:rPr>
          <w:sz w:val="20"/>
          <w:szCs w:val="20"/>
          <w:color w:val="auto"/>
        </w:rPr>
      </w:pPr>
    </w:p>
    <w:p>
      <w:pPr>
        <w:jc w:val="both"/>
        <w:ind w:left="580" w:right="20" w:firstLine="434"/>
        <w:spacing w:after="0" w:line="243" w:lineRule="auto"/>
        <w:tabs>
          <w:tab w:leader="none" w:pos="138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 or 366-day year, as applicable;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77" w:name="page78"/>
    <w:bookmarkEnd w:id="77"/>
    <w:p>
      <w:pPr>
        <w:ind w:left="580" w:firstLine="434"/>
        <w:spacing w:after="0" w:line="259" w:lineRule="auto"/>
        <w:tabs>
          <w:tab w:leader="none" w:pos="13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greater than $160.00 per share (subject to adjustment in the same manner as the Stock Prices set forth in the column headings of the table above pursuant to subsection (d) above), no Additional Shares shall be added to the Conversion Rate; and</w:t>
      </w:r>
    </w:p>
    <w:p>
      <w:pPr>
        <w:spacing w:after="0" w:line="143"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36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less than $20.51 per share (subject to adjustment in the same manner as the Stock Prices set forth in the column headings of the table above pursuant to subsection (d) above), no Additional Shares shall be added to the Conversion Rate.</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Notwithstanding the foregoing, in no event shall the Conversion Rate per $1,000 principal amount of Notes exceed 48.7567 shares of Common Stock, subject to adjustment in the same manner as the Conversion Rate pursuant to Section 14.04.</w:t>
      </w:r>
    </w:p>
    <w:p>
      <w:pPr>
        <w:spacing w:after="0" w:line="143" w:lineRule="exact"/>
        <w:rPr>
          <w:sz w:val="20"/>
          <w:szCs w:val="20"/>
          <w:color w:val="auto"/>
        </w:rPr>
      </w:pPr>
    </w:p>
    <w:p>
      <w:pPr>
        <w:ind w:firstLine="582"/>
        <w:spacing w:after="0" w:line="259" w:lineRule="auto"/>
        <w:tabs>
          <w:tab w:leader="none" w:pos="93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14.03 shall prevent an adjustment to the Conversion Rate that would otherwise be required pursuant to Section 14.04 in respect of a Make-Whole Fundamental Change.</w:t>
      </w:r>
    </w:p>
    <w:p>
      <w:pPr>
        <w:spacing w:after="0" w:line="141"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14.04. </w:t>
      </w:r>
      <w:r>
        <w:rPr>
          <w:rFonts w:ascii="Times New Roman" w:cs="Times New Roman" w:eastAsia="Times New Roman" w:hAnsi="Times New Roman"/>
          <w:sz w:val="16"/>
          <w:szCs w:val="16"/>
          <w:i w:val="1"/>
          <w:iCs w:val="1"/>
          <w:color w:val="auto"/>
        </w:rPr>
        <w:t>Adjustment of Conversion Rate</w:t>
      </w:r>
      <w:r>
        <w:rPr>
          <w:rFonts w:ascii="Times New Roman" w:cs="Times New Roman" w:eastAsia="Times New Roman" w:hAnsi="Times New Roman"/>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principal amount (expressed in thousands) of Notes held by such Holder.</w:t>
      </w:r>
    </w:p>
    <w:p>
      <w:pPr>
        <w:spacing w:after="0" w:line="159" w:lineRule="exact"/>
        <w:rPr>
          <w:sz w:val="20"/>
          <w:szCs w:val="20"/>
          <w:color w:val="auto"/>
        </w:rPr>
      </w:pPr>
    </w:p>
    <w:p>
      <w:pPr>
        <w:ind w:firstLine="582"/>
        <w:spacing w:after="0" w:line="259" w:lineRule="auto"/>
        <w:tabs>
          <w:tab w:leader="none" w:pos="99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exclusively issues shares of Common Stock as a dividend or distribution on all or substantially all outstanding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99060</wp:posOffset>
            </wp:positionV>
            <wp:extent cx="891540" cy="335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9154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8"/>
              </w:rPr>
              <w:t>the Conversion Rate in effect immediately prior to the open of business on the Ex-Dividend Date of such dividend or distribution, or immediately prior to</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open of business on the Effective Date of such share split or share combination, as applicable;</w:t>
            </w:r>
          </w:p>
        </w:tc>
      </w:tr>
      <w:tr>
        <w:trPr>
          <w:trHeight w:val="34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 or Effective Date;</w:t>
            </w:r>
          </w:p>
        </w:tc>
      </w:tr>
      <w:tr>
        <w:trPr>
          <w:trHeight w:val="360"/>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Pr>
          <w:p>
            <w:pPr>
              <w:jc w:val="right"/>
              <w:ind w:right="5122"/>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24"/>
                <w:szCs w:val="24"/>
                <w:color w:val="auto"/>
              </w:rPr>
            </w:pPr>
          </w:p>
        </w:tc>
      </w:tr>
      <w:tr>
        <w:trPr>
          <w:trHeight w:val="90"/>
        </w:trPr>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5"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0" w:hanging="319"/>
        <w:spacing w:after="0" w:line="259"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number of shares of Common Stock outstanding immediately prior to the open of business on such Ex-Dividend Date or Effective Date (before giving effect to any such dividend, distribution, split or combination); and</w:t>
      </w:r>
    </w:p>
    <w:p>
      <w:pPr>
        <w:spacing w:after="0" w:line="143" w:lineRule="exact"/>
        <w:rPr>
          <w:sz w:val="20"/>
          <w:szCs w:val="20"/>
          <w:color w:val="auto"/>
        </w:rPr>
      </w:pPr>
    </w:p>
    <w:p>
      <w:pPr>
        <w:sectPr>
          <w:pgSz w:w="11900" w:h="16840" w:orient="portrait"/>
          <w:cols w:equalWidth="0" w:num="2">
            <w:col w:w="280" w:space="580"/>
            <w:col w:w="9720"/>
          </w:cols>
          <w:pgMar w:left="660" w:top="965" w:right="66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OS'</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the number of shares of Common Stock outstanding immediately after giving effect to such dividend, distribution, share split or share combination.</w:t>
      </w:r>
    </w:p>
    <w:p>
      <w:pPr>
        <w:spacing w:after="0" w:line="199" w:lineRule="exact"/>
        <w:rPr>
          <w:sz w:val="20"/>
          <w:szCs w:val="20"/>
          <w:color w:val="auto"/>
        </w:rPr>
      </w:pPr>
    </w:p>
    <w:p>
      <w:pPr>
        <w:sectPr>
          <w:pgSz w:w="11900" w:h="16840" w:orient="portrait"/>
          <w:cols w:equalWidth="0" w:num="2">
            <w:col w:w="240" w:space="300"/>
            <w:col w:w="10040"/>
          </w:cols>
          <w:pgMar w:left="660" w:top="965" w:right="660" w:bottom="1440" w:gutter="0" w:footer="0" w:header="0"/>
          <w:type w:val="continuous"/>
        </w:sectPr>
      </w:pPr>
    </w:p>
    <w:p>
      <w:pPr>
        <w:jc w:val="both"/>
        <w:spacing w:after="0" w:line="289" w:lineRule="auto"/>
        <w:rPr>
          <w:sz w:val="20"/>
          <w:szCs w:val="20"/>
          <w:color w:val="auto"/>
        </w:rPr>
      </w:pPr>
      <w:r>
        <w:rPr>
          <w:rFonts w:ascii="Times New Roman" w:cs="Times New Roman" w:eastAsia="Times New Roman" w:hAnsi="Times New Roman"/>
          <w:sz w:val="14"/>
          <w:szCs w:val="14"/>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25" w:lineRule="exact"/>
        <w:rPr>
          <w:sz w:val="20"/>
          <w:szCs w:val="20"/>
          <w:color w:val="auto"/>
        </w:rPr>
      </w:pPr>
    </w:p>
    <w:p>
      <w:pPr>
        <w:jc w:val="both"/>
        <w:ind w:firstLine="582"/>
        <w:spacing w:after="0" w:line="241" w:lineRule="auto"/>
        <w:tabs>
          <w:tab w:leader="none" w:pos="99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107950</wp:posOffset>
            </wp:positionV>
            <wp:extent cx="1104900" cy="3505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4900"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60" w:type="dxa"/>
            <w:vAlign w:val="bottom"/>
          </w:tcPr>
          <w:p>
            <w:pPr>
              <w:spacing w:after="0"/>
              <w:rPr>
                <w:sz w:val="17"/>
                <w:szCs w:val="17"/>
                <w:color w:val="auto"/>
              </w:rPr>
            </w:pPr>
          </w:p>
        </w:tc>
        <w:tc>
          <w:tcPr>
            <w:tcW w:w="7740" w:type="dxa"/>
            <w:vAlign w:val="bottom"/>
          </w:tcPr>
          <w:p>
            <w:pPr>
              <w:spacing w:after="0"/>
              <w:rPr>
                <w:sz w:val="17"/>
                <w:szCs w:val="17"/>
                <w:color w:val="auto"/>
              </w:rPr>
            </w:pP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distribution;</w:t>
            </w:r>
          </w:p>
        </w:tc>
      </w:tr>
      <w:tr>
        <w:trPr>
          <w:trHeight w:val="36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7"/>
              </w:rPr>
              <w:t>the number of shares of Common Stock outstanding immediately prior to the open of business on such Ex-Dividend Date;</w:t>
            </w:r>
          </w:p>
        </w:tc>
      </w:tr>
    </w:tbl>
    <w:p>
      <w:pPr>
        <w:spacing w:after="0" w:line="163" w:lineRule="exact"/>
        <w:rPr>
          <w:sz w:val="20"/>
          <w:szCs w:val="20"/>
          <w:color w:val="auto"/>
        </w:rPr>
      </w:pPr>
    </w:p>
    <w:p>
      <w:pPr>
        <w:ind w:left="540" w:hanging="534"/>
        <w:spacing w:after="0"/>
        <w:tabs>
          <w:tab w:leader="none" w:pos="5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total number of shares of Common Stock distributable pursuant to such rights, options or warrants; and</w:t>
      </w:r>
    </w:p>
    <w:p>
      <w:pPr>
        <w:spacing w:after="0" w:line="174" w:lineRule="exact"/>
        <w:rPr>
          <w:sz w:val="20"/>
          <w:szCs w:val="20"/>
          <w:color w:val="auto"/>
        </w:rPr>
      </w:pPr>
    </w:p>
    <w:p>
      <w:pPr>
        <w:ind w:left="860" w:right="20" w:hanging="854"/>
        <w:spacing w:after="0" w:line="248" w:lineRule="auto"/>
        <w:tabs>
          <w:tab w:leader="none" w:pos="54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number of shares of Common Stock equal to the aggregate price payable to exercise such rights, options or warrants,</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average of the Last Reported Sale Prices of the Common Stock over the 10 consecutive Trading Day period ending on, and including, the Trading Day immediately preceding the date of announcement of the distribution of such rights, options or warrants.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type w:val="continuous"/>
        </w:sectPr>
      </w:pPr>
    </w:p>
    <w:bookmarkStart w:id="79" w:name="page80"/>
    <w:bookmarkEnd w:id="79"/>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Board of Directors determines not to issue such rights, options or warrants, to the Conversion Rate that would then be in effect if such Ex-Dividend Date for such distribution had not occurred.</w:t>
      </w:r>
    </w:p>
    <w:p>
      <w:pPr>
        <w:spacing w:after="0" w:line="161"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4"/>
          <w:szCs w:val="14"/>
          <w:color w:val="auto"/>
        </w:rPr>
        <w:t>For purposes of this Section 14.04(b) and for the purpose of Section 14.01(b)(ii)(A),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28" w:lineRule="exact"/>
        <w:rPr>
          <w:sz w:val="20"/>
          <w:szCs w:val="20"/>
          <w:color w:val="auto"/>
        </w:rPr>
      </w:pPr>
    </w:p>
    <w:p>
      <w:pPr>
        <w:jc w:val="both"/>
        <w:ind w:firstLine="582"/>
        <w:spacing w:after="0" w:line="238" w:lineRule="auto"/>
        <w:tabs>
          <w:tab w:leader="none" w:pos="99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dividends, distributions or issuances (including share splits) as to which an adjustment was effected pursuant to Section 14.04(a) or Section 14.04(b) (or would have been effected but for the 1% Exception), except as otherwise provided in Section 14.11, rights issued pursuant to any stockholder rights plan of the Company then in effect, distributions of Reference Property in exchange for, or upon conversion of, Common Stock in a Share Exchange Event, dividends or distributions paid exclusively in cash as to which the provisions set forth in Section 14.04(d) shall apply, and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110490</wp:posOffset>
            </wp:positionV>
            <wp:extent cx="1227455" cy="3505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27455"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60" w:type="dxa"/>
            <w:vAlign w:val="bottom"/>
          </w:tcPr>
          <w:p>
            <w:pPr>
              <w:spacing w:after="0"/>
              <w:rPr>
                <w:sz w:val="17"/>
                <w:szCs w:val="17"/>
                <w:color w:val="auto"/>
              </w:rPr>
            </w:pPr>
          </w:p>
        </w:tc>
        <w:tc>
          <w:tcPr>
            <w:tcW w:w="9820" w:type="dxa"/>
            <w:vAlign w:val="bottom"/>
          </w:tcPr>
          <w:p>
            <w:pPr>
              <w:spacing w:after="0"/>
              <w:rPr>
                <w:sz w:val="17"/>
                <w:szCs w:val="17"/>
                <w:color w:val="auto"/>
              </w:rPr>
            </w:pP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open of business on the Ex-Dividend Date for such distribution;</w:t>
            </w:r>
          </w:p>
        </w:tc>
      </w:tr>
      <w:tr>
        <w:trPr>
          <w:trHeight w:val="36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open of business on such Ex-Dividend Date;</w:t>
            </w:r>
          </w:p>
        </w:tc>
      </w:tr>
      <w:tr>
        <w:trPr>
          <w:trHeight w:val="360"/>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Pr>
          <w:p>
            <w:pPr>
              <w:jc w:val="right"/>
              <w:ind w:right="5122"/>
              <w:spacing w:after="0"/>
              <w:rPr>
                <w:sz w:val="20"/>
                <w:szCs w:val="20"/>
                <w:color w:val="auto"/>
              </w:rPr>
            </w:pPr>
            <w:r>
              <w:rPr>
                <w:rFonts w:ascii="Times New Roman" w:cs="Times New Roman" w:eastAsia="Times New Roman" w:hAnsi="Times New Roman"/>
                <w:sz w:val="16"/>
                <w:szCs w:val="16"/>
                <w:color w:val="auto"/>
              </w:rPr>
              <w:t>70</w:t>
            </w:r>
          </w:p>
        </w:tc>
      </w:tr>
      <w:tr>
        <w:trPr>
          <w:trHeight w:val="90"/>
        </w:trPr>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20" w:type="dxa"/>
            <w:vAlign w:val="bottom"/>
            <w:tcBorders>
              <w:bottom w:val="single" w:sz="8" w:color="auto"/>
            </w:tcBorders>
          </w:tcPr>
          <w:p>
            <w:pPr>
              <w:spacing w:after="0"/>
              <w:rPr>
                <w:sz w:val="7"/>
                <w:szCs w:val="7"/>
                <w:color w:val="auto"/>
              </w:rPr>
            </w:pPr>
          </w:p>
        </w:tc>
      </w:tr>
    </w:tbl>
    <w:p>
      <w:pPr>
        <w:sectPr>
          <w:pgSz w:w="11900" w:h="16840" w:orient="portrait"/>
          <w:cols w:equalWidth="0" w:num="1">
            <w:col w:w="10580"/>
          </w:cols>
          <w:pgMar w:left="660" w:top="965" w:right="66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SP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ind w:right="40" w:hanging="319"/>
        <w:spacing w:after="0" w:line="259"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average of the Last Reported Sale Prices of the Common Stock over the 10 consecutive Trading Day period ending on, and including, the Trading Day immediately preceding the Ex-Dividend Date for such distribution; and</w:t>
      </w:r>
    </w:p>
    <w:p>
      <w:pPr>
        <w:spacing w:after="0" w:line="143" w:lineRule="exact"/>
        <w:rPr>
          <w:sz w:val="20"/>
          <w:szCs w:val="20"/>
          <w:color w:val="auto"/>
        </w:rPr>
      </w:pPr>
    </w:p>
    <w:p>
      <w:pPr>
        <w:sectPr>
          <w:pgSz w:w="11900" w:h="16840" w:orient="portrait"/>
          <w:cols w:equalWidth="0" w:num="2">
            <w:col w:w="240" w:space="620"/>
            <w:col w:w="9740"/>
          </w:cols>
          <w:pgMar w:left="660" w:top="965" w:right="640"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16"/>
          <w:szCs w:val="16"/>
          <w:color w:val="auto"/>
        </w:rPr>
        <w:t>the fair market value (as determined by the Company in good faith) of the Distributed Property with respect to each outstanding share of the Common Stock on the Ex-Dividend Date for such distribution.</w:t>
      </w:r>
    </w:p>
    <w:p>
      <w:pPr>
        <w:spacing w:after="0" w:line="143" w:lineRule="exact"/>
        <w:rPr>
          <w:sz w:val="20"/>
          <w:szCs w:val="20"/>
          <w:color w:val="auto"/>
        </w:rPr>
      </w:pPr>
    </w:p>
    <w:p>
      <w:pPr>
        <w:sectPr>
          <w:pgSz w:w="11900" w:h="16840" w:orient="portrait"/>
          <w:cols w:equalWidth="0" w:num="3">
            <w:col w:w="340" w:space="200"/>
            <w:col w:w="100" w:space="220"/>
            <w:col w:w="9740"/>
          </w:cols>
          <w:pgMar w:left="660" w:top="965" w:right="640" w:bottom="1440" w:gutter="0" w:footer="0" w:header="0"/>
          <w:type w:val="continuous"/>
        </w:sectPr>
      </w:pPr>
    </w:p>
    <w:p>
      <w:pPr>
        <w:jc w:val="both"/>
        <w:ind w:right="20"/>
        <w:spacing w:after="0" w:line="230" w:lineRule="auto"/>
        <w:rPr>
          <w:sz w:val="20"/>
          <w:szCs w:val="20"/>
          <w:color w:val="auto"/>
        </w:rPr>
      </w:pPr>
      <w:r>
        <w:rPr>
          <w:rFonts w:ascii="Times New Roman" w:cs="Times New Roman" w:eastAsia="Times New Roman" w:hAnsi="Times New Roman"/>
          <w:sz w:val="15"/>
          <w:szCs w:val="15"/>
          <w:color w:val="auto"/>
        </w:rPr>
        <w:t>Any increase made under the portion of this Section 14.04(c) above shall become effective immediately after the open of business on the Ex-Dividend Date for such distribution. If such distribution is not so paid or made, the Conversion Rate shall be decreased, effective as of the date the Board of Directors determines not to pay or make such distribution,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5"/>
          <w:szCs w:val="15"/>
          <w:color w:val="auto"/>
        </w:rPr>
        <w:t>” (as defined above), in lieu of the foregoing increase, each Holder of a Note shall receive, in respect of each $1,000</w:t>
      </w:r>
    </w:p>
    <w:p>
      <w:pPr>
        <w:spacing w:after="0" w:line="2"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6"/>
          <w:szCs w:val="16"/>
          <w:color w:val="auto"/>
        </w:rPr>
        <w:t>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58"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xml:space="preserve"> ”),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349375" cy="3505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49375"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60" w:type="dxa"/>
            <w:vAlign w:val="bottom"/>
          </w:tcPr>
          <w:p>
            <w:pPr>
              <w:spacing w:after="0"/>
              <w:rPr>
                <w:sz w:val="17"/>
                <w:szCs w:val="17"/>
                <w:color w:val="auto"/>
              </w:rPr>
            </w:pPr>
          </w:p>
        </w:tc>
        <w:tc>
          <w:tcPr>
            <w:tcW w:w="9820" w:type="dxa"/>
            <w:vAlign w:val="bottom"/>
          </w:tcPr>
          <w:p>
            <w:pPr>
              <w:spacing w:after="0"/>
              <w:rPr>
                <w:sz w:val="17"/>
                <w:szCs w:val="17"/>
                <w:color w:val="auto"/>
              </w:rPr>
            </w:pP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prior to the end of the Valuation Period;</w:t>
            </w:r>
          </w:p>
        </w:tc>
      </w:tr>
      <w:tr>
        <w:trPr>
          <w:trHeight w:val="36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Conversion Rate in effect immediately after the end of the Valuation Period;</w:t>
            </w:r>
          </w:p>
        </w:tc>
      </w:t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FMV</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the average of the Last Reported Sale Prices of the Capital Stock or similar equity interest distributed to holders of the Common Stock applicable to one</w:t>
            </w:r>
          </w:p>
        </w:tc>
      </w:tr>
      <w:tr>
        <w:trPr>
          <w:trHeight w:val="167"/>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2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w w:val="99"/>
              </w:rPr>
              <w:t>share of the Common Stock (determined by reference to the definition of Last Reported Sale Price as set forth in Section 1.01 as if references therein to</w:t>
            </w:r>
          </w:p>
        </w:tc>
      </w:tr>
      <w:tr>
        <w:trPr>
          <w:trHeight w:val="178"/>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2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Common Stock were to such Capital Stock or similar equity interest) over the first 10 consecutive Trading Day period after, and including, the Ex-</w:t>
            </w:r>
          </w:p>
        </w:tc>
      </w:tr>
      <w:tr>
        <w:trPr>
          <w:trHeight w:val="205"/>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Date of the Spin-Off (the “</w:t>
            </w:r>
            <w:r>
              <w:rPr>
                <w:rFonts w:ascii="Times New Roman" w:cs="Times New Roman" w:eastAsia="Times New Roman" w:hAnsi="Times New Roman"/>
                <w:sz w:val="16"/>
                <w:szCs w:val="16"/>
                <w:b w:val="1"/>
                <w:bCs w:val="1"/>
                <w:color w:val="auto"/>
              </w:rPr>
              <w:t>Valuation Period</w:t>
            </w:r>
            <w:r>
              <w:rPr>
                <w:rFonts w:ascii="Times New Roman" w:cs="Times New Roman" w:eastAsia="Times New Roman" w:hAnsi="Times New Roman"/>
                <w:sz w:val="16"/>
                <w:szCs w:val="16"/>
                <w:color w:val="auto"/>
              </w:rPr>
              <w:t>”); and</w:t>
            </w: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average of the Last Reported Sale Prices of the Common Stock over the Valuation Period.</w:t>
            </w:r>
          </w:p>
        </w:tc>
      </w:tr>
      <w:tr>
        <w:trPr>
          <w:trHeight w:val="546"/>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Pr>
          <w:p>
            <w:pPr>
              <w:ind w:left="4460"/>
              <w:spacing w:after="0"/>
              <w:rPr>
                <w:sz w:val="20"/>
                <w:szCs w:val="20"/>
                <w:color w:val="auto"/>
              </w:rPr>
            </w:pPr>
            <w:r>
              <w:rPr>
                <w:rFonts w:ascii="Times New Roman" w:cs="Times New Roman" w:eastAsia="Times New Roman" w:hAnsi="Times New Roman"/>
                <w:sz w:val="16"/>
                <w:szCs w:val="16"/>
                <w:color w:val="auto"/>
              </w:rPr>
              <w:t>71</w:t>
            </w:r>
          </w:p>
        </w:tc>
      </w:tr>
      <w:tr>
        <w:trPr>
          <w:trHeight w:val="90"/>
        </w:trPr>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20" w:type="dxa"/>
            <w:vAlign w:val="bottom"/>
            <w:tcBorders>
              <w:bottom w:val="single" w:sz="8" w:color="auto"/>
            </w:tcBorders>
          </w:tcPr>
          <w:p>
            <w:pPr>
              <w:spacing w:after="0"/>
              <w:rPr>
                <w:sz w:val="7"/>
                <w:szCs w:val="7"/>
                <w:color w:val="auto"/>
              </w:rPr>
            </w:pPr>
          </w:p>
        </w:tc>
      </w:tr>
    </w:tbl>
    <w:p>
      <w:pPr>
        <w:sectPr>
          <w:pgSz w:w="11900" w:h="16840" w:orient="portrait"/>
          <w:cols w:equalWidth="0" w:num="1">
            <w:col w:w="10600"/>
          </w:cols>
          <w:pgMar w:left="660" w:top="965" w:right="640" w:bottom="1440" w:gutter="0" w:footer="0" w:header="0"/>
          <w:type w:val="continuous"/>
        </w:sectPr>
      </w:pPr>
    </w:p>
    <w:bookmarkStart w:id="81" w:name="page82"/>
    <w:bookmarkEnd w:id="81"/>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for any Trading Day that falls within the relevant Observation Period for the relevant conversion and within the Valuation Period, the reference to “10”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In addition, if the Ex- Dividend Date for such Spin-Off is after the 10th Trading Day immediately preceding, and including, the end of any Observation Period in respect of a conversion of notes, references to “10” or “10th” in the preceding paragraph and this paragraph shall be deemed to be replaced, solely in respect of that conversion, with such lesser number of Trading Days as have elapsed from, and including, the Ex-Dividend Date for such Spin-Off to, and including, the last Trading Day of such Observation Period. If such Spin-Off does not occur, the Conversion Rate shall be decreased to the Conversion Rate that would then be in effect if such distribution had not been declared, effective as of the date the Board of Directors determines not to consummate such Spin-Off.</w:t>
      </w:r>
    </w:p>
    <w:p>
      <w:pPr>
        <w:spacing w:after="0" w:line="158" w:lineRule="exact"/>
        <w:rPr>
          <w:sz w:val="20"/>
          <w:szCs w:val="20"/>
          <w:color w:val="auto"/>
        </w:rPr>
      </w:pPr>
    </w:p>
    <w:p>
      <w:pPr>
        <w:jc w:val="both"/>
        <w:ind w:firstLine="576"/>
        <w:spacing w:after="0" w:line="272" w:lineRule="auto"/>
        <w:rPr>
          <w:sz w:val="20"/>
          <w:szCs w:val="20"/>
          <w:color w:val="auto"/>
        </w:rPr>
      </w:pPr>
      <w:r>
        <w:rPr>
          <w:rFonts w:ascii="Times New Roman" w:cs="Times New Roman" w:eastAsia="Times New Roman" w:hAnsi="Times New Roman"/>
          <w:sz w:val="14"/>
          <w:szCs w:val="14"/>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4"/>
          <w:szCs w:val="14"/>
          <w:b w:val="1"/>
          <w:bCs w:val="1"/>
          <w:color w:val="auto"/>
        </w:rPr>
        <w:t>Trigger Event</w:t>
      </w:r>
      <w:r>
        <w:rPr>
          <w:rFonts w:ascii="Times New Roman" w:cs="Times New Roman" w:eastAsia="Times New Roman" w:hAnsi="Times New Roman"/>
          <w:sz w:val="14"/>
          <w:szCs w:val="14"/>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82" w:name="page83"/>
    <w:bookmarkEnd w:id="82"/>
    <w:p>
      <w:pPr>
        <w:ind w:right="20" w:firstLine="576"/>
        <w:spacing w:after="0" w:line="259" w:lineRule="auto"/>
        <w:rPr>
          <w:sz w:val="20"/>
          <w:szCs w:val="20"/>
          <w:color w:val="auto"/>
        </w:rPr>
      </w:pPr>
      <w:r>
        <w:rPr>
          <w:rFonts w:ascii="Times New Roman" w:cs="Times New Roman" w:eastAsia="Times New Roman" w:hAnsi="Times New Roman"/>
          <w:sz w:val="16"/>
          <w:szCs w:val="16"/>
          <w:color w:val="auto"/>
        </w:rPr>
        <w:t>For purposes of Section 14.04(a), Section 14.04(b) and this Section 14.04(c), if any dividend or distribution to which this Section 14.04(c) is applicable also includes one or both of:</w:t>
      </w:r>
    </w:p>
    <w:p>
      <w:pPr>
        <w:spacing w:after="0" w:line="141" w:lineRule="exact"/>
        <w:rPr>
          <w:sz w:val="20"/>
          <w:szCs w:val="20"/>
          <w:color w:val="auto"/>
        </w:rPr>
      </w:pPr>
    </w:p>
    <w:p>
      <w:pPr>
        <w:ind w:left="1000" w:hanging="418"/>
        <w:spacing w:after="0"/>
        <w:tabs>
          <w:tab w:leader="none" w:pos="10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shares of Common Stock to which Section 14.04(a) is applicable (the “</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or</w:t>
      </w:r>
    </w:p>
    <w:p>
      <w:pPr>
        <w:spacing w:after="0" w:line="176" w:lineRule="exact"/>
        <w:rPr>
          <w:rFonts w:ascii="Times New Roman" w:cs="Times New Roman" w:eastAsia="Times New Roman" w:hAnsi="Times New Roman"/>
          <w:sz w:val="16"/>
          <w:szCs w:val="16"/>
          <w:color w:val="auto"/>
        </w:rPr>
      </w:pPr>
    </w:p>
    <w:p>
      <w:pPr>
        <w:ind w:left="980" w:hanging="398"/>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dividend or distribution of rights, options or warrants to which Section 14.04(b) is applicable (the “</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 -Dividend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61" w:lineRule="exact"/>
        <w:rPr>
          <w:sz w:val="20"/>
          <w:szCs w:val="20"/>
          <w:color w:val="auto"/>
        </w:rPr>
      </w:pPr>
    </w:p>
    <w:p>
      <w:pPr>
        <w:ind w:firstLine="582"/>
        <w:spacing w:after="0" w:line="259" w:lineRule="auto"/>
        <w:tabs>
          <w:tab w:leader="none" w:pos="9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makes any cash dividend or distribution to all or substantially all holders of the Common Stock, the Conversion Rate shall be adjusted based on the following formula: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480" w:type="dxa"/>
            <w:vAlign w:val="bottom"/>
          </w:tcPr>
          <w:p>
            <w:pPr>
              <w:spacing w:after="0"/>
              <w:rPr>
                <w:sz w:val="24"/>
                <w:szCs w:val="24"/>
                <w:color w:val="auto"/>
              </w:rPr>
            </w:pPr>
          </w:p>
        </w:tc>
        <w:tc>
          <w:tcPr>
            <w:tcW w:w="4740" w:type="dxa"/>
            <w:vAlign w:val="bottom"/>
            <w:vMerge w:val="restart"/>
          </w:tcPr>
          <w:p>
            <w:pPr>
              <w:ind w:left="3760"/>
              <w:spacing w:after="0"/>
              <w:rPr>
                <w:sz w:val="20"/>
                <w:szCs w:val="20"/>
                <w:color w:val="auto"/>
              </w:rPr>
            </w:pPr>
            <w:r>
              <w:rPr>
                <w:rFonts w:ascii="Times New Roman" w:cs="Times New Roman" w:eastAsia="Times New Roman" w:hAnsi="Times New Roman"/>
                <w:sz w:val="16"/>
                <w:szCs w:val="16"/>
                <w:color w:val="auto"/>
              </w:rPr>
              <w:t>CR'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0"/>
              </w:rPr>
              <w:t>SP</w:t>
            </w:r>
            <w:r>
              <w:rPr>
                <w:rFonts w:ascii="Times New Roman" w:cs="Times New Roman" w:eastAsia="Times New Roman" w:hAnsi="Times New Roman"/>
                <w:sz w:val="26"/>
                <w:szCs w:val="26"/>
                <w:color w:val="auto"/>
                <w:w w:val="90"/>
                <w:vertAlign w:val="subscript"/>
              </w:rPr>
              <w:t>0</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where,</w:t>
            </w:r>
          </w:p>
        </w:tc>
        <w:tc>
          <w:tcPr>
            <w:tcW w:w="4740" w:type="dxa"/>
            <w:vAlign w:val="bottom"/>
            <w:vMerge w:val="continue"/>
          </w:tcPr>
          <w:p>
            <w:pPr>
              <w:spacing w:after="0"/>
              <w:rPr>
                <w:sz w:val="8"/>
                <w:szCs w:val="8"/>
                <w:color w:val="auto"/>
              </w:rPr>
            </w:pPr>
          </w:p>
        </w:tc>
        <w:tc>
          <w:tcPr>
            <w:tcW w:w="5320" w:type="dxa"/>
            <w:vAlign w:val="bottom"/>
            <w:gridSpan w:val="2"/>
            <w:vMerge w:val="restart"/>
          </w:tcPr>
          <w:p>
            <w:pPr>
              <w:jc w:val="center"/>
              <w:ind w:right="4180"/>
              <w:spacing w:after="0"/>
              <w:rPr>
                <w:sz w:val="20"/>
                <w:szCs w:val="20"/>
                <w:color w:val="auto"/>
              </w:rPr>
            </w:pPr>
            <w:r>
              <w:rPr>
                <w:rFonts w:ascii="Times New Roman" w:cs="Times New Roman" w:eastAsia="Times New Roman" w:hAnsi="Times New Roman"/>
                <w:sz w:val="16"/>
                <w:szCs w:val="16"/>
                <w:color w:val="auto"/>
                <w:w w:val="92"/>
              </w:rPr>
              <w:t>SP</w:t>
            </w:r>
            <w:r>
              <w:rPr>
                <w:rFonts w:ascii="Times New Roman" w:cs="Times New Roman" w:eastAsia="Times New Roman" w:hAnsi="Times New Roman"/>
                <w:sz w:val="26"/>
                <w:szCs w:val="26"/>
                <w:color w:val="auto"/>
                <w:w w:val="92"/>
                <w:vertAlign w:val="subscript"/>
              </w:rPr>
              <w:t>0</w:t>
            </w:r>
            <w:r>
              <w:rPr>
                <w:rFonts w:ascii="Times New Roman" w:cs="Times New Roman" w:eastAsia="Times New Roman" w:hAnsi="Times New Roman"/>
                <w:sz w:val="16"/>
                <w:szCs w:val="16"/>
                <w:color w:val="auto"/>
                <w:w w:val="92"/>
              </w:rPr>
              <w:t xml:space="preserve"> − C</w:t>
            </w:r>
          </w:p>
        </w:tc>
        <w:tc>
          <w:tcPr>
            <w:tcW w:w="0" w:type="dxa"/>
            <w:vAlign w:val="bottom"/>
          </w:tcPr>
          <w:p>
            <w:pPr>
              <w:spacing w:after="0"/>
              <w:rPr>
                <w:sz w:val="1"/>
                <w:szCs w:val="1"/>
                <w:color w:val="auto"/>
              </w:rPr>
            </w:pPr>
          </w:p>
        </w:tc>
      </w:tr>
      <w:tr>
        <w:trPr>
          <w:trHeight w:val="248"/>
        </w:trPr>
        <w:tc>
          <w:tcPr>
            <w:tcW w:w="480" w:type="dxa"/>
            <w:vAlign w:val="bottom"/>
            <w:vMerge w:val="continue"/>
          </w:tcPr>
          <w:p>
            <w:pPr>
              <w:spacing w:after="0"/>
              <w:rPr>
                <w:sz w:val="21"/>
                <w:szCs w:val="21"/>
                <w:color w:val="auto"/>
              </w:rPr>
            </w:pPr>
          </w:p>
        </w:tc>
        <w:tc>
          <w:tcPr>
            <w:tcW w:w="4740" w:type="dxa"/>
            <w:vAlign w:val="bottom"/>
          </w:tcPr>
          <w:p>
            <w:pPr>
              <w:spacing w:after="0"/>
              <w:rPr>
                <w:sz w:val="21"/>
                <w:szCs w:val="21"/>
                <w:color w:val="auto"/>
              </w:rPr>
            </w:pPr>
          </w:p>
        </w:tc>
        <w:tc>
          <w:tcPr>
            <w:tcW w:w="5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80" w:type="dxa"/>
            <w:vAlign w:val="bottom"/>
            <w:vMerge w:val="continue"/>
          </w:tcPr>
          <w:p>
            <w:pPr>
              <w:spacing w:after="0"/>
              <w:rPr>
                <w:sz w:val="5"/>
                <w:szCs w:val="5"/>
                <w:color w:val="auto"/>
              </w:rPr>
            </w:pPr>
          </w:p>
        </w:tc>
        <w:tc>
          <w:tcPr>
            <w:tcW w:w="4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10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the Conversion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6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10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the Conversion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39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6"/>
                <w:szCs w:val="26"/>
                <w:color w:val="auto"/>
                <w:vertAlign w:val="subscript"/>
              </w:rPr>
              <w:t>0</w:t>
            </w:r>
          </w:p>
        </w:tc>
        <w:tc>
          <w:tcPr>
            <w:tcW w:w="10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98"/>
              </w:rPr>
              <w:t>=   the Last Reported Sale Price of the Common Stock on the Trading Day immediately preceding the Ex-Dividend Date for such dividend or distribution; and</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0" w:right="2880" w:hanging="5194"/>
        <w:spacing w:after="0" w:line="494" w:lineRule="auto"/>
        <w:tabs>
          <w:tab w:leader="none" w:pos="5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amount in cash per share the Company distributes to all or substantially all holders of the Common Stock.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67075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83" w:name="page84"/>
    <w:bookmarkEnd w:id="83"/>
    <w:p>
      <w:pPr>
        <w:jc w:val="both"/>
        <w:ind w:right="20"/>
        <w:spacing w:after="0" w:line="230" w:lineRule="auto"/>
        <w:rPr>
          <w:sz w:val="20"/>
          <w:szCs w:val="20"/>
          <w:color w:val="auto"/>
        </w:rPr>
      </w:pPr>
      <w:r>
        <w:rPr>
          <w:rFonts w:ascii="Times New Roman" w:cs="Times New Roman" w:eastAsia="Times New Roman" w:hAnsi="Times New Roman"/>
          <w:sz w:val="15"/>
          <w:szCs w:val="15"/>
          <w:color w:val="auto"/>
        </w:rPr>
        <w:t>Any increase pursuant to this Section 14.04(d) shall become effective immediately after the open of business on the Ex- 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5"/>
          <w:szCs w:val="15"/>
          <w:color w:val="auto"/>
        </w:rPr>
        <w:t>” (as defined above), in lieu of the foregoing increase, each Holder of a Note shall receive, for each $1,000</w:t>
      </w:r>
    </w:p>
    <w:p>
      <w:pPr>
        <w:spacing w:after="0" w:line="2"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color w:val="auto"/>
        </w:rPr>
        <w:t>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14" w:lineRule="exact"/>
        <w:rPr>
          <w:sz w:val="20"/>
          <w:szCs w:val="20"/>
          <w:color w:val="auto"/>
        </w:rPr>
      </w:pPr>
    </w:p>
    <w:p>
      <w:pPr>
        <w:jc w:val="both"/>
        <w:ind w:right="20" w:firstLine="582"/>
        <w:spacing w:after="0" w:line="241" w:lineRule="auto"/>
        <w:tabs>
          <w:tab w:leader="none" w:pos="9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107950</wp:posOffset>
            </wp:positionV>
            <wp:extent cx="1440815" cy="365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81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where,</w:t>
            </w:r>
          </w:p>
        </w:tc>
        <w:tc>
          <w:tcPr>
            <w:tcW w:w="260" w:type="dxa"/>
            <w:vAlign w:val="bottom"/>
          </w:tcPr>
          <w:p>
            <w:pPr>
              <w:spacing w:after="0"/>
              <w:rPr>
                <w:sz w:val="17"/>
                <w:szCs w:val="17"/>
                <w:color w:val="auto"/>
              </w:rPr>
            </w:pPr>
          </w:p>
        </w:tc>
        <w:tc>
          <w:tcPr>
            <w:tcW w:w="9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the Conversion Rate in effect immediately prior to the close of business on the 10th Trading Day immediately following, and including, the Trading Day</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next succeeding the date such tender or exchange offer expires;</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CR'</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7"/>
              </w:rPr>
              <w:t>the Conversion Rate in effect immediately after the close of business on the 10th Trading Day immediately following, and including, the Trading Day next</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succeeding the date such tender or exchange offer expires;</w:t>
            </w:r>
          </w:p>
        </w:tc>
      </w:tr>
      <w:tr>
        <w:trPr>
          <w:trHeight w:val="3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AC</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aggregate value of all cash and any other consideration (as determined by the Company in good faith) paid or payable for shares of Common Stock</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purchased in such tender or exchange offer;</w:t>
            </w:r>
          </w:p>
        </w:tc>
      </w:tr>
      <w:tr>
        <w:trPr>
          <w:trHeight w:val="350"/>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number of shares of Common Stock outstanding immediately prior to the date such tender or exchange offer expires (prior to giving effect to the</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purchase of all shares of Common Stock accepted for purchase or exchange in such tender or exchange offer);</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OS'</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7"/>
              </w:rPr>
              <w:t>the number of shares of Common Stock outstanding immediately after the date such tender or exchange offer expires (after giving effect to the purchase of</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 shares of Common Stock accepted for purchase or exchange in such tender or exchange offer); and</w:t>
            </w:r>
          </w:p>
        </w:tc>
      </w:tr>
      <w:tr>
        <w:trPr>
          <w:trHeight w:val="360"/>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Pr>
          <w:p>
            <w:pPr>
              <w:ind w:left="4460"/>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24"/>
                <w:szCs w:val="24"/>
                <w:color w:val="auto"/>
              </w:rPr>
            </w:pPr>
          </w:p>
        </w:tc>
      </w:tr>
      <w:tr>
        <w:trPr>
          <w:trHeight w:val="90"/>
        </w:trPr>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5" w:right="66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SP'</w:t>
      </w:r>
    </w:p>
    <w:p>
      <w:pPr>
        <w:spacing w:after="0" w:line="20" w:lineRule="exact"/>
        <w:rPr>
          <w:sz w:val="20"/>
          <w:szCs w:val="20"/>
          <w:color w:val="auto"/>
        </w:rPr>
      </w:pPr>
      <w:r>
        <w:rPr>
          <w:sz w:val="20"/>
          <w:szCs w:val="20"/>
          <w:color w:val="auto"/>
        </w:rPr>
        <w:br w:type="column"/>
      </w:r>
    </w:p>
    <w:p>
      <w:pPr>
        <w:ind w:right="20" w:hanging="319"/>
        <w:spacing w:after="0" w:line="259" w:lineRule="auto"/>
        <w:rPr>
          <w:sz w:val="20"/>
          <w:szCs w:val="20"/>
          <w:color w:val="auto"/>
        </w:rPr>
      </w:pPr>
      <w:r>
        <w:rPr>
          <w:rFonts w:ascii="Times New Roman" w:cs="Times New Roman" w:eastAsia="Times New Roman" w:hAnsi="Times New Roman"/>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the average of the Last Reported Sale Prices of the Common Stock over the 10 consecutive Trading Day period commencing on, and including, the Trading Day next succeeding the date such tender or exchange offer expires.</w:t>
      </w:r>
    </w:p>
    <w:p>
      <w:pPr>
        <w:spacing w:after="0" w:line="143" w:lineRule="exact"/>
        <w:rPr>
          <w:sz w:val="20"/>
          <w:szCs w:val="20"/>
          <w:color w:val="auto"/>
        </w:rPr>
      </w:pPr>
    </w:p>
    <w:p>
      <w:pPr>
        <w:sectPr>
          <w:pgSz w:w="11900" w:h="16840" w:orient="portrait"/>
          <w:cols w:equalWidth="0" w:num="2">
            <w:col w:w="200" w:space="660"/>
            <w:col w:w="9720"/>
          </w:cols>
          <w:pgMar w:left="660" w:top="965" w:right="660" w:bottom="1440" w:gutter="0" w:footer="0" w:header="0"/>
        </w:sectPr>
      </w:pPr>
    </w:p>
    <w:p>
      <w:pPr>
        <w:jc w:val="both"/>
        <w:ind w:firstLine="576"/>
        <w:spacing w:after="0" w:line="284" w:lineRule="auto"/>
        <w:rPr>
          <w:sz w:val="20"/>
          <w:szCs w:val="20"/>
          <w:color w:val="auto"/>
        </w:rPr>
      </w:pPr>
      <w:r>
        <w:rPr>
          <w:rFonts w:ascii="Times New Roman" w:cs="Times New Roman" w:eastAsia="Times New Roman" w:hAnsi="Times New Roman"/>
          <w:sz w:val="14"/>
          <w:szCs w:val="14"/>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any Trading Day that falls within the relevant Observation Period for the relevant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between the expiration date of such tender or exchange offer and such Trading Day in determining the Conversion Rate as of such Trading Day.</w:t>
      </w:r>
    </w:p>
    <w:p>
      <w:pPr>
        <w:spacing w:after="0" w:line="128" w:lineRule="exact"/>
        <w:rPr>
          <w:sz w:val="20"/>
          <w:szCs w:val="20"/>
          <w:color w:val="auto"/>
        </w:rPr>
      </w:pPr>
    </w:p>
    <w:p>
      <w:pPr>
        <w:jc w:val="both"/>
        <w:ind w:firstLine="576"/>
        <w:spacing w:after="0" w:line="243" w:lineRule="auto"/>
        <w:rPr>
          <w:sz w:val="20"/>
          <w:szCs w:val="20"/>
          <w:color w:val="auto"/>
        </w:rPr>
      </w:pPr>
      <w:r>
        <w:rPr>
          <w:rFonts w:ascii="Times New Roman" w:cs="Times New Roman" w:eastAsia="Times New Roman" w:hAnsi="Times New Roman"/>
          <w:sz w:val="16"/>
          <w:szCs w:val="16"/>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55" w:lineRule="exact"/>
        <w:rPr>
          <w:sz w:val="20"/>
          <w:szCs w:val="20"/>
          <w:color w:val="auto"/>
        </w:rPr>
      </w:pPr>
    </w:p>
    <w:p>
      <w:pPr>
        <w:ind w:firstLine="582"/>
        <w:spacing w:after="0" w:line="331" w:lineRule="auto"/>
        <w:tabs>
          <w:tab w:leader="none" w:pos="917"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96" w:lineRule="exact"/>
        <w:rPr>
          <w:rFonts w:ascii="Times New Roman" w:cs="Times New Roman" w:eastAsia="Times New Roman" w:hAnsi="Times New Roman"/>
          <w:sz w:val="14"/>
          <w:szCs w:val="14"/>
          <w:color w:val="auto"/>
        </w:rPr>
      </w:pPr>
    </w:p>
    <w:p>
      <w:pPr>
        <w:jc w:val="both"/>
        <w:ind w:right="20" w:firstLine="582"/>
        <w:spacing w:after="0" w:line="241" w:lineRule="auto"/>
        <w:tabs>
          <w:tab w:leader="none" w:pos="100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w:t>
      </w:r>
    </w:p>
    <w:p>
      <w:pPr>
        <w:spacing w:after="0" w:line="15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14, the Conversion Rate shall not be adjusted:</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389"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at a price below the Conversion Price or otherwise, other than any such issuance described in clause (a), (b) or (c) of this Section 14.04;</w:t>
      </w:r>
    </w:p>
    <w:p>
      <w:pPr>
        <w:spacing w:after="0" w:line="143"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36"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type w:val="continuous"/>
        </w:sectPr>
      </w:pPr>
    </w:p>
    <w:bookmarkStart w:id="85" w:name="page86"/>
    <w:bookmarkEnd w:id="85"/>
    <w:p>
      <w:pPr>
        <w:jc w:val="both"/>
        <w:ind w:left="580" w:firstLine="434"/>
        <w:spacing w:after="0" w:line="247" w:lineRule="auto"/>
        <w:tabs>
          <w:tab w:leader="none" w:pos="1473"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152"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1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43"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39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third-party tender offer by any party other than a tender offer by one or more of the Company’s Subsidiaries as described in clause (e) of this Section 14.04;</w:t>
      </w:r>
    </w:p>
    <w:p>
      <w:pPr>
        <w:spacing w:after="0" w:line="143" w:lineRule="exact"/>
        <w:rPr>
          <w:rFonts w:ascii="Times New Roman" w:cs="Times New Roman" w:eastAsia="Times New Roman" w:hAnsi="Times New Roman"/>
          <w:sz w:val="16"/>
          <w:szCs w:val="16"/>
          <w:color w:val="auto"/>
        </w:rPr>
      </w:pPr>
    </w:p>
    <w:p>
      <w:pPr>
        <w:jc w:val="both"/>
        <w:ind w:left="580" w:right="20" w:firstLine="434"/>
        <w:spacing w:after="0" w:line="247" w:lineRule="auto"/>
        <w:tabs>
          <w:tab w:leader="none" w:pos="136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152" w:lineRule="exact"/>
        <w:rPr>
          <w:rFonts w:ascii="Times New Roman" w:cs="Times New Roman" w:eastAsia="Times New Roman" w:hAnsi="Times New Roman"/>
          <w:sz w:val="16"/>
          <w:szCs w:val="16"/>
          <w:color w:val="auto"/>
        </w:rPr>
      </w:pPr>
    </w:p>
    <w:p>
      <w:pPr>
        <w:ind w:left="1480" w:hanging="466"/>
        <w:spacing w:after="0"/>
        <w:tabs>
          <w:tab w:leader="none" w:pos="148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change in the par value (or lack of par value) of the Common Stock; or</w:t>
      </w:r>
    </w:p>
    <w:p>
      <w:pPr>
        <w:spacing w:after="0" w:line="176" w:lineRule="exact"/>
        <w:rPr>
          <w:rFonts w:ascii="Times New Roman" w:cs="Times New Roman" w:eastAsia="Times New Roman" w:hAnsi="Times New Roman"/>
          <w:sz w:val="16"/>
          <w:szCs w:val="16"/>
          <w:color w:val="auto"/>
        </w:rPr>
      </w:pPr>
    </w:p>
    <w:p>
      <w:pPr>
        <w:ind w:left="1480" w:hanging="466"/>
        <w:spacing w:after="0"/>
        <w:tabs>
          <w:tab w:leader="none" w:pos="148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accrued and unpaid interest.</w:t>
      </w:r>
    </w:p>
    <w:p>
      <w:pPr>
        <w:spacing w:after="0" w:line="176" w:lineRule="exact"/>
        <w:rPr>
          <w:rFonts w:ascii="Times New Roman" w:cs="Times New Roman" w:eastAsia="Times New Roman" w:hAnsi="Times New Roman"/>
          <w:sz w:val="16"/>
          <w:szCs w:val="16"/>
          <w:color w:val="auto"/>
        </w:rPr>
      </w:pPr>
    </w:p>
    <w:p>
      <w:pPr>
        <w:ind w:right="40" w:firstLine="582"/>
        <w:spacing w:after="0" w:line="259" w:lineRule="auto"/>
        <w:tabs>
          <w:tab w:leader="none" w:pos="99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calculations and other determinations under this Article 14 shall be made by the Company and shall be made to the nearest one-ten thousandth (1/10,000th) of a share.</w:t>
      </w:r>
    </w:p>
    <w:p>
      <w:pPr>
        <w:spacing w:after="0" w:line="143" w:lineRule="exact"/>
        <w:rPr>
          <w:rFonts w:ascii="Times New Roman" w:cs="Times New Roman" w:eastAsia="Times New Roman" w:hAnsi="Times New Roman"/>
          <w:sz w:val="16"/>
          <w:szCs w:val="16"/>
          <w:color w:val="auto"/>
        </w:rPr>
      </w:pPr>
    </w:p>
    <w:p>
      <w:pPr>
        <w:jc w:val="both"/>
        <w:ind w:firstLine="582"/>
        <w:spacing w:after="0" w:line="239" w:lineRule="auto"/>
        <w:tabs>
          <w:tab w:leader="none" w:pos="94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when all such deferred adjustments would result in an aggregate change of at least 1% to the Conversion Rate, (x) on the Conversion Date for any Notes (in the case of any conversion following a replacement of the Common Stock by reference property consisting solely of cash) or (y) on each Trading Day of any Observation Period related to any conversion of Notes, October 15, 2030, on any date on which the Company delivers a Notice of Redemption and on the effective date of any Fundamental Change and/or Make-Whole Fundamental Change, in each case, unless the adjustment has already been made. The provisions described in the preceding sentence are referred to as the “</w:t>
      </w:r>
      <w:r>
        <w:rPr>
          <w:rFonts w:ascii="Times New Roman" w:cs="Times New Roman" w:eastAsia="Times New Roman" w:hAnsi="Times New Roman"/>
          <w:sz w:val="16"/>
          <w:szCs w:val="16"/>
          <w:b w:val="1"/>
          <w:bCs w:val="1"/>
          <w:color w:val="auto"/>
        </w:rPr>
        <w:t>1% Exception</w:t>
      </w:r>
      <w:r>
        <w:rPr>
          <w:rFonts w:ascii="Times New Roman" w:cs="Times New Roman" w:eastAsia="Times New Roman" w:hAnsi="Times New Roman"/>
          <w:sz w:val="16"/>
          <w:szCs w:val="16"/>
          <w:color w:val="auto"/>
        </w:rPr>
        <w:t>.”</w:t>
      </w:r>
    </w:p>
    <w:p>
      <w:pPr>
        <w:spacing w:after="0" w:line="157" w:lineRule="exact"/>
        <w:rPr>
          <w:rFonts w:ascii="Times New Roman" w:cs="Times New Roman" w:eastAsia="Times New Roman" w:hAnsi="Times New Roman"/>
          <w:sz w:val="16"/>
          <w:szCs w:val="16"/>
          <w:color w:val="auto"/>
        </w:rPr>
      </w:pPr>
    </w:p>
    <w:p>
      <w:pPr>
        <w:jc w:val="both"/>
        <w:ind w:firstLine="582"/>
        <w:spacing w:after="0" w:line="239" w:lineRule="auto"/>
        <w:tabs>
          <w:tab w:leader="none" w:pos="10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86" w:name="page87"/>
    <w:bookmarkEnd w:id="86"/>
    <w:p>
      <w:pPr>
        <w:jc w:val="both"/>
        <w:ind w:right="20" w:firstLine="582"/>
        <w:spacing w:after="0" w:line="247" w:lineRule="auto"/>
        <w:tabs>
          <w:tab w:leader="none" w:pos="92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39" w:lineRule="auto"/>
        <w:tabs>
          <w:tab w:leader="none" w:pos="98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14, if a Conversion Rate adjustment becomes effective on any Ex-Dividend Date, and a Holder that has converted its Notes on or after such Ex-Dividend Date and on or prior to the related record date would be treated as the record holder of shares of Common Stock as of the related conversion date as described in this Article 14 based on an adjusted Conversion Rate for such Ex-Dividend Date, then, notwithstanding the foregoing Conversion Rate adjustment provisions in this Article 14, the Conversion Rate adjustment relating to such Ex-Dividend date will not be made for such converting Holder. Instead, such holder will be treated as if such holder were the record owner of the shares of Common Stock on an unadjusted basis and participate in the related dividend, distribution or other event giving rise to such adjustment.</w:t>
      </w:r>
    </w:p>
    <w:p>
      <w:pPr>
        <w:spacing w:after="0" w:line="161"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As used in this Article 14, “record date” means, with respect to any dividend, distribution or other transaction or event in which the holders of Common Stock (or other applicable security) have the right to receive any cash, securities or other property or in which shares of Common Stock (or such other security) is exchanged for or converted into any combination of cash, securities or other property, the date fixed for determination of holders of shares of Common stock (or such other security) entitled to receive such cash, securities or other property (whether such date is fixed by the Board of Directors, statute, contract or otherwise).</w:t>
      </w:r>
    </w:p>
    <w:p>
      <w:pPr>
        <w:spacing w:after="0" w:line="153"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14.05. </w:t>
      </w:r>
      <w:r>
        <w:rPr>
          <w:rFonts w:ascii="Times New Roman" w:cs="Times New Roman" w:eastAsia="Times New Roman" w:hAnsi="Times New Roman"/>
          <w:sz w:val="16"/>
          <w:szCs w:val="16"/>
          <w:i w:val="1"/>
          <w:iCs w:val="1"/>
          <w:color w:val="auto"/>
        </w:rPr>
        <w:t>Adjustments of Prices</w:t>
      </w:r>
      <w:r>
        <w:rPr>
          <w:rFonts w:ascii="Times New Roman" w:cs="Times New Roman" w:eastAsia="Times New Roman" w:hAnsi="Times New Roman"/>
          <w:sz w:val="16"/>
          <w:szCs w:val="16"/>
          <w:color w:val="auto"/>
        </w:rPr>
        <w:t>. Whenever any provision of this Indenture requires the Company to calculate the Last Reported Sale Prices, the Daily VWAPs, the Daily Conversion Values or the Daily Settlement Amounts over a span of multiple days (including, without limitation, an Observation Period, if any,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58"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14.06. </w:t>
      </w:r>
      <w:r>
        <w:rPr>
          <w:rFonts w:ascii="Times New Roman" w:cs="Times New Roman" w:eastAsia="Times New Roman" w:hAnsi="Times New Roman"/>
          <w:sz w:val="16"/>
          <w:szCs w:val="16"/>
          <w:i w:val="1"/>
          <w:iCs w:val="1"/>
          <w:color w:val="auto"/>
        </w:rPr>
        <w:t>Shares to Be Fully Paid</w:t>
      </w:r>
      <w:r>
        <w:rPr>
          <w:rFonts w:ascii="Times New Roman" w:cs="Times New Roman" w:eastAsia="Times New Roman" w:hAnsi="Times New Roman"/>
          <w:sz w:val="16"/>
          <w:szCs w:val="16"/>
          <w:color w:val="auto"/>
        </w:rPr>
        <w:t>. The Company shall at all times reserve, free from preemptive rights, out of its authorized but unissued shares or shares held in treasury, a number of shares of Common Stock equal to the product of the number of outstanding Notes and the Conversion Rate (assuming the Conversion Rate has been increased by the maximum number of Additional Shares pursuant to Section 14.03), to provide for conversion of the Notes from time to time as such Notes are presented for conversion.</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87" w:name="page88"/>
    <w:bookmarkEnd w:id="87"/>
    <w:p>
      <w:pPr>
        <w:ind w:left="580"/>
        <w:spacing w:after="0"/>
        <w:rPr>
          <w:sz w:val="20"/>
          <w:szCs w:val="20"/>
          <w:color w:val="auto"/>
        </w:rPr>
      </w:pPr>
      <w:r>
        <w:rPr>
          <w:rFonts w:ascii="Times New Roman" w:cs="Times New Roman" w:eastAsia="Times New Roman" w:hAnsi="Times New Roman"/>
          <w:sz w:val="16"/>
          <w:szCs w:val="16"/>
          <w:color w:val="auto"/>
        </w:rPr>
        <w:t xml:space="preserve">Section 14.07.  </w:t>
      </w:r>
      <w:r>
        <w:rPr>
          <w:rFonts w:ascii="Times New Roman" w:cs="Times New Roman" w:eastAsia="Times New Roman" w:hAnsi="Times New Roman"/>
          <w:sz w:val="16"/>
          <w:szCs w:val="16"/>
          <w:i w:val="1"/>
          <w:iCs w:val="1"/>
          <w:color w:val="auto"/>
        </w:rPr>
        <w:t>Effect of Recapitalizations, Reclassifications and Changes of the Common Stock</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left="980" w:hanging="398"/>
        <w:spacing w:after="0"/>
        <w:tabs>
          <w:tab w:leader="none" w:pos="9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38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reclassification or change of the Common Stock (other than a change to par value, or from par value to no par value, or changes resulting from a subdivision or combination),</w:t>
      </w:r>
    </w:p>
    <w:p>
      <w:pPr>
        <w:spacing w:after="0" w:line="143"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consolidation, merger, combination or similar transaction involving the Company,</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36"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or other transfer or disposition to a third party of all or substantially all of the consolidated assets of the Company and the Company’s Subsidiaries, taken as a whole, or</w:t>
      </w:r>
    </w:p>
    <w:p>
      <w:pPr>
        <w:spacing w:after="0" w:line="143"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statutory share exchange,</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4"/>
          <w:szCs w:val="14"/>
          <w:b w:val="1"/>
          <w:bCs w:val="1"/>
          <w:color w:val="auto"/>
        </w:rPr>
        <w:t>Share Exchange Event</w:t>
      </w:r>
      <w:r>
        <w:rPr>
          <w:rFonts w:ascii="Times New Roman" w:cs="Times New Roman" w:eastAsia="Times New Roman" w:hAnsi="Times New Roman"/>
          <w:sz w:val="14"/>
          <w:szCs w:val="14"/>
          <w:color w:val="auto"/>
        </w:rPr>
        <w:t>”), then, at and after the effective time of such Share Exchange Event, the right to convert each $ 1,000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14"/>
          <w:szCs w:val="14"/>
          <w:b w:val="1"/>
          <w:bCs w:val="1"/>
          <w:color w:val="auto"/>
        </w:rPr>
        <w:t>Reference Property</w:t>
      </w:r>
      <w:r>
        <w:rPr>
          <w:rFonts w:ascii="Times New Roman" w:cs="Times New Roman" w:eastAsia="Times New Roman" w:hAnsi="Times New Roman"/>
          <w:sz w:val="14"/>
          <w:szCs w:val="14"/>
          <w:color w:val="auto"/>
        </w:rPr>
        <w:t>,” with each “</w:t>
      </w:r>
      <w:r>
        <w:rPr>
          <w:rFonts w:ascii="Times New Roman" w:cs="Times New Roman" w:eastAsia="Times New Roman" w:hAnsi="Times New Roman"/>
          <w:sz w:val="14"/>
          <w:szCs w:val="14"/>
          <w:b w:val="1"/>
          <w:bCs w:val="1"/>
          <w:color w:val="auto"/>
        </w:rPr>
        <w:t>unit of Reference Property</w:t>
      </w:r>
      <w:r>
        <w:rPr>
          <w:rFonts w:ascii="Times New Roman" w:cs="Times New Roman" w:eastAsia="Times New Roman" w:hAnsi="Times New Roman"/>
          <w:sz w:val="14"/>
          <w:szCs w:val="14"/>
          <w:color w:val="auto"/>
        </w:rPr>
        <w:t xml:space="preserve">”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at and after the effective time of the Share Exchange Event (A) the Company or the successor or acquiring Person, as the case may be, shall continue to have the right to determine the Settlement Method and form of consideration to be paid or delivered, as the case may be, in accordance with Section 14.02, (B) (x) any amount otherwise payable in cash upon conversion of Notes in accordance with Section 14.02 shall continue to be payable in cash; (y)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Share Exchange Event and (z) the Daily VWAP and the Last Reported Sale Price shall be calculated based on the value of a unit of Reference Property that a holder of one share of Common Stock would have received in such Share Exchange Event.</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88" w:name="page89"/>
    <w:bookmarkEnd w:id="88"/>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price paid per share of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64"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58"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If the Notes become convertible into Reference Property, the Company shall notify the Trustee and the Conversion Agent (if other than the Trustee) and issue a press release containing the relevant information, disclose the relevant information in a Current Report on Form 8-K or post such information on the Company’s website.</w:t>
      </w:r>
    </w:p>
    <w:p>
      <w:pPr>
        <w:spacing w:after="0" w:line="96" w:lineRule="exact"/>
        <w:rPr>
          <w:sz w:val="20"/>
          <w:szCs w:val="20"/>
          <w:color w:val="auto"/>
        </w:rPr>
      </w:pPr>
    </w:p>
    <w:p>
      <w:pPr>
        <w:jc w:val="both"/>
        <w:ind w:firstLine="582"/>
        <w:spacing w:after="0" w:line="241" w:lineRule="auto"/>
        <w:tabs>
          <w:tab w:leader="none" w:pos="88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89" w:name="page90"/>
    <w:bookmarkEnd w:id="89"/>
    <w:p>
      <w:pPr>
        <w:jc w:val="both"/>
        <w:ind w:firstLine="582"/>
        <w:spacing w:after="0" w:line="247" w:lineRule="auto"/>
        <w:tabs>
          <w:tab w:leader="none" w:pos="97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become a party to any Share Exchange Event unless its terms are consistent with this Section 14.07. None of the foregoing provisions shall affect the right of a Holder of Notes to convert its Notes into cash, shares of Common Stock or a combination of cash and shares of Common Stock, at the Company’s election as set forth in Section 14.01 and Section 14.02 prior to the effective date of such Share Exchange Event.</w:t>
      </w:r>
    </w:p>
    <w:p>
      <w:pPr>
        <w:spacing w:after="0" w:line="152"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provisions of this Section shall similarly apply to successive Share Exchange Events.</w:t>
      </w:r>
    </w:p>
    <w:p>
      <w:pPr>
        <w:spacing w:after="0" w:line="174" w:lineRule="exact"/>
        <w:rPr>
          <w:sz w:val="20"/>
          <w:szCs w:val="20"/>
          <w:color w:val="auto"/>
        </w:rPr>
      </w:pPr>
    </w:p>
    <w:p>
      <w:pPr>
        <w:ind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14.08. </w:t>
      </w:r>
      <w:r>
        <w:rPr>
          <w:rFonts w:ascii="Times New Roman" w:cs="Times New Roman" w:eastAsia="Times New Roman" w:hAnsi="Times New Roman"/>
          <w:sz w:val="16"/>
          <w:szCs w:val="16"/>
          <w:i w:val="1"/>
          <w:iCs w:val="1"/>
          <w:color w:val="auto"/>
        </w:rPr>
        <w:t>Certain Covenants</w:t>
      </w:r>
      <w:r>
        <w:rPr>
          <w:rFonts w:ascii="Times New Roman" w:cs="Times New Roman" w:eastAsia="Times New Roman" w:hAnsi="Times New Roman"/>
          <w:sz w:val="16"/>
          <w:szCs w:val="16"/>
          <w:color w:val="auto"/>
        </w:rPr>
        <w:t>. The Company covenants that all shares of Common Stock issued upon conversion of Notes will be fully paid and non-assessable by the Company and free from all taxes, liens and charges with respect to the issue thereof.</w:t>
      </w:r>
    </w:p>
    <w:p>
      <w:pPr>
        <w:spacing w:after="0" w:line="140" w:lineRule="exact"/>
        <w:rPr>
          <w:sz w:val="20"/>
          <w:szCs w:val="20"/>
          <w:color w:val="auto"/>
        </w:rPr>
      </w:pPr>
    </w:p>
    <w:p>
      <w:pPr>
        <w:jc w:val="both"/>
        <w:ind w:firstLine="582"/>
        <w:spacing w:after="0" w:line="247" w:lineRule="auto"/>
        <w:tabs>
          <w:tab w:leader="none" w:pos="90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52" w:lineRule="exact"/>
        <w:rPr>
          <w:rFonts w:ascii="Times New Roman" w:cs="Times New Roman" w:eastAsia="Times New Roman" w:hAnsi="Times New Roman"/>
          <w:sz w:val="16"/>
          <w:szCs w:val="16"/>
          <w:color w:val="auto"/>
        </w:rPr>
      </w:pPr>
    </w:p>
    <w:p>
      <w:pPr>
        <w:jc w:val="both"/>
        <w:ind w:firstLine="582"/>
        <w:spacing w:after="0" w:line="247" w:lineRule="auto"/>
        <w:tabs>
          <w:tab w:leader="none" w:pos="93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further covenants that if at any time the Common Stock shall be listed on any national securities exchange or automated quotation system the Company will use its reasonable best efforts to list and keep listed, so long as the Common Stock shall be so listed on such exchange or automated quotation system, any Common Stock issuable upon conversion of the Notes.</w:t>
      </w:r>
    </w:p>
    <w:p>
      <w:pPr>
        <w:spacing w:after="0" w:line="150" w:lineRule="exact"/>
        <w:rPr>
          <w:sz w:val="20"/>
          <w:szCs w:val="20"/>
          <w:color w:val="auto"/>
        </w:rPr>
      </w:pPr>
    </w:p>
    <w:p>
      <w:pPr>
        <w:jc w:val="both"/>
        <w:ind w:firstLine="576"/>
        <w:spacing w:after="0" w:line="271" w:lineRule="auto"/>
        <w:rPr>
          <w:sz w:val="20"/>
          <w:szCs w:val="20"/>
          <w:color w:val="auto"/>
        </w:rPr>
      </w:pPr>
      <w:r>
        <w:rPr>
          <w:rFonts w:ascii="Times New Roman" w:cs="Times New Roman" w:eastAsia="Times New Roman" w:hAnsi="Times New Roman"/>
          <w:sz w:val="14"/>
          <w:szCs w:val="14"/>
          <w:color w:val="auto"/>
        </w:rPr>
        <w:t xml:space="preserve">Section 14.09. </w:t>
      </w:r>
      <w:r>
        <w:rPr>
          <w:rFonts w:ascii="Times New Roman" w:cs="Times New Roman" w:eastAsia="Times New Roman" w:hAnsi="Times New Roman"/>
          <w:sz w:val="14"/>
          <w:szCs w:val="14"/>
          <w:i w:val="1"/>
          <w:iCs w:val="1"/>
          <w:color w:val="auto"/>
        </w:rPr>
        <w:t>Responsibility of Trustee</w:t>
      </w:r>
      <w:r>
        <w:rPr>
          <w:rFonts w:ascii="Times New Roman" w:cs="Times New Roman" w:eastAsia="Times New Roman" w:hAnsi="Times New Roman"/>
          <w:sz w:val="14"/>
          <w:szCs w:val="14"/>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(if other than the Trustee) the notices referred to in Section 14.01(b) with respect to the commencement or termination of such conversion rights, on which notices the Trustee and the Conversion Agent (if other than the Trustee) may conclusively rely, and the Company agrees to deliver such notices to the Trustee and the Conversion Agent immediately after the occurrence of any such event or at such other times as shall be provided for in Section 14.01(b). Neither the Trustee, nor the Conversion Agent (if other than the Trustee) shall have any obligation to independently determine or verify if any Fundamental Change, Make- Whole Fundamental Change, Trigger Event, or any other event has occurred or notify the Holders of any such event. Neither the Trustee nor the Conversion Agent shall have the responsibility for any act or omission of any Designated Financial Institution described in Section 14.12.</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6"/>
          <w:szCs w:val="16"/>
          <w:color w:val="auto"/>
        </w:rPr>
        <w:t xml:space="preserve">Section 14.10.  </w:t>
      </w:r>
      <w:r>
        <w:rPr>
          <w:rFonts w:ascii="Times New Roman" w:cs="Times New Roman" w:eastAsia="Times New Roman" w:hAnsi="Times New Roman"/>
          <w:sz w:val="16"/>
          <w:szCs w:val="16"/>
          <w:i w:val="1"/>
          <w:iCs w:val="1"/>
          <w:color w:val="auto"/>
        </w:rPr>
        <w:t>Notice to Holders Prior to Certain Actions</w:t>
      </w:r>
      <w:r>
        <w:rPr>
          <w:rFonts w:ascii="Times New Roman" w:cs="Times New Roman" w:eastAsia="Times New Roman" w:hAnsi="Times New Roman"/>
          <w:sz w:val="16"/>
          <w:szCs w:val="16"/>
          <w:color w:val="auto"/>
        </w:rPr>
        <w:t>. In case of any:</w:t>
      </w:r>
    </w:p>
    <w:p>
      <w:pPr>
        <w:spacing w:after="0" w:line="178" w:lineRule="exact"/>
        <w:rPr>
          <w:sz w:val="20"/>
          <w:szCs w:val="20"/>
          <w:color w:val="auto"/>
        </w:rPr>
      </w:pPr>
    </w:p>
    <w:p>
      <w:pPr>
        <w:ind w:firstLine="582"/>
        <w:spacing w:after="0" w:line="259" w:lineRule="auto"/>
        <w:tabs>
          <w:tab w:leader="none" w:pos="90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announcement of any action by the Company or one of its Subsidiaries that would require an adjustment in the Conversion Rate pursuant to Section 14.04 or Section 14.11; or</w:t>
      </w:r>
    </w:p>
    <w:p>
      <w:pPr>
        <w:spacing w:after="0" w:line="143"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voluntary or involuntary dissolution, liquidation or winding-up of the Company;</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 xml:space="preserve">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on such date, the Company does not have knowledge of such event or the adjusted Conversion Rate cannot be calculated, the Company shall deliver such notice as promptly as practicable upon obtaining knowledge of such event or information sufficient to make such calculation, as the case may be, and in no event later than the effective date of such adjustment. Failure to give such notice, or any defect therein, shall not affect the legality or validity of such action by the Company or one of its Subsidiaries, dissolution, liquidation or winding-up.</w:t>
      </w:r>
    </w:p>
    <w:p>
      <w:pPr>
        <w:spacing w:after="0" w:line="162" w:lineRule="exact"/>
        <w:rPr>
          <w:sz w:val="20"/>
          <w:szCs w:val="20"/>
          <w:color w:val="auto"/>
        </w:rPr>
      </w:pPr>
    </w:p>
    <w:p>
      <w:pPr>
        <w:jc w:val="both"/>
        <w:ind w:firstLine="576"/>
        <w:spacing w:after="0" w:line="281" w:lineRule="auto"/>
        <w:rPr>
          <w:sz w:val="20"/>
          <w:szCs w:val="20"/>
          <w:color w:val="auto"/>
        </w:rPr>
      </w:pPr>
      <w:r>
        <w:rPr>
          <w:rFonts w:ascii="Times New Roman" w:cs="Times New Roman" w:eastAsia="Times New Roman" w:hAnsi="Times New Roman"/>
          <w:sz w:val="14"/>
          <w:szCs w:val="14"/>
          <w:color w:val="auto"/>
        </w:rPr>
        <w:t xml:space="preserve">Section 14.11. </w:t>
      </w:r>
      <w:r>
        <w:rPr>
          <w:rFonts w:ascii="Times New Roman" w:cs="Times New Roman" w:eastAsia="Times New Roman" w:hAnsi="Times New Roman"/>
          <w:sz w:val="14"/>
          <w:szCs w:val="14"/>
          <w:i w:val="1"/>
          <w:iCs w:val="1"/>
          <w:color w:val="auto"/>
        </w:rPr>
        <w:t>Stockholder Rights Plans</w:t>
      </w:r>
      <w:r>
        <w:rPr>
          <w:rFonts w:ascii="Times New Roman" w:cs="Times New Roman" w:eastAsia="Times New Roman" w:hAnsi="Times New Roman"/>
          <w:sz w:val="14"/>
          <w:szCs w:val="14"/>
          <w:color w:val="auto"/>
        </w:rPr>
        <w:t>.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91" w:name="page92"/>
    <w:bookmarkEnd w:id="91"/>
    <w:p>
      <w:pPr>
        <w:ind w:left="580"/>
        <w:spacing w:after="0"/>
        <w:rPr>
          <w:sz w:val="20"/>
          <w:szCs w:val="20"/>
          <w:color w:val="auto"/>
        </w:rPr>
      </w:pPr>
      <w:r>
        <w:rPr>
          <w:rFonts w:ascii="Times New Roman" w:cs="Times New Roman" w:eastAsia="Times New Roman" w:hAnsi="Times New Roman"/>
          <w:sz w:val="16"/>
          <w:szCs w:val="16"/>
          <w:color w:val="auto"/>
        </w:rPr>
        <w:t xml:space="preserve">Section 14.12.  </w:t>
      </w:r>
      <w:r>
        <w:rPr>
          <w:rFonts w:ascii="Times New Roman" w:cs="Times New Roman" w:eastAsia="Times New Roman" w:hAnsi="Times New Roman"/>
          <w:sz w:val="16"/>
          <w:szCs w:val="16"/>
          <w:i w:val="1"/>
          <w:iCs w:val="1"/>
          <w:color w:val="auto"/>
        </w:rPr>
        <w:t>Exchange in Lieu of Conversion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both"/>
        <w:ind w:firstLine="582"/>
        <w:spacing w:after="0" w:line="237" w:lineRule="auto"/>
        <w:tabs>
          <w:tab w:leader="none" w:pos="93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Holder surrenders its Notes for conversion, the Company may, at its election (an “</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6"/>
          <w:szCs w:val="16"/>
          <w:b w:val="1"/>
          <w:bCs w:val="1"/>
          <w:color w:val="auto"/>
        </w:rPr>
        <w:t>Designated Financial Institution</w:t>
      </w:r>
      <w:r>
        <w:rPr>
          <w:rFonts w:ascii="Times New Roman" w:cs="Times New Roman" w:eastAsia="Times New Roman" w:hAnsi="Times New Roman"/>
          <w:sz w:val="16"/>
          <w:szCs w:val="16"/>
          <w:color w:val="auto"/>
        </w:rPr>
        <w:t>”) for exchange in lieu of conversion. In order to accept any Notes surrendered for conversion, the Designated Financial Institution(s) must agree to timely pay cash up to the aggregate principal amount of the notes to be converted and pay or deliver, as the case may be, cash, shares of Common Stock or a combination of cash and shares of Common Stock, at the Company’s election, in respect of the remainder, if any, of the Company’s conversion obligation in excess of the aggregate principal amount of the Notes being converted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 delivered, as the case may be.</w:t>
      </w:r>
    </w:p>
    <w:p>
      <w:pPr>
        <w:spacing w:after="0" w:line="164" w:lineRule="exact"/>
        <w:rPr>
          <w:rFonts w:ascii="Times New Roman" w:cs="Times New Roman" w:eastAsia="Times New Roman" w:hAnsi="Times New Roman"/>
          <w:sz w:val="16"/>
          <w:szCs w:val="16"/>
          <w:color w:val="auto"/>
        </w:rPr>
      </w:pPr>
    </w:p>
    <w:p>
      <w:pPr>
        <w:jc w:val="both"/>
        <w:ind w:right="20" w:firstLine="582"/>
        <w:spacing w:after="0" w:line="243" w:lineRule="auto"/>
        <w:tabs>
          <w:tab w:leader="none" w:pos="100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 delivered to the Designated Financial Institution(s) shall remain outstanding, subject to the applicable procedures of the Depositary. If the Designated Financial Institution(s) agree(s) to accept any Notes for exchange but does not timely pay and deliver, as the case may be, the related Conversion Consideration, or if such Designated Financial Institution(s) does not accept the Notes for exchange, the Company shall pay and deliver, as the case may be, the relevant Conversion Consideration, as, and at the time, required pursuant to this Indenture as if the Company had not made the Exchange Election.</w:t>
      </w:r>
    </w:p>
    <w:p>
      <w:pPr>
        <w:spacing w:after="0" w:line="155" w:lineRule="exact"/>
        <w:rPr>
          <w:rFonts w:ascii="Times New Roman" w:cs="Times New Roman" w:eastAsia="Times New Roman" w:hAnsi="Times New Roman"/>
          <w:sz w:val="16"/>
          <w:szCs w:val="16"/>
          <w:color w:val="auto"/>
        </w:rPr>
      </w:pPr>
    </w:p>
    <w:p>
      <w:pPr>
        <w:ind w:right="20" w:firstLine="582"/>
        <w:spacing w:after="0" w:line="259" w:lineRule="auto"/>
        <w:tabs>
          <w:tab w:leader="none" w:pos="101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designation of any Designated Financial Institution(s) to which the Notes may be submitted for exchange does not require such Designated Financial Institution(s) to accept any Notes.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15</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Repurchase of Notes at Option of Holders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15.01.  </w:t>
      </w:r>
      <w:r>
        <w:rPr>
          <w:rFonts w:ascii="Times New Roman" w:cs="Times New Roman" w:eastAsia="Times New Roman" w:hAnsi="Times New Roman"/>
          <w:sz w:val="16"/>
          <w:szCs w:val="16"/>
          <w:i w:val="1"/>
          <w:iCs w:val="1"/>
          <w:color w:val="auto"/>
        </w:rPr>
        <w:t>[Intentionally Omitted]</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92" w:name="page93"/>
    <w:bookmarkEnd w:id="92"/>
    <w:p>
      <w:pPr>
        <w:ind w:left="580"/>
        <w:spacing w:after="0"/>
        <w:rPr>
          <w:sz w:val="20"/>
          <w:szCs w:val="20"/>
          <w:color w:val="auto"/>
        </w:rPr>
      </w:pPr>
      <w:r>
        <w:rPr>
          <w:rFonts w:ascii="Times New Roman" w:cs="Times New Roman" w:eastAsia="Times New Roman" w:hAnsi="Times New Roman"/>
          <w:sz w:val="16"/>
          <w:szCs w:val="16"/>
          <w:color w:val="auto"/>
        </w:rPr>
        <w:t xml:space="preserve">Section 15.02.  </w:t>
      </w:r>
      <w:r>
        <w:rPr>
          <w:rFonts w:ascii="Times New Roman" w:cs="Times New Roman" w:eastAsia="Times New Roman" w:hAnsi="Times New Roman"/>
          <w:sz w:val="16"/>
          <w:szCs w:val="16"/>
          <w:i w:val="1"/>
          <w:iCs w:val="1"/>
          <w:color w:val="auto"/>
        </w:rPr>
        <w:t>Repurchase at Option of Holders Upon a Fundamental Change</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firstLine="582"/>
        <w:spacing w:after="0" w:line="237" w:lineRule="auto"/>
        <w:tabs>
          <w:tab w:leader="none" w:pos="99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a minimum of $1,000 or an integral multiple of $1,000, on the date (the “</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xml:space="preserve">”) specified by the Company that is not less than 20 Business Days or more than 35 Business Days following the date of the Fundamental Change Company Notice at a repurchase price equal to 100% of the principal amount thereof,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thereon to, but excluding, the Fundamental Change Repurchase Date (the “</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 Notwithstanding the foregoing, the Fundamental Change Repurchase Date shall be subject to postponement in order to allow the Company to comply with applicable law.</w:t>
      </w:r>
    </w:p>
    <w:p>
      <w:pPr>
        <w:spacing w:after="0" w:line="163"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Notes under this Section 15.02 shall be made, at the option of the Holder thereof, upon:</w:t>
      </w:r>
    </w:p>
    <w:p>
      <w:pPr>
        <w:spacing w:after="0" w:line="174" w:lineRule="exact"/>
        <w:rPr>
          <w:rFonts w:ascii="Times New Roman" w:cs="Times New Roman" w:eastAsia="Times New Roman" w:hAnsi="Times New Roman"/>
          <w:sz w:val="16"/>
          <w:szCs w:val="16"/>
          <w:color w:val="auto"/>
        </w:rPr>
      </w:pPr>
    </w:p>
    <w:p>
      <w:pPr>
        <w:jc w:val="both"/>
        <w:ind w:left="580" w:right="20" w:firstLine="434"/>
        <w:spacing w:after="0" w:line="244" w:lineRule="auto"/>
        <w:tabs>
          <w:tab w:leader="none" w:pos="1363"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Paying Agent by a Holder of a duly completed notice (the “</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54" w:lineRule="exact"/>
        <w:rPr>
          <w:rFonts w:ascii="Times New Roman" w:cs="Times New Roman" w:eastAsia="Times New Roman" w:hAnsi="Times New Roman"/>
          <w:sz w:val="16"/>
          <w:szCs w:val="16"/>
          <w:color w:val="auto"/>
        </w:rPr>
      </w:pPr>
    </w:p>
    <w:p>
      <w:pPr>
        <w:jc w:val="both"/>
        <w:ind w:left="580" w:right="20" w:firstLine="434"/>
        <w:spacing w:after="0" w:line="243" w:lineRule="auto"/>
        <w:tabs>
          <w:tab w:leader="none" w:pos="1422"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Fundamental Change Repurchase Notice in respect of any Physical Notes to be repurchased shall state:</w:t>
      </w:r>
    </w:p>
    <w:p>
      <w:pPr>
        <w:spacing w:after="0" w:line="176" w:lineRule="exact"/>
        <w:rPr>
          <w:sz w:val="20"/>
          <w:szCs w:val="20"/>
          <w:color w:val="auto"/>
        </w:rPr>
      </w:pPr>
    </w:p>
    <w:p>
      <w:pPr>
        <w:ind w:left="1400" w:hanging="386"/>
        <w:spacing w:after="0"/>
        <w:tabs>
          <w:tab w:leader="none" w:pos="14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numbers of the Notes to be delivered for repurchase;</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principal amount of Notes to be repurchased, which must be $1,000 or an integral multiple thereof; and</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are to be repurchased by the Company pursuant to the applicable provisions of the Notes and this Indenture.</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If the Notes are Global Notes, to exercise the Fundamental Change repurchase right, Holders must surrender their Notes in accordance with applicable Depositary procedures.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93" w:name="page94"/>
    <w:bookmarkEnd w:id="93"/>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 in the case of Physical Notes, or through the applicable procedures of the Depositary, in the case of Global Notes.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Paying Agent shall promptly notify the Company of the receipt by it of any Fundamental Change Repurchase Notice or written notice of withdrawal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thereof.</w:t>
      </w:r>
    </w:p>
    <w:p>
      <w:pPr>
        <w:spacing w:after="0" w:line="158" w:lineRule="exact"/>
        <w:rPr>
          <w:sz w:val="20"/>
          <w:szCs w:val="20"/>
          <w:color w:val="auto"/>
        </w:rPr>
      </w:pPr>
    </w:p>
    <w:p>
      <w:pPr>
        <w:jc w:val="both"/>
        <w:ind w:firstLine="582"/>
        <w:spacing w:after="0" w:line="280" w:lineRule="auto"/>
        <w:tabs>
          <w:tab w:leader="none" w:pos="95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before the 20th Business Day after the occurrence of the effective date of a Fundamental Change, the Company shall provide to all Holders and the Trustee, Conversion Agent (in the case of a Conversion Agent other than the Trustee) and the Paying Agent (in the case of a Paying Agent other than the Trustee) a notice (the “</w:t>
      </w:r>
      <w:r>
        <w:rPr>
          <w:rFonts w:ascii="Times New Roman" w:cs="Times New Roman" w:eastAsia="Times New Roman" w:hAnsi="Times New Roman"/>
          <w:sz w:val="14"/>
          <w:szCs w:val="14"/>
          <w:b w:val="1"/>
          <w:bCs w:val="1"/>
          <w:color w:val="auto"/>
        </w:rPr>
        <w:t>Fundamental Change Company Notice</w:t>
      </w:r>
      <w:r>
        <w:rPr>
          <w:rFonts w:ascii="Times New Roman" w:cs="Times New Roman" w:eastAsia="Times New Roman" w:hAnsi="Times New Roman"/>
          <w:sz w:val="14"/>
          <w:szCs w:val="14"/>
          <w:color w:val="auto"/>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spacing w:after="0" w:line="133" w:lineRule="exact"/>
        <w:rPr>
          <w:rFonts w:ascii="Times New Roman" w:cs="Times New Roman" w:eastAsia="Times New Roman" w:hAnsi="Times New Roman"/>
          <w:sz w:val="14"/>
          <w:szCs w:val="14"/>
          <w:color w:val="auto"/>
        </w:rPr>
      </w:pPr>
    </w:p>
    <w:p>
      <w:pPr>
        <w:ind w:left="1440" w:hanging="426"/>
        <w:spacing w:after="0"/>
        <w:tabs>
          <w:tab w:leader="none" w:pos="14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events causing the Fundamental Change;</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the Fundamental Change;</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date on which a Holder may exercise the repurchase right pursuant to this Article 15;</w:t>
      </w:r>
    </w:p>
    <w:p>
      <w:pPr>
        <w:spacing w:after="0" w:line="176"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Price;</w:t>
      </w:r>
    </w:p>
    <w:p>
      <w:pPr>
        <w:spacing w:after="0" w:line="176" w:lineRule="exact"/>
        <w:rPr>
          <w:rFonts w:ascii="Times New Roman" w:cs="Times New Roman" w:eastAsia="Times New Roman" w:hAnsi="Times New Roman"/>
          <w:sz w:val="16"/>
          <w:szCs w:val="16"/>
          <w:color w:val="auto"/>
        </w:rPr>
      </w:pPr>
    </w:p>
    <w:p>
      <w:pPr>
        <w:ind w:left="1400" w:hanging="386"/>
        <w:spacing w:after="0"/>
        <w:tabs>
          <w:tab w:leader="none" w:pos="140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Date;</w:t>
      </w:r>
    </w:p>
    <w:p>
      <w:pPr>
        <w:spacing w:after="0" w:line="176"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 if applicable;</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75"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Conversion Rate and any adjustments to the Conversion Rate as a result of the Fundamental Change (or related Make-Whole Fundamental Change);</w:t>
      </w:r>
    </w:p>
    <w:p>
      <w:pPr>
        <w:spacing w:after="0" w:line="143"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35"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43"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that Holders must follow to require the Company to repurchase their Notes.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94" w:name="page95"/>
    <w:bookmarkEnd w:id="94"/>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43"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all cases, the text of such Fundamental Change Company Notice shall be prepared by the Company.</w:t>
      </w:r>
    </w:p>
    <w:p>
      <w:pPr>
        <w:spacing w:after="0" w:line="152" w:lineRule="exact"/>
        <w:rPr>
          <w:sz w:val="20"/>
          <w:szCs w:val="20"/>
          <w:color w:val="auto"/>
        </w:rPr>
      </w:pPr>
    </w:p>
    <w:p>
      <w:pPr>
        <w:jc w:val="both"/>
        <w:ind w:right="20" w:firstLine="582"/>
        <w:spacing w:after="0" w:line="243" w:lineRule="auto"/>
        <w:tabs>
          <w:tab w:leader="none" w:pos="92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55" w:lineRule="exact"/>
        <w:rPr>
          <w:rFonts w:ascii="Times New Roman" w:cs="Times New Roman" w:eastAsia="Times New Roman" w:hAnsi="Times New Roman"/>
          <w:sz w:val="16"/>
          <w:szCs w:val="16"/>
          <w:color w:val="auto"/>
        </w:rPr>
      </w:pPr>
    </w:p>
    <w:p>
      <w:pPr>
        <w:jc w:val="both"/>
        <w:ind w:firstLine="582"/>
        <w:spacing w:after="0" w:line="239" w:lineRule="auto"/>
        <w:tabs>
          <w:tab w:leader="none" w:pos="94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57" w:lineRule="exact"/>
        <w:rPr>
          <w:rFonts w:ascii="Times New Roman" w:cs="Times New Roman" w:eastAsia="Times New Roman" w:hAnsi="Times New Roman"/>
          <w:sz w:val="16"/>
          <w:szCs w:val="16"/>
          <w:color w:val="auto"/>
        </w:rPr>
      </w:pPr>
    </w:p>
    <w:p>
      <w:pPr>
        <w:jc w:val="both"/>
        <w:ind w:firstLine="582"/>
        <w:spacing w:after="0" w:line="238" w:lineRule="auto"/>
        <w:tabs>
          <w:tab w:leader="none" w:pos="97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such Fundamental Change constitutes a Share Exchange Event whose Reference Property consists entirely of cash in U.S. dollars; immediately after such Fundamental Change, the Notes become convertible (pursuant to </w:t>
      </w:r>
      <w:r>
        <w:rPr>
          <w:rFonts w:ascii="Arial" w:cs="Arial" w:eastAsia="Arial" w:hAnsi="Arial"/>
          <w:sz w:val="16"/>
          <w:szCs w:val="16"/>
          <w:color w:val="auto"/>
        </w:rPr>
        <w:t>​</w:t>
      </w:r>
      <w:r>
        <w:rPr>
          <w:rFonts w:ascii="Times New Roman" w:cs="Times New Roman" w:eastAsia="Times New Roman" w:hAnsi="Times New Roman"/>
          <w:sz w:val="16"/>
          <w:szCs w:val="16"/>
          <w:color w:val="auto"/>
        </w:rPr>
        <w:t>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the Company timely sends the notice relating to such Fundamental Change required pursuant to Section 14.01(b)(iii). Any Fundamental Change with respect to which, in accordance with the provisions described in this Section 15.02(f), the Company does not offer to repurchase any Notes is referred to as herein as an “</w:t>
      </w:r>
      <w:r>
        <w:rPr>
          <w:rFonts w:ascii="Times New Roman" w:cs="Times New Roman" w:eastAsia="Times New Roman" w:hAnsi="Times New Roman"/>
          <w:sz w:val="16"/>
          <w:szCs w:val="16"/>
          <w:b w:val="1"/>
          <w:bCs w:val="1"/>
          <w:color w:val="auto"/>
        </w:rPr>
        <w:t>Exempted Fundamental Change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95" w:name="page96"/>
    <w:bookmarkEnd w:id="95"/>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15.03. </w:t>
      </w:r>
      <w:r>
        <w:rPr>
          <w:rFonts w:ascii="Times New Roman" w:cs="Times New Roman" w:eastAsia="Times New Roman" w:hAnsi="Times New Roman"/>
          <w:sz w:val="16"/>
          <w:szCs w:val="16"/>
          <w:i w:val="1"/>
          <w:iCs w:val="1"/>
          <w:color w:val="auto"/>
        </w:rPr>
        <w:t>Withdrawal of Fundamental Change Repurchase Notice</w:t>
      </w:r>
      <w:r>
        <w:rPr>
          <w:rFonts w:ascii="Times New Roman" w:cs="Times New Roman" w:eastAsia="Times New Roman" w:hAnsi="Times New Roman"/>
          <w:sz w:val="16"/>
          <w:szCs w:val="16"/>
          <w:color w:val="auto"/>
        </w:rPr>
        <w:t>.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152" w:lineRule="exact"/>
        <w:rPr>
          <w:sz w:val="20"/>
          <w:szCs w:val="20"/>
          <w:color w:val="auto"/>
        </w:rPr>
      </w:pPr>
    </w:p>
    <w:p>
      <w:pPr>
        <w:ind w:left="1360" w:hanging="346"/>
        <w:spacing w:after="0"/>
        <w:tabs>
          <w:tab w:leader="none" w:pos="13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Notes with respect to which such notice of withdrawal is being submitted, which must be $1,000 or an integral multiple</w:t>
      </w:r>
    </w:p>
    <w:p>
      <w:pPr>
        <w:spacing w:after="0" w:line="37"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thereof,</w:t>
      </w:r>
    </w:p>
    <w:p>
      <w:pPr>
        <w:spacing w:after="0" w:line="158" w:lineRule="exact"/>
        <w:rPr>
          <w:rFonts w:ascii="Times New Roman" w:cs="Times New Roman" w:eastAsia="Times New Roman" w:hAnsi="Times New Roman"/>
          <w:sz w:val="14"/>
          <w:szCs w:val="14"/>
          <w:color w:val="auto"/>
        </w:rPr>
      </w:pPr>
    </w:p>
    <w:p>
      <w:pPr>
        <w:ind w:left="1400" w:hanging="386"/>
        <w:spacing w:after="0"/>
        <w:tabs>
          <w:tab w:leader="none" w:pos="14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 number of the Note in respect of which such notice of withdrawal is being submitted, and</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2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if any, of such Note that remains subject to the original Fundamental Change Repurchase Notice, which portion must be in principal amounts of $1,000 or an integral multiple of $1,000;</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41" w:lineRule="exact"/>
        <w:rPr>
          <w:sz w:val="20"/>
          <w:szCs w:val="20"/>
          <w:color w:val="auto"/>
        </w:rPr>
      </w:pPr>
    </w:p>
    <w:p>
      <w:pPr>
        <w:jc w:val="both"/>
        <w:ind w:firstLine="576"/>
        <w:spacing w:after="0" w:line="276" w:lineRule="auto"/>
        <w:rPr>
          <w:sz w:val="20"/>
          <w:szCs w:val="20"/>
          <w:color w:val="auto"/>
        </w:rPr>
      </w:pPr>
      <w:r>
        <w:rPr>
          <w:rFonts w:ascii="Times New Roman" w:cs="Times New Roman" w:eastAsia="Times New Roman" w:hAnsi="Times New Roman"/>
          <w:sz w:val="14"/>
          <w:szCs w:val="14"/>
          <w:color w:val="auto"/>
        </w:rPr>
        <w:t xml:space="preserve">Section 15.04. </w:t>
      </w:r>
      <w:r>
        <w:rPr>
          <w:rFonts w:ascii="Times New Roman" w:cs="Times New Roman" w:eastAsia="Times New Roman" w:hAnsi="Times New Roman"/>
          <w:sz w:val="14"/>
          <w:szCs w:val="14"/>
          <w:i w:val="1"/>
          <w:iCs w:val="1"/>
          <w:color w:val="auto"/>
        </w:rPr>
        <w:t>Deposit of Fundamental Change Repurchase Price</w:t>
      </w:r>
      <w:r>
        <w:rPr>
          <w:rFonts w:ascii="Times New Roman" w:cs="Times New Roman" w:eastAsia="Times New Roman" w:hAnsi="Times New Roman"/>
          <w:sz w:val="14"/>
          <w:szCs w:val="14"/>
          <w:color w:val="auto"/>
        </w:rPr>
        <w:t>.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the Fundamental Change Repurchase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the Holder has satisfied the conditions in Section 15.02) and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316" w:lineRule="exact"/>
        <w:rPr>
          <w:sz w:val="20"/>
          <w:szCs w:val="20"/>
          <w:color w:val="auto"/>
        </w:rPr>
      </w:pPr>
    </w:p>
    <w:p>
      <w:pPr>
        <w:jc w:val="both"/>
        <w:ind w:firstLine="582"/>
        <w:spacing w:after="0" w:line="239" w:lineRule="auto"/>
        <w:tabs>
          <w:tab w:leader="none" w:pos="100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such Notes will cease to be outstanding, interest shall cease to accrue on such Notes (whether or not book-entry transfer of the Notes has been made or whether or not the Notes have been delivered to the Trustee or Paying Agent) and all other rights of the Holders of such Notes will terminate (other than the right to receive the Fundamental Change Repurchase Price and, to the extent not included in the Fundamental Change Repurchase Price, accrued and unpaid interest).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96" w:name="page97"/>
    <w:bookmarkEnd w:id="96"/>
    <w:p>
      <w:pPr>
        <w:ind w:right="20" w:firstLine="582"/>
        <w:spacing w:after="0" w:line="259" w:lineRule="auto"/>
        <w:tabs>
          <w:tab w:leader="none" w:pos="99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41" w:lineRule="exact"/>
        <w:rPr>
          <w:sz w:val="20"/>
          <w:szCs w:val="20"/>
          <w:color w:val="auto"/>
        </w:rPr>
      </w:pPr>
    </w:p>
    <w:p>
      <w:pPr>
        <w:ind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15.05. </w:t>
      </w:r>
      <w:r>
        <w:rPr>
          <w:rFonts w:ascii="Times New Roman" w:cs="Times New Roman" w:eastAsia="Times New Roman" w:hAnsi="Times New Roman"/>
          <w:sz w:val="16"/>
          <w:szCs w:val="16"/>
          <w:i w:val="1"/>
          <w:iCs w:val="1"/>
          <w:color w:val="auto"/>
        </w:rPr>
        <w:t>Covenant to Comply with Applicable Laws Upon Repurchase of Notes</w:t>
      </w:r>
      <w:r>
        <w:rPr>
          <w:rFonts w:ascii="Times New Roman" w:cs="Times New Roman" w:eastAsia="Times New Roman" w:hAnsi="Times New Roman"/>
          <w:sz w:val="16"/>
          <w:szCs w:val="16"/>
          <w:color w:val="auto"/>
        </w:rPr>
        <w:t>. In connection with any repurchase offer upon a Fundamental Change pursuant to this Article 15, the Company will, if required by applicable law:</w:t>
      </w:r>
    </w:p>
    <w:p>
      <w:pPr>
        <w:spacing w:after="0" w:line="140" w:lineRule="exact"/>
        <w:rPr>
          <w:sz w:val="20"/>
          <w:szCs w:val="20"/>
          <w:color w:val="auto"/>
        </w:rPr>
      </w:pPr>
    </w:p>
    <w:p>
      <w:pPr>
        <w:ind w:left="960" w:hanging="378"/>
        <w:spacing w:after="0"/>
        <w:tabs>
          <w:tab w:leader="none" w:pos="9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tender offer rules under the Exchange Act that may then be applicable;</w:t>
      </w:r>
    </w:p>
    <w:p>
      <w:pPr>
        <w:spacing w:after="0" w:line="176"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 Schedule TO or any other required schedule under the Exchange Act; and</w:t>
      </w:r>
    </w:p>
    <w:p>
      <w:pPr>
        <w:spacing w:after="0" w:line="176" w:lineRule="exact"/>
        <w:rPr>
          <w:rFonts w:ascii="Times New Roman" w:cs="Times New Roman" w:eastAsia="Times New Roman" w:hAnsi="Times New Roman"/>
          <w:sz w:val="16"/>
          <w:szCs w:val="16"/>
          <w:color w:val="auto"/>
        </w:rPr>
      </w:pPr>
    </w:p>
    <w:p>
      <w:pPr>
        <w:ind w:right="160" w:firstLine="582"/>
        <w:spacing w:after="0" w:line="469" w:lineRule="auto"/>
        <w:tabs>
          <w:tab w:leader="none" w:pos="90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spacing w:after="0" w:line="1"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To the extent that the provisions of any securities laws or regulations adopted after the date of this Indenture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156" w:lineRule="exact"/>
        <w:rPr>
          <w:sz w:val="20"/>
          <w:szCs w:val="20"/>
          <w:color w:val="auto"/>
        </w:rPr>
      </w:pPr>
    </w:p>
    <w:p>
      <w:pPr>
        <w:jc w:val="both"/>
        <w:ind w:firstLine="576"/>
        <w:spacing w:after="0" w:line="236" w:lineRule="auto"/>
        <w:rPr>
          <w:sz w:val="20"/>
          <w:szCs w:val="20"/>
          <w:color w:val="auto"/>
        </w:rPr>
      </w:pPr>
      <w:r>
        <w:rPr>
          <w:rFonts w:ascii="Times New Roman" w:cs="Times New Roman" w:eastAsia="Times New Roman" w:hAnsi="Times New Roman"/>
          <w:sz w:val="16"/>
          <w:szCs w:val="16"/>
          <w:color w:val="auto"/>
        </w:rPr>
        <w:t xml:space="preserve">Section 16.01. </w:t>
      </w:r>
      <w:r>
        <w:rPr>
          <w:rFonts w:ascii="Times New Roman" w:cs="Times New Roman" w:eastAsia="Times New Roman" w:hAnsi="Times New Roman"/>
          <w:sz w:val="16"/>
          <w:szCs w:val="16"/>
          <w:i w:val="1"/>
          <w:iCs w:val="1"/>
          <w:color w:val="auto"/>
        </w:rPr>
        <w:t>Optional Redemption</w:t>
      </w:r>
      <w:r>
        <w:rPr>
          <w:rFonts w:ascii="Times New Roman" w:cs="Times New Roman" w:eastAsia="Times New Roman" w:hAnsi="Times New Roman"/>
          <w:sz w:val="16"/>
          <w:szCs w:val="16"/>
          <w:color w:val="auto"/>
        </w:rPr>
        <w:t>. No sinking fund is provided for the Notes. The Notes shall not be redeemable by the Company prior to January 22, 2029. On or after January 22, 2029, the Company may redeem (an “</w:t>
      </w:r>
      <w:r>
        <w:rPr>
          <w:rFonts w:ascii="Times New Roman" w:cs="Times New Roman" w:eastAsia="Times New Roman" w:hAnsi="Times New Roman"/>
          <w:sz w:val="16"/>
          <w:szCs w:val="16"/>
          <w:b w:val="1"/>
          <w:bCs w:val="1"/>
          <w:color w:val="auto"/>
        </w:rPr>
        <w:t>Optional Redemption</w:t>
      </w:r>
      <w:r>
        <w:rPr>
          <w:rFonts w:ascii="Times New Roman" w:cs="Times New Roman" w:eastAsia="Times New Roman" w:hAnsi="Times New Roman"/>
          <w:sz w:val="16"/>
          <w:szCs w:val="16"/>
          <w:color w:val="auto"/>
        </w:rPr>
        <w:t>”) for cash all or any portion of the Notes (subject to the Partial Redemption Limitation), at the relevant Redemption Price, if (1) the Notes are Freely Tradable, and all accrued and unpaid Additional Interest pursuant to any of Section 4.06(d) and Section 4.06(e), if any, has been paid in full as of the first Interest Payment Date occurring on or before the, date the Company sends such notice and (2) the Last Reported Sale Price of the Common Stock has been at least 130% of the Conversion Price then in effect on (i) each of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 and (ii) the Trading Day immediately preceding the date the Company sends such notice. The Trustee shall have no liability or responsibility for determining whether the conditions for Optional Redemption have been met. If the Company elects to redeem fewer than all of the outstanding Notes, at least $ 75,000,000 aggregate principal amount of Notes must be outstanding and not subject to redemption as of the relevant date of a Notice of Redemption (such requirement, the “</w:t>
      </w:r>
      <w:r>
        <w:rPr>
          <w:rFonts w:ascii="Times New Roman" w:cs="Times New Roman" w:eastAsia="Times New Roman" w:hAnsi="Times New Roman"/>
          <w:sz w:val="16"/>
          <w:szCs w:val="16"/>
          <w:b w:val="1"/>
          <w:bCs w:val="1"/>
          <w:color w:val="auto"/>
        </w:rPr>
        <w:t>Partial Redemption Limitation</w:t>
      </w:r>
      <w:r>
        <w:rPr>
          <w:rFonts w:ascii="Times New Roman" w:cs="Times New Roman" w:eastAsia="Times New Roman" w:hAnsi="Times New Roman"/>
          <w:sz w:val="16"/>
          <w:szCs w:val="16"/>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$ 1,000 or multiples thereof) by lot,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97" w:name="page98"/>
    <w:bookmarkEnd w:id="97"/>
    <w:p>
      <w:pPr>
        <w:ind w:left="580"/>
        <w:spacing w:after="0"/>
        <w:rPr>
          <w:sz w:val="20"/>
          <w:szCs w:val="20"/>
          <w:color w:val="auto"/>
        </w:rPr>
      </w:pPr>
      <w:r>
        <w:rPr>
          <w:rFonts w:ascii="Times New Roman" w:cs="Times New Roman" w:eastAsia="Times New Roman" w:hAnsi="Times New Roman"/>
          <w:sz w:val="16"/>
          <w:szCs w:val="16"/>
          <w:color w:val="auto"/>
        </w:rPr>
        <w:t xml:space="preserve">Section 16.02.  </w:t>
      </w:r>
      <w:r>
        <w:rPr>
          <w:rFonts w:ascii="Times New Roman" w:cs="Times New Roman" w:eastAsia="Times New Roman" w:hAnsi="Times New Roman"/>
          <w:sz w:val="16"/>
          <w:szCs w:val="16"/>
          <w:i w:val="1"/>
          <w:iCs w:val="1"/>
          <w:color w:val="auto"/>
        </w:rPr>
        <w:t>Notice of Optional Redemption; Selection of Notes</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right="20" w:firstLine="582"/>
        <w:spacing w:after="0" w:line="238" w:lineRule="auto"/>
        <w:tabs>
          <w:tab w:leader="none" w:pos="94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the Company exercises its Optional Redemption right to redeem all or, as the case may be, any part of the Notes pursuant to Section 16.01, it shall fix a date for redemption (each, a “</w:t>
      </w:r>
      <w:r>
        <w:rPr>
          <w:rFonts w:ascii="Times New Roman" w:cs="Times New Roman" w:eastAsia="Times New Roman" w:hAnsi="Times New Roman"/>
          <w:sz w:val="16"/>
          <w:szCs w:val="16"/>
          <w:b w:val="1"/>
          <w:bCs w:val="1"/>
          <w:color w:val="auto"/>
        </w:rPr>
        <w:t>Redemption Date</w:t>
      </w:r>
      <w:r>
        <w:rPr>
          <w:rFonts w:ascii="Times New Roman" w:cs="Times New Roman" w:eastAsia="Times New Roman" w:hAnsi="Times New Roman"/>
          <w:sz w:val="16"/>
          <w:szCs w:val="16"/>
          <w:color w:val="auto"/>
        </w:rPr>
        <w:t>”) and it or, at its written request received by the Trustee not less than five Business Days prior to the date such Notice of Redemption is to be sent (or such shorter period of time as may be acceptable to the Trustee), the Trustee, in the name of and at the expense of the Company, shall deliver or cause to be delivered a notice of such Optional Redemption (a “</w:t>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 xml:space="preserve">”) not less than 55 nor more than 80 Scheduled Trading Days prior to the Redemption Date to each Holder so to be redeemed as a whole or in part;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Company shall give such notice, it shall also give written notice of the Redemption Date to the Trustee, the Paying Agent (if other than the Trustee) and the Conversion Agent (if other than the Trustee). The Redemption Date must be a Business Day, and the Company may not specify a Redemption Date that falls on or after the 51st Scheduled Trading Day immediately preceding the Maturity Date.</w:t>
      </w:r>
    </w:p>
    <w:p>
      <w:pPr>
        <w:spacing w:after="0" w:line="160" w:lineRule="exact"/>
        <w:rPr>
          <w:rFonts w:ascii="Times New Roman" w:cs="Times New Roman" w:eastAsia="Times New Roman" w:hAnsi="Times New Roman"/>
          <w:sz w:val="16"/>
          <w:szCs w:val="16"/>
          <w:color w:val="auto"/>
        </w:rPr>
      </w:pPr>
    </w:p>
    <w:p>
      <w:pPr>
        <w:jc w:val="both"/>
        <w:ind w:firstLine="582"/>
        <w:spacing w:after="0" w:line="247" w:lineRule="auto"/>
        <w:tabs>
          <w:tab w:leader="none" w:pos="91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52" w:lineRule="exact"/>
        <w:rPr>
          <w:rFonts w:ascii="Times New Roman" w:cs="Times New Roman" w:eastAsia="Times New Roman" w:hAnsi="Times New Roman"/>
          <w:sz w:val="16"/>
          <w:szCs w:val="16"/>
          <w:color w:val="auto"/>
        </w:rPr>
      </w:pPr>
    </w:p>
    <w:p>
      <w:pPr>
        <w:ind w:left="960" w:hanging="378"/>
        <w:spacing w:after="0"/>
        <w:tabs>
          <w:tab w:leader="none" w:pos="9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Notice of Redemption shall identify the provision of this Indenture permitting redemption and shall specify:</w:t>
      </w:r>
    </w:p>
    <w:p>
      <w:pPr>
        <w:spacing w:after="0" w:line="176"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176"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16"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on the Redemption Date, the Redemption Price will become due and payable upon each Note to be redeemed, and that iterest thereon, if any, shall cease to accrue on and after the Redemption Date;</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98" w:name="page99"/>
    <w:bookmarkEnd w:id="98"/>
    <w:p>
      <w:pPr>
        <w:ind w:left="1440" w:hanging="426"/>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such Notes are to be surrendered for payment of the Redemption Price;</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37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Holders of Called Notes may surrender their Notes for conversion at any time prior to the close of business on the second Scheduled Trading Day immediately preceding the relevant Redemption Date;</w:t>
      </w:r>
    </w:p>
    <w:p>
      <w:pPr>
        <w:spacing w:after="0" w:line="143"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a converting Holder must follow to convert its Called Notes and the Settlement Method and Specified Dollar Amount;</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1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and, if applicable in an Optional Redemption, the number of Additional Shares added to the Conversion Rate in accordance with Section 14.03;</w:t>
      </w:r>
    </w:p>
    <w:p>
      <w:pPr>
        <w:spacing w:after="0" w:line="143" w:lineRule="exact"/>
        <w:rPr>
          <w:rFonts w:ascii="Times New Roman" w:cs="Times New Roman" w:eastAsia="Times New Roman" w:hAnsi="Times New Roman"/>
          <w:sz w:val="16"/>
          <w:szCs w:val="16"/>
          <w:color w:val="auto"/>
        </w:rPr>
      </w:pPr>
    </w:p>
    <w:p>
      <w:pPr>
        <w:ind w:left="1440" w:hanging="426"/>
        <w:spacing w:after="0"/>
        <w:tabs>
          <w:tab w:leader="none" w:pos="144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ISIN or other similar numbers, if any, assigned to such Notes; and</w:t>
      </w:r>
    </w:p>
    <w:p>
      <w:pPr>
        <w:spacing w:after="0" w:line="176" w:lineRule="exact"/>
        <w:rPr>
          <w:rFonts w:ascii="Times New Roman" w:cs="Times New Roman" w:eastAsia="Times New Roman" w:hAnsi="Times New Roman"/>
          <w:sz w:val="16"/>
          <w:szCs w:val="16"/>
          <w:color w:val="auto"/>
        </w:rPr>
      </w:pPr>
    </w:p>
    <w:p>
      <w:pPr>
        <w:ind w:left="580" w:right="20" w:firstLine="434"/>
        <w:spacing w:after="0" w:line="259" w:lineRule="auto"/>
        <w:tabs>
          <w:tab w:leader="none" w:pos="1401"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Notice of Redemption shall be irrevocable.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Section 16.03. </w:t>
      </w:r>
      <w:r>
        <w:rPr>
          <w:rFonts w:ascii="Times New Roman" w:cs="Times New Roman" w:eastAsia="Times New Roman" w:hAnsi="Times New Roman"/>
          <w:sz w:val="16"/>
          <w:szCs w:val="16"/>
          <w:i w:val="1"/>
          <w:iCs w:val="1"/>
          <w:color w:val="auto"/>
        </w:rPr>
        <w:t>Payment of Notes Called for Redemption</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both"/>
        <w:ind w:firstLine="582"/>
        <w:spacing w:after="0" w:line="247" w:lineRule="auto"/>
        <w:tabs>
          <w:tab w:leader="none" w:pos="99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Notice of Redemption has been given in respect of the Notes in accordance with Section 16.02,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52" w:lineRule="exact"/>
        <w:rPr>
          <w:rFonts w:ascii="Times New Roman" w:cs="Times New Roman" w:eastAsia="Times New Roman" w:hAnsi="Times New Roman"/>
          <w:sz w:val="16"/>
          <w:szCs w:val="16"/>
          <w:color w:val="auto"/>
        </w:rPr>
      </w:pPr>
    </w:p>
    <w:p>
      <w:pPr>
        <w:jc w:val="both"/>
        <w:ind w:right="20" w:firstLine="582"/>
        <w:spacing w:after="0" w:line="241" w:lineRule="auto"/>
        <w:tabs>
          <w:tab w:leader="none" w:pos="95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55"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16.04. </w:t>
      </w:r>
      <w:r>
        <w:rPr>
          <w:rFonts w:ascii="Times New Roman" w:cs="Times New Roman" w:eastAsia="Times New Roman" w:hAnsi="Times New Roman"/>
          <w:sz w:val="16"/>
          <w:szCs w:val="16"/>
          <w:i w:val="1"/>
          <w:iCs w:val="1"/>
          <w:color w:val="auto"/>
        </w:rPr>
        <w:t>Restrictions on Redemption</w:t>
      </w:r>
      <w:r>
        <w:rPr>
          <w:rFonts w:ascii="Times New Roman" w:cs="Times New Roman" w:eastAsia="Times New Roman" w:hAnsi="Times New Roman"/>
          <w:sz w:val="16"/>
          <w:szCs w:val="16"/>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6"/>
          <w:szCs w:val="16"/>
          <w:color w:val="auto"/>
        </w:rPr>
        <w:t>ARTICLE 17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 Provisions</w:t>
      </w:r>
    </w:p>
    <w:p>
      <w:pPr>
        <w:spacing w:after="0" w:line="156"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17.01. </w:t>
      </w:r>
      <w:r>
        <w:rPr>
          <w:rFonts w:ascii="Times New Roman" w:cs="Times New Roman" w:eastAsia="Times New Roman" w:hAnsi="Times New Roman"/>
          <w:sz w:val="16"/>
          <w:szCs w:val="16"/>
          <w:i w:val="1"/>
          <w:iCs w:val="1"/>
          <w:color w:val="auto"/>
        </w:rPr>
        <w:t>Provisions Binding on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Successors</w:t>
      </w:r>
      <w:r>
        <w:rPr>
          <w:rFonts w:ascii="Times New Roman" w:cs="Times New Roman" w:eastAsia="Times New Roman" w:hAnsi="Times New Roman"/>
          <w:sz w:val="16"/>
          <w:szCs w:val="16"/>
          <w:color w:val="auto"/>
        </w:rPr>
        <w:t>. All the covenants, stipulations, promises and agreements of the Company contained in this Indenture shall bind its successors and assigns whether so expressed or not.</w:t>
      </w:r>
    </w:p>
    <w:p>
      <w:pPr>
        <w:spacing w:after="0" w:line="138"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17.02. </w:t>
      </w:r>
      <w:r>
        <w:rPr>
          <w:rFonts w:ascii="Times New Roman" w:cs="Times New Roman" w:eastAsia="Times New Roman" w:hAnsi="Times New Roman"/>
          <w:sz w:val="16"/>
          <w:szCs w:val="16"/>
          <w:i w:val="1"/>
          <w:iCs w:val="1"/>
          <w:color w:val="auto"/>
        </w:rPr>
        <w:t>Official Acts by Successor</w:t>
      </w:r>
      <w:r>
        <w:rPr>
          <w:rFonts w:ascii="Times New Roman" w:cs="Times New Roman" w:eastAsia="Times New Roman" w:hAnsi="Times New Roman"/>
          <w:sz w:val="16"/>
          <w:szCs w:val="16"/>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50" w:lineRule="exact"/>
        <w:rPr>
          <w:sz w:val="20"/>
          <w:szCs w:val="20"/>
          <w:color w:val="auto"/>
        </w:rPr>
      </w:pPr>
    </w:p>
    <w:p>
      <w:pPr>
        <w:jc w:val="both"/>
        <w:ind w:right="20" w:firstLine="576"/>
        <w:spacing w:after="0"/>
        <w:rPr>
          <w:sz w:val="20"/>
          <w:szCs w:val="20"/>
          <w:color w:val="auto"/>
        </w:rPr>
      </w:pPr>
      <w:r>
        <w:rPr>
          <w:rFonts w:ascii="Times New Roman" w:cs="Times New Roman" w:eastAsia="Times New Roman" w:hAnsi="Times New Roman"/>
          <w:sz w:val="16"/>
          <w:szCs w:val="16"/>
          <w:color w:val="auto"/>
        </w:rPr>
        <w:t xml:space="preserve">Section 17.03. </w:t>
      </w:r>
      <w:r>
        <w:rPr>
          <w:rFonts w:ascii="Times New Roman" w:cs="Times New Roman" w:eastAsia="Times New Roman" w:hAnsi="Times New Roman"/>
          <w:sz w:val="16"/>
          <w:szCs w:val="16"/>
          <w:i w:val="1"/>
          <w:iCs w:val="1"/>
          <w:color w:val="auto"/>
        </w:rPr>
        <w:t>Addresses for Notices, Etc</w:t>
      </w:r>
      <w:r>
        <w:rPr>
          <w:rFonts w:ascii="Times New Roman" w:cs="Times New Roman" w:eastAsia="Times New Roman" w:hAnsi="Times New Roman"/>
          <w:sz w:val="16"/>
          <w:szCs w:val="16"/>
          <w:color w:val="auto"/>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Cohu, Inc., Address: 12367 Crosthwaite Circle, Poway, California 92064, Email: legalnotices@cohu.com.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Trustee, by notice to the Company, may designate additional or different addresses for subsequent notices or communications.</w:t>
      </w:r>
    </w:p>
    <w:p>
      <w:pPr>
        <w:spacing w:after="0" w:line="176"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notice to the Trustee and Conversion Agent shall be deemed given upon actual receipt by the Trustee or Conversion Agent, as applicable.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61"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00" w:name="page101"/>
    <w:bookmarkEnd w:id="100"/>
    <w:p>
      <w:pPr>
        <w:jc w:val="both"/>
        <w:ind w:right="6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17.04. </w:t>
      </w:r>
      <w:r>
        <w:rPr>
          <w:rFonts w:ascii="Times New Roman" w:cs="Times New Roman" w:eastAsia="Times New Roman" w:hAnsi="Times New Roman"/>
          <w:sz w:val="16"/>
          <w:szCs w:val="16"/>
          <w:i w:val="1"/>
          <w:iCs w:val="1"/>
          <w:color w:val="auto"/>
        </w:rPr>
        <w:t>Governing Law; Jurisdiction</w:t>
      </w:r>
      <w:r>
        <w:rPr>
          <w:rFonts w:ascii="Times New Roman" w:cs="Times New Roman" w:eastAsia="Times New Roman" w:hAnsi="Times New Roman"/>
          <w:sz w:val="16"/>
          <w:szCs w:val="16"/>
          <w:color w:val="auto"/>
        </w:rPr>
        <w:t>. THIS INDENTURE AND EACH NOTE, AND ANY CLAIM, CONTROVERSY OR DISPUTE ARISING UNDER OR RELATED TO THIS INDENTURE AND EACH NOTE, SHALL BE GOVERNED BY, AND CONSTRUED IN ACCORDANCE WITH, THE LAWS OF THE STATE OF NEW YORK.</w:t>
      </w:r>
    </w:p>
    <w:p>
      <w:pPr>
        <w:spacing w:after="0" w:line="152"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generally and unconditionally with respect to any action, suit or proceeding for itself in respect of its properties, assets and revenues.</w:t>
      </w:r>
    </w:p>
    <w:p>
      <w:pPr>
        <w:spacing w:after="0" w:line="157"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53" w:lineRule="exact"/>
        <w:rPr>
          <w:sz w:val="20"/>
          <w:szCs w:val="20"/>
          <w:color w:val="auto"/>
        </w:rPr>
      </w:pPr>
    </w:p>
    <w:p>
      <w:pPr>
        <w:jc w:val="both"/>
        <w:ind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17.05. </w:t>
      </w:r>
      <w:r>
        <w:rPr>
          <w:rFonts w:ascii="Times New Roman" w:cs="Times New Roman" w:eastAsia="Times New Roman" w:hAnsi="Times New Roman"/>
          <w:sz w:val="16"/>
          <w:szCs w:val="16"/>
          <w:i w:val="1"/>
          <w:iCs w:val="1"/>
          <w:color w:val="auto"/>
        </w:rPr>
        <w:t>Evidence of Compliance with Conditions Precedent; Certificates and Opinions of Counsel to Trustee</w:t>
      </w:r>
      <w:r>
        <w:rPr>
          <w:rFonts w:ascii="Times New Roman" w:cs="Times New Roman" w:eastAsia="Times New Roman" w:hAnsi="Times New Roman"/>
          <w:sz w:val="16"/>
          <w:szCs w:val="16"/>
          <w:color w:val="auto"/>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spacing w:after="0" w:line="152" w:lineRule="exact"/>
        <w:rPr>
          <w:sz w:val="20"/>
          <w:szCs w:val="20"/>
          <w:color w:val="auto"/>
        </w:rPr>
      </w:pPr>
    </w:p>
    <w:p>
      <w:pPr>
        <w:jc w:val="both"/>
        <w:ind w:firstLine="576"/>
        <w:spacing w:after="0" w:line="237" w:lineRule="auto"/>
        <w:rPr>
          <w:sz w:val="20"/>
          <w:szCs w:val="20"/>
          <w:color w:val="auto"/>
        </w:rPr>
      </w:pPr>
      <w:r>
        <w:rPr>
          <w:rFonts w:ascii="Times New Roman" w:cs="Times New Roman" w:eastAsia="Times New Roman" w:hAnsi="Times New Roman"/>
          <w:sz w:val="16"/>
          <w:szCs w:val="16"/>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Opinion of Counsel shall be required to be delivered in connection with (1) the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01" w:name="page102"/>
    <w:bookmarkEnd w:id="101"/>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50"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17.06. </w:t>
      </w:r>
      <w:r>
        <w:rPr>
          <w:rFonts w:ascii="Times New Roman" w:cs="Times New Roman" w:eastAsia="Times New Roman" w:hAnsi="Times New Roman"/>
          <w:sz w:val="16"/>
          <w:szCs w:val="16"/>
          <w:i w:val="1"/>
          <w:iCs w:val="1"/>
          <w:color w:val="auto"/>
        </w:rPr>
        <w:t>Legal Holidays</w:t>
      </w:r>
      <w:r>
        <w:rPr>
          <w:rFonts w:ascii="Times New Roman" w:cs="Times New Roman" w:eastAsia="Times New Roman" w:hAnsi="Times New Roman"/>
          <w:sz w:val="16"/>
          <w:szCs w:val="16"/>
          <w:color w:val="auto"/>
        </w:rPr>
        <w:t>.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50"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17.07. </w:t>
      </w:r>
      <w:r>
        <w:rPr>
          <w:rFonts w:ascii="Times New Roman" w:cs="Times New Roman" w:eastAsia="Times New Roman" w:hAnsi="Times New Roman"/>
          <w:sz w:val="16"/>
          <w:szCs w:val="16"/>
          <w:i w:val="1"/>
          <w:iCs w:val="1"/>
          <w:color w:val="auto"/>
        </w:rPr>
        <w:t>No Security Interest Created</w:t>
      </w:r>
      <w:r>
        <w:rPr>
          <w:rFonts w:ascii="Times New Roman" w:cs="Times New Roman" w:eastAsia="Times New Roman" w:hAnsi="Times New Roman"/>
          <w:sz w:val="16"/>
          <w:szCs w:val="16"/>
          <w:color w:val="auto"/>
        </w:rPr>
        <w:t>. Except as provided in Section 7.06, nothing in this Indenture or in the Notes, expressed or implied, shall be construed to constitute a security interest under the Uniform Commercial Code or similar legislation, as now or hereafter enacted and in effect, in any jurisdiction.</w:t>
      </w:r>
    </w:p>
    <w:p>
      <w:pPr>
        <w:spacing w:after="0" w:line="138" w:lineRule="exact"/>
        <w:rPr>
          <w:sz w:val="20"/>
          <w:szCs w:val="20"/>
          <w:color w:val="auto"/>
        </w:rPr>
      </w:pPr>
    </w:p>
    <w:p>
      <w:pPr>
        <w:jc w:val="both"/>
        <w:ind w:right="2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17.08. </w:t>
      </w:r>
      <w:r>
        <w:rPr>
          <w:rFonts w:ascii="Times New Roman" w:cs="Times New Roman" w:eastAsia="Times New Roman" w:hAnsi="Times New Roman"/>
          <w:sz w:val="16"/>
          <w:szCs w:val="16"/>
          <w:i w:val="1"/>
          <w:iCs w:val="1"/>
          <w:color w:val="auto"/>
        </w:rPr>
        <w:t>Benefits of Indenture</w:t>
      </w:r>
      <w:r>
        <w:rPr>
          <w:rFonts w:ascii="Times New Roman" w:cs="Times New Roman" w:eastAsia="Times New Roman" w:hAnsi="Times New Roman"/>
          <w:sz w:val="16"/>
          <w:szCs w:val="16"/>
          <w:color w:val="auto"/>
        </w:rPr>
        <w:t>.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50"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17.09. </w:t>
      </w:r>
      <w:r>
        <w:rPr>
          <w:rFonts w:ascii="Times New Roman" w:cs="Times New Roman" w:eastAsia="Times New Roman" w:hAnsi="Times New Roman"/>
          <w:sz w:val="16"/>
          <w:szCs w:val="16"/>
          <w:i w:val="1"/>
          <w:iCs w:val="1"/>
          <w:color w:val="auto"/>
        </w:rPr>
        <w:t>Table of Contents, Headings, Etc</w:t>
      </w:r>
      <w:r>
        <w:rPr>
          <w:rFonts w:ascii="Times New Roman" w:cs="Times New Roman" w:eastAsia="Times New Roman" w:hAnsi="Times New Roman"/>
          <w:sz w:val="16"/>
          <w:szCs w:val="16"/>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38"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 xml:space="preserve">Section 17.10.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60"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02" w:name="page103"/>
    <w:bookmarkEnd w:id="102"/>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57"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provisions of Section 7.02, Section 7.03, Section 7.04, Section 8.03 and this Section 17.10 shall be applicable to any authenticating agent.</w:t>
      </w:r>
    </w:p>
    <w:p>
      <w:pPr>
        <w:spacing w:after="0" w:line="176"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Authenticating Agent, certifies that this is one of the Notes described in the within-named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56"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17.11. </w:t>
      </w:r>
      <w:r>
        <w:rPr>
          <w:rFonts w:ascii="Times New Roman" w:cs="Times New Roman" w:eastAsia="Times New Roman" w:hAnsi="Times New Roman"/>
          <w:sz w:val="16"/>
          <w:szCs w:val="16"/>
          <w:i w:val="1"/>
          <w:iCs w:val="1"/>
          <w:color w:val="auto"/>
        </w:rPr>
        <w:t>Execution in Counterparts</w:t>
      </w:r>
      <w:r>
        <w:rPr>
          <w:rFonts w:ascii="Times New Roman" w:cs="Times New Roman" w:eastAsia="Times New Roman" w:hAnsi="Times New Roman"/>
          <w:sz w:val="16"/>
          <w:szCs w:val="16"/>
          <w:color w:val="auto"/>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57"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6"/>
          <w:szCs w:val="16"/>
          <w:color w:val="auto"/>
        </w:rPr>
        <w:t xml:space="preserve">Section 17.12.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38" w:lineRule="exact"/>
        <w:rPr>
          <w:sz w:val="20"/>
          <w:szCs w:val="20"/>
          <w:color w:val="auto"/>
        </w:rPr>
      </w:pPr>
    </w:p>
    <w:p>
      <w:pPr>
        <w:jc w:val="both"/>
        <w:ind w:right="60" w:firstLine="576"/>
        <w:spacing w:after="0" w:line="248" w:lineRule="auto"/>
        <w:rPr>
          <w:sz w:val="20"/>
          <w:szCs w:val="20"/>
          <w:color w:val="auto"/>
        </w:rPr>
      </w:pPr>
      <w:r>
        <w:rPr>
          <w:rFonts w:ascii="Times New Roman" w:cs="Times New Roman" w:eastAsia="Times New Roman" w:hAnsi="Times New Roman"/>
          <w:sz w:val="16"/>
          <w:szCs w:val="16"/>
          <w:color w:val="auto"/>
        </w:rPr>
        <w:t xml:space="preserve">Section 17.13.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xml:space="preserve"> .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03" w:name="page104"/>
    <w:bookmarkEnd w:id="103"/>
    <w:p>
      <w:pPr>
        <w:jc w:val="both"/>
        <w:ind w:firstLine="576"/>
        <w:spacing w:after="0"/>
        <w:rPr>
          <w:sz w:val="20"/>
          <w:szCs w:val="20"/>
          <w:color w:val="auto"/>
        </w:rPr>
      </w:pPr>
      <w:r>
        <w:rPr>
          <w:rFonts w:ascii="Times New Roman" w:cs="Times New Roman" w:eastAsia="Times New Roman" w:hAnsi="Times New Roman"/>
          <w:sz w:val="16"/>
          <w:szCs w:val="16"/>
          <w:color w:val="auto"/>
        </w:rPr>
        <w:t xml:space="preserve">Section 17.14.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and the unavailability of the Federal Reserve Bank wire or telex facility or other wire or telex facility; it being understood that the Trustee shall use reasonable efforts that are consistent with accepted practices in the banking industry to resume performance as soon as practicable under the circumstances.</w:t>
      </w:r>
    </w:p>
    <w:p>
      <w:pPr>
        <w:spacing w:after="0" w:line="156" w:lineRule="exact"/>
        <w:rPr>
          <w:sz w:val="20"/>
          <w:szCs w:val="20"/>
          <w:color w:val="auto"/>
        </w:rPr>
      </w:pPr>
    </w:p>
    <w:p>
      <w:pPr>
        <w:jc w:val="both"/>
        <w:ind w:right="20" w:firstLine="576"/>
        <w:spacing w:after="0" w:line="238" w:lineRule="auto"/>
        <w:rPr>
          <w:sz w:val="20"/>
          <w:szCs w:val="20"/>
          <w:color w:val="auto"/>
        </w:rPr>
      </w:pPr>
      <w:r>
        <w:rPr>
          <w:rFonts w:ascii="Times New Roman" w:cs="Times New Roman" w:eastAsia="Times New Roman" w:hAnsi="Times New Roman"/>
          <w:sz w:val="16"/>
          <w:szCs w:val="16"/>
          <w:color w:val="auto"/>
        </w:rPr>
        <w:t xml:space="preserve">Section 17.15. </w:t>
      </w:r>
      <w:r>
        <w:rPr>
          <w:rFonts w:ascii="Times New Roman" w:cs="Times New Roman" w:eastAsia="Times New Roman" w:hAnsi="Times New Roman"/>
          <w:sz w:val="16"/>
          <w:szCs w:val="16"/>
          <w:i w:val="1"/>
          <w:iCs w:val="1"/>
          <w:color w:val="auto"/>
        </w:rPr>
        <w:t>Calculations</w:t>
      </w:r>
      <w:r>
        <w:rPr>
          <w:rFonts w:ascii="Times New Roman" w:cs="Times New Roman" w:eastAsia="Times New Roman" w:hAnsi="Times New Roman"/>
          <w:sz w:val="16"/>
          <w:szCs w:val="16"/>
          <w:color w:val="auto"/>
        </w:rPr>
        <w:t>. Except as otherwise provided herein, the Company shall be responsible for making all calculations called for under the Notes. These calculations include, but are not limited to, determinations of the Last Reported Sale Prices of the Common Stock, the trading price of the Notes (for purposes of determining whether the Notes are convertible as described herein), the Daily VWAPs, the Daily Conversion Values, the Daily Settlement Amounts, accrued interest payable on the Notes, Additional Interest, if any, payable on the Notes, the Redemption Price, the Conversion Rate and Conversion Price of the Notes and adjustments thereto. The Company shall make all these calculations in good faith and, absent manifest error, the Company’s calculations shall be final and binding on Holders of Notes.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The Company will forward its calculations to any Holder of Notes upon the request of that Holder at the Company’s sole cost and expense. The Trustee, Paying Agent and Conversion Agent shall have no responsibility for any calculations under this Indenture or the Notes or for verifying the Company’s calculations.</w:t>
      </w:r>
    </w:p>
    <w:p>
      <w:pPr>
        <w:spacing w:after="0" w:line="158" w:lineRule="exact"/>
        <w:rPr>
          <w:sz w:val="20"/>
          <w:szCs w:val="20"/>
          <w:color w:val="auto"/>
        </w:rPr>
      </w:pPr>
    </w:p>
    <w:p>
      <w:pPr>
        <w:jc w:val="both"/>
        <w:ind w:firstLine="576"/>
        <w:spacing w:after="0" w:line="244" w:lineRule="auto"/>
        <w:rPr>
          <w:sz w:val="20"/>
          <w:szCs w:val="20"/>
          <w:color w:val="auto"/>
        </w:rPr>
      </w:pPr>
      <w:r>
        <w:rPr>
          <w:rFonts w:ascii="Times New Roman" w:cs="Times New Roman" w:eastAsia="Times New Roman" w:hAnsi="Times New Roman"/>
          <w:sz w:val="16"/>
          <w:szCs w:val="16"/>
          <w:color w:val="auto"/>
        </w:rPr>
        <w:t xml:space="preserve">Section 17.16. </w:t>
      </w:r>
      <w:r>
        <w:rPr>
          <w:rFonts w:ascii="Times New Roman" w:cs="Times New Roman" w:eastAsia="Times New Roman" w:hAnsi="Times New Roman"/>
          <w:sz w:val="16"/>
          <w:szCs w:val="16"/>
          <w:i w:val="1"/>
          <w:iCs w:val="1"/>
          <w:color w:val="auto"/>
        </w:rPr>
        <w:t>USA PATRIOT Act</w:t>
      </w:r>
      <w:r>
        <w:rPr>
          <w:rFonts w:ascii="Times New Roman" w:cs="Times New Roman" w:eastAsia="Times New Roman" w:hAnsi="Times New Roman"/>
          <w:sz w:val="16"/>
          <w:szCs w:val="16"/>
          <w:color w:val="auto"/>
        </w:rPr>
        <w:t xml:space="preserve"> .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2"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 xml:space="preserve">Section 17.17. </w:t>
      </w:r>
      <w:r>
        <w:rPr>
          <w:rFonts w:ascii="Times New Roman" w:cs="Times New Roman" w:eastAsia="Times New Roman" w:hAnsi="Times New Roman"/>
          <w:sz w:val="16"/>
          <w:szCs w:val="16"/>
          <w:i w:val="1"/>
          <w:iCs w:val="1"/>
          <w:color w:val="auto"/>
        </w:rPr>
        <w:t>Electronic Signatures</w:t>
      </w:r>
      <w:r>
        <w:rPr>
          <w:rFonts w:ascii="Times New Roman" w:cs="Times New Roman" w:eastAsia="Times New Roman" w:hAnsi="Times New Roman"/>
          <w:sz w:val="16"/>
          <w:szCs w:val="16"/>
          <w:color w:val="auto"/>
        </w:rPr>
        <w:t>. All notices, approvals, consents, requests and any communications hereunder must be in writing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communication sent to the Trustee hereunder must be in the form of a document that is signed manually or by way of a digital signature provided by DocuSign, AdobeSign (or such other digital signature provider as specified in writing to Trustee by the Company)),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59"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 xml:space="preserve">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will be deemed to include electronic signatures and the keeping of records in electronic form, each of which will be, except with respect to authentication of the Notes by the Trustee,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anything herein to the contrary, the Trustee is not under any obligation to agree to accept electronic signatures in any form or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format unless expressly agreed to by the Trustee pursuant to reasonable procedures approved by the Trustee.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the date first written above.</w:t>
      </w:r>
    </w:p>
    <w:p>
      <w:pPr>
        <w:spacing w:after="0" w:line="200" w:lineRule="exact"/>
        <w:rPr>
          <w:sz w:val="20"/>
          <w:szCs w:val="20"/>
          <w:color w:val="auto"/>
        </w:rPr>
      </w:pPr>
    </w:p>
    <w:p>
      <w:pPr>
        <w:spacing w:after="0" w:line="3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COHU, INC.</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By: /s/ Emily 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5715</wp:posOffset>
            </wp:positionV>
            <wp:extent cx="30181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6"/>
          <w:szCs w:val="16"/>
          <w:color w:val="auto"/>
        </w:rPr>
        <w:t>Name: Emily Lough</w:t>
      </w:r>
    </w:p>
    <w:p>
      <w:pPr>
        <w:spacing w:after="0" w:line="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6"/>
          <w:szCs w:val="16"/>
          <w:color w:val="auto"/>
        </w:rPr>
        <w:t>Title: Vice President, General Counsel &amp; Secretary</w:t>
      </w: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Indenture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212725</wp:posOffset>
            </wp:positionV>
            <wp:extent cx="67075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220"/>
          </w:cols>
          <w:pgMar w:left="1240" w:top="965" w:right="1440" w:bottom="1440" w:gutter="0" w:footer="0" w:header="0"/>
        </w:sectPr>
      </w:pPr>
    </w:p>
    <w:bookmarkStart w:id="105" w:name="page106"/>
    <w:bookmarkEnd w:id="105"/>
    <w:p>
      <w:pPr>
        <w:jc w:val="right"/>
        <w:ind w:right="1300"/>
        <w:spacing w:after="0"/>
        <w:rPr>
          <w:sz w:val="20"/>
          <w:szCs w:val="20"/>
          <w:color w:val="auto"/>
        </w:rPr>
      </w:pPr>
      <w:r>
        <w:rPr>
          <w:rFonts w:ascii="Times New Roman" w:cs="Times New Roman" w:eastAsia="Times New Roman" w:hAnsi="Times New Roman"/>
          <w:sz w:val="16"/>
          <w:szCs w:val="16"/>
          <w:color w:val="auto"/>
        </w:rPr>
        <w:t>U.S. BANK TRUST COMPANY, NATIONAL</w:t>
      </w:r>
    </w:p>
    <w:p>
      <w:pPr>
        <w:spacing w:after="0" w:line="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ASSOCIATION, as Trustee</w:t>
      </w:r>
    </w:p>
    <w:p>
      <w:pPr>
        <w:spacing w:after="0" w:line="33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By: /s/ James Byrnes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5715</wp:posOffset>
            </wp:positionV>
            <wp:extent cx="30181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18155" cy="7620"/>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6"/>
          <w:szCs w:val="16"/>
          <w:color w:val="auto"/>
        </w:rPr>
        <w:t>Name: James Byrnes</w:t>
      </w:r>
    </w:p>
    <w:p>
      <w:pPr>
        <w:spacing w:after="0" w:line="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227330</wp:posOffset>
            </wp:positionV>
            <wp:extent cx="670750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020"/>
          </w:cols>
          <w:pgMar w:left="1440" w:top="965"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FACE OF NOTE]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[NON-AFFILIATE LEGEND]</w:t>
      </w:r>
    </w:p>
    <w:p>
      <w:pPr>
        <w:spacing w:after="0" w:line="176" w:lineRule="exact"/>
        <w:rPr>
          <w:sz w:val="20"/>
          <w:szCs w:val="20"/>
          <w:color w:val="auto"/>
        </w:rPr>
      </w:pPr>
    </w:p>
    <w:p>
      <w:pPr>
        <w:ind w:right="100" w:firstLine="576"/>
        <w:spacing w:after="0" w:line="259" w:lineRule="auto"/>
        <w:rPr>
          <w:sz w:val="20"/>
          <w:szCs w:val="20"/>
          <w:color w:val="auto"/>
        </w:rPr>
      </w:pPr>
      <w:r>
        <w:rPr>
          <w:rFonts w:ascii="Times New Roman" w:cs="Times New Roman" w:eastAsia="Times New Roman" w:hAnsi="Times New Roman"/>
          <w:sz w:val="16"/>
          <w:szCs w:val="16"/>
          <w:color w:val="auto"/>
        </w:rPr>
        <w:t>NO AFFILIATE (AS DEFINED IN RULE 144 UNDER THE SECURITIES ACT OF 1933, AS AMENDED) OF THE COMPANY MAY PURCHASE OR OTHERWISE ACQUIRE THIS NOTE OR ANY BENEFICIAL INTEREST HEREIN.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[INCLUDE FOLLOWING LEGEND IF A GLOBAL NOTE]</w:t>
      </w:r>
    </w:p>
    <w:p>
      <w:pPr>
        <w:spacing w:after="0" w:line="176" w:lineRule="exact"/>
        <w:rPr>
          <w:sz w:val="20"/>
          <w:szCs w:val="20"/>
          <w:color w:val="auto"/>
        </w:rPr>
      </w:pPr>
    </w:p>
    <w:p>
      <w:pPr>
        <w:jc w:val="both"/>
        <w:ind w:right="80" w:firstLine="576"/>
        <w:spacing w:after="0" w:line="239"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[INCLUDE FOLLOWING LEGEND IF A RESTRICTED SECURITY]</w:t>
      </w:r>
    </w:p>
    <w:p>
      <w:pPr>
        <w:spacing w:after="0" w:line="176" w:lineRule="exact"/>
        <w:rPr>
          <w:sz w:val="20"/>
          <w:szCs w:val="20"/>
          <w:color w:val="auto"/>
        </w:rPr>
      </w:pPr>
    </w:p>
    <w:p>
      <w:pPr>
        <w:jc w:val="both"/>
        <w:ind w:right="60" w:firstLine="576"/>
        <w:spacing w:after="0" w:line="243" w:lineRule="auto"/>
        <w:rPr>
          <w:sz w:val="20"/>
          <w:szCs w:val="20"/>
          <w:color w:val="auto"/>
        </w:rPr>
      </w:pPr>
      <w:r>
        <w:rPr>
          <w:rFonts w:ascii="Times New Roman" w:cs="Times New Roman" w:eastAsia="Times New Roman" w:hAnsi="Times New Roman"/>
          <w:sz w:val="16"/>
          <w:szCs w:val="16"/>
          <w:color w:val="auto"/>
        </w:rPr>
        <w:t>[THIS SECURITY AND ANY COMMON STOCK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580" w:right="60" w:firstLine="434"/>
        <w:spacing w:after="0" w:line="247" w:lineRule="auto"/>
        <w:tabs>
          <w:tab w:leader="none" w:pos="135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2" w:lineRule="exact"/>
        <w:rPr>
          <w:rFonts w:ascii="Times New Roman" w:cs="Times New Roman" w:eastAsia="Times New Roman" w:hAnsi="Times New Roman"/>
          <w:sz w:val="16"/>
          <w:szCs w:val="16"/>
          <w:color w:val="auto"/>
        </w:rPr>
      </w:pPr>
    </w:p>
    <w:p>
      <w:pPr>
        <w:jc w:val="both"/>
        <w:ind w:left="580" w:right="60" w:firstLine="434"/>
        <w:spacing w:after="0" w:line="289" w:lineRule="auto"/>
        <w:tabs>
          <w:tab w:leader="none" w:pos="1475"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FOR THE BENEFIT OF COHU, INC. (THE “COMPANY”) THAT IT WILL NOT OFFER, SELL, PLEDGE OR OTHERWISE TRANSFER THIS SECURITY OR ANY BENEFICIAL INTEREST HEREIN PRIOR TO THE DATE THAT IS THE LATER OF (X) ONE YEAR AFTER THE ISSUE DATE HEREOF OR SUCH SHORTER PERIOD OF TIME AS PERMITTED BY RULE 144 UNDER THE SECURITIES ACT OR ANY SUCCESSOR PROVISION THERETO AND (Y) SUCH LATER DATE, IF ANY, AS MAY BE REQUIRED BY APPLICABLE LAW, EXCEPT:</w:t>
      </w:r>
    </w:p>
    <w:p>
      <w:pPr>
        <w:spacing w:after="0" w:line="124" w:lineRule="exact"/>
        <w:rPr>
          <w:rFonts w:ascii="Times New Roman" w:cs="Times New Roman" w:eastAsia="Times New Roman" w:hAnsi="Times New Roman"/>
          <w:sz w:val="14"/>
          <w:szCs w:val="14"/>
          <w:color w:val="auto"/>
        </w:rPr>
      </w:pPr>
    </w:p>
    <w:p>
      <w:pPr>
        <w:ind w:left="1860" w:hanging="414"/>
        <w:spacing w:after="0"/>
        <w:tabs>
          <w:tab w:leader="none" w:pos="18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07" w:name="page108"/>
    <w:bookmarkEnd w:id="107"/>
    <w:p>
      <w:pPr>
        <w:ind w:left="1840" w:hanging="394"/>
        <w:spacing w:after="0"/>
        <w:tabs>
          <w:tab w:leader="none" w:pos="184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WHICH HAS BECOME EFFECTIVE UNDER THE SECURITIES ACT, OR</w:t>
      </w:r>
    </w:p>
    <w:p>
      <w:pPr>
        <w:spacing w:after="0" w:line="176" w:lineRule="exact"/>
        <w:rPr>
          <w:rFonts w:ascii="Times New Roman" w:cs="Times New Roman" w:eastAsia="Times New Roman" w:hAnsi="Times New Roman"/>
          <w:sz w:val="16"/>
          <w:szCs w:val="16"/>
          <w:color w:val="auto"/>
        </w:rPr>
      </w:pPr>
    </w:p>
    <w:p>
      <w:pPr>
        <w:ind w:left="1020" w:firstLine="426"/>
        <w:spacing w:after="0" w:line="259" w:lineRule="auto"/>
        <w:tabs>
          <w:tab w:leader="none" w:pos="1895"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QUALIFIED INSTITUTIONAL BUYER IN COMPLIANCE WITH RULE 144A UNDER THE SECURITIES ACT, OR</w:t>
      </w:r>
    </w:p>
    <w:p>
      <w:pPr>
        <w:spacing w:after="0" w:line="143" w:lineRule="exact"/>
        <w:rPr>
          <w:rFonts w:ascii="Times New Roman" w:cs="Times New Roman" w:eastAsia="Times New Roman" w:hAnsi="Times New Roman"/>
          <w:sz w:val="16"/>
          <w:szCs w:val="16"/>
          <w:color w:val="auto"/>
        </w:rPr>
      </w:pPr>
    </w:p>
    <w:p>
      <w:pPr>
        <w:ind w:left="1020" w:firstLine="426"/>
        <w:spacing w:after="0" w:line="259" w:lineRule="auto"/>
        <w:tabs>
          <w:tab w:leader="none" w:pos="195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(IF AVAILABLE) OR ANY OTHER AVAILABLE EXEMPTION FROM THE REGISTRATION REQUIREMENTS OF THE SECURITIES ACT.</w:t>
      </w:r>
    </w:p>
    <w:p>
      <w:pPr>
        <w:spacing w:after="0" w:line="143"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40"/>
          </w:cols>
          <w:pgMar w:left="660" w:top="965" w:right="70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6"/>
          <w:szCs w:val="16"/>
          <w:color w:val="auto"/>
        </w:rPr>
        <w:t>Cohu,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 Convertible Senior Note due 2031</w:t>
      </w:r>
    </w:p>
    <w:p>
      <w:pPr>
        <w:sectPr>
          <w:pgSz w:w="11900" w:h="16840" w:orient="portrait"/>
          <w:cols w:equalWidth="0" w:num="1">
            <w:col w:w="10560"/>
          </w:cols>
          <w:pgMar w:left="660" w:top="965" w:right="680"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[_____]</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 xml:space="preserve"> $[_____________]</w:t>
      </w:r>
    </w:p>
    <w:p>
      <w:pPr>
        <w:spacing w:after="0" w:line="199" w:lineRule="exact"/>
        <w:rPr>
          <w:sz w:val="20"/>
          <w:szCs w:val="20"/>
          <w:color w:val="auto"/>
        </w:rPr>
      </w:pPr>
    </w:p>
    <w:p>
      <w:pPr>
        <w:sectPr>
          <w:pgSz w:w="11900" w:h="16840" w:orient="portrait"/>
          <w:cols w:equalWidth="0" w:num="2">
            <w:col w:w="7940" w:space="720"/>
            <w:col w:w="1900"/>
          </w:cols>
          <w:pgMar w:left="660" w:top="965"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CUSIP No. [______]</w:t>
      </w:r>
      <w:r>
        <w:rPr>
          <w:rFonts w:ascii="Times New Roman" w:cs="Times New Roman" w:eastAsia="Times New Roman" w:hAnsi="Times New Roman"/>
          <w:sz w:val="26"/>
          <w:szCs w:val="26"/>
          <w:color w:val="auto"/>
          <w:vertAlign w:val="superscript"/>
        </w:rPr>
        <w:t>2</w:t>
      </w:r>
    </w:p>
    <w:p>
      <w:pPr>
        <w:spacing w:after="0" w:line="59" w:lineRule="exact"/>
        <w:rPr>
          <w:sz w:val="20"/>
          <w:szCs w:val="20"/>
          <w:color w:val="auto"/>
        </w:rPr>
      </w:pPr>
    </w:p>
    <w:p>
      <w:pPr>
        <w:jc w:val="both"/>
        <w:ind w:firstLine="576"/>
        <w:spacing w:after="0" w:line="196" w:lineRule="auto"/>
        <w:rPr>
          <w:sz w:val="20"/>
          <w:szCs w:val="20"/>
          <w:color w:val="auto"/>
        </w:rPr>
      </w:pPr>
      <w:r>
        <w:rPr>
          <w:rFonts w:ascii="Times New Roman" w:cs="Times New Roman" w:eastAsia="Times New Roman" w:hAnsi="Times New Roman"/>
          <w:sz w:val="15"/>
          <w:szCs w:val="15"/>
          <w:color w:val="auto"/>
        </w:rPr>
        <w:t>Cohu, Inc., a corporation duly organized and validly existing under the laws of the State of New York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5"/>
          <w:szCs w:val="15"/>
          <w:color w:val="auto"/>
        </w:rPr>
        <w:t xml:space="preserve"> [_______]</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5"/>
          <w:szCs w:val="15"/>
          <w:color w:val="auto"/>
        </w:rPr>
        <w:t>, or registered</w:t>
      </w:r>
    </w:p>
    <w:p>
      <w:pPr>
        <w:spacing w:after="0" w:line="183" w:lineRule="auto"/>
        <w:rPr>
          <w:sz w:val="20"/>
          <w:szCs w:val="20"/>
          <w:color w:val="auto"/>
        </w:rPr>
      </w:pPr>
      <w:r>
        <w:rPr>
          <w:rFonts w:ascii="Times New Roman" w:cs="Times New Roman" w:eastAsia="Times New Roman" w:hAnsi="Times New Roman"/>
          <w:sz w:val="13"/>
          <w:szCs w:val="13"/>
          <w:color w:val="auto"/>
        </w:rPr>
        <w:t>assigns, the principal sum [as set forth in the “Schedule of Exchanges of Notes” attached hereto]</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[of $[_______]]</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3"/>
          <w:szCs w:val="13"/>
          <w:color w:val="auto"/>
        </w:rPr>
        <w:t>, which amount, taken together with the principal</w:t>
      </w:r>
    </w:p>
    <w:p>
      <w:pPr>
        <w:jc w:val="both"/>
        <w:spacing w:after="0" w:line="238" w:lineRule="auto"/>
        <w:rPr>
          <w:sz w:val="20"/>
          <w:szCs w:val="20"/>
          <w:color w:val="auto"/>
        </w:rPr>
      </w:pPr>
      <w:r>
        <w:rPr>
          <w:rFonts w:ascii="Times New Roman" w:cs="Times New Roman" w:eastAsia="Times New Roman" w:hAnsi="Times New Roman"/>
          <w:sz w:val="16"/>
          <w:szCs w:val="16"/>
          <w:color w:val="auto"/>
        </w:rPr>
        <w:t>amounts of all other outstanding Notes, shall not, unless permitted by the Indenture, exceed $287,500,000 in aggregate at any time, in accordance with the rules and applicable procedures of the Depositary, on January 15, 2031, and interest thereon as set forth below.</w:t>
      </w:r>
    </w:p>
    <w:p>
      <w:pPr>
        <w:spacing w:after="0" w:line="157"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This Note shall bear interest at the rate of 1.50% per year from September 29, 2025, or from the most recent date to which interest has been paid or provided for to, but excluding, the next scheduled Interest Payment Date until January 15, 2031. Interest is payable semi -annually in arrears on each January 15 and July 15, commencing on January 15, 2026, to Holders of record at the close of business on the preceding January 1 and July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spacing w:after="0" w:line="158"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Any Defaulted Amounts shall accrue interest per annum at the then applicable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6705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146" w:lineRule="exact"/>
        <w:rPr>
          <w:sz w:val="20"/>
          <w:szCs w:val="20"/>
          <w:color w:val="auto"/>
        </w:rPr>
      </w:pPr>
    </w:p>
    <w:p>
      <w:pPr>
        <w:ind w:left="680" w:hanging="98"/>
        <w:spacing w:after="0"/>
        <w:tabs>
          <w:tab w:leader="none" w:pos="680"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 if a global note.</w:t>
      </w:r>
    </w:p>
    <w:p>
      <w:pPr>
        <w:jc w:val="both"/>
        <w:ind w:firstLine="582"/>
        <w:spacing w:after="0" w:line="203" w:lineRule="auto"/>
        <w:tabs>
          <w:tab w:leader="none" w:pos="684" w:val="left"/>
        </w:tabs>
        <w:numPr>
          <w:ilvl w:val="0"/>
          <w:numId w:val="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This Note will be deemed to be identified by CUSIP No. 192576 AB2 / US192576AB22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ind w:left="580"/>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Include if a global note.</w:t>
      </w:r>
    </w:p>
    <w:p>
      <w:pPr>
        <w:ind w:left="580"/>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Include if a physical note.</w:t>
      </w:r>
    </w:p>
    <w:p>
      <w:pPr>
        <w:ind w:left="580"/>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Include if a global note.</w:t>
      </w:r>
    </w:p>
    <w:p>
      <w:pPr>
        <w:ind w:left="5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4"/>
          <w:szCs w:val="14"/>
          <w:color w:val="auto"/>
        </w:rPr>
        <w:t xml:space="preserve"> Include if a physical note.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5" w:right="680" w:bottom="1440" w:gutter="0" w:footer="0" w:header="0"/>
          <w:type w:val="continuous"/>
        </w:sectPr>
      </w:pPr>
    </w:p>
    <w:bookmarkStart w:id="109" w:name="page110"/>
    <w:bookmarkEnd w:id="109"/>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The Company shall pay or cause the Paying Agent to pay the principal of and interest on this Note, if and so long as such Note is a Global Note, by wire transfer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the contiguous United States of America as a place where Notes may be presented for payment or for registration of transfer and exchange.</w:t>
      </w:r>
    </w:p>
    <w:p>
      <w:pPr>
        <w:spacing w:after="0" w:line="157" w:lineRule="exact"/>
        <w:rPr>
          <w:sz w:val="20"/>
          <w:szCs w:val="20"/>
          <w:color w:val="auto"/>
        </w:rPr>
      </w:pPr>
    </w:p>
    <w:p>
      <w:pPr>
        <w:jc w:val="both"/>
        <w:ind w:firstLine="576"/>
        <w:spacing w:after="0" w:line="299" w:lineRule="auto"/>
        <w:rPr>
          <w:sz w:val="20"/>
          <w:szCs w:val="20"/>
          <w:color w:val="auto"/>
        </w:rPr>
      </w:pPr>
      <w:r>
        <w:rPr>
          <w:rFonts w:ascii="Times New Roman" w:cs="Times New Roman" w:eastAsia="Times New Roman" w:hAnsi="Times New Roman"/>
          <w:sz w:val="14"/>
          <w:szCs w:val="14"/>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at the Company’s election, on the terms and subject to the limitations set forth in the Indenture. Such further provisions shall for all purposes have the same effect as though fully set forth at this place.</w:t>
      </w:r>
    </w:p>
    <w:p>
      <w:pPr>
        <w:spacing w:after="0" w:line="117"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6"/>
          <w:szCs w:val="16"/>
          <w:b w:val="1"/>
          <w:bCs w:val="1"/>
          <w:color w:val="auto"/>
        </w:rPr>
        <w:t>This Note, and any claim, controversy or dispute arising under or related to this Note, shall be construed in accordance with and governed by the laws of the State of New York.</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the case of any conflict between this Note and the Indenture, the provisions of the Indenture shall control and govern.</w:t>
      </w:r>
    </w:p>
    <w:p>
      <w:pPr>
        <w:spacing w:after="0" w:line="176"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5" w:right="680" w:bottom="1440" w:gutter="0" w:footer="0" w:header="0"/>
        </w:sectPr>
      </w:pPr>
    </w:p>
    <w:bookmarkStart w:id="110" w:name="page111"/>
    <w:bookmarkEnd w:id="110"/>
    <w:p>
      <w:pPr>
        <w:ind w:left="580"/>
        <w:spacing w:after="0"/>
        <w:rPr>
          <w:sz w:val="20"/>
          <w:szCs w:val="20"/>
          <w:color w:val="auto"/>
        </w:rPr>
      </w:pPr>
      <w:r>
        <w:rPr>
          <w:rFonts w:ascii="Times New Roman" w:cs="Times New Roman" w:eastAsia="Times New Roman" w:hAnsi="Times New Roman"/>
          <w:sz w:val="16"/>
          <w:szCs w:val="16"/>
          <w:color w:val="auto"/>
        </w:rPr>
        <w:t>IN WITNESS WHEREOF, the Company has caused this Note to be duly executed.</w:t>
      </w:r>
    </w:p>
    <w:p>
      <w:pPr>
        <w:spacing w:after="0" w:line="176"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16"/>
          <w:szCs w:val="16"/>
          <w:color w:val="auto"/>
        </w:rPr>
        <w:t>COHU, INC.</w:t>
      </w: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5715</wp:posOffset>
            </wp:positionV>
            <wp:extent cx="23475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47595" cy="762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Title: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Trustee, certifies that this is one of the Notes described</w:t>
      </w: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5715</wp:posOffset>
            </wp:positionV>
            <wp:extent cx="20123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12315" cy="762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660" w:top="1145" w:right="1440"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6"/>
          <w:szCs w:val="16"/>
          <w:color w:val="auto"/>
        </w:rPr>
        <w:t>[FORM OF REVERSE OF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Cohu, Inc.</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1.50% Convertible Senior Note due 2031</w:t>
      </w:r>
    </w:p>
    <w:p>
      <w:pPr>
        <w:spacing w:after="0" w:line="156" w:lineRule="exact"/>
        <w:rPr>
          <w:sz w:val="20"/>
          <w:szCs w:val="20"/>
          <w:color w:val="auto"/>
        </w:rPr>
      </w:pPr>
    </w:p>
    <w:p>
      <w:pPr>
        <w:jc w:val="both"/>
        <w:ind w:firstLine="576"/>
        <w:spacing w:after="0" w:line="239" w:lineRule="auto"/>
        <w:rPr>
          <w:sz w:val="20"/>
          <w:szCs w:val="20"/>
          <w:color w:val="auto"/>
        </w:rPr>
      </w:pPr>
      <w:r>
        <w:rPr>
          <w:rFonts w:ascii="Times New Roman" w:cs="Times New Roman" w:eastAsia="Times New Roman" w:hAnsi="Times New Roman"/>
          <w:sz w:val="16"/>
          <w:szCs w:val="16"/>
          <w:color w:val="auto"/>
        </w:rPr>
        <w:t>This Note is one of a duly authorized issue of Notes of the Company, designated as its 1.50% Convertible Senior Notes due 2031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initially limited to the aggregate principal amount of $287,500,000, all issued or to be issued under and pursuant to an Indenture dated as of September 29, 2025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between the Company and U.S. Bank Trust Company, National Association,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In the event of an inconsistency between this Note and the Indenture, the terms of the Indenture shall govern.</w:t>
      </w:r>
    </w:p>
    <w:p>
      <w:pPr>
        <w:spacing w:after="0" w:line="160" w:lineRule="exact"/>
        <w:rPr>
          <w:sz w:val="20"/>
          <w:szCs w:val="20"/>
          <w:color w:val="auto"/>
        </w:rPr>
      </w:pPr>
    </w:p>
    <w:p>
      <w:pPr>
        <w:jc w:val="both"/>
        <w:ind w:right="20" w:firstLine="576"/>
        <w:spacing w:after="0" w:line="241" w:lineRule="auto"/>
        <w:rPr>
          <w:sz w:val="20"/>
          <w:szCs w:val="20"/>
          <w:color w:val="auto"/>
        </w:rPr>
      </w:pPr>
      <w:r>
        <w:rPr>
          <w:rFonts w:ascii="Times New Roman" w:cs="Times New Roman" w:eastAsia="Times New Roman" w:hAnsi="Times New Roman"/>
          <w:sz w:val="16"/>
          <w:szCs w:val="16"/>
          <w:color w:val="auto"/>
        </w:rPr>
        <w:t>In case an Event of Default relating to a bankruptcy (or similar proceeding) shall have occurred, the principal of, and interest on, all Notes shall automatically become immediately due and payable, in the manner and with the effect set forth in the Indenture. In case any other Event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7" w:lineRule="exact"/>
        <w:rPr>
          <w:sz w:val="20"/>
          <w:szCs w:val="20"/>
          <w:color w:val="auto"/>
        </w:rPr>
      </w:pPr>
    </w:p>
    <w:p>
      <w:pPr>
        <w:jc w:val="both"/>
        <w:ind w:right="20" w:firstLine="576"/>
        <w:spacing w:after="0" w:line="239" w:lineRule="auto"/>
        <w:rPr>
          <w:sz w:val="20"/>
          <w:szCs w:val="20"/>
          <w:color w:val="auto"/>
        </w:rPr>
      </w:pPr>
      <w:r>
        <w:rPr>
          <w:rFonts w:ascii="Times New Roman" w:cs="Times New Roman" w:eastAsia="Times New Roman" w:hAnsi="Times New Roman"/>
          <w:sz w:val="16"/>
          <w:szCs w:val="16"/>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Upon conversion of the Notes, the Company shall pay or deliver, as the case may be, to the converting Holder cash up to the aggregate principal amount of the Notes to be converted and pay or deliver, as the case may be, cash, shares of Common Stock or a combination of cash and shares of Common Stock, at the Company’s election, in respect of the remainder, if any, of the Company’s conversion obligation in excess of the aggregate principal amount of the Notes being converted, subject to the terms and conditions of the Indenture.</w:t>
      </w:r>
    </w:p>
    <w:p>
      <w:pPr>
        <w:spacing w:after="0" w:line="158"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12" w:name="page113"/>
    <w:bookmarkEnd w:id="112"/>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Each Holder shall have the right to receive payment or delivery, as the case may be, of (x) the principal (including the Redemption Price and the Fundamental Change Repurchase Price, if applicable) of, (y) accrued and unpaid interest on, and (z) the consideration due upon conversion of, this Note at the place, at the respective times, at the rate and in the lawful money or shares of Common Stock, as the case may be, herein prescribed.</w:t>
      </w:r>
    </w:p>
    <w:p>
      <w:pPr>
        <w:spacing w:after="0" w:line="152"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4"/>
          <w:szCs w:val="14"/>
          <w:color w:val="auto"/>
        </w:rPr>
        <w:t>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the Company or the Trustee may require a Holder to pay a sum sufficient to cover any documentary, stamp or similar issue or transfer tax that may be imposed in connection therewith as a result of the name of the Holder of the new Notes issued upon such exchange of Notes being different from the name of the Holder of the old Notes surrendered for such exchange.</w:t>
      </w:r>
    </w:p>
    <w:p>
      <w:pPr>
        <w:spacing w:after="0" w:line="128" w:lineRule="exact"/>
        <w:rPr>
          <w:sz w:val="20"/>
          <w:szCs w:val="20"/>
          <w:color w:val="auto"/>
        </w:rPr>
      </w:pPr>
    </w:p>
    <w:p>
      <w:pPr>
        <w:jc w:val="both"/>
        <w:ind w:right="40" w:firstLine="576"/>
        <w:spacing w:after="0" w:line="259" w:lineRule="auto"/>
        <w:rPr>
          <w:sz w:val="20"/>
          <w:szCs w:val="20"/>
          <w:color w:val="auto"/>
        </w:rPr>
      </w:pPr>
      <w:r>
        <w:rPr>
          <w:rFonts w:ascii="Times New Roman" w:cs="Times New Roman" w:eastAsia="Times New Roman" w:hAnsi="Times New Roman"/>
          <w:sz w:val="16"/>
          <w:szCs w:val="16"/>
          <w:color w:val="auto"/>
        </w:rPr>
        <w:t>The Notes shall be redeemable at the Company’s option on or after January 22, 2029 in accordance with the terms and subject to the conditions specified in the Indenture. No sinking fund is provided for the Notes.</w:t>
      </w:r>
    </w:p>
    <w:p>
      <w:pPr>
        <w:spacing w:after="0" w:line="143" w:lineRule="exact"/>
        <w:rPr>
          <w:sz w:val="20"/>
          <w:szCs w:val="20"/>
          <w:color w:val="auto"/>
        </w:rPr>
      </w:pPr>
    </w:p>
    <w:p>
      <w:pPr>
        <w:jc w:val="both"/>
        <w:ind w:right="40" w:firstLine="576"/>
        <w:spacing w:after="0" w:line="247" w:lineRule="auto"/>
        <w:rPr>
          <w:sz w:val="20"/>
          <w:szCs w:val="20"/>
          <w:color w:val="auto"/>
        </w:rPr>
      </w:pPr>
      <w:r>
        <w:rPr>
          <w:rFonts w:ascii="Times New Roman" w:cs="Times New Roman" w:eastAsia="Times New Roman" w:hAnsi="Times New Roman"/>
          <w:sz w:val="16"/>
          <w:szCs w:val="16"/>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52" w:lineRule="exact"/>
        <w:rPr>
          <w:sz w:val="20"/>
          <w:szCs w:val="20"/>
          <w:color w:val="auto"/>
        </w:rPr>
      </w:pPr>
    </w:p>
    <w:p>
      <w:pPr>
        <w:jc w:val="both"/>
        <w:ind w:right="40" w:firstLine="576"/>
        <w:spacing w:after="0" w:line="243" w:lineRule="auto"/>
        <w:rPr>
          <w:sz w:val="20"/>
          <w:szCs w:val="20"/>
          <w:color w:val="auto"/>
        </w:rPr>
      </w:pPr>
      <w:r>
        <w:rPr>
          <w:rFonts w:ascii="Times New Roman" w:cs="Times New Roman" w:eastAsia="Times New Roman" w:hAnsi="Times New Roman"/>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at the Company’s election, at the Conversion Rate specified in the Indenture, as adjusted from time to time as provided in the Indenture.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5" w:right="640"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6"/>
          <w:szCs w:val="16"/>
          <w:color w:val="auto"/>
        </w:rPr>
        <w:t>ABBREVIATIONS</w:t>
      </w:r>
    </w:p>
    <w:p>
      <w:pPr>
        <w:spacing w:after="0" w:line="176"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The following abbreviations, when used in the inscription of the face of this Note, shall be construed as though they were written out in full according to applicable laws or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COM = as tenants in common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UNIF GIFT MIN ACT = Uniform Gifts to Minors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 = Custodian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ENT = as tenants by the entireties</w:t>
      </w:r>
    </w:p>
    <w:p>
      <w:pPr>
        <w:spacing w:after="0" w:line="176"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14"/>
          <w:szCs w:val="14"/>
          <w:color w:val="auto"/>
        </w:rPr>
        <w:t>JT TEN = joint tenants with right of survivorship and not as tenants in common</w:t>
      </w:r>
    </w:p>
    <w:p>
      <w:pPr>
        <w:spacing w:after="0" w:line="199"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16"/>
          <w:szCs w:val="16"/>
          <w:color w:val="auto"/>
        </w:rPr>
        <w:t>Additional abbreviations may also be used though not in the above list.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14" w:name="page115"/>
    <w:bookmarkEnd w:id="114"/>
    <w:p>
      <w:pPr>
        <w:ind w:left="9500"/>
        <w:spacing w:after="0"/>
        <w:rPr>
          <w:sz w:val="20"/>
          <w:szCs w:val="20"/>
          <w:color w:val="auto"/>
        </w:rPr>
      </w:pPr>
      <w:r>
        <w:rPr>
          <w:rFonts w:ascii="Times New Roman" w:cs="Times New Roman" w:eastAsia="Times New Roman" w:hAnsi="Times New Roman"/>
          <w:sz w:val="15"/>
          <w:szCs w:val="15"/>
          <w:b w:val="1"/>
          <w:bCs w:val="1"/>
          <w:color w:val="auto"/>
        </w:rPr>
        <w:t>SCHEDULE A</w:t>
      </w:r>
      <w:r>
        <w:rPr>
          <w:rFonts w:ascii="Times New Roman" w:cs="Times New Roman" w:eastAsia="Times New Roman" w:hAnsi="Times New Roman"/>
          <w:sz w:val="25"/>
          <w:szCs w:val="25"/>
          <w:b w:val="1"/>
          <w:bCs w:val="1"/>
          <w:color w:val="auto"/>
          <w:vertAlign w:val="superscript"/>
        </w:rPr>
        <w:t>7</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SCHEDULE OF EXCHANGES OF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Cohu,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 Convertible Senior Notes due 2031</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initial principal amount of this Global Note is [_______] DOLLARS ($[_________]). The following increases or decreases in this Global Note have been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made: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9"/>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Principal amount</w:t>
            </w: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Signature of</w:t>
            </w:r>
          </w:p>
        </w:tc>
      </w:tr>
      <w:tr>
        <w:trPr>
          <w:trHeight w:val="180"/>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Amount of</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Amount of</w:t>
            </w:r>
          </w:p>
        </w:tc>
        <w:tc>
          <w:tcPr>
            <w:tcW w:w="80" w:type="dxa"/>
            <w:vAlign w:val="bottom"/>
          </w:tcPr>
          <w:p>
            <w:pPr>
              <w:spacing w:after="0"/>
              <w:rPr>
                <w:sz w:val="15"/>
                <w:szCs w:val="15"/>
                <w:color w:val="auto"/>
              </w:rPr>
            </w:pPr>
          </w:p>
        </w:tc>
        <w:tc>
          <w:tcPr>
            <w:tcW w:w="1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of this Global Note</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authorized</w:t>
            </w:r>
          </w:p>
        </w:tc>
      </w:tr>
      <w:tr>
        <w:trPr>
          <w:trHeight w:val="180"/>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decrease in</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increase in</w:t>
            </w:r>
          </w:p>
        </w:tc>
        <w:tc>
          <w:tcPr>
            <w:tcW w:w="80" w:type="dxa"/>
            <w:vAlign w:val="bottom"/>
          </w:tcPr>
          <w:p>
            <w:pPr>
              <w:spacing w:after="0"/>
              <w:rPr>
                <w:sz w:val="15"/>
                <w:szCs w:val="15"/>
                <w:color w:val="auto"/>
              </w:rPr>
            </w:pPr>
          </w:p>
        </w:tc>
        <w:tc>
          <w:tcPr>
            <w:tcW w:w="1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following such</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signatory of</w:t>
            </w:r>
          </w:p>
        </w:tc>
      </w:tr>
      <w:tr>
        <w:trPr>
          <w:trHeight w:val="180"/>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principal amount</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principal amount</w:t>
            </w:r>
          </w:p>
        </w:tc>
        <w:tc>
          <w:tcPr>
            <w:tcW w:w="80" w:type="dxa"/>
            <w:vAlign w:val="bottom"/>
          </w:tcPr>
          <w:p>
            <w:pPr>
              <w:spacing w:after="0"/>
              <w:rPr>
                <w:sz w:val="15"/>
                <w:szCs w:val="15"/>
                <w:color w:val="auto"/>
              </w:rPr>
            </w:pPr>
          </w:p>
        </w:tc>
        <w:tc>
          <w:tcPr>
            <w:tcW w:w="1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decrease or</w:t>
            </w:r>
          </w:p>
        </w:tc>
        <w:tc>
          <w:tcPr>
            <w:tcW w:w="10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Trustee or</w:t>
            </w:r>
          </w:p>
        </w:tc>
      </w:tr>
      <w:tr>
        <w:trPr>
          <w:trHeight w:val="193"/>
        </w:trPr>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Date of exchange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of this Global Note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of this Global Note</w:t>
            </w:r>
          </w:p>
        </w:tc>
        <w:tc>
          <w:tcPr>
            <w:tcW w:w="8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increase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Custodian</w:t>
            </w: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400"/>
        </w:trPr>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ind w:left="700" w:hanging="118"/>
        <w:spacing w:after="0" w:line="191" w:lineRule="auto"/>
        <w:tabs>
          <w:tab w:leader="none" w:pos="700" w:val="left"/>
        </w:tabs>
        <w:numPr>
          <w:ilvl w:val="0"/>
          <w:numId w:val="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3" w:right="680" w:bottom="1440" w:gutter="0" w:footer="0" w:header="0"/>
        </w:sectPr>
      </w:pPr>
    </w:p>
    <w:bookmarkStart w:id="115" w:name="page116"/>
    <w:bookmarkEnd w:id="115"/>
    <w:p>
      <w:pPr>
        <w:ind w:left="9300"/>
        <w:spacing w:after="0"/>
        <w:rPr>
          <w:sz w:val="20"/>
          <w:szCs w:val="20"/>
          <w:color w:val="auto"/>
        </w:rPr>
      </w:pPr>
      <w:r>
        <w:rPr>
          <w:rFonts w:ascii="Times New Roman" w:cs="Times New Roman" w:eastAsia="Times New Roman" w:hAnsi="Times New Roman"/>
          <w:sz w:val="14"/>
          <w:szCs w:val="14"/>
          <w:b w:val="1"/>
          <w:bCs w:val="1"/>
          <w:color w:val="auto"/>
        </w:rPr>
        <w:t>ATTACHMENT 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Trust Company, National Association</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5065 Wooster Road,</w:t>
      </w:r>
    </w:p>
    <w:p>
      <w:pPr>
        <w:ind w:left="300"/>
        <w:spacing w:after="0" w:line="234" w:lineRule="auto"/>
        <w:rPr>
          <w:sz w:val="20"/>
          <w:szCs w:val="20"/>
          <w:color w:val="auto"/>
        </w:rPr>
      </w:pPr>
      <w:r>
        <w:rPr>
          <w:rFonts w:ascii="Times New Roman" w:cs="Times New Roman" w:eastAsia="Times New Roman" w:hAnsi="Times New Roman"/>
          <w:sz w:val="16"/>
          <w:szCs w:val="16"/>
          <w:color w:val="auto"/>
        </w:rPr>
        <w:t>Cincinnati, OH 45226,</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Attention: J. Byrnes (Cohu, Inc. Administrator)</w:t>
      </w:r>
    </w:p>
    <w:p>
      <w:pPr>
        <w:spacing w:after="0" w:line="338"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16"/>
          <w:szCs w:val="16"/>
          <w:color w:val="auto"/>
        </w:rPr>
        <w:t>The undersigned registered owner of this Note hereby exercises the option to convert this Note, or the portion hereof (that is a minimum of $ 1,000 principal amount or an integral multiple thereof) below designated, into cash, shares of Common Stock or a combination of cash and shares of Common Stock, at the Company’s election,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5715</wp:posOffset>
            </wp:positionV>
            <wp:extent cx="46799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79950" cy="7620"/>
                    </a:xfrm>
                    <a:prstGeom prst="rect">
                      <a:avLst/>
                    </a:prstGeom>
                    <a:noFill/>
                  </pic:spPr>
                </pic:pic>
              </a:graphicData>
            </a:graphic>
          </wp:anchor>
        </w:drawing>
      </w:r>
    </w:p>
    <w:p>
      <w:pPr>
        <w:spacing w:after="0" w:line="36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-115570</wp:posOffset>
            </wp:positionV>
            <wp:extent cx="22790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3" w:right="68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26295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29535" cy="762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must be guaranteed by an eligible Guarantor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Institution (banks, stock brokers, savings and loan associations</w:t>
      </w:r>
    </w:p>
    <w:p>
      <w:pPr>
        <w:spacing w:after="0" w:line="234" w:lineRule="auto"/>
        <w:rPr>
          <w:sz w:val="20"/>
          <w:szCs w:val="20"/>
          <w:color w:val="auto"/>
        </w:rPr>
      </w:pPr>
      <w:r>
        <w:rPr>
          <w:rFonts w:ascii="Times New Roman" w:cs="Times New Roman" w:eastAsia="Times New Roman" w:hAnsi="Times New Roman"/>
          <w:sz w:val="16"/>
          <w:szCs w:val="16"/>
          <w:color w:val="auto"/>
        </w:rPr>
        <w:t>and credit unions) with membership in an approved signature</w:t>
      </w:r>
    </w:p>
    <w:p>
      <w:pPr>
        <w:spacing w:after="0" w:line="235" w:lineRule="auto"/>
        <w:rPr>
          <w:sz w:val="20"/>
          <w:szCs w:val="20"/>
          <w:color w:val="auto"/>
        </w:rPr>
      </w:pPr>
      <w:r>
        <w:rPr>
          <w:rFonts w:ascii="Times New Roman" w:cs="Times New Roman" w:eastAsia="Times New Roman" w:hAnsi="Times New Roman"/>
          <w:sz w:val="16"/>
          <w:szCs w:val="16"/>
          <w:color w:val="auto"/>
        </w:rPr>
        <w:t>guarantee medallion program pursuant to Securities and Exchange</w:t>
      </w:r>
    </w:p>
    <w:p>
      <w:pPr>
        <w:spacing w:after="0" w:line="235" w:lineRule="auto"/>
        <w:rPr>
          <w:sz w:val="20"/>
          <w:szCs w:val="20"/>
          <w:color w:val="auto"/>
        </w:rPr>
      </w:pPr>
      <w:r>
        <w:rPr>
          <w:rFonts w:ascii="Times New Roman" w:cs="Times New Roman" w:eastAsia="Times New Roman" w:hAnsi="Times New Roman"/>
          <w:sz w:val="16"/>
          <w:szCs w:val="16"/>
          <w:color w:val="auto"/>
        </w:rPr>
        <w:t>Commission Rule 17Ad-15 if shares of Common Stock are to be</w:t>
      </w:r>
    </w:p>
    <w:p>
      <w:pPr>
        <w:spacing w:after="0" w:line="235" w:lineRule="auto"/>
        <w:rPr>
          <w:sz w:val="20"/>
          <w:szCs w:val="20"/>
          <w:color w:val="auto"/>
        </w:rPr>
      </w:pPr>
      <w:r>
        <w:rPr>
          <w:rFonts w:ascii="Times New Roman" w:cs="Times New Roman" w:eastAsia="Times New Roman" w:hAnsi="Times New Roman"/>
          <w:sz w:val="16"/>
          <w:szCs w:val="16"/>
          <w:color w:val="auto"/>
        </w:rPr>
        <w:t>issued, or Notes are to be delivered, other than to and in the name</w:t>
      </w:r>
    </w:p>
    <w:p>
      <w:pPr>
        <w:spacing w:after="0"/>
        <w:rPr>
          <w:sz w:val="20"/>
          <w:szCs w:val="20"/>
          <w:color w:val="auto"/>
        </w:rPr>
      </w:pPr>
      <w:r>
        <w:rPr>
          <w:rFonts w:ascii="Times New Roman" w:cs="Times New Roman" w:eastAsia="Times New Roman" w:hAnsi="Times New Roman"/>
          <w:sz w:val="16"/>
          <w:szCs w:val="16"/>
          <w:color w:val="auto"/>
        </w:rPr>
        <w:t>of the registered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Fill in for registration of shares if to be issued, and Notes if to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delivered, other than to and in the name of the registered holder: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24847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24847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24847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Please print name and address</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Principal amount to be converted (if less than all): $______,000</w:t>
      </w:r>
    </w:p>
    <w:p>
      <w:pPr>
        <w:spacing w:after="0" w:line="176" w:lineRule="exact"/>
        <w:rPr>
          <w:sz w:val="20"/>
          <w:szCs w:val="20"/>
          <w:color w:val="auto"/>
        </w:rPr>
      </w:pPr>
    </w:p>
    <w:p>
      <w:pPr>
        <w:jc w:val="both"/>
        <w:ind w:left="4340"/>
        <w:spacing w:after="0" w:line="247"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3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-115570</wp:posOffset>
            </wp:positionV>
            <wp:extent cx="395605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1157" w:right="660" w:bottom="1440" w:gutter="0" w:footer="0" w:header="0"/>
        </w:sectPr>
      </w:pPr>
    </w:p>
    <w:bookmarkStart w:id="117" w:name="page118"/>
    <w:bookmarkEnd w:id="117"/>
    <w:p>
      <w:pPr>
        <w:ind w:left="9300"/>
        <w:spacing w:after="0"/>
        <w:rPr>
          <w:sz w:val="20"/>
          <w:szCs w:val="20"/>
          <w:color w:val="auto"/>
        </w:rPr>
      </w:pPr>
      <w:r>
        <w:rPr>
          <w:rFonts w:ascii="Times New Roman" w:cs="Times New Roman" w:eastAsia="Times New Roman" w:hAnsi="Times New Roman"/>
          <w:sz w:val="16"/>
          <w:szCs w:val="16"/>
          <w:b w:val="1"/>
          <w:bCs w:val="1"/>
          <w:color w:val="auto"/>
        </w:rPr>
        <w:t>ATTACHMENT 2</w:t>
      </w:r>
    </w:p>
    <w:p>
      <w:pPr>
        <w:spacing w:after="0" w:line="17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[FORM OF FUNDAMENTAL CHANGE REPURCHASE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Trust Company, National Association</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5065 Wooster Road,</w:t>
      </w:r>
    </w:p>
    <w:p>
      <w:pPr>
        <w:ind w:left="300"/>
        <w:spacing w:after="0" w:line="234" w:lineRule="auto"/>
        <w:rPr>
          <w:sz w:val="20"/>
          <w:szCs w:val="20"/>
          <w:color w:val="auto"/>
        </w:rPr>
      </w:pPr>
      <w:r>
        <w:rPr>
          <w:rFonts w:ascii="Times New Roman" w:cs="Times New Roman" w:eastAsia="Times New Roman" w:hAnsi="Times New Roman"/>
          <w:sz w:val="16"/>
          <w:szCs w:val="16"/>
          <w:color w:val="auto"/>
        </w:rPr>
        <w:t>Cincinnati, OH 45226,</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Attention: J. Byrnes (Cohu, Inc. Administrator)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576"/>
        <w:spacing w:after="0"/>
        <w:rPr>
          <w:sz w:val="20"/>
          <w:szCs w:val="20"/>
          <w:color w:val="auto"/>
        </w:rPr>
      </w:pPr>
      <w:r>
        <w:rPr>
          <w:rFonts w:ascii="Times New Roman" w:cs="Times New Roman" w:eastAsia="Times New Roman" w:hAnsi="Times New Roman"/>
          <w:sz w:val="16"/>
          <w:szCs w:val="16"/>
          <w:color w:val="auto"/>
        </w:rPr>
        <w:t>The undersigned registered owner of this Note hereby acknowledges receipt of a notice from Cohu,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a minimum of $ 1,000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 Capitalized terms used herein but not defined shall have the meanings ascribed to such terms in the Indenture.</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the case of Physical Notes, the certificate numbers of the Notes to be repurchased are as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08089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80895" cy="7620"/>
                    </a:xfrm>
                    <a:prstGeom prst="rect">
                      <a:avLst/>
                    </a:prstGeom>
                    <a:noFill/>
                  </pic:spPr>
                </pic:pic>
              </a:graphicData>
            </a:graphic>
          </wp:anchor>
        </w:drawing>
      </w:r>
    </w:p>
    <w:p>
      <w:pPr>
        <w:spacing w:after="0" w:line="3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-115570</wp:posOffset>
            </wp:positionV>
            <wp:extent cx="395605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-115570</wp:posOffset>
            </wp:positionV>
            <wp:extent cx="395605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Principal amount to be repaid (if less than all): $______,000</w:t>
      </w:r>
    </w:p>
    <w:p>
      <w:pPr>
        <w:spacing w:after="0" w:line="176" w:lineRule="exact"/>
        <w:rPr>
          <w:sz w:val="20"/>
          <w:szCs w:val="20"/>
          <w:color w:val="auto"/>
        </w:rPr>
      </w:pPr>
    </w:p>
    <w:p>
      <w:pPr>
        <w:ind w:left="4340" w:right="60"/>
        <w:spacing w:after="0" w:line="247"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3" w:right="640" w:bottom="1440" w:gutter="0" w:footer="0" w:header="0"/>
        </w:sectPr>
      </w:pPr>
    </w:p>
    <w:bookmarkStart w:id="118" w:name="page119"/>
    <w:bookmarkEnd w:id="118"/>
    <w:p>
      <w:pPr>
        <w:ind w:left="9300"/>
        <w:spacing w:after="0"/>
        <w:rPr>
          <w:sz w:val="20"/>
          <w:szCs w:val="20"/>
          <w:color w:val="auto"/>
        </w:rPr>
      </w:pPr>
      <w:r>
        <w:rPr>
          <w:rFonts w:ascii="Times New Roman" w:cs="Times New Roman" w:eastAsia="Times New Roman" w:hAnsi="Times New Roman"/>
          <w:sz w:val="14"/>
          <w:szCs w:val="14"/>
          <w:b w:val="1"/>
          <w:bCs w:val="1"/>
          <w:color w:val="auto"/>
        </w:rPr>
        <w:t>ATTACHMENT 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ASSIGNMENT AND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____________________________ hereby sell(s), assign(s) and transfer(s) unto _________________ (Please insert social security or Taxpayer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Identification Number of assignee) the within Note, and hereby irrevocably constitutes and appoints _____________________ attorney to transfer the said Note on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books of the Company, with full power of substitution in the premises.</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43" w:lineRule="exact"/>
        <w:rPr>
          <w:sz w:val="20"/>
          <w:szCs w:val="20"/>
          <w:color w:val="auto"/>
        </w:rPr>
      </w:pPr>
    </w:p>
    <w:p>
      <w:pPr>
        <w:ind w:left="540" w:hanging="534"/>
        <w:spacing w:after="0"/>
        <w:tabs>
          <w:tab w:leader="none" w:pos="540" w:val="left"/>
        </w:tabs>
        <w:numPr>
          <w:ilvl w:val="0"/>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Cohu, Inc. or a subsidiary thereof; or</w:t>
      </w:r>
    </w:p>
    <w:p>
      <w:pPr>
        <w:spacing w:after="0" w:line="176" w:lineRule="exact"/>
        <w:rPr>
          <w:rFonts w:ascii="MS PGothic" w:cs="MS PGothic" w:eastAsia="MS PGothic" w:hAnsi="MS PGothic"/>
          <w:sz w:val="16"/>
          <w:szCs w:val="16"/>
          <w:color w:val="auto"/>
        </w:rPr>
      </w:pPr>
    </w:p>
    <w:p>
      <w:pPr>
        <w:ind w:left="540" w:hanging="534"/>
        <w:spacing w:after="0"/>
        <w:tabs>
          <w:tab w:leader="none" w:pos="540" w:val="left"/>
        </w:tabs>
        <w:numPr>
          <w:ilvl w:val="0"/>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 registration statement that has become or been declared effective under the Securities Act of 1933, as amended; or</w:t>
      </w:r>
    </w:p>
    <w:p>
      <w:pPr>
        <w:spacing w:after="0" w:line="176" w:lineRule="exact"/>
        <w:rPr>
          <w:rFonts w:ascii="MS PGothic" w:cs="MS PGothic" w:eastAsia="MS PGothic" w:hAnsi="MS PGothic"/>
          <w:sz w:val="16"/>
          <w:szCs w:val="16"/>
          <w:color w:val="auto"/>
        </w:rPr>
      </w:pPr>
    </w:p>
    <w:p>
      <w:pPr>
        <w:ind w:left="580" w:hanging="574"/>
        <w:spacing w:after="0"/>
        <w:tabs>
          <w:tab w:leader="none" w:pos="580" w:val="left"/>
        </w:tabs>
        <w:numPr>
          <w:ilvl w:val="0"/>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144A under the Securities Act of 1933, as amended; or</w:t>
      </w:r>
    </w:p>
    <w:p>
      <w:pPr>
        <w:spacing w:after="0" w:line="176" w:lineRule="exact"/>
        <w:rPr>
          <w:rFonts w:ascii="MS PGothic" w:cs="MS PGothic" w:eastAsia="MS PGothic" w:hAnsi="MS PGothic"/>
          <w:sz w:val="16"/>
          <w:szCs w:val="16"/>
          <w:color w:val="auto"/>
        </w:rPr>
      </w:pPr>
    </w:p>
    <w:p>
      <w:pPr>
        <w:ind w:firstLine="6"/>
        <w:spacing w:after="0" w:line="259" w:lineRule="auto"/>
        <w:tabs>
          <w:tab w:leader="none" w:pos="516" w:val="left"/>
        </w:tabs>
        <w:numPr>
          <w:ilvl w:val="0"/>
          <w:numId w:val="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 under the Securities Act of 1933, as amended (if available), or any other available exemption from the registration requirements of the Securities Act of 1933, as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963" w:right="68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5715</wp:posOffset>
            </wp:positionV>
            <wp:extent cx="311721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1721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35750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750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5750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75050" cy="762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5750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75050" cy="7620"/>
                    </a:xfrm>
                    <a:prstGeom prst="rect">
                      <a:avLst/>
                    </a:prstGeom>
                    <a:noFill/>
                  </pic:spPr>
                </pic:pic>
              </a:graphicData>
            </a:graphic>
          </wp:anchor>
        </w:drawing>
      </w:r>
    </w:p>
    <w:p>
      <w:pPr>
        <w:spacing w:after="0" w:line="156" w:lineRule="exact"/>
        <w:rPr>
          <w:sz w:val="20"/>
          <w:szCs w:val="20"/>
          <w:color w:val="auto"/>
        </w:rPr>
      </w:pPr>
    </w:p>
    <w:p>
      <w:pPr>
        <w:ind w:right="4780"/>
        <w:spacing w:after="0" w:line="241" w:lineRule="auto"/>
        <w:rPr>
          <w:sz w:val="20"/>
          <w:szCs w:val="20"/>
          <w:color w:val="auto"/>
        </w:rPr>
      </w:pPr>
      <w:r>
        <w:rPr>
          <w:rFonts w:ascii="Times New Roman" w:cs="Times New Roman" w:eastAsia="Times New Roman" w:hAnsi="Times New Roman"/>
          <w:sz w:val="16"/>
          <w:szCs w:val="16"/>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NOTICE: The signature on the assignment must correspond with the name as written upon the face of the Note in every particular without alteration or enlargement or any change whatever.</w:t>
      </w: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420"/>
          </w:cols>
          <w:pgMar w:left="660" w:top="965" w:right="820" w:bottom="1440" w:gutter="0" w:footer="0" w:header="0"/>
        </w:sectPr>
      </w:pPr>
    </w:p>
    <w:bookmarkStart w:id="120" w:name="page121"/>
    <w:bookmarkEnd w:id="120"/>
    <w:p>
      <w:pPr>
        <w:ind w:left="976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[DEALER]</w:t>
      </w:r>
      <w:r>
        <w:rPr>
          <w:rFonts w:ascii="Times New Roman" w:cs="Times New Roman" w:eastAsia="Times New Roman" w:hAnsi="Times New Roman"/>
          <w:sz w:val="26"/>
          <w:szCs w:val="26"/>
          <w:color w:val="auto"/>
          <w:vertAlign w:val="superscript"/>
        </w:rPr>
        <w:t>1</w:t>
      </w:r>
    </w:p>
    <w:p>
      <w:pPr>
        <w:spacing w:after="0" w:line="234" w:lineRule="auto"/>
        <w:rPr>
          <w:sz w:val="20"/>
          <w:szCs w:val="20"/>
          <w:color w:val="auto"/>
        </w:rPr>
      </w:pPr>
      <w:r>
        <w:rPr>
          <w:rFonts w:ascii="Times New Roman" w:cs="Times New Roman" w:eastAsia="Times New Roman" w:hAnsi="Times New Roman"/>
          <w:sz w:val="16"/>
          <w:szCs w:val="16"/>
          <w:color w:val="auto"/>
        </w:rPr>
        <w:t>[ADDRESS]</w:t>
      </w:r>
    </w:p>
    <w:p>
      <w:pPr>
        <w:spacing w:after="0" w:line="235" w:lineRule="auto"/>
        <w:rPr>
          <w:sz w:val="20"/>
          <w:szCs w:val="20"/>
          <w:color w:val="auto"/>
        </w:rPr>
      </w:pPr>
      <w:r>
        <w:rPr>
          <w:rFonts w:ascii="Times New Roman" w:cs="Times New Roman" w:eastAsia="Times New Roman" w:hAnsi="Times New Roman"/>
          <w:sz w:val="16"/>
          <w:szCs w:val="16"/>
          <w:color w:val="auto"/>
        </w:rPr>
        <w:t>[ADDRESS]</w:t>
      </w:r>
    </w:p>
    <w:p>
      <w:pPr>
        <w:spacing w:after="0" w:line="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color w:val="auto"/>
        </w:rPr>
        <w:t>[__], 2025</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To:</w:t>
      </w:r>
      <w:r>
        <w:rPr>
          <w:sz w:val="20"/>
          <w:szCs w:val="20"/>
          <w:color w:val="auto"/>
        </w:rPr>
        <w:tab/>
      </w:r>
      <w:r>
        <w:rPr>
          <w:rFonts w:ascii="Times New Roman" w:cs="Times New Roman" w:eastAsia="Times New Roman" w:hAnsi="Times New Roman"/>
          <w:sz w:val="16"/>
          <w:szCs w:val="16"/>
          <w:color w:val="auto"/>
        </w:rPr>
        <w:t>Cohu, Inc.</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[ADDRESS]</w:t>
      </w:r>
    </w:p>
    <w:p>
      <w:pPr>
        <w:spacing w:after="0" w:line="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[ADDRESS]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[Base][Additional] Call Option Transaction</w:t>
      </w:r>
    </w:p>
    <w:p>
      <w:pPr>
        <w:spacing w:after="0" w:line="174"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6"/>
          <w:szCs w:val="16"/>
          <w:color w:val="auto"/>
        </w:rPr>
        <w:t>The purpose of this letter agreement (this “</w:t>
      </w:r>
      <w:r>
        <w:rPr>
          <w:rFonts w:ascii="Times New Roman" w:cs="Times New Roman" w:eastAsia="Times New Roman" w:hAnsi="Times New Roman"/>
          <w:sz w:val="16"/>
          <w:szCs w:val="16"/>
          <w:b w:val="1"/>
          <w:bCs w:val="1"/>
          <w:color w:val="auto"/>
        </w:rPr>
        <w:t>Confirmation</w:t>
      </w:r>
      <w:r>
        <w:rPr>
          <w:rFonts w:ascii="Times New Roman" w:cs="Times New Roman" w:eastAsia="Times New Roman" w:hAnsi="Times New Roman"/>
          <w:sz w:val="16"/>
          <w:szCs w:val="16"/>
          <w:color w:val="auto"/>
        </w:rPr>
        <w:t>”) is to confirm the terms and conditions of the call option transaction entered into between [DEALER] (“</w:t>
      </w:r>
      <w:r>
        <w:rPr>
          <w:rFonts w:ascii="Times New Roman" w:cs="Times New Roman" w:eastAsia="Times New Roman" w:hAnsi="Times New Roman"/>
          <w:sz w:val="16"/>
          <w:szCs w:val="16"/>
          <w:b w:val="1"/>
          <w:bCs w:val="1"/>
          <w:color w:val="auto"/>
        </w:rPr>
        <w:t>Dealer</w:t>
      </w:r>
      <w:r>
        <w:rPr>
          <w:rFonts w:ascii="Times New Roman" w:cs="Times New Roman" w:eastAsia="Times New Roman" w:hAnsi="Times New Roman"/>
          <w:sz w:val="16"/>
          <w:szCs w:val="16"/>
          <w:color w:val="auto"/>
        </w:rPr>
        <w:t>”) and [COUNTERPARTY](“</w:t>
      </w:r>
      <w:r>
        <w:rPr>
          <w:rFonts w:ascii="Times New Roman" w:cs="Times New Roman" w:eastAsia="Times New Roman" w:hAnsi="Times New Roman"/>
          <w:sz w:val="16"/>
          <w:szCs w:val="16"/>
          <w:b w:val="1"/>
          <w:bCs w:val="1"/>
          <w:color w:val="auto"/>
        </w:rPr>
        <w:t>Counterparty</w:t>
      </w:r>
      <w:r>
        <w:rPr>
          <w:rFonts w:ascii="Times New Roman" w:cs="Times New Roman" w:eastAsia="Times New Roman" w:hAnsi="Times New Roman"/>
          <w:sz w:val="16"/>
          <w:szCs w:val="16"/>
          <w:color w:val="auto"/>
        </w:rPr>
        <w:t>”) as of the Trade Date specified below (the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This letter agreement constitutes a “Confirmation” as referred to in the ISDA Master Agreement specified below. Each party further agrees that this Confirmation together with the Agreement (as defined below)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57" w:lineRule="exact"/>
        <w:rPr>
          <w:sz w:val="20"/>
          <w:szCs w:val="20"/>
          <w:color w:val="auto"/>
        </w:rPr>
      </w:pPr>
    </w:p>
    <w:p>
      <w:pPr>
        <w:jc w:val="both"/>
        <w:ind w:right="20" w:firstLine="576"/>
        <w:spacing w:after="0" w:line="273" w:lineRule="auto"/>
        <w:rPr>
          <w:sz w:val="20"/>
          <w:szCs w:val="20"/>
          <w:color w:val="auto"/>
        </w:rPr>
      </w:pPr>
      <w:r>
        <w:rPr>
          <w:rFonts w:ascii="Times New Roman" w:cs="Times New Roman" w:eastAsia="Times New Roman" w:hAnsi="Times New Roman"/>
          <w:sz w:val="14"/>
          <w:szCs w:val="14"/>
          <w:color w:val="auto"/>
        </w:rPr>
        <w:t>The definitions and provisions contained in the 2002 ISDA Equity Derivatives Definitions (the “</w:t>
      </w:r>
      <w:r>
        <w:rPr>
          <w:rFonts w:ascii="Times New Roman" w:cs="Times New Roman" w:eastAsia="Times New Roman" w:hAnsi="Times New Roman"/>
          <w:sz w:val="14"/>
          <w:szCs w:val="14"/>
          <w:b w:val="1"/>
          <w:bCs w:val="1"/>
          <w:color w:val="auto"/>
        </w:rPr>
        <w:t>Equity Definitions</w:t>
      </w:r>
      <w:r>
        <w:rPr>
          <w:rFonts w:ascii="Times New Roman" w:cs="Times New Roman" w:eastAsia="Times New Roman" w:hAnsi="Times New Roman"/>
          <w:sz w:val="14"/>
          <w:szCs w:val="14"/>
          <w:color w:val="auto"/>
        </w:rPr>
        <w:t xml:space="preserve"> ”), as published by the International Swaps and Derivatives Association, Inc. (“</w:t>
      </w:r>
      <w:r>
        <w:rPr>
          <w:rFonts w:ascii="Times New Roman" w:cs="Times New Roman" w:eastAsia="Times New Roman" w:hAnsi="Times New Roman"/>
          <w:sz w:val="14"/>
          <w:szCs w:val="14"/>
          <w:b w:val="1"/>
          <w:bCs w:val="1"/>
          <w:color w:val="auto"/>
        </w:rPr>
        <w:t>ISDA</w:t>
      </w:r>
      <w:r>
        <w:rPr>
          <w:rFonts w:ascii="Times New Roman" w:cs="Times New Roman" w:eastAsia="Times New Roman" w:hAnsi="Times New Roman"/>
          <w:sz w:val="14"/>
          <w:szCs w:val="14"/>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[__ ], 2025 (the “</w:t>
      </w:r>
      <w:r>
        <w:rPr>
          <w:rFonts w:ascii="Times New Roman" w:cs="Times New Roman" w:eastAsia="Times New Roman" w:hAnsi="Times New Roman"/>
          <w:sz w:val="14"/>
          <w:szCs w:val="14"/>
          <w:b w:val="1"/>
          <w:bCs w:val="1"/>
          <w:color w:val="auto"/>
        </w:rPr>
        <w:t>Offering Memorandum</w:t>
      </w:r>
      <w:r>
        <w:rPr>
          <w:rFonts w:ascii="Times New Roman" w:cs="Times New Roman" w:eastAsia="Times New Roman" w:hAnsi="Times New Roman"/>
          <w:sz w:val="14"/>
          <w:szCs w:val="14"/>
          <w:color w:val="auto"/>
        </w:rPr>
        <w:t>”) relating to the [__]% Convertible Senior Notes due [ ] (as originally issued by Counterparty, the “</w:t>
      </w:r>
      <w:r>
        <w:rPr>
          <w:rFonts w:ascii="Times New Roman" w:cs="Times New Roman" w:eastAsia="Times New Roman" w:hAnsi="Times New Roman"/>
          <w:sz w:val="14"/>
          <w:szCs w:val="14"/>
          <w:b w:val="1"/>
          <w:bCs w:val="1"/>
          <w:color w:val="auto"/>
        </w:rPr>
        <w:t>Convertible Notes</w:t>
      </w:r>
      <w:r>
        <w:rPr>
          <w:rFonts w:ascii="Times New Roman" w:cs="Times New Roman" w:eastAsia="Times New Roman" w:hAnsi="Times New Roman"/>
          <w:sz w:val="14"/>
          <w:szCs w:val="14"/>
          <w:color w:val="auto"/>
        </w:rPr>
        <w:t>” and each USD 1,000 principal amount of Convertible Notes, a “</w:t>
      </w:r>
      <w:r>
        <w:rPr>
          <w:rFonts w:ascii="Times New Roman" w:cs="Times New Roman" w:eastAsia="Times New Roman" w:hAnsi="Times New Roman"/>
          <w:sz w:val="14"/>
          <w:szCs w:val="14"/>
          <w:b w:val="1"/>
          <w:bCs w:val="1"/>
          <w:color w:val="auto"/>
        </w:rPr>
        <w:t>Convertible Note</w:t>
      </w:r>
      <w:r>
        <w:rPr>
          <w:rFonts w:ascii="Times New Roman" w:cs="Times New Roman" w:eastAsia="Times New Roman" w:hAnsi="Times New Roman"/>
          <w:sz w:val="14"/>
          <w:szCs w:val="14"/>
          <w:color w:val="auto"/>
        </w:rPr>
        <w:t>”) issued by Counterparty in an aggregate initial principal amount of USD [__________] (as increased by</w:t>
      </w:r>
    </w:p>
    <w:p>
      <w:pPr>
        <w:spacing w:after="0" w:line="180" w:lineRule="auto"/>
        <w:rPr>
          <w:sz w:val="20"/>
          <w:szCs w:val="20"/>
          <w:color w:val="auto"/>
        </w:rPr>
      </w:pPr>
      <w:r>
        <w:rPr>
          <w:rFonts w:ascii="Times New Roman" w:cs="Times New Roman" w:eastAsia="Times New Roman" w:hAnsi="Times New Roman"/>
          <w:sz w:val="13"/>
          <w:szCs w:val="13"/>
          <w:color w:val="auto"/>
        </w:rPr>
        <w:t>[up to]</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3"/>
          <w:szCs w:val="13"/>
          <w:color w:val="auto"/>
        </w:rPr>
        <w:t xml:space="preserve"> an aggregate principal amount of USD [__________] [if and to the extent that]</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[pursuant to the exercise by]</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3"/>
          <w:szCs w:val="13"/>
          <w:color w:val="auto"/>
        </w:rPr>
        <w:t xml:space="preserve"> the Initial Purchasers (as defined herein)</w:t>
      </w:r>
    </w:p>
    <w:p>
      <w:pPr>
        <w:spacing w:after="0" w:line="1" w:lineRule="exact"/>
        <w:rPr>
          <w:sz w:val="20"/>
          <w:szCs w:val="20"/>
          <w:color w:val="auto"/>
        </w:rPr>
      </w:pPr>
    </w:p>
    <w:p>
      <w:pPr>
        <w:jc w:val="both"/>
        <w:ind w:right="20"/>
        <w:spacing w:after="0" w:line="180" w:lineRule="auto"/>
        <w:rPr>
          <w:sz w:val="20"/>
          <w:szCs w:val="20"/>
          <w:color w:val="auto"/>
        </w:rPr>
      </w:pPr>
      <w:r>
        <w:rPr>
          <w:rFonts w:ascii="Times New Roman" w:cs="Times New Roman" w:eastAsia="Times New Roman" w:hAnsi="Times New Roman"/>
          <w:sz w:val="16"/>
          <w:szCs w:val="16"/>
          <w:color w:val="auto"/>
        </w:rPr>
        <w:t>[exercise]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 xml:space="preserve"> [of]</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their option to purchase additional Convertible Notes pursuant to the Purchase Agreement (as defined herein)) pursuant to an Indenture [to be]</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xml:space="preserve"> dated [__], 2025 between Counterparty and [__________], as trustee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In the event of any inconsistency between the terms defined in the Offering</w:t>
      </w:r>
    </w:p>
    <w:p>
      <w:pPr>
        <w:jc w:val="both"/>
        <w:ind w:right="20"/>
        <w:spacing w:after="0" w:line="203" w:lineRule="auto"/>
        <w:rPr>
          <w:sz w:val="20"/>
          <w:szCs w:val="20"/>
          <w:color w:val="auto"/>
        </w:rPr>
      </w:pPr>
      <w:r>
        <w:rPr>
          <w:rFonts w:ascii="Times New Roman" w:cs="Times New Roman" w:eastAsia="Times New Roman" w:hAnsi="Times New Roman"/>
          <w:sz w:val="16"/>
          <w:szCs w:val="16"/>
          <w:color w:val="auto"/>
        </w:rPr>
        <w:t>Memorandum,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[Indenture as executed]</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[10.01(h)]</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of the Indenture that, as determined by the Calculation Agent, conforms the Indenture to the description of Convertible Notes in the Offering Memorandum or (y) pursuant to Section [14.07]</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6"/>
          <w:szCs w:val="16"/>
          <w:color w:val="auto"/>
        </w:rPr>
        <w:t xml:space="preserve"> of the Indenture, subject, in the case of this clause (y), to the second paragraph under “Method of Adjustment” in Section 3), any such amendment or supplement will be disregarded for purposes of this Confirmation (other than as provided in Section 9(i)(iii) below) unless the parties agree otherwise in writing. For the purposes of the Equity Definitions, the Transaction shall be deemed to be a Share Option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256540</wp:posOffset>
            </wp:positionV>
            <wp:extent cx="6705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0" w:lineRule="exact"/>
        <w:rPr>
          <w:sz w:val="20"/>
          <w:szCs w:val="20"/>
          <w:color w:val="auto"/>
        </w:rPr>
      </w:pPr>
    </w:p>
    <w:p>
      <w:pPr>
        <w:ind w:left="100" w:hanging="94"/>
        <w:spacing w:after="0"/>
        <w:tabs>
          <w:tab w:leader="none" w:pos="100"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 Dealer name, address and, if applicable, logo.</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Include in the Base Call Option Confirmation.</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Include in the Base Call Option Confirmation.</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Include in the Additional Call Option Confirmation.</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Include in the Base Call Option Confirmation.</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Include in the Additional Call Option Confirmation.</w:t>
      </w:r>
    </w:p>
    <w:p>
      <w:pPr>
        <w:spacing w:after="0" w:line="18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2"/>
          <w:szCs w:val="12"/>
          <w:color w:val="auto"/>
        </w:rPr>
        <w:t xml:space="preserve"> Insert if Indenture is not completed at the time of the Confirmation.</w:t>
      </w:r>
    </w:p>
    <w:p>
      <w:pPr>
        <w:jc w:val="both"/>
        <w:ind w:right="2060"/>
        <w:spacing w:after="0" w:line="19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4"/>
          <w:szCs w:val="14"/>
          <w:color w:val="auto"/>
        </w:rPr>
        <w:t xml:space="preserve"> Include in the Base Call Option Confirmation. Include in the Additional Call Option Confirmation if it is executed before closing of the base deal. </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4"/>
          <w:szCs w:val="14"/>
          <w:color w:val="auto"/>
        </w:rPr>
        <w:t xml:space="preserve"> Include in the Additional Call Option Confirmation, but only if the Additional Call Option Confirmation is executed after closing of the base deal. </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4"/>
          <w:szCs w:val="14"/>
          <w:color w:val="auto"/>
        </w:rPr>
        <w:t xml:space="preserve"> Include cross-reference to Indenture section permitting amendments without holder consent to conform the Indenture to the Description of Notes. </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4"/>
          <w:szCs w:val="14"/>
          <w:color w:val="auto"/>
        </w:rPr>
        <w:t xml:space="preserve"> Include cross-reference to Indenture section governing common stock change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670750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21" w:name="page122"/>
    <w:bookmarkEnd w:id="121"/>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52" w:lineRule="exact"/>
        <w:rPr>
          <w:sz w:val="20"/>
          <w:szCs w:val="20"/>
          <w:color w:val="auto"/>
        </w:rPr>
      </w:pPr>
    </w:p>
    <w:p>
      <w:pPr>
        <w:jc w:val="both"/>
        <w:ind w:firstLine="6"/>
        <w:spacing w:after="0" w:line="182" w:lineRule="exact"/>
        <w:tabs>
          <w:tab w:leader="none" w:pos="94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ISDA 2002 Master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as if Dealer and Counterparty had executed an agreement in such form (but without any Schedule except for (i) the election of the laws of the State of New York as the governing law (without reference to choice of law doctrine (other than Sections 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1401 and 5-1402 of the General Obligations Law)), (ii) in respect of Section 5(a)(vi) of the Agreement, the election that the “Cross Default” provisions shall apply to Dealer with (a) a “Threshold Amount” with respect to Dealer of three percent of the shareholders’ equity of [Dealer][[ </w:t>
      </w:r>
      <w:r>
        <w:rPr>
          <w:rFonts w:ascii="Times New Roman" w:cs="Times New Roman" w:eastAsia="Times New Roman" w:hAnsi="Times New Roman"/>
          <w:sz w:val="16"/>
          <w:szCs w:val="16"/>
          <w:i w:val="1"/>
          <w:iCs w:val="1"/>
          <w:color w:val="auto"/>
        </w:rPr>
        <w:t>Dealer Parent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Dealer Parent</w:t>
      </w:r>
      <w:r>
        <w:rPr>
          <w:rFonts w:ascii="Times New Roman" w:cs="Times New Roman" w:eastAsia="Times New Roman" w:hAnsi="Times New Roman"/>
          <w:sz w:val="16"/>
          <w:szCs w:val="16"/>
          <w:color w:val="auto"/>
        </w:rPr>
        <w: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(iii) the modification that the term “Specified Indebtedness” shall have the meaning specified in Section 14 of the Agreement, except that such term shall not include obligations in respect of deposits received in the ordinary course of a party’s banking business, and (iv)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5(a)(vii) of the Agreement) shall not apply to a payment or delivery owing by Dealer to Counterparty) on the Trade Date.</w:t>
      </w:r>
    </w:p>
    <w:p>
      <w:pPr>
        <w:spacing w:after="0" w:line="205" w:lineRule="exact"/>
        <w:rPr>
          <w:sz w:val="20"/>
          <w:szCs w:val="20"/>
          <w:color w:val="auto"/>
        </w:rPr>
      </w:pPr>
    </w:p>
    <w:p>
      <w:pPr>
        <w:jc w:val="both"/>
        <w:ind w:right="40" w:firstLine="576"/>
        <w:spacing w:after="0" w:line="238" w:lineRule="auto"/>
        <w:rPr>
          <w:sz w:val="20"/>
          <w:szCs w:val="20"/>
          <w:color w:val="auto"/>
        </w:rPr>
      </w:pPr>
      <w:r>
        <w:rPr>
          <w:rFonts w:ascii="Times New Roman" w:cs="Times New Roman" w:eastAsia="Times New Roman" w:hAnsi="Times New Roman"/>
          <w:sz w:val="16"/>
          <w:szCs w:val="16"/>
          <w:color w:val="auto"/>
        </w:rPr>
        <w:t>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constitute a “Transaction” or “Specified Transaction” as defined in any such existing or deemed to be existing ISDA Master Agreement between Dealer and Counterparty, and the occurrence of an Event of Default, Termination Event or other event under this Transaction shall not, by itself, give rise to any right or obligation under any other ISDA Master Agreement or other agreement or deemed agreement.</w:t>
      </w:r>
    </w:p>
    <w:p>
      <w:pPr>
        <w:spacing w:after="0" w:line="161" w:lineRule="exact"/>
        <w:rPr>
          <w:sz w:val="20"/>
          <w:szCs w:val="20"/>
          <w:color w:val="auto"/>
        </w:rPr>
      </w:pPr>
    </w:p>
    <w:p>
      <w:pPr>
        <w:ind w:left="640" w:hanging="634"/>
        <w:spacing w:after="0"/>
        <w:tabs>
          <w:tab w:leader="none" w:pos="6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particular Transaction to which this Confirmation relates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General Terms</w:t>
            </w:r>
            <w:r>
              <w:rPr>
                <w:rFonts w:ascii="Times New Roman" w:cs="Times New Roman" w:eastAsia="Times New Roman" w:hAnsi="Times New Roman"/>
                <w:sz w:val="16"/>
                <w:szCs w:val="16"/>
                <w:color w:val="auto"/>
              </w:rPr>
              <w:t>.</w:t>
            </w: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Trade Date:</w:t>
            </w:r>
          </w:p>
        </w:tc>
        <w:tc>
          <w:tcPr>
            <w:tcW w:w="63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[__], 2025</w:t>
            </w:r>
          </w:p>
        </w:tc>
        <w:tc>
          <w:tcPr>
            <w:tcW w:w="20" w:type="dxa"/>
            <w:vAlign w:val="bottom"/>
          </w:tcPr>
          <w:p>
            <w:pPr>
              <w:spacing w:after="0"/>
              <w:rPr>
                <w:sz w:val="24"/>
                <w:szCs w:val="24"/>
                <w:color w:val="auto"/>
              </w:rPr>
            </w:pPr>
          </w:p>
        </w:tc>
      </w:tr>
      <w:tr>
        <w:trPr>
          <w:trHeight w:val="337"/>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Effective Date:</w:t>
            </w:r>
          </w:p>
        </w:tc>
        <w:tc>
          <w:tcPr>
            <w:tcW w:w="63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6"/>
              </w:rPr>
              <w:t>The closing date of the [initial]</w:t>
            </w:r>
            <w:r>
              <w:rPr>
                <w:rFonts w:ascii="Times New Roman" w:cs="Times New Roman" w:eastAsia="Times New Roman" w:hAnsi="Times New Roman"/>
                <w:sz w:val="26"/>
                <w:szCs w:val="26"/>
                <w:color w:val="auto"/>
                <w:w w:val="96"/>
                <w:vertAlign w:val="superscript"/>
              </w:rPr>
              <w:t>12</w:t>
            </w:r>
            <w:r>
              <w:rPr>
                <w:rFonts w:ascii="Times New Roman" w:cs="Times New Roman" w:eastAsia="Times New Roman" w:hAnsi="Times New Roman"/>
                <w:sz w:val="16"/>
                <w:szCs w:val="16"/>
                <w:color w:val="auto"/>
                <w:w w:val="96"/>
              </w:rPr>
              <w:t xml:space="preserve"> issuance of the Convertible Notes [issued pursuant</w:t>
            </w:r>
          </w:p>
        </w:tc>
      </w:tr>
      <w:tr>
        <w:trPr>
          <w:trHeight w:val="180"/>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38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to the option to purchase additional Convertible Notes exercised on the date</w:t>
            </w:r>
          </w:p>
        </w:tc>
      </w:tr>
      <w:tr>
        <w:trPr>
          <w:trHeight w:val="349"/>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38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hereof]</w:t>
            </w:r>
            <w:r>
              <w:rPr>
                <w:rFonts w:ascii="Times New Roman" w:cs="Times New Roman" w:eastAsia="Times New Roman" w:hAnsi="Times New Roman"/>
                <w:sz w:val="26"/>
                <w:szCs w:val="26"/>
                <w:color w:val="auto"/>
                <w:vertAlign w:val="superscript"/>
              </w:rPr>
              <w:t>13</w:t>
            </w:r>
          </w:p>
        </w:tc>
      </w:tr>
      <w:tr>
        <w:trPr>
          <w:trHeight w:val="252"/>
        </w:trPr>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12</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Include in the Base Call Option Confirmation.</w:t>
            </w:r>
          </w:p>
        </w:tc>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8"/>
        </w:trPr>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13</w:t>
            </w: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Include in the Additional Call Option Confirmation.</w:t>
            </w: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2"/>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3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r>
      <w:tr>
        <w:trPr>
          <w:trHeight w:val="90"/>
        </w:trPr>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600"/>
          </w:cols>
          <w:pgMar w:left="660" w:top="965" w:right="640" w:bottom="1440" w:gutter="0" w:footer="0" w:header="0"/>
        </w:sectPr>
      </w:pPr>
    </w:p>
    <w:bookmarkStart w:id="122" w:name="page123"/>
    <w:bookmarkEnd w:id="122"/>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Option Style: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“Modified American”, as described under “Procedures for Exercise” below</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Option Type: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Call</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Buyer:</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Counterparty</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Seller:</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Dealer</w:t>
            </w:r>
          </w:p>
        </w:tc>
      </w:tr>
      <w:tr>
        <w:trPr>
          <w:trHeight w:val="337"/>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Shares:</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The common stock of Counterparty, par value USD 1.00 per share (Exchange</w:t>
            </w:r>
          </w:p>
        </w:tc>
      </w:tr>
      <w:tr>
        <w:trPr>
          <w:trHeight w:val="203"/>
        </w:trPr>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symbol “COHU”).</w:t>
            </w:r>
          </w:p>
        </w:tc>
      </w:tr>
      <w:tr>
        <w:trPr>
          <w:trHeight w:val="337"/>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Number of Options:</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w w:val="99"/>
              </w:rPr>
              <w:t>[_______]</w:t>
            </w:r>
            <w:r>
              <w:rPr>
                <w:rFonts w:ascii="Times New Roman" w:cs="Times New Roman" w:eastAsia="Times New Roman" w:hAnsi="Times New Roman"/>
                <w:sz w:val="26"/>
                <w:szCs w:val="26"/>
                <w:color w:val="auto"/>
                <w:w w:val="99"/>
                <w:vertAlign w:val="superscript"/>
              </w:rPr>
              <w:t>14</w:t>
            </w:r>
            <w:r>
              <w:rPr>
                <w:rFonts w:ascii="Times New Roman" w:cs="Times New Roman" w:eastAsia="Times New Roman" w:hAnsi="Times New Roman"/>
                <w:sz w:val="16"/>
                <w:szCs w:val="16"/>
                <w:color w:val="auto"/>
                <w:w w:val="99"/>
              </w:rPr>
              <w:t>. For the avoidance of doubt, the Number of Options shall be reduced</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w w:val="99"/>
              </w:rPr>
              <w:t>by any Options exercised by Counterparty. In no event will the Number of Options</w:t>
            </w:r>
          </w:p>
        </w:tc>
      </w:tr>
      <w:tr>
        <w:trPr>
          <w:trHeight w:val="203"/>
        </w:trPr>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be less than zero.</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Applicable Percentage: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[__]%</w:t>
            </w:r>
          </w:p>
        </w:tc>
      </w:tr>
      <w:tr>
        <w:trPr>
          <w:trHeight w:val="507"/>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Option Entitlement:</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 number equal to the product of the Applicable Percentage and [______]</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6"/>
                <w:szCs w:val="16"/>
                <w:color w:val="auto"/>
              </w:rPr>
              <w:t>.</w:t>
            </w:r>
          </w:p>
        </w:tc>
      </w:tr>
      <w:tr>
        <w:trPr>
          <w:trHeight w:val="214"/>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Strike Price: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USD [______]</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Cap Price: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USD [______]</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Premium:</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USD [______]</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Premium Payment Date: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The Effective Date</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Exchange:</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60"/>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Related Exchange(s):</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All Exchanges</w:t>
            </w:r>
          </w:p>
        </w:tc>
      </w:tr>
      <w:tr>
        <w:trPr>
          <w:trHeight w:val="507"/>
        </w:trPr>
        <w:tc>
          <w:tcPr>
            <w:tcW w:w="33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Excluded Provisions:</w:t>
            </w: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 xml:space="preserve">Section [14.04(g)] </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6"/>
                <w:szCs w:val="16"/>
                <w:color w:val="auto"/>
              </w:rPr>
              <w:t xml:space="preserve"> and Section [14.03] </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6"/>
                <w:szCs w:val="16"/>
                <w:color w:val="auto"/>
              </w:rPr>
              <w:t xml:space="preserve"> of the Indenture.</w:t>
            </w:r>
          </w:p>
        </w:tc>
      </w:tr>
      <w:tr>
        <w:trPr>
          <w:trHeight w:val="180"/>
        </w:trPr>
        <w:tc>
          <w:tcPr>
            <w:tcW w:w="33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Procedures for Exercise</w:t>
            </w:r>
            <w:r>
              <w:rPr>
                <w:rFonts w:ascii="Times New Roman" w:cs="Times New Roman" w:eastAsia="Times New Roman" w:hAnsi="Times New Roman"/>
                <w:sz w:val="16"/>
                <w:szCs w:val="16"/>
                <w:color w:val="auto"/>
              </w:rPr>
              <w:t>.</w:t>
            </w:r>
          </w:p>
        </w:tc>
        <w:tc>
          <w:tcPr>
            <w:tcW w:w="6700" w:type="dxa"/>
            <w:vAlign w:val="bottom"/>
          </w:tcPr>
          <w:p>
            <w:pPr>
              <w:spacing w:after="0"/>
              <w:rPr>
                <w:sz w:val="15"/>
                <w:szCs w:val="15"/>
                <w:color w:val="auto"/>
              </w:rPr>
            </w:pPr>
          </w:p>
        </w:tc>
      </w:tr>
      <w:tr>
        <w:trPr>
          <w:trHeight w:val="351"/>
        </w:trPr>
        <w:tc>
          <w:tcPr>
            <w:tcW w:w="15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Conversion Date:</w:t>
            </w:r>
          </w:p>
        </w:tc>
        <w:tc>
          <w:tcPr>
            <w:tcW w:w="1780" w:type="dxa"/>
            <w:vAlign w:val="bottom"/>
          </w:tcPr>
          <w:p>
            <w:pPr>
              <w:spacing w:after="0"/>
              <w:rPr>
                <w:sz w:val="24"/>
                <w:szCs w:val="24"/>
                <w:color w:val="auto"/>
              </w:rPr>
            </w:pP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w w:val="97"/>
              </w:rPr>
              <w:t>With respect to any conversion of a Convertible Note (other than (x) any conversion</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of  Convertible  Notes  with  a  Conversion  Date  occurring  prior  to  the  Free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w w:val="98"/>
              </w:rPr>
              <w:t>Convertibility Date or (y) any conversion of a Convertible Note in respect of which</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the “Holder” (as such term is defined in the Indenture) of such Convertible Note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w w:val="97"/>
              </w:rPr>
              <w:t>would be entitled to an increase in the “Conversion Rate” (as such term is defined in</w:t>
            </w:r>
          </w:p>
        </w:tc>
      </w:tr>
      <w:tr>
        <w:trPr>
          <w:trHeight w:val="178"/>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78" w:lineRule="exact"/>
              <w:rPr>
                <w:sz w:val="20"/>
                <w:szCs w:val="20"/>
                <w:color w:val="auto"/>
              </w:rPr>
            </w:pPr>
            <w:r>
              <w:rPr>
                <w:rFonts w:ascii="Times New Roman" w:cs="Times New Roman" w:eastAsia="Times New Roman" w:hAnsi="Times New Roman"/>
                <w:sz w:val="16"/>
                <w:szCs w:val="16"/>
                <w:color w:val="auto"/>
              </w:rPr>
              <w:t>the Indenture) pursuant Section [14.03] of the Indenture (any such conversion</w:t>
            </w:r>
          </w:p>
        </w:tc>
      </w:tr>
      <w:tr>
        <w:trPr>
          <w:trHeight w:val="182"/>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2" w:lineRule="exact"/>
              <w:rPr>
                <w:sz w:val="20"/>
                <w:szCs w:val="20"/>
                <w:color w:val="auto"/>
              </w:rPr>
            </w:pPr>
            <w:r>
              <w:rPr>
                <w:rFonts w:ascii="Times New Roman" w:cs="Times New Roman" w:eastAsia="Times New Roman" w:hAnsi="Times New Roman"/>
                <w:sz w:val="16"/>
                <w:szCs w:val="16"/>
                <w:color w:val="auto"/>
              </w:rPr>
              <w:t>described in clause (x) or clause (y), an “</w:t>
            </w:r>
            <w:r>
              <w:rPr>
                <w:rFonts w:ascii="Times New Roman" w:cs="Times New Roman" w:eastAsia="Times New Roman" w:hAnsi="Times New Roman"/>
                <w:sz w:val="16"/>
                <w:szCs w:val="16"/>
                <w:b w:val="1"/>
                <w:bCs w:val="1"/>
                <w:color w:val="auto"/>
              </w:rPr>
              <w:t>Early Conversion</w:t>
            </w:r>
            <w:r>
              <w:rPr>
                <w:rFonts w:ascii="Times New Roman" w:cs="Times New Roman" w:eastAsia="Times New Roman" w:hAnsi="Times New Roman"/>
                <w:sz w:val="16"/>
                <w:szCs w:val="16"/>
                <w:color w:val="auto"/>
              </w:rPr>
              <w:t>”), to which the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w w:val="98"/>
              </w:rPr>
              <w:t>provisions of Section 9(i)(i) of this Confirmation shall apply), the date on which the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“Holder” (as such term is defined in the Indenture) of such Convertible Note</w:t>
            </w:r>
          </w:p>
        </w:tc>
      </w:tr>
      <w:tr>
        <w:trPr>
          <w:trHeight w:val="178"/>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78" w:lineRule="exact"/>
              <w:rPr>
                <w:sz w:val="20"/>
                <w:szCs w:val="20"/>
                <w:color w:val="auto"/>
              </w:rPr>
            </w:pPr>
            <w:r>
              <w:rPr>
                <w:rFonts w:ascii="Times New Roman" w:cs="Times New Roman" w:eastAsia="Times New Roman" w:hAnsi="Times New Roman"/>
                <w:sz w:val="16"/>
                <w:szCs w:val="16"/>
                <w:color w:val="auto"/>
              </w:rPr>
              <w:t>satisfies all of the requirements for conversion thereof as set forth in Section</w:t>
            </w:r>
          </w:p>
        </w:tc>
      </w:tr>
      <w:tr>
        <w:trPr>
          <w:trHeight w:val="182"/>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2" w:lineRule="exact"/>
              <w:rPr>
                <w:sz w:val="20"/>
                <w:szCs w:val="20"/>
                <w:color w:val="auto"/>
              </w:rPr>
            </w:pPr>
            <w:r>
              <w:rPr>
                <w:rFonts w:ascii="Times New Roman" w:cs="Times New Roman" w:eastAsia="Times New Roman" w:hAnsi="Times New Roman"/>
                <w:sz w:val="13"/>
                <w:szCs w:val="13"/>
                <w:color w:val="auto"/>
              </w:rPr>
              <w:t>[14.02(b)]</w:t>
            </w:r>
            <w:r>
              <w:rPr>
                <w:rFonts w:ascii="Times New Roman" w:cs="Times New Roman" w:eastAsia="Times New Roman" w:hAnsi="Times New Roman"/>
                <w:sz w:val="21"/>
                <w:szCs w:val="21"/>
                <w:color w:val="auto"/>
                <w:vertAlign w:val="superscript"/>
              </w:rPr>
              <w:t>19</w:t>
            </w:r>
            <w:r>
              <w:rPr>
                <w:rFonts w:ascii="Times New Roman" w:cs="Times New Roman" w:eastAsia="Times New Roman" w:hAnsi="Times New Roman"/>
                <w:sz w:val="13"/>
                <w:szCs w:val="13"/>
                <w:color w:val="auto"/>
              </w:rPr>
              <w:t xml:space="preserve"> of the Indenture;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if Counterparty has not delivered to</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Dealer a related Notice of Exercise, then in no event shall a Conversion Date be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deemed to occur hereunder (and no Option shall be exercised or deemed to be</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exercised hereunder) with respect to any surrender of a Convertible Note for</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rPr>
              <w:t>conversion in respect of which Counterparty has elected to designate a financial</w:t>
            </w:r>
          </w:p>
        </w:tc>
      </w:tr>
      <w:tr>
        <w:trPr>
          <w:trHeight w:val="180"/>
        </w:trPr>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700" w:type="dxa"/>
            <w:vAlign w:val="bottom"/>
          </w:tcPr>
          <w:p>
            <w:pPr>
              <w:ind w:left="1400"/>
              <w:spacing w:after="0" w:line="180" w:lineRule="exact"/>
              <w:rPr>
                <w:sz w:val="20"/>
                <w:szCs w:val="20"/>
                <w:color w:val="auto"/>
              </w:rPr>
            </w:pPr>
            <w:r>
              <w:rPr>
                <w:rFonts w:ascii="Times New Roman" w:cs="Times New Roman" w:eastAsia="Times New Roman" w:hAnsi="Times New Roman"/>
                <w:sz w:val="16"/>
                <w:szCs w:val="16"/>
                <w:color w:val="auto"/>
                <w:w w:val="99"/>
              </w:rPr>
              <w:t>institution for exchange in lieu of conversion of such Convertible Note pursuant to</w:t>
            </w:r>
          </w:p>
        </w:tc>
      </w:tr>
      <w:tr>
        <w:trPr>
          <w:trHeight w:val="349"/>
        </w:trPr>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7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Section [14.12]</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6"/>
                <w:szCs w:val="16"/>
                <w:color w:val="auto"/>
              </w:rPr>
              <w:t xml:space="preserve"> of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6705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79" w:lineRule="exact"/>
        <w:rPr>
          <w:sz w:val="20"/>
          <w:szCs w:val="20"/>
          <w:color w:val="auto"/>
        </w:rPr>
      </w:pPr>
    </w:p>
    <w:p>
      <w:pPr>
        <w:ind w:firstLine="6"/>
        <w:spacing w:after="0" w:line="193" w:lineRule="auto"/>
        <w:tabs>
          <w:tab w:leader="none" w:pos="171" w:val="left"/>
        </w:tabs>
        <w:numPr>
          <w:ilvl w:val="0"/>
          <w:numId w:val="1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ind w:left="160" w:hanging="154"/>
        <w:spacing w:after="0" w:line="184"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Insert the initial Conversion Rate for the Convertible Notes.</w:t>
      </w:r>
    </w:p>
    <w:p>
      <w:pPr>
        <w:ind w:left="160" w:hanging="154"/>
        <w:spacing w:after="0" w:line="184"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containing discretionary adjustments to the Conversion Rate by Counterparty.</w:t>
      </w:r>
    </w:p>
    <w:p>
      <w:pPr>
        <w:ind w:left="160" w:hanging="154"/>
        <w:spacing w:after="0" w:line="184"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governing make-whole adjustments to the Conversion Rate.</w:t>
      </w:r>
    </w:p>
    <w:p>
      <w:pPr>
        <w:ind w:left="160" w:hanging="154"/>
        <w:spacing w:after="0" w:line="184"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governing make-whole adjustments to the Conversion Rate.</w:t>
      </w:r>
    </w:p>
    <w:p>
      <w:pPr>
        <w:ind w:left="160" w:hanging="154"/>
        <w:spacing w:after="0" w:line="184"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setting forth the requirements for conversion of the Convertible Notes.</w:t>
      </w:r>
    </w:p>
    <w:p>
      <w:pPr>
        <w:ind w:left="160" w:hanging="154"/>
        <w:spacing w:after="0" w:line="189" w:lineRule="auto"/>
        <w:tabs>
          <w:tab w:leader="none" w:pos="160" w:val="left"/>
        </w:tabs>
        <w:numPr>
          <w:ilvl w:val="0"/>
          <w:numId w:val="10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section of the Indenture containing provisions for exchange in lieu of conversion.</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23" w:name="page124"/>
    <w:bookmarkEnd w:id="123"/>
    <w:p>
      <w:pPr>
        <w:ind w:left="934"/>
        <w:spacing w:after="0"/>
        <w:rPr>
          <w:sz w:val="20"/>
          <w:szCs w:val="20"/>
          <w:color w:val="auto"/>
        </w:rPr>
      </w:pPr>
      <w:r>
        <w:rPr>
          <w:rFonts w:ascii="Times New Roman" w:cs="Times New Roman" w:eastAsia="Times New Roman" w:hAnsi="Times New Roman"/>
          <w:sz w:val="16"/>
          <w:szCs w:val="16"/>
          <w:color w:val="auto"/>
        </w:rPr>
        <w:t>Free Convertibility Date:</w:t>
      </w:r>
    </w:p>
    <w:p>
      <w:pPr>
        <w:spacing w:after="0" w:line="176"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Expiration Time:</w:t>
      </w:r>
    </w:p>
    <w:p>
      <w:pPr>
        <w:spacing w:after="0" w:line="176"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Expiration Date:</w:t>
      </w:r>
    </w:p>
    <w:p>
      <w:pPr>
        <w:spacing w:after="0" w:line="176"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Multiple Exercise:Automatic Exercise:</w:t>
      </w:r>
    </w:p>
    <w:p>
      <w:pPr>
        <w:spacing w:after="0" w:line="356"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Automatic Exercise of Remaining</w:t>
      </w:r>
    </w:p>
    <w:p>
      <w:pPr>
        <w:spacing w:after="0" w:line="14" w:lineRule="exact"/>
        <w:rPr>
          <w:sz w:val="20"/>
          <w:szCs w:val="20"/>
          <w:color w:val="auto"/>
        </w:rPr>
      </w:pPr>
    </w:p>
    <w:p>
      <w:pPr>
        <w:ind w:left="934"/>
        <w:spacing w:after="0"/>
        <w:rPr>
          <w:sz w:val="20"/>
          <w:szCs w:val="20"/>
          <w:color w:val="auto"/>
        </w:rPr>
      </w:pPr>
      <w:r>
        <w:rPr>
          <w:rFonts w:ascii="Times New Roman" w:cs="Times New Roman" w:eastAsia="Times New Roman" w:hAnsi="Times New Roman"/>
          <w:sz w:val="16"/>
          <w:szCs w:val="16"/>
          <w:color w:val="auto"/>
        </w:rPr>
        <w:t>Repurchase Options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705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6" w:lineRule="exact"/>
        <w:rPr>
          <w:sz w:val="20"/>
          <w:szCs w:val="20"/>
          <w:color w:val="auto"/>
        </w:rPr>
      </w:pPr>
    </w:p>
    <w:p>
      <w:pPr>
        <w:ind w:left="154" w:hanging="154"/>
        <w:spacing w:after="0"/>
        <w:tabs>
          <w:tab w:leader="none" w:pos="154" w:val="left"/>
        </w:tabs>
        <w:numPr>
          <w:ilvl w:val="0"/>
          <w:numId w:val="1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To match the free convertibility date specified in the Convertible Notes.</w:t>
      </w:r>
    </w:p>
    <w:p>
      <w:pPr>
        <w:ind w:left="154" w:hanging="154"/>
        <w:spacing w:after="0" w:line="184" w:lineRule="auto"/>
        <w:tabs>
          <w:tab w:leader="none" w:pos="154" w:val="left"/>
        </w:tabs>
        <w:numPr>
          <w:ilvl w:val="0"/>
          <w:numId w:val="10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To match the Maturity Date of the Convertible Notes.</w:t>
      </w:r>
    </w:p>
    <w:p>
      <w:pPr>
        <w:ind w:left="154" w:hanging="154"/>
        <w:spacing w:after="0" w:line="189" w:lineRule="auto"/>
        <w:tabs>
          <w:tab w:leader="none" w:pos="154" w:val="left"/>
        </w:tabs>
        <w:numPr>
          <w:ilvl w:val="0"/>
          <w:numId w:val="10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for Additional Call Option Confirmation only.</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[October 15, 2030]</w:t>
      </w:r>
      <w:r>
        <w:rPr>
          <w:rFonts w:ascii="Times New Roman" w:cs="Times New Roman" w:eastAsia="Times New Roman" w:hAnsi="Times New Roman"/>
          <w:sz w:val="26"/>
          <w:szCs w:val="26"/>
          <w:color w:val="auto"/>
          <w:vertAlign w:val="superscript"/>
        </w:rPr>
        <w:t>21</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Valuation Time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[January 15, 2031]</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6"/>
          <w:szCs w:val="16"/>
          <w:color w:val="auto"/>
        </w:rPr>
        <w:t>, subject to earlier exercise.</w:t>
      </w:r>
    </w:p>
    <w:p>
      <w:pPr>
        <w:spacing w:after="0" w:line="61" w:lineRule="exact"/>
        <w:rPr>
          <w:sz w:val="20"/>
          <w:szCs w:val="20"/>
          <w:color w:val="auto"/>
        </w:rPr>
      </w:pPr>
    </w:p>
    <w:p>
      <w:pPr>
        <w:jc w:val="both"/>
        <w:ind w:left="40" w:right="20"/>
        <w:spacing w:after="0" w:line="259" w:lineRule="auto"/>
        <w:rPr>
          <w:sz w:val="20"/>
          <w:szCs w:val="20"/>
          <w:color w:val="auto"/>
        </w:rPr>
      </w:pPr>
      <w:r>
        <w:rPr>
          <w:rFonts w:ascii="Times New Roman" w:cs="Times New Roman" w:eastAsia="Times New Roman" w:hAnsi="Times New Roman"/>
          <w:sz w:val="16"/>
          <w:szCs w:val="16"/>
          <w:color w:val="auto"/>
        </w:rPr>
        <w:t>Applicable, as described under “Automatic Exercise” and “Automatic Exercise of Remaining Repurchase Options After Free Convertibility Date” below.</w:t>
      </w:r>
    </w:p>
    <w:p>
      <w:pPr>
        <w:spacing w:after="0" w:line="143" w:lineRule="exact"/>
        <w:rPr>
          <w:sz w:val="20"/>
          <w:szCs w:val="20"/>
          <w:color w:val="auto"/>
        </w:rPr>
      </w:pPr>
    </w:p>
    <w:p>
      <w:pPr>
        <w:jc w:val="both"/>
        <w:ind w:left="40"/>
        <w:spacing w:after="0" w:line="226" w:lineRule="auto"/>
        <w:rPr>
          <w:sz w:val="20"/>
          <w:szCs w:val="20"/>
          <w:color w:val="auto"/>
        </w:rPr>
      </w:pPr>
      <w:r>
        <w:rPr>
          <w:rFonts w:ascii="Times New Roman" w:cs="Times New Roman" w:eastAsia="Times New Roman" w:hAnsi="Times New Roman"/>
          <w:sz w:val="16"/>
          <w:szCs w:val="16"/>
          <w:color w:val="auto"/>
        </w:rPr>
        <w:t>Notwithstanding Section 3.4 of the Equity Definitions, on each Conversion Date occurring on or after the Free Convertibility Date, in respect of which a “Notice of Conversion” (as defined in the Indenture) that is effective as to Counterparty has been delivered by the relevant converting “Holder” (as defined in the Indenture), a number of Options equal to [(i)] the number of Convertible Notes in denominations of USD 1,000 as to which such Conversion Date has occurred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(ii) the number of Options that are or are deemed to be automatically exercised on such Conversion Date under the Base Call Option Transaction Confirmation letter agreement dated [__], 2025 between Dealer and Counterparty (the “</w:t>
      </w:r>
      <w:r>
        <w:rPr>
          <w:rFonts w:ascii="Times New Roman" w:cs="Times New Roman" w:eastAsia="Times New Roman" w:hAnsi="Times New Roman"/>
          <w:sz w:val="16"/>
          <w:szCs w:val="16"/>
          <w:b w:val="1"/>
          <w:bCs w:val="1"/>
          <w:color w:val="auto"/>
        </w:rPr>
        <w:t>Base Call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Option Confirmation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deemed to be automatically exercised;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such Options shall be exercised or deemed exercised only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Counterparty has provided a Notice of Exercise to Dealer in accordance with “Notice of Exercise” below.</w:t>
      </w:r>
    </w:p>
    <w:p>
      <w:pPr>
        <w:spacing w:after="0" w:line="160" w:lineRule="exact"/>
        <w:rPr>
          <w:sz w:val="20"/>
          <w:szCs w:val="20"/>
          <w:color w:val="auto"/>
        </w:rPr>
      </w:pPr>
    </w:p>
    <w:p>
      <w:pPr>
        <w:jc w:val="both"/>
        <w:ind w:left="40" w:right="20"/>
        <w:spacing w:after="0" w:line="259" w:lineRule="auto"/>
        <w:rPr>
          <w:sz w:val="20"/>
          <w:szCs w:val="20"/>
          <w:color w:val="auto"/>
        </w:rPr>
      </w:pPr>
      <w:r>
        <w:rPr>
          <w:rFonts w:ascii="Times New Roman" w:cs="Times New Roman" w:eastAsia="Times New Roman" w:hAnsi="Times New Roman"/>
          <w:sz w:val="16"/>
          <w:szCs w:val="16"/>
          <w:color w:val="auto"/>
        </w:rPr>
        <w:t>Notwithstanding the foregoing, in no event shall the number of Options that are exercised or deemed exercised hereunder exceed the Number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66675</wp:posOffset>
            </wp:positionV>
            <wp:extent cx="670750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2">
            <w:col w:w="4514" w:space="720"/>
            <w:col w:w="5340"/>
          </w:cols>
          <w:pgMar w:left="666" w:top="965" w:right="660" w:bottom="1440" w:gutter="0" w:footer="0" w:header="0"/>
        </w:sectPr>
      </w:pPr>
    </w:p>
    <w:bookmarkStart w:id="124" w:name="page125"/>
    <w:bookmarkEnd w:id="124"/>
    <w:p>
      <w:pPr>
        <w:ind w:left="934"/>
        <w:spacing w:after="0"/>
        <w:rPr>
          <w:sz w:val="20"/>
          <w:szCs w:val="20"/>
          <w:color w:val="auto"/>
        </w:rPr>
      </w:pPr>
      <w:r>
        <w:rPr>
          <w:rFonts w:ascii="Times New Roman" w:cs="Times New Roman" w:eastAsia="Times New Roman" w:hAnsi="Times New Roman"/>
          <w:sz w:val="16"/>
          <w:szCs w:val="16"/>
          <w:color w:val="auto"/>
        </w:rPr>
        <w:t>Free Convertibility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3580765</wp:posOffset>
            </wp:positionV>
            <wp:extent cx="6705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4" w:hanging="154"/>
        <w:spacing w:after="0"/>
        <w:tabs>
          <w:tab w:leader="none" w:pos="154" w:val="left"/>
        </w:tabs>
        <w:numPr>
          <w:ilvl w:val="0"/>
          <w:numId w:val="1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Insert for Additional Call Option Confirmation only.</w:t>
      </w:r>
    </w:p>
    <w:p>
      <w:pPr>
        <w:ind w:left="154" w:hanging="154"/>
        <w:spacing w:after="0" w:line="189" w:lineRule="auto"/>
        <w:tabs>
          <w:tab w:leader="none" w:pos="154" w:val="left"/>
        </w:tabs>
        <w:numPr>
          <w:ilvl w:val="0"/>
          <w:numId w:val="10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Insert for Additional Call Option Confirmation only.</w:t>
      </w:r>
    </w:p>
    <w:p>
      <w:pPr>
        <w:spacing w:after="0" w:line="20" w:lineRule="exact"/>
        <w:rPr>
          <w:sz w:val="20"/>
          <w:szCs w:val="20"/>
          <w:color w:val="auto"/>
        </w:rPr>
      </w:pPr>
      <w:r>
        <w:rPr>
          <w:sz w:val="20"/>
          <w:szCs w:val="20"/>
          <w:color w:val="auto"/>
        </w:rPr>
        <w:br w:type="column"/>
      </w:r>
    </w:p>
    <w:p>
      <w:pPr>
        <w:jc w:val="both"/>
        <w:ind w:left="40"/>
        <w:spacing w:after="0" w:line="243" w:lineRule="auto"/>
        <w:rPr>
          <w:sz w:val="20"/>
          <w:szCs w:val="20"/>
          <w:color w:val="auto"/>
        </w:rPr>
      </w:pPr>
      <w:r>
        <w:rPr>
          <w:rFonts w:ascii="Times New Roman" w:cs="Times New Roman" w:eastAsia="Times New Roman" w:hAnsi="Times New Roman"/>
          <w:sz w:val="15"/>
          <w:szCs w:val="15"/>
          <w:color w:val="auto"/>
        </w:rPr>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the number of Remaining Options (as defined in the Base Call Option Transaction Confirmation)]</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15"/>
          <w:szCs w:val="15"/>
          <w:color w:val="auto"/>
        </w:rPr>
        <w:t xml:space="preserve"> (such lesser number, the “</w:t>
      </w:r>
      <w:r>
        <w:rPr>
          <w:rFonts w:ascii="Times New Roman" w:cs="Times New Roman" w:eastAsia="Times New Roman" w:hAnsi="Times New Roman"/>
          <w:sz w:val="15"/>
          <w:szCs w:val="15"/>
          <w:b w:val="1"/>
          <w:bCs w:val="1"/>
          <w:color w:val="auto"/>
        </w:rPr>
        <w:t>Remaining Options</w:t>
      </w:r>
      <w:r>
        <w:rPr>
          <w:rFonts w:ascii="Times New Roman" w:cs="Times New Roman" w:eastAsia="Times New Roman" w:hAnsi="Times New Roman"/>
          <w:sz w:val="15"/>
          <w:szCs w:val="15"/>
          <w:color w:val="auto"/>
        </w:rPr>
        <w:t xml:space="preserve">”) will be deemed to be automatically exercised as if (i) a number of Convertible Notes (in denominations of USD 1,000 principal amount) equal to such number of Remaining Options were converted with a “Conversion Date” (as defined in the Indenture) occurring on or after the Free Convertibility Date and (ii) the Relevant Settlement Method applied to such Convertible Notes;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5"/>
          <w:szCs w:val="15"/>
          <w:b w:val="1"/>
          <w:bCs w:val="1"/>
          <w:color w:val="auto"/>
        </w:rPr>
        <w:t>Remaining Repurchase Options</w:t>
      </w:r>
      <w:r>
        <w:rPr>
          <w:rFonts w:ascii="Times New Roman" w:cs="Times New Roman" w:eastAsia="Times New Roman" w:hAnsi="Times New Roman"/>
          <w:sz w:val="15"/>
          <w:szCs w:val="15"/>
          <w:color w:val="auto"/>
        </w:rPr>
        <w:t>” shall mean the excess of (I) the aggregate number of Convertible Notes (in denominations of USD 1,000 principal amount) that were subject to Repayment Events (as defined below) (other than Repayment Events pursuant to the terms of the Indenture) described in clause (y) of Section 9(i)</w:t>
      </w:r>
    </w:p>
    <w:p>
      <w:pPr>
        <w:spacing w:after="0" w:line="15" w:lineRule="exact"/>
        <w:rPr>
          <w:sz w:val="20"/>
          <w:szCs w:val="20"/>
          <w:color w:val="auto"/>
        </w:rPr>
      </w:pPr>
    </w:p>
    <w:p>
      <w:pPr>
        <w:jc w:val="both"/>
        <w:ind w:left="40" w:firstLine="8"/>
        <w:spacing w:after="0" w:line="233" w:lineRule="auto"/>
        <w:tabs>
          <w:tab w:leader="none" w:pos="352"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Repurchase Events</w:t>
      </w:r>
      <w:r>
        <w:rPr>
          <w:rFonts w:ascii="Times New Roman" w:cs="Times New Roman" w:eastAsia="Times New Roman" w:hAnsi="Times New Roman"/>
          <w:sz w:val="15"/>
          <w:szCs w:val="15"/>
          <w:color w:val="auto"/>
        </w:rPr>
        <w:t xml:space="preserve">”) during the term of the Transaction </w:t>
      </w:r>
      <w:r>
        <w:rPr>
          <w:rFonts w:ascii="Times New Roman" w:cs="Times New Roman" w:eastAsia="Times New Roman" w:hAnsi="Times New Roman"/>
          <w:sz w:val="15"/>
          <w:szCs w:val="15"/>
          <w:i w:val="1"/>
          <w:iCs w:val="1"/>
          <w:color w:val="auto"/>
        </w:rPr>
        <w:t>over</w:t>
      </w:r>
      <w:r>
        <w:rPr>
          <w:rFonts w:ascii="Times New Roman" w:cs="Times New Roman" w:eastAsia="Times New Roman" w:hAnsi="Times New Roman"/>
          <w:sz w:val="15"/>
          <w:szCs w:val="15"/>
          <w:color w:val="auto"/>
        </w:rPr>
        <w:t xml:space="preserve"> (II) the aggregate number of Repayment Options (as defined below) that were terminated hereunder relating to Repurchase Events during the term of the Transaction [and the number of Repayment Options (as defined in the Base Call Option Confirmation) terminated under the Base Call Option Confirmation relating to Repurchase Events (as defined therein) during the term of the “Transaction” under the Base Call Option Confirmation]</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15"/>
          <w:szCs w:val="15"/>
          <w:color w:val="auto"/>
        </w:rPr>
        <w:t>. Counterparty shall notify Dealer in writing of the number of Remaining Repurchase Options before 5:00 p.m. (New York City time) on the Scheduled Valid Day immediately preceding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66675</wp:posOffset>
            </wp:positionV>
            <wp:extent cx="670750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2">
            <w:col w:w="4514" w:space="720"/>
            <w:col w:w="5340"/>
          </w:cols>
          <w:pgMar w:left="666" w:top="965" w:right="66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4"/>
        </w:trPr>
        <w:tc>
          <w:tcPr>
            <w:tcW w:w="36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Notice of Exercise:</w:t>
            </w:r>
          </w:p>
        </w:tc>
        <w:tc>
          <w:tcPr>
            <w:tcW w:w="69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Notwithstanding anything to the contrary in the Equity Definitions or under</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“Automatic Exercise” above, but subject to “Automatic Exercise of Remaining</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8"/>
              </w:rPr>
              <w:t>Repurchase Options After Free Convertibility Date” above, in order to exercise any</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9"/>
              </w:rPr>
              <w:t>Options relating to Convertible Notes with a Conversion Date occurring on or after</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8"/>
              </w:rPr>
              <w:t>the Free Convertibility Date, Counterparty must notify Dealer in writing (which, for</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7"/>
              </w:rPr>
              <w:t>the avoidance of doubt, may be by email) before 5:00 p.m. (New York City time) on</w:t>
            </w:r>
          </w:p>
        </w:tc>
      </w:tr>
      <w:tr>
        <w:trPr>
          <w:trHeight w:val="178"/>
        </w:trPr>
        <w:tc>
          <w:tcPr>
            <w:tcW w:w="3680" w:type="dxa"/>
            <w:vAlign w:val="bottom"/>
          </w:tcPr>
          <w:p>
            <w:pPr>
              <w:spacing w:after="0"/>
              <w:rPr>
                <w:sz w:val="15"/>
                <w:szCs w:val="15"/>
                <w:color w:val="auto"/>
              </w:rPr>
            </w:pPr>
          </w:p>
        </w:tc>
        <w:tc>
          <w:tcPr>
            <w:tcW w:w="6900" w:type="dxa"/>
            <w:vAlign w:val="bottom"/>
            <w:gridSpan w:val="2"/>
          </w:tcPr>
          <w:p>
            <w:pPr>
              <w:ind w:left="1600"/>
              <w:spacing w:after="0" w:line="178" w:lineRule="exact"/>
              <w:rPr>
                <w:sz w:val="20"/>
                <w:szCs w:val="20"/>
                <w:color w:val="auto"/>
              </w:rPr>
            </w:pPr>
            <w:r>
              <w:rPr>
                <w:rFonts w:ascii="Times New Roman" w:cs="Times New Roman" w:eastAsia="Times New Roman" w:hAnsi="Times New Roman"/>
                <w:sz w:val="16"/>
                <w:szCs w:val="16"/>
                <w:color w:val="auto"/>
                <w:w w:val="98"/>
              </w:rPr>
              <w:t>the Scheduled Valid Day immediately preceding the Expiration Date specifying the</w:t>
            </w:r>
          </w:p>
        </w:tc>
      </w:tr>
      <w:tr>
        <w:trPr>
          <w:trHeight w:val="182"/>
        </w:trPr>
        <w:tc>
          <w:tcPr>
            <w:tcW w:w="3680" w:type="dxa"/>
            <w:vAlign w:val="bottom"/>
          </w:tcPr>
          <w:p>
            <w:pPr>
              <w:spacing w:after="0"/>
              <w:rPr>
                <w:sz w:val="15"/>
                <w:szCs w:val="15"/>
                <w:color w:val="auto"/>
              </w:rPr>
            </w:pPr>
          </w:p>
        </w:tc>
        <w:tc>
          <w:tcPr>
            <w:tcW w:w="6900" w:type="dxa"/>
            <w:vAlign w:val="bottom"/>
            <w:gridSpan w:val="2"/>
          </w:tcPr>
          <w:p>
            <w:pPr>
              <w:ind w:left="1600"/>
              <w:spacing w:after="0" w:line="182" w:lineRule="exact"/>
              <w:rPr>
                <w:sz w:val="20"/>
                <w:szCs w:val="20"/>
                <w:color w:val="auto"/>
              </w:rPr>
            </w:pPr>
            <w:r>
              <w:rPr>
                <w:rFonts w:ascii="Times New Roman" w:cs="Times New Roman" w:eastAsia="Times New Roman" w:hAnsi="Times New Roman"/>
                <w:sz w:val="16"/>
                <w:szCs w:val="16"/>
                <w:color w:val="auto"/>
                <w:w w:val="99"/>
              </w:rPr>
              <w:t xml:space="preserve">number of such Options; </w:t>
            </w:r>
            <w:r>
              <w:rPr>
                <w:rFonts w:ascii="Times New Roman" w:cs="Times New Roman" w:eastAsia="Times New Roman" w:hAnsi="Times New Roman"/>
                <w:sz w:val="16"/>
                <w:szCs w:val="16"/>
                <w:i w:val="1"/>
                <w:iCs w:val="1"/>
                <w:color w:val="auto"/>
                <w:w w:val="99"/>
              </w:rPr>
              <w:t>provided</w:t>
            </w:r>
            <w:r>
              <w:rPr>
                <w:rFonts w:ascii="Times New Roman" w:cs="Times New Roman" w:eastAsia="Times New Roman" w:hAnsi="Times New Roman"/>
                <w:sz w:val="16"/>
                <w:szCs w:val="16"/>
                <w:color w:val="auto"/>
                <w:w w:val="99"/>
              </w:rPr>
              <w:t xml:space="preserve"> that, notwithstanding the foregoing, such notice</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(and the related exercise of Options hereunder) shall be effective if given after the</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applicable notice deadline specified above but prior to 5:00 p.m. (New York City</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9"/>
              </w:rPr>
              <w:t>time) on the fifth Exchange Business Day following such notice deadline, in which</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event the Calculation Agent shall have the right to adjust Dealer’s delivery</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obligation hereunder in good faith and in a commercially reasonable manner, with</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respect to the exercise of such Options, as appropriate to reflect the additional</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commercially reasonable costs and losses (limited to losses as a result of hedging</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mismatches and market losses) and expenses incurred by Dealer or any of its</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affiliates in connection with its hedging activities with such adjustments made</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7"/>
              </w:rPr>
              <w:t>assuming that Dealer maintains commercially reasonable hedge positions (including</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the unwinding of any hedge position) as a result of its not having received such</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notice prior to such notice deadline (it being understood that the adjusted delivery</w:t>
            </w:r>
          </w:p>
        </w:tc>
      </w:tr>
      <w:tr>
        <w:trPr>
          <w:trHeight w:val="178"/>
        </w:trPr>
        <w:tc>
          <w:tcPr>
            <w:tcW w:w="3680" w:type="dxa"/>
            <w:vAlign w:val="bottom"/>
          </w:tcPr>
          <w:p>
            <w:pPr>
              <w:spacing w:after="0"/>
              <w:rPr>
                <w:sz w:val="15"/>
                <w:szCs w:val="15"/>
                <w:color w:val="auto"/>
              </w:rPr>
            </w:pPr>
          </w:p>
        </w:tc>
        <w:tc>
          <w:tcPr>
            <w:tcW w:w="6900" w:type="dxa"/>
            <w:vAlign w:val="bottom"/>
            <w:gridSpan w:val="2"/>
          </w:tcPr>
          <w:p>
            <w:pPr>
              <w:ind w:left="1600"/>
              <w:spacing w:after="0" w:line="178" w:lineRule="exact"/>
              <w:rPr>
                <w:sz w:val="20"/>
                <w:szCs w:val="20"/>
                <w:color w:val="auto"/>
              </w:rPr>
            </w:pPr>
            <w:r>
              <w:rPr>
                <w:rFonts w:ascii="Times New Roman" w:cs="Times New Roman" w:eastAsia="Times New Roman" w:hAnsi="Times New Roman"/>
                <w:sz w:val="16"/>
                <w:szCs w:val="16"/>
                <w:color w:val="auto"/>
              </w:rPr>
              <w:t>obligation described in the preceding proviso can never be less than zero and can</w:t>
            </w:r>
          </w:p>
        </w:tc>
      </w:tr>
      <w:tr>
        <w:trPr>
          <w:trHeight w:val="182"/>
        </w:trPr>
        <w:tc>
          <w:tcPr>
            <w:tcW w:w="3680" w:type="dxa"/>
            <w:vAlign w:val="bottom"/>
          </w:tcPr>
          <w:p>
            <w:pPr>
              <w:spacing w:after="0"/>
              <w:rPr>
                <w:sz w:val="15"/>
                <w:szCs w:val="15"/>
                <w:color w:val="auto"/>
              </w:rPr>
            </w:pPr>
          </w:p>
        </w:tc>
        <w:tc>
          <w:tcPr>
            <w:tcW w:w="6900" w:type="dxa"/>
            <w:vAlign w:val="bottom"/>
            <w:gridSpan w:val="2"/>
          </w:tcPr>
          <w:p>
            <w:pPr>
              <w:ind w:left="1600"/>
              <w:spacing w:after="0" w:line="182" w:lineRule="exact"/>
              <w:rPr>
                <w:sz w:val="20"/>
                <w:szCs w:val="20"/>
                <w:color w:val="auto"/>
              </w:rPr>
            </w:pPr>
            <w:r>
              <w:rPr>
                <w:rFonts w:ascii="Times New Roman" w:cs="Times New Roman" w:eastAsia="Times New Roman" w:hAnsi="Times New Roman"/>
                <w:sz w:val="16"/>
                <w:szCs w:val="16"/>
                <w:color w:val="auto"/>
              </w:rPr>
              <w:t xml:space="preserve">never require any payment by Counterparty);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the Relevant</w:t>
            </w:r>
          </w:p>
        </w:tc>
      </w:tr>
      <w:tr>
        <w:trPr>
          <w:trHeight w:val="178"/>
        </w:trPr>
        <w:tc>
          <w:tcPr>
            <w:tcW w:w="3680" w:type="dxa"/>
            <w:vAlign w:val="bottom"/>
          </w:tcPr>
          <w:p>
            <w:pPr>
              <w:spacing w:after="0"/>
              <w:rPr>
                <w:sz w:val="15"/>
                <w:szCs w:val="15"/>
                <w:color w:val="auto"/>
              </w:rPr>
            </w:pPr>
          </w:p>
        </w:tc>
        <w:tc>
          <w:tcPr>
            <w:tcW w:w="6900" w:type="dxa"/>
            <w:vAlign w:val="bottom"/>
            <w:gridSpan w:val="2"/>
          </w:tcPr>
          <w:p>
            <w:pPr>
              <w:ind w:left="1600"/>
              <w:spacing w:after="0" w:line="178" w:lineRule="exact"/>
              <w:rPr>
                <w:sz w:val="20"/>
                <w:szCs w:val="20"/>
                <w:color w:val="auto"/>
              </w:rPr>
            </w:pPr>
            <w:r>
              <w:rPr>
                <w:rFonts w:ascii="Times New Roman" w:cs="Times New Roman" w:eastAsia="Times New Roman" w:hAnsi="Times New Roman"/>
                <w:sz w:val="16"/>
                <w:szCs w:val="16"/>
                <w:color w:val="auto"/>
              </w:rPr>
              <w:t>Settlement Method for such Options is Cash Settlement or (y) Combination</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Settlement, Dealer shall have received a separate notice (the “</w:t>
            </w:r>
            <w:r>
              <w:rPr>
                <w:rFonts w:ascii="Times New Roman" w:cs="Times New Roman" w:eastAsia="Times New Roman" w:hAnsi="Times New Roman"/>
                <w:sz w:val="16"/>
                <w:szCs w:val="16"/>
                <w:b w:val="1"/>
                <w:bCs w:val="1"/>
                <w:color w:val="auto"/>
              </w:rPr>
              <w:t>Notice of Final</w:t>
            </w:r>
          </w:p>
        </w:tc>
      </w:tr>
      <w:tr>
        <w:trPr>
          <w:trHeight w:val="182"/>
        </w:trPr>
        <w:tc>
          <w:tcPr>
            <w:tcW w:w="3680" w:type="dxa"/>
            <w:vAlign w:val="bottom"/>
          </w:tcPr>
          <w:p>
            <w:pPr>
              <w:spacing w:after="0"/>
              <w:rPr>
                <w:sz w:val="15"/>
                <w:szCs w:val="15"/>
                <w:color w:val="auto"/>
              </w:rPr>
            </w:pPr>
          </w:p>
        </w:tc>
        <w:tc>
          <w:tcPr>
            <w:tcW w:w="6900" w:type="dxa"/>
            <w:vAlign w:val="bottom"/>
            <w:gridSpan w:val="2"/>
          </w:tcPr>
          <w:p>
            <w:pPr>
              <w:ind w:left="1600"/>
              <w:spacing w:after="0" w:line="182" w:lineRule="exact"/>
              <w:rPr>
                <w:sz w:val="20"/>
                <w:szCs w:val="20"/>
                <w:color w:val="auto"/>
              </w:rPr>
            </w:pPr>
            <w:r>
              <w:rPr>
                <w:rFonts w:ascii="Times New Roman" w:cs="Times New Roman" w:eastAsia="Times New Roman" w:hAnsi="Times New Roman"/>
                <w:sz w:val="16"/>
                <w:szCs w:val="16"/>
                <w:b w:val="1"/>
                <w:bCs w:val="1"/>
                <w:color w:val="auto"/>
              </w:rPr>
              <w:t>Settlement Method</w:t>
            </w:r>
            <w:r>
              <w:rPr>
                <w:rFonts w:ascii="Times New Roman" w:cs="Times New Roman" w:eastAsia="Times New Roman" w:hAnsi="Times New Roman"/>
                <w:sz w:val="16"/>
                <w:szCs w:val="16"/>
                <w:color w:val="auto"/>
              </w:rPr>
              <w:t>”) (which, for the avoidance of doubt, may be by email) in</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8"/>
              </w:rPr>
              <w:t>respect of all such Convertible Notes before 5:00 p.m. (New York City time) on the</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Free Convertibility Date specifying (1) the Relevant Settlement Method for such</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Options, and (2) if the settlement method for the related Convertible Notes is not</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Settlement in Cash (as defined below), the fixed amount of cash per Convertible</w:t>
            </w:r>
          </w:p>
        </w:tc>
      </w:tr>
      <w:tr>
        <w:trPr>
          <w:trHeight w:val="178"/>
        </w:trPr>
        <w:tc>
          <w:tcPr>
            <w:tcW w:w="3680" w:type="dxa"/>
            <w:vAlign w:val="bottom"/>
          </w:tcPr>
          <w:p>
            <w:pPr>
              <w:spacing w:after="0"/>
              <w:rPr>
                <w:sz w:val="15"/>
                <w:szCs w:val="15"/>
                <w:color w:val="auto"/>
              </w:rPr>
            </w:pPr>
          </w:p>
        </w:tc>
        <w:tc>
          <w:tcPr>
            <w:tcW w:w="6900" w:type="dxa"/>
            <w:vAlign w:val="bottom"/>
            <w:gridSpan w:val="2"/>
          </w:tcPr>
          <w:p>
            <w:pPr>
              <w:ind w:left="1600"/>
              <w:spacing w:after="0" w:line="178" w:lineRule="exact"/>
              <w:rPr>
                <w:sz w:val="20"/>
                <w:szCs w:val="20"/>
                <w:color w:val="auto"/>
              </w:rPr>
            </w:pPr>
            <w:r>
              <w:rPr>
                <w:rFonts w:ascii="Times New Roman" w:cs="Times New Roman" w:eastAsia="Times New Roman" w:hAnsi="Times New Roman"/>
                <w:sz w:val="16"/>
                <w:szCs w:val="16"/>
                <w:color w:val="auto"/>
                <w:w w:val="99"/>
              </w:rPr>
              <w:t>Note that Counterparty has elected to deliver to “Holders” (as such term is defined</w:t>
            </w:r>
          </w:p>
        </w:tc>
      </w:tr>
      <w:tr>
        <w:trPr>
          <w:trHeight w:val="182"/>
        </w:trPr>
        <w:tc>
          <w:tcPr>
            <w:tcW w:w="3680" w:type="dxa"/>
            <w:vAlign w:val="bottom"/>
          </w:tcPr>
          <w:p>
            <w:pPr>
              <w:spacing w:after="0"/>
              <w:rPr>
                <w:sz w:val="15"/>
                <w:szCs w:val="15"/>
                <w:color w:val="auto"/>
              </w:rPr>
            </w:pPr>
          </w:p>
        </w:tc>
        <w:tc>
          <w:tcPr>
            <w:tcW w:w="6900" w:type="dxa"/>
            <w:vAlign w:val="bottom"/>
            <w:gridSpan w:val="2"/>
          </w:tcPr>
          <w:p>
            <w:pPr>
              <w:ind w:left="1600"/>
              <w:spacing w:after="0" w:line="182" w:lineRule="exact"/>
              <w:rPr>
                <w:sz w:val="20"/>
                <w:szCs w:val="20"/>
                <w:color w:val="auto"/>
              </w:rPr>
            </w:pPr>
            <w:r>
              <w:rPr>
                <w:rFonts w:ascii="Times New Roman" w:cs="Times New Roman" w:eastAsia="Times New Roman" w:hAnsi="Times New Roman"/>
                <w:sz w:val="16"/>
                <w:szCs w:val="16"/>
                <w:color w:val="auto"/>
                <w:w w:val="99"/>
              </w:rPr>
              <w:t>in the Indenture) of the related Convertible Notes (the “</w:t>
            </w:r>
            <w:r>
              <w:rPr>
                <w:rFonts w:ascii="Times New Roman" w:cs="Times New Roman" w:eastAsia="Times New Roman" w:hAnsi="Times New Roman"/>
                <w:sz w:val="16"/>
                <w:szCs w:val="16"/>
                <w:b w:val="1"/>
                <w:bCs w:val="1"/>
                <w:color w:val="auto"/>
                <w:w w:val="99"/>
              </w:rPr>
              <w:t>Specified Cash Amount</w:t>
            </w:r>
            <w:r>
              <w:rPr>
                <w:rFonts w:ascii="Times New Roman" w:cs="Times New Roman" w:eastAsia="Times New Roman" w:hAnsi="Times New Roman"/>
                <w:sz w:val="16"/>
                <w:szCs w:val="16"/>
                <w:color w:val="auto"/>
                <w:w w:val="99"/>
              </w:rPr>
              <w:t>”).</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If Counterparty fails to timely provide such Notice of Final Settlement Method, it</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shall be deemed to have provided a Notice of Final Settlement Method indicating</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8"/>
              </w:rPr>
              <w:t>that the Relevant Settlement Method is Net Share Settlement and that the settlement</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8"/>
              </w:rPr>
              <w:t>method for the related Convertible Notes is a combination of cash and shares with a</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Specified  Cash  Amount  of  USD  1,000.  Counterparty  acknowledges  its</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responsibilities under applicable securities laws, and in particular Section 9 and</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9"/>
              </w:rPr>
              <w:t>Section 10(b) of the Exchange Act (as defined below) and the rules and regulations</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rPr>
              <w:t>thereunder, in respect of any election of a settlement method with respect to the</w:t>
            </w:r>
          </w:p>
        </w:tc>
      </w:tr>
      <w:tr>
        <w:trPr>
          <w:trHeight w:val="203"/>
        </w:trPr>
        <w:tc>
          <w:tcPr>
            <w:tcW w:w="3680" w:type="dxa"/>
            <w:vAlign w:val="bottom"/>
          </w:tcPr>
          <w:p>
            <w:pPr>
              <w:spacing w:after="0"/>
              <w:rPr>
                <w:sz w:val="17"/>
                <w:szCs w:val="17"/>
                <w:color w:val="auto"/>
              </w:rPr>
            </w:pPr>
          </w:p>
        </w:tc>
        <w:tc>
          <w:tcPr>
            <w:tcW w:w="69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Convertible Notes.</w:t>
            </w:r>
          </w:p>
        </w:tc>
      </w:tr>
      <w:tr>
        <w:trPr>
          <w:trHeight w:val="337"/>
        </w:trPr>
        <w:tc>
          <w:tcPr>
            <w:tcW w:w="36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Valuation Time:</w:t>
            </w:r>
          </w:p>
        </w:tc>
        <w:tc>
          <w:tcPr>
            <w:tcW w:w="69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w w:val="98"/>
              </w:rPr>
              <w:t xml:space="preserve">At the close of trading of the regular trading session on the Exchange; </w:t>
            </w:r>
            <w:r>
              <w:rPr>
                <w:rFonts w:ascii="Times New Roman" w:cs="Times New Roman" w:eastAsia="Times New Roman" w:hAnsi="Times New Roman"/>
                <w:sz w:val="16"/>
                <w:szCs w:val="16"/>
                <w:i w:val="1"/>
                <w:iCs w:val="1"/>
                <w:color w:val="auto"/>
                <w:w w:val="98"/>
              </w:rPr>
              <w:t>provided</w:t>
            </w:r>
            <w:r>
              <w:rPr>
                <w:rFonts w:ascii="Times New Roman" w:cs="Times New Roman" w:eastAsia="Times New Roman" w:hAnsi="Times New Roman"/>
                <w:sz w:val="16"/>
                <w:szCs w:val="16"/>
                <w:color w:val="auto"/>
                <w:w w:val="98"/>
              </w:rPr>
              <w:t xml:space="preserve"> that</w:t>
            </w:r>
          </w:p>
        </w:tc>
      </w:tr>
      <w:tr>
        <w:trPr>
          <w:trHeight w:val="180"/>
        </w:trPr>
        <w:tc>
          <w:tcPr>
            <w:tcW w:w="3680" w:type="dxa"/>
            <w:vAlign w:val="bottom"/>
          </w:tcPr>
          <w:p>
            <w:pPr>
              <w:spacing w:after="0"/>
              <w:rPr>
                <w:sz w:val="15"/>
                <w:szCs w:val="15"/>
                <w:color w:val="auto"/>
              </w:rPr>
            </w:pPr>
          </w:p>
        </w:tc>
        <w:tc>
          <w:tcPr>
            <w:tcW w:w="6900" w:type="dxa"/>
            <w:vAlign w:val="bottom"/>
            <w:gridSpan w:val="2"/>
          </w:tcPr>
          <w:p>
            <w:pPr>
              <w:ind w:left="1600"/>
              <w:spacing w:after="0" w:line="180" w:lineRule="exact"/>
              <w:rPr>
                <w:sz w:val="20"/>
                <w:szCs w:val="20"/>
                <w:color w:val="auto"/>
              </w:rPr>
            </w:pPr>
            <w:r>
              <w:rPr>
                <w:rFonts w:ascii="Times New Roman" w:cs="Times New Roman" w:eastAsia="Times New Roman" w:hAnsi="Times New Roman"/>
                <w:sz w:val="16"/>
                <w:szCs w:val="16"/>
                <w:color w:val="auto"/>
                <w:w w:val="99"/>
              </w:rPr>
              <w:t>if the regular trading session is extended, the Calculation Agent shall determine the</w:t>
            </w:r>
          </w:p>
        </w:tc>
      </w:tr>
      <w:tr>
        <w:trPr>
          <w:trHeight w:val="203"/>
        </w:trPr>
        <w:tc>
          <w:tcPr>
            <w:tcW w:w="3680" w:type="dxa"/>
            <w:vAlign w:val="bottom"/>
          </w:tcPr>
          <w:p>
            <w:pPr>
              <w:spacing w:after="0"/>
              <w:rPr>
                <w:sz w:val="17"/>
                <w:szCs w:val="17"/>
                <w:color w:val="auto"/>
              </w:rPr>
            </w:pPr>
          </w:p>
        </w:tc>
        <w:tc>
          <w:tcPr>
            <w:tcW w:w="69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Valuation Time.</w:t>
            </w:r>
          </w:p>
        </w:tc>
      </w:tr>
      <w:tr>
        <w:trPr>
          <w:trHeight w:val="360"/>
        </w:trPr>
        <w:tc>
          <w:tcPr>
            <w:tcW w:w="3680" w:type="dxa"/>
            <w:vAlign w:val="bottom"/>
          </w:tcPr>
          <w:p>
            <w:pPr>
              <w:spacing w:after="0"/>
              <w:rPr>
                <w:sz w:val="24"/>
                <w:szCs w:val="24"/>
                <w:color w:val="auto"/>
              </w:rPr>
            </w:pPr>
          </w:p>
        </w:tc>
        <w:tc>
          <w:tcPr>
            <w:tcW w:w="688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24"/>
                <w:szCs w:val="24"/>
                <w:color w:val="auto"/>
              </w:rPr>
            </w:pPr>
          </w:p>
        </w:tc>
      </w:tr>
      <w:tr>
        <w:trPr>
          <w:trHeight w:val="90"/>
        </w:trPr>
        <w:tc>
          <w:tcPr>
            <w:tcW w:w="3680" w:type="dxa"/>
            <w:vAlign w:val="bottom"/>
            <w:tcBorders>
              <w:bottom w:val="single" w:sz="8" w:color="auto"/>
            </w:tcBorders>
          </w:tcPr>
          <w:p>
            <w:pPr>
              <w:spacing w:after="0"/>
              <w:rPr>
                <w:sz w:val="7"/>
                <w:szCs w:val="7"/>
                <w:color w:val="auto"/>
              </w:rPr>
            </w:pPr>
          </w:p>
        </w:tc>
        <w:tc>
          <w:tcPr>
            <w:tcW w:w="6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1" w:right="660" w:bottom="1440" w:gutter="0" w:footer="0" w:header="0"/>
        </w:sectPr>
      </w:pPr>
    </w:p>
    <w:bookmarkStart w:id="126" w:name="page127"/>
    <w:bookmarkEnd w:id="126"/>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Market Disruption Event:</w:t>
            </w: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Section 6.3(a) of the Equity Definitions is hereby replaced in its entirety by the</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following:</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“‘Market Disruption Event’ means, with respect to any date, (i) a failure by the</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w w:val="97"/>
              </w:rPr>
              <w:t>primary U.S. national or regional securities exchange or market on which the Shares</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are listed or admitted for trading to open for trading during its regular trading</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session; or (ii) the occurrence or existence prior to 1:00 p.m., New York City time</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on any Scheduled Valid Day for more than one-half hour period in the aggregate</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w w:val="98"/>
              </w:rPr>
              <w:t>during regular trading hours of any suspension or limitation imposed on trading (by</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reason of movements in price exceeding limits permitted by the relevant stock</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w w:val="98"/>
              </w:rPr>
              <w:t>exchange or otherwise) in the Shares or in any options contracts or futures contracts</w:t>
            </w:r>
          </w:p>
        </w:tc>
        <w:tc>
          <w:tcPr>
            <w:tcW w:w="0" w:type="dxa"/>
            <w:vAlign w:val="bottom"/>
          </w:tcPr>
          <w:p>
            <w:pPr>
              <w:spacing w:after="0"/>
              <w:rPr>
                <w:sz w:val="1"/>
                <w:szCs w:val="1"/>
                <w:color w:val="auto"/>
              </w:rPr>
            </w:pPr>
          </w:p>
        </w:tc>
      </w:tr>
      <w:tr>
        <w:trPr>
          <w:trHeight w:val="203"/>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Settlement Terms.</w:t>
            </w: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relating to the Shares.</w:t>
            </w:r>
          </w:p>
        </w:tc>
        <w:tc>
          <w:tcPr>
            <w:tcW w:w="0" w:type="dxa"/>
            <w:vAlign w:val="bottom"/>
          </w:tcPr>
          <w:p>
            <w:pPr>
              <w:spacing w:after="0"/>
              <w:rPr>
                <w:sz w:val="1"/>
                <w:szCs w:val="1"/>
                <w:color w:val="auto"/>
              </w:rPr>
            </w:pPr>
          </w:p>
        </w:tc>
      </w:tr>
      <w:tr>
        <w:trPr>
          <w:trHeight w:val="146"/>
        </w:trPr>
        <w:tc>
          <w:tcPr>
            <w:tcW w:w="338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xml:space="preserve">any Option, Net Share Settlement;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Relevant Settlement</w:t>
            </w:r>
          </w:p>
        </w:tc>
        <w:tc>
          <w:tcPr>
            <w:tcW w:w="0" w:type="dxa"/>
            <w:vAlign w:val="bottom"/>
          </w:tcPr>
          <w:p>
            <w:pPr>
              <w:spacing w:after="0" w:line="20" w:lineRule="exact"/>
              <w:rPr>
                <w:sz w:val="1"/>
                <w:szCs w:val="1"/>
                <w:color w:val="auto"/>
              </w:rPr>
            </w:pPr>
          </w:p>
        </w:tc>
      </w:tr>
      <w:tr>
        <w:trPr>
          <w:trHeight w:val="351"/>
        </w:trPr>
        <w:tc>
          <w:tcPr>
            <w:tcW w:w="3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Settlement Method:</w:t>
            </w:r>
          </w:p>
        </w:tc>
        <w:tc>
          <w:tcPr>
            <w:tcW w:w="15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For</w:t>
            </w: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Method set forth below for such Option is not Net Share Settlement, then the</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Settlement Method for such Option shall be such Relevant Settlement Method, but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only if Counterparty shall have notified Dealer of the Relevant Settlement Method</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in the Notice of Final Settlement Method for such Option.</w:t>
            </w:r>
          </w:p>
        </w:tc>
        <w:tc>
          <w:tcPr>
            <w:tcW w:w="0" w:type="dxa"/>
            <w:vAlign w:val="bottom"/>
          </w:tcPr>
          <w:p>
            <w:pPr>
              <w:spacing w:after="0"/>
              <w:rPr>
                <w:sz w:val="1"/>
                <w:szCs w:val="1"/>
                <w:color w:val="auto"/>
              </w:rPr>
            </w:pPr>
          </w:p>
        </w:tc>
      </w:tr>
      <w:tr>
        <w:trPr>
          <w:trHeight w:val="360"/>
        </w:trPr>
        <w:tc>
          <w:tcPr>
            <w:tcW w:w="3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Relevant Settlement Method:</w:t>
            </w: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In respect of any Option:</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w:t>
            </w:r>
          </w:p>
        </w:tc>
        <w:tc>
          <w:tcPr>
            <w:tcW w:w="5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if Counterparty has elected, or is deemed to have elected, to settle its</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conversion obligations in respect of the related Convertible Note in a combination</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3"/>
                <w:szCs w:val="13"/>
                <w:color w:val="auto"/>
              </w:rPr>
              <w:t>of cash and Shares pursuant to Section [14.02(a)(v)(C)]</w:t>
            </w:r>
            <w:r>
              <w:rPr>
                <w:rFonts w:ascii="Times New Roman" w:cs="Times New Roman" w:eastAsia="Times New Roman" w:hAnsi="Times New Roman"/>
                <w:sz w:val="20"/>
                <w:szCs w:val="20"/>
                <w:color w:val="auto"/>
                <w:vertAlign w:val="superscript"/>
              </w:rPr>
              <w:t>26</w:t>
            </w:r>
            <w:r>
              <w:rPr>
                <w:rFonts w:ascii="Times New Roman" w:cs="Times New Roman" w:eastAsia="Times New Roman" w:hAnsi="Times New Roman"/>
                <w:sz w:val="13"/>
                <w:szCs w:val="13"/>
                <w:color w:val="auto"/>
              </w:rPr>
              <w:t xml:space="preserve"> of the Indenture with a</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w w:val="99"/>
              </w:rPr>
              <w:t>Specified Cash Amount equal to USD 1,000, then the Relevant Settlement Method</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for such Option shall be Net Share Settlement;</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(ii)</w:t>
            </w:r>
          </w:p>
        </w:tc>
        <w:tc>
          <w:tcPr>
            <w:tcW w:w="5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if Counterparty has elected to settle its conversion obligations in respect of</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the related Convertible Note in a combination of cash and Shares pursuant to</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3"/>
                <w:szCs w:val="13"/>
                <w:color w:val="auto"/>
              </w:rPr>
              <w:t>Section [14.02(a)(v)(C)]</w:t>
            </w:r>
            <w:r>
              <w:rPr>
                <w:rFonts w:ascii="Times New Roman" w:cs="Times New Roman" w:eastAsia="Times New Roman" w:hAnsi="Times New Roman"/>
                <w:sz w:val="20"/>
                <w:szCs w:val="20"/>
                <w:color w:val="auto"/>
                <w:vertAlign w:val="superscript"/>
              </w:rPr>
              <w:t>27</w:t>
            </w:r>
            <w:r>
              <w:rPr>
                <w:rFonts w:ascii="Times New Roman" w:cs="Times New Roman" w:eastAsia="Times New Roman" w:hAnsi="Times New Roman"/>
                <w:sz w:val="13"/>
                <w:szCs w:val="13"/>
                <w:color w:val="auto"/>
              </w:rPr>
              <w:t xml:space="preserve"> of the Indenture with a Specified Cash Amount greater</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0" w:lineRule="exact"/>
              <w:rPr>
                <w:sz w:val="20"/>
                <w:szCs w:val="20"/>
                <w:color w:val="auto"/>
              </w:rPr>
            </w:pPr>
            <w:r>
              <w:rPr>
                <w:rFonts w:ascii="Times New Roman" w:cs="Times New Roman" w:eastAsia="Times New Roman" w:hAnsi="Times New Roman"/>
                <w:sz w:val="16"/>
                <w:szCs w:val="16"/>
                <w:color w:val="auto"/>
              </w:rPr>
              <w:t>than USD 1,000, then the Relevant Settlement Method for such Option shall be</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Combination Settlement; and</w:t>
            </w:r>
          </w:p>
        </w:tc>
        <w:tc>
          <w:tcPr>
            <w:tcW w:w="0" w:type="dxa"/>
            <w:vAlign w:val="bottom"/>
          </w:tcPr>
          <w:p>
            <w:pPr>
              <w:spacing w:after="0"/>
              <w:rPr>
                <w:sz w:val="1"/>
                <w:szCs w:val="1"/>
                <w:color w:val="auto"/>
              </w:rPr>
            </w:pPr>
          </w:p>
        </w:tc>
      </w:tr>
      <w:tr>
        <w:trPr>
          <w:trHeight w:val="337"/>
        </w:trPr>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(iii)</w:t>
            </w:r>
          </w:p>
        </w:tc>
        <w:tc>
          <w:tcPr>
            <w:tcW w:w="5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if Counterparty has elected to settle its conversion obligations in respect of</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78" w:lineRule="exact"/>
              <w:rPr>
                <w:sz w:val="20"/>
                <w:szCs w:val="20"/>
                <w:color w:val="auto"/>
              </w:rPr>
            </w:pPr>
            <w:r>
              <w:rPr>
                <w:rFonts w:ascii="Times New Roman" w:cs="Times New Roman" w:eastAsia="Times New Roman" w:hAnsi="Times New Roman"/>
                <w:sz w:val="13"/>
                <w:szCs w:val="13"/>
                <w:color w:val="auto"/>
              </w:rPr>
              <w:t>the related Convertible Note entirely in cash pursuant to Section [14.02(a)(v)(B)]</w:t>
            </w:r>
            <w:r>
              <w:rPr>
                <w:rFonts w:ascii="Times New Roman" w:cs="Times New Roman" w:eastAsia="Times New Roman" w:hAnsi="Times New Roman"/>
                <w:sz w:val="20"/>
                <w:szCs w:val="20"/>
                <w:color w:val="auto"/>
                <w:vertAlign w:val="superscript"/>
              </w:rPr>
              <w:t>28</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560" w:type="dxa"/>
            <w:vAlign w:val="bottom"/>
            <w:gridSpan w:val="2"/>
          </w:tcPr>
          <w:p>
            <w:pPr>
              <w:ind w:left="1260"/>
              <w:spacing w:after="0" w:line="182" w:lineRule="exact"/>
              <w:rPr>
                <w:sz w:val="20"/>
                <w:szCs w:val="20"/>
                <w:color w:val="auto"/>
              </w:rPr>
            </w:pPr>
            <w:r>
              <w:rPr>
                <w:rFonts w:ascii="Times New Roman" w:cs="Times New Roman" w:eastAsia="Times New Roman" w:hAnsi="Times New Roman"/>
                <w:sz w:val="16"/>
                <w:szCs w:val="16"/>
                <w:color w:val="auto"/>
                <w:w w:val="97"/>
              </w:rPr>
              <w:t>of the Indenture (such settlement method, “</w:t>
            </w:r>
            <w:r>
              <w:rPr>
                <w:rFonts w:ascii="Times New Roman" w:cs="Times New Roman" w:eastAsia="Times New Roman" w:hAnsi="Times New Roman"/>
                <w:sz w:val="16"/>
                <w:szCs w:val="16"/>
                <w:b w:val="1"/>
                <w:bCs w:val="1"/>
                <w:color w:val="auto"/>
                <w:w w:val="97"/>
              </w:rPr>
              <w:t>Settlement in Cash</w:t>
            </w:r>
            <w:r>
              <w:rPr>
                <w:rFonts w:ascii="Times New Roman" w:cs="Times New Roman" w:eastAsia="Times New Roman" w:hAnsi="Times New Roman"/>
                <w:sz w:val="16"/>
                <w:szCs w:val="16"/>
                <w:color w:val="auto"/>
                <w:w w:val="97"/>
              </w:rPr>
              <w:t>”), then the Relevant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56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Settlement Method for such Option shall be Cash Settlement.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67056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5" w:lineRule="exact"/>
        <w:rPr>
          <w:sz w:val="20"/>
          <w:szCs w:val="20"/>
          <w:color w:val="auto"/>
        </w:rPr>
      </w:pPr>
    </w:p>
    <w:p>
      <w:pPr>
        <w:ind w:left="160" w:hanging="154"/>
        <w:spacing w:after="0"/>
        <w:tabs>
          <w:tab w:leader="none" w:pos="160"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cross-reference to section of the Indenture containing provisions for combination settlement of the Convertible Notes.</w:t>
      </w:r>
    </w:p>
    <w:p>
      <w:pPr>
        <w:ind w:left="160" w:hanging="154"/>
        <w:spacing w:after="0" w:line="184" w:lineRule="auto"/>
        <w:tabs>
          <w:tab w:leader="none" w:pos="160" w:val="left"/>
        </w:tabs>
        <w:numPr>
          <w:ilvl w:val="0"/>
          <w:numId w:val="10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section of the Indenture containing provisions for combination settlement of the Convertible Notes.</w:t>
      </w:r>
    </w:p>
    <w:p>
      <w:pPr>
        <w:ind w:left="160" w:hanging="154"/>
        <w:spacing w:after="0" w:line="189" w:lineRule="auto"/>
        <w:tabs>
          <w:tab w:leader="none" w:pos="160" w:val="left"/>
        </w:tabs>
        <w:numPr>
          <w:ilvl w:val="0"/>
          <w:numId w:val="10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section of the Indenture containing provisions for cash settlement of the Convertible Notes.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1" w:right="660" w:bottom="1440" w:gutter="0" w:footer="0" w:header="0"/>
        </w:sectPr>
      </w:pPr>
    </w:p>
    <w:bookmarkStart w:id="127" w:name="page128"/>
    <w:bookmarkEnd w:id="127"/>
    <w:tbl>
      <w:tblPr>
        <w:tblLayout w:type="fixed"/>
        <w:tblInd w:w="160" w:type="dxa"/>
        <w:tblCellMar>
          <w:top w:w="0" w:type="dxa"/>
          <w:left w:w="0" w:type="dxa"/>
          <w:bottom w:w="0" w:type="dxa"/>
          <w:right w:w="0" w:type="dxa"/>
        </w:tblCellMar>
      </w:tblPr>
      <w:tr>
        <w:trPr>
          <w:trHeight w:val="184"/>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Share Settlement:</w:t>
            </w: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w w:val="99"/>
              </w:rPr>
              <w:t>If Net Share Settlement is applicable to any Option exercised or deemed exercised</w:t>
            </w:r>
          </w:p>
        </w:tc>
      </w:tr>
      <w:tr>
        <w:trPr>
          <w:trHeight w:val="178"/>
        </w:trPr>
        <w:tc>
          <w:tcPr>
            <w:tcW w:w="2960" w:type="dxa"/>
            <w:vAlign w:val="bottom"/>
          </w:tcPr>
          <w:p>
            <w:pPr>
              <w:spacing w:after="0"/>
              <w:rPr>
                <w:sz w:val="15"/>
                <w:szCs w:val="15"/>
                <w:color w:val="auto"/>
              </w:rPr>
            </w:pPr>
          </w:p>
        </w:tc>
        <w:tc>
          <w:tcPr>
            <w:tcW w:w="668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6"/>
                <w:szCs w:val="16"/>
                <w:color w:val="auto"/>
                <w:w w:val="99"/>
              </w:rPr>
              <w:t>hereunder, Dealer will deliver to Counterparty, on the relevant Settlement Date for</w:t>
            </w:r>
          </w:p>
        </w:tc>
      </w:tr>
      <w:tr>
        <w:trPr>
          <w:trHeight w:val="182"/>
        </w:trPr>
        <w:tc>
          <w:tcPr>
            <w:tcW w:w="2960" w:type="dxa"/>
            <w:vAlign w:val="bottom"/>
          </w:tcPr>
          <w:p>
            <w:pPr>
              <w:spacing w:after="0"/>
              <w:rPr>
                <w:sz w:val="15"/>
                <w:szCs w:val="15"/>
                <w:color w:val="auto"/>
              </w:rPr>
            </w:pPr>
          </w:p>
        </w:tc>
        <w:tc>
          <w:tcPr>
            <w:tcW w:w="6680" w:type="dxa"/>
            <w:vAlign w:val="bottom"/>
            <w:gridSpan w:val="2"/>
          </w:tcPr>
          <w:p>
            <w:pPr>
              <w:ind w:left="1400"/>
              <w:spacing w:after="0" w:line="182" w:lineRule="exact"/>
              <w:rPr>
                <w:sz w:val="20"/>
                <w:szCs w:val="20"/>
                <w:color w:val="auto"/>
              </w:rPr>
            </w:pPr>
            <w:r>
              <w:rPr>
                <w:rFonts w:ascii="Times New Roman" w:cs="Times New Roman" w:eastAsia="Times New Roman" w:hAnsi="Times New Roman"/>
                <w:sz w:val="16"/>
                <w:szCs w:val="16"/>
                <w:color w:val="auto"/>
                <w:w w:val="97"/>
              </w:rPr>
              <w:t>each such Option, a number of Shares (the “</w:t>
            </w:r>
            <w:r>
              <w:rPr>
                <w:rFonts w:ascii="Times New Roman" w:cs="Times New Roman" w:eastAsia="Times New Roman" w:hAnsi="Times New Roman"/>
                <w:sz w:val="16"/>
                <w:szCs w:val="16"/>
                <w:b w:val="1"/>
                <w:bCs w:val="1"/>
                <w:color w:val="auto"/>
                <w:w w:val="97"/>
              </w:rPr>
              <w:t>Net Share Settlement Amount</w:t>
            </w:r>
            <w:r>
              <w:rPr>
                <w:rFonts w:ascii="Times New Roman" w:cs="Times New Roman" w:eastAsia="Times New Roman" w:hAnsi="Times New Roman"/>
                <w:sz w:val="16"/>
                <w:szCs w:val="16"/>
                <w:color w:val="auto"/>
                <w:w w:val="97"/>
              </w:rPr>
              <w:t>”) equal</w:t>
            </w:r>
          </w:p>
        </w:tc>
      </w:tr>
      <w:tr>
        <w:trPr>
          <w:trHeight w:val="178"/>
        </w:trPr>
        <w:tc>
          <w:tcPr>
            <w:tcW w:w="2960" w:type="dxa"/>
            <w:vAlign w:val="bottom"/>
          </w:tcPr>
          <w:p>
            <w:pPr>
              <w:spacing w:after="0"/>
              <w:rPr>
                <w:sz w:val="15"/>
                <w:szCs w:val="15"/>
                <w:color w:val="auto"/>
              </w:rPr>
            </w:pPr>
          </w:p>
        </w:tc>
        <w:tc>
          <w:tcPr>
            <w:tcW w:w="668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6"/>
                <w:szCs w:val="16"/>
                <w:color w:val="auto"/>
              </w:rPr>
              <w:t>to the sum, for each Valid Day during the Settlement Averaging Period for each</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400"/>
              <w:spacing w:after="0" w:line="180" w:lineRule="exact"/>
              <w:rPr>
                <w:sz w:val="20"/>
                <w:szCs w:val="20"/>
                <w:color w:val="auto"/>
              </w:rPr>
            </w:pPr>
            <w:r>
              <w:rPr>
                <w:rFonts w:ascii="Times New Roman" w:cs="Times New Roman" w:eastAsia="Times New Roman" w:hAnsi="Times New Roman"/>
                <w:sz w:val="16"/>
                <w:szCs w:val="16"/>
                <w:color w:val="auto"/>
                <w:w w:val="97"/>
              </w:rPr>
              <w:t xml:space="preserve">such Option, of (i) (a) the Daily Option Value for such Valid Day, </w:t>
            </w:r>
            <w:r>
              <w:rPr>
                <w:rFonts w:ascii="Times New Roman" w:cs="Times New Roman" w:eastAsia="Times New Roman" w:hAnsi="Times New Roman"/>
                <w:sz w:val="16"/>
                <w:szCs w:val="16"/>
                <w:i w:val="1"/>
                <w:iCs w:val="1"/>
                <w:color w:val="auto"/>
                <w:w w:val="97"/>
              </w:rPr>
              <w:t>divided by</w:t>
            </w:r>
            <w:r>
              <w:rPr>
                <w:rFonts w:ascii="Times New Roman" w:cs="Times New Roman" w:eastAsia="Times New Roman" w:hAnsi="Times New Roman"/>
                <w:sz w:val="16"/>
                <w:szCs w:val="16"/>
                <w:color w:val="auto"/>
                <w:w w:val="97"/>
              </w:rPr>
              <w:t xml:space="preserve"> (b) the</w:t>
            </w:r>
          </w:p>
        </w:tc>
      </w:tr>
      <w:tr>
        <w:trPr>
          <w:trHeight w:val="182"/>
        </w:trPr>
        <w:tc>
          <w:tcPr>
            <w:tcW w:w="2960" w:type="dxa"/>
            <w:vAlign w:val="bottom"/>
          </w:tcPr>
          <w:p>
            <w:pPr>
              <w:spacing w:after="0"/>
              <w:rPr>
                <w:sz w:val="15"/>
                <w:szCs w:val="15"/>
                <w:color w:val="auto"/>
              </w:rPr>
            </w:pPr>
          </w:p>
        </w:tc>
        <w:tc>
          <w:tcPr>
            <w:tcW w:w="6680" w:type="dxa"/>
            <w:vAlign w:val="bottom"/>
            <w:gridSpan w:val="2"/>
          </w:tcPr>
          <w:p>
            <w:pPr>
              <w:ind w:left="1400"/>
              <w:spacing w:after="0" w:line="182" w:lineRule="exact"/>
              <w:rPr>
                <w:sz w:val="20"/>
                <w:szCs w:val="20"/>
                <w:color w:val="auto"/>
              </w:rPr>
            </w:pPr>
            <w:r>
              <w:rPr>
                <w:rFonts w:ascii="Times New Roman" w:cs="Times New Roman" w:eastAsia="Times New Roman" w:hAnsi="Times New Roman"/>
                <w:sz w:val="16"/>
                <w:szCs w:val="16"/>
                <w:color w:val="auto"/>
              </w:rPr>
              <w:t xml:space="preserve">Relevant Price on such Valid Day,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number of Valid Days in the</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Settlement Averaging Period.</w:t>
            </w:r>
          </w:p>
        </w:tc>
      </w:tr>
      <w:tr>
        <w:trPr>
          <w:trHeight w:val="337"/>
        </w:trPr>
        <w:tc>
          <w:tcPr>
            <w:tcW w:w="2960" w:type="dxa"/>
            <w:vAlign w:val="bottom"/>
          </w:tcPr>
          <w:p>
            <w:pPr>
              <w:spacing w:after="0"/>
              <w:rPr>
                <w:sz w:val="24"/>
                <w:szCs w:val="24"/>
                <w:color w:val="auto"/>
              </w:rPr>
            </w:pP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w w:val="98"/>
              </w:rPr>
              <w:t>Dealer will pay cash in lieu of delivering any fractional Shares to be delivered with</w:t>
            </w:r>
          </w:p>
        </w:tc>
      </w:tr>
      <w:tr>
        <w:trPr>
          <w:trHeight w:val="178"/>
        </w:trPr>
        <w:tc>
          <w:tcPr>
            <w:tcW w:w="2960" w:type="dxa"/>
            <w:vAlign w:val="bottom"/>
          </w:tcPr>
          <w:p>
            <w:pPr>
              <w:spacing w:after="0"/>
              <w:rPr>
                <w:sz w:val="15"/>
                <w:szCs w:val="15"/>
                <w:color w:val="auto"/>
              </w:rPr>
            </w:pPr>
          </w:p>
        </w:tc>
        <w:tc>
          <w:tcPr>
            <w:tcW w:w="668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6"/>
                <w:szCs w:val="16"/>
                <w:color w:val="auto"/>
                <w:w w:val="97"/>
              </w:rPr>
              <w:t>respect to any Net Share Settlement Amount valued at the Relevant Price for the last</w:t>
            </w:r>
          </w:p>
        </w:tc>
      </w:tr>
      <w:tr>
        <w:trPr>
          <w:trHeight w:val="182"/>
        </w:trPr>
        <w:tc>
          <w:tcPr>
            <w:tcW w:w="2960" w:type="dxa"/>
            <w:vAlign w:val="bottom"/>
          </w:tcPr>
          <w:p>
            <w:pPr>
              <w:spacing w:after="0"/>
              <w:rPr>
                <w:sz w:val="15"/>
                <w:szCs w:val="15"/>
                <w:color w:val="auto"/>
              </w:rPr>
            </w:pPr>
          </w:p>
        </w:tc>
        <w:tc>
          <w:tcPr>
            <w:tcW w:w="6680" w:type="dxa"/>
            <w:vAlign w:val="bottom"/>
            <w:gridSpan w:val="2"/>
          </w:tcPr>
          <w:p>
            <w:pPr>
              <w:ind w:left="1400"/>
              <w:spacing w:after="0" w:line="182" w:lineRule="exact"/>
              <w:rPr>
                <w:sz w:val="20"/>
                <w:szCs w:val="20"/>
                <w:color w:val="auto"/>
              </w:rPr>
            </w:pPr>
            <w:r>
              <w:rPr>
                <w:rFonts w:ascii="Times New Roman" w:cs="Times New Roman" w:eastAsia="Times New Roman" w:hAnsi="Times New Roman"/>
                <w:sz w:val="16"/>
                <w:szCs w:val="16"/>
                <w:color w:val="auto"/>
              </w:rPr>
              <w:t xml:space="preserve">Valid Day of the Settlement Averaging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w:t>
            </w:r>
          </w:p>
        </w:tc>
      </w:tr>
      <w:tr>
        <w:trPr>
          <w:trHeight w:val="178"/>
        </w:trPr>
        <w:tc>
          <w:tcPr>
            <w:tcW w:w="2960" w:type="dxa"/>
            <w:vAlign w:val="bottom"/>
          </w:tcPr>
          <w:p>
            <w:pPr>
              <w:spacing w:after="0"/>
              <w:rPr>
                <w:sz w:val="15"/>
                <w:szCs w:val="15"/>
                <w:color w:val="auto"/>
              </w:rPr>
            </w:pPr>
          </w:p>
        </w:tc>
        <w:tc>
          <w:tcPr>
            <w:tcW w:w="668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6"/>
                <w:szCs w:val="16"/>
                <w:color w:val="auto"/>
              </w:rPr>
              <w:t>Net Share Settlement Amount for any Option exceed a number of Shares equal to</w:t>
            </w:r>
          </w:p>
        </w:tc>
      </w:tr>
      <w:tr>
        <w:trPr>
          <w:trHeight w:val="182"/>
        </w:trPr>
        <w:tc>
          <w:tcPr>
            <w:tcW w:w="2960" w:type="dxa"/>
            <w:vAlign w:val="bottom"/>
          </w:tcPr>
          <w:p>
            <w:pPr>
              <w:spacing w:after="0"/>
              <w:rPr>
                <w:sz w:val="15"/>
                <w:szCs w:val="15"/>
                <w:color w:val="auto"/>
              </w:rPr>
            </w:pPr>
          </w:p>
        </w:tc>
        <w:tc>
          <w:tcPr>
            <w:tcW w:w="6680" w:type="dxa"/>
            <w:vAlign w:val="bottom"/>
            <w:gridSpan w:val="2"/>
          </w:tcPr>
          <w:p>
            <w:pPr>
              <w:ind w:left="1400"/>
              <w:spacing w:after="0" w:line="182" w:lineRule="exact"/>
              <w:rPr>
                <w:sz w:val="20"/>
                <w:szCs w:val="20"/>
                <w:color w:val="auto"/>
              </w:rPr>
            </w:pPr>
            <w:r>
              <w:rPr>
                <w:rFonts w:ascii="Times New Roman" w:cs="Times New Roman" w:eastAsia="Times New Roman" w:hAnsi="Times New Roman"/>
                <w:sz w:val="16"/>
                <w:szCs w:val="16"/>
                <w:color w:val="auto"/>
              </w:rPr>
              <w:t xml:space="preserve">the Applicable Limit for such Option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Applicable Limit Price on the</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Settlement Date for such Option.</w:t>
            </w:r>
          </w:p>
        </w:tc>
      </w:tr>
      <w:tr>
        <w:trPr>
          <w:trHeight w:val="33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Combination Settlement:</w:t>
            </w:r>
          </w:p>
        </w:tc>
        <w:tc>
          <w:tcPr>
            <w:tcW w:w="16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If</w:t>
            </w:r>
          </w:p>
        </w:tc>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Combination Settlement is applicable to any Option exercised or deemed</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400"/>
              <w:spacing w:after="0" w:line="180" w:lineRule="exact"/>
              <w:rPr>
                <w:sz w:val="20"/>
                <w:szCs w:val="20"/>
                <w:color w:val="auto"/>
              </w:rPr>
            </w:pPr>
            <w:r>
              <w:rPr>
                <w:rFonts w:ascii="Times New Roman" w:cs="Times New Roman" w:eastAsia="Times New Roman" w:hAnsi="Times New Roman"/>
                <w:sz w:val="16"/>
                <w:szCs w:val="16"/>
                <w:color w:val="auto"/>
                <w:w w:val="97"/>
              </w:rPr>
              <w:t>exercised hereunder, Dealer will pay or deliver, as the case may be, to Counterparty,</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on the relevant Settlement Date for each such Option:</w:t>
            </w:r>
          </w:p>
        </w:tc>
      </w:tr>
      <w:tr>
        <w:trPr>
          <w:trHeight w:val="337"/>
        </w:trPr>
        <w:tc>
          <w:tcPr>
            <w:tcW w:w="296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(i)</w:t>
            </w: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(the “</w:t>
            </w:r>
            <w:r>
              <w:rPr>
                <w:rFonts w:ascii="Times New Roman" w:cs="Times New Roman" w:eastAsia="Times New Roman" w:hAnsi="Times New Roman"/>
                <w:sz w:val="16"/>
                <w:szCs w:val="16"/>
                <w:b w:val="1"/>
                <w:bCs w:val="1"/>
                <w:color w:val="auto"/>
              </w:rPr>
              <w:t>Combination Settlement Cash Amount</w:t>
            </w:r>
            <w:r>
              <w:rPr>
                <w:rFonts w:ascii="Times New Roman" w:cs="Times New Roman" w:eastAsia="Times New Roman" w:hAnsi="Times New Roman"/>
                <w:sz w:val="16"/>
                <w:szCs w:val="16"/>
                <w:color w:val="auto"/>
              </w:rPr>
              <w:t>”) equal to the sum, for</w:t>
            </w:r>
          </w:p>
        </w:tc>
      </w:tr>
      <w:tr>
        <w:trPr>
          <w:trHeight w:val="178"/>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78" w:lineRule="exact"/>
              <w:rPr>
                <w:sz w:val="20"/>
                <w:szCs w:val="20"/>
                <w:color w:val="auto"/>
              </w:rPr>
            </w:pPr>
            <w:r>
              <w:rPr>
                <w:rFonts w:ascii="Times New Roman" w:cs="Times New Roman" w:eastAsia="Times New Roman" w:hAnsi="Times New Roman"/>
                <w:sz w:val="16"/>
                <w:szCs w:val="16"/>
                <w:color w:val="auto"/>
                <w:w w:val="99"/>
              </w:rPr>
              <w:t>each Valid Day during the Settlement Averaging Period for such Option, of</w:t>
            </w:r>
          </w:p>
        </w:tc>
      </w:tr>
      <w:tr>
        <w:trPr>
          <w:trHeight w:val="182"/>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2" w:lineRule="exact"/>
              <w:rPr>
                <w:sz w:val="20"/>
                <w:szCs w:val="20"/>
                <w:color w:val="auto"/>
              </w:rPr>
            </w:pPr>
            <w:r>
              <w:rPr>
                <w:rFonts w:ascii="Times New Roman" w:cs="Times New Roman" w:eastAsia="Times New Roman" w:hAnsi="Times New Roman"/>
                <w:sz w:val="16"/>
                <w:szCs w:val="16"/>
                <w:color w:val="auto"/>
                <w:w w:val="98"/>
              </w:rPr>
              <w:t>(A) an amount (the “</w:t>
            </w:r>
            <w:r>
              <w:rPr>
                <w:rFonts w:ascii="Times New Roman" w:cs="Times New Roman" w:eastAsia="Times New Roman" w:hAnsi="Times New Roman"/>
                <w:sz w:val="16"/>
                <w:szCs w:val="16"/>
                <w:b w:val="1"/>
                <w:bCs w:val="1"/>
                <w:color w:val="auto"/>
                <w:w w:val="98"/>
              </w:rPr>
              <w:t>Daily Combination Settlement Cash Amount</w:t>
            </w:r>
            <w:r>
              <w:rPr>
                <w:rFonts w:ascii="Times New Roman" w:cs="Times New Roman" w:eastAsia="Times New Roman" w:hAnsi="Times New Roman"/>
                <w:sz w:val="16"/>
                <w:szCs w:val="16"/>
                <w:color w:val="auto"/>
                <w:w w:val="98"/>
              </w:rPr>
              <w:t>”) equal</w:t>
            </w:r>
          </w:p>
        </w:tc>
      </w:tr>
      <w:tr>
        <w:trPr>
          <w:trHeight w:val="178"/>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78" w:lineRule="exact"/>
              <w:rPr>
                <w:sz w:val="20"/>
                <w:szCs w:val="20"/>
                <w:color w:val="auto"/>
              </w:rPr>
            </w:pPr>
            <w:r>
              <w:rPr>
                <w:rFonts w:ascii="Times New Roman" w:cs="Times New Roman" w:eastAsia="Times New Roman" w:hAnsi="Times New Roman"/>
                <w:sz w:val="16"/>
                <w:szCs w:val="16"/>
                <w:color w:val="auto"/>
              </w:rPr>
              <w:t>to the lesser of (1) the product of (x) the Applicable Percentage and (y) the</w:t>
            </w:r>
          </w:p>
        </w:tc>
      </w:tr>
      <w:tr>
        <w:trPr>
          <w:trHeight w:val="180"/>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 xml:space="preserve">Specified Cash Amount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USD 1,000 and (2) the Daily Option Value,</w:t>
            </w:r>
          </w:p>
        </w:tc>
      </w:tr>
      <w:tr>
        <w:trPr>
          <w:trHeight w:val="180"/>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i w:val="1"/>
                <w:iCs w:val="1"/>
                <w:color w:val="auto"/>
                <w:w w:val="97"/>
              </w:rPr>
              <w:t xml:space="preserve">divided by </w:t>
            </w:r>
            <w:r>
              <w:rPr>
                <w:rFonts w:ascii="Times New Roman" w:cs="Times New Roman" w:eastAsia="Times New Roman" w:hAnsi="Times New Roman"/>
                <w:sz w:val="16"/>
                <w:szCs w:val="16"/>
                <w:color w:val="auto"/>
                <w:w w:val="97"/>
              </w:rPr>
              <w:t>(B) the number of Valid Days in the Settlement Averaging Period;</w:t>
            </w:r>
          </w:p>
        </w:tc>
      </w:tr>
      <w:tr>
        <w:trPr>
          <w:trHeight w:val="182"/>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2" w:lineRule="exact"/>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if the calculation in clause (A) above results in zero or a</w:t>
            </w:r>
          </w:p>
        </w:tc>
      </w:tr>
      <w:tr>
        <w:trPr>
          <w:trHeight w:val="180"/>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w w:val="98"/>
              </w:rPr>
              <w:t>negative number for any Valid Day, the Daily Combination Settlement Cash</w:t>
            </w:r>
          </w:p>
        </w:tc>
      </w:tr>
      <w:tr>
        <w:trPr>
          <w:trHeight w:val="203"/>
        </w:trPr>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for such Valid Day shall be deemed to be zero; and</w:t>
            </w:r>
          </w:p>
        </w:tc>
      </w:tr>
      <w:tr>
        <w:trPr>
          <w:trHeight w:val="505"/>
        </w:trPr>
        <w:tc>
          <w:tcPr>
            <w:tcW w:w="296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6"/>
                <w:szCs w:val="16"/>
                <w:color w:val="auto"/>
                <w:w w:val="91"/>
              </w:rPr>
              <w:t>(ii)</w:t>
            </w: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(the “</w:t>
            </w:r>
            <w:r>
              <w:rPr>
                <w:rFonts w:ascii="Times New Roman" w:cs="Times New Roman" w:eastAsia="Times New Roman" w:hAnsi="Times New Roman"/>
                <w:sz w:val="16"/>
                <w:szCs w:val="16"/>
                <w:b w:val="1"/>
                <w:bCs w:val="1"/>
                <w:color w:val="auto"/>
              </w:rPr>
              <w:t>Combination Settlement Share Amount</w:t>
            </w:r>
            <w:r>
              <w:rPr>
                <w:rFonts w:ascii="Times New Roman" w:cs="Times New Roman" w:eastAsia="Times New Roman" w:hAnsi="Times New Roman"/>
                <w:sz w:val="16"/>
                <w:szCs w:val="16"/>
                <w:color w:val="auto"/>
              </w:rPr>
              <w:t>”) equal to the sum,</w:t>
            </w:r>
          </w:p>
        </w:tc>
      </w:tr>
      <w:tr>
        <w:trPr>
          <w:trHeight w:val="178"/>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78" w:lineRule="exact"/>
              <w:rPr>
                <w:sz w:val="20"/>
                <w:szCs w:val="20"/>
                <w:color w:val="auto"/>
              </w:rPr>
            </w:pPr>
            <w:r>
              <w:rPr>
                <w:rFonts w:ascii="Times New Roman" w:cs="Times New Roman" w:eastAsia="Times New Roman" w:hAnsi="Times New Roman"/>
                <w:sz w:val="16"/>
                <w:szCs w:val="16"/>
                <w:color w:val="auto"/>
                <w:w w:val="98"/>
              </w:rPr>
              <w:t>for each Valid Day during the Settlement Averaging Period for such Option,</w:t>
            </w:r>
          </w:p>
        </w:tc>
      </w:tr>
      <w:tr>
        <w:trPr>
          <w:trHeight w:val="180"/>
        </w:trPr>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 xml:space="preserve">of a number of Shares for such Valid Day (the “ </w:t>
            </w:r>
            <w:r>
              <w:rPr>
                <w:rFonts w:ascii="Times New Roman" w:cs="Times New Roman" w:eastAsia="Times New Roman" w:hAnsi="Times New Roman"/>
                <w:sz w:val="16"/>
                <w:szCs w:val="16"/>
                <w:b w:val="1"/>
                <w:bCs w:val="1"/>
                <w:color w:val="auto"/>
              </w:rPr>
              <w:t>Daily Combination</w:t>
            </w:r>
          </w:p>
        </w:tc>
      </w:tr>
      <w:tr>
        <w:trPr>
          <w:trHeight w:val="200"/>
        </w:trPr>
        <w:tc>
          <w:tcPr>
            <w:tcW w:w="2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Settlement Share Amount </w:t>
            </w:r>
            <w:r>
              <w:rPr>
                <w:rFonts w:ascii="Times New Roman" w:cs="Times New Roman" w:eastAsia="Times New Roman" w:hAnsi="Times New Roman"/>
                <w:sz w:val="16"/>
                <w:szCs w:val="16"/>
                <w:color w:val="auto"/>
              </w:rPr>
              <w:t>”) equal to (A) (1) the Daily Option Value on</w:t>
            </w:r>
          </w:p>
        </w:tc>
      </w:tr>
    </w:tbl>
    <w:p>
      <w:pPr>
        <w:ind w:left="4940"/>
        <w:spacing w:after="0" w:line="234" w:lineRule="auto"/>
        <w:rPr>
          <w:sz w:val="20"/>
          <w:szCs w:val="20"/>
          <w:color w:val="auto"/>
        </w:rPr>
      </w:pPr>
      <w:r>
        <w:rPr>
          <w:rFonts w:ascii="Times New Roman" w:cs="Times New Roman" w:eastAsia="Times New Roman" w:hAnsi="Times New Roman"/>
          <w:sz w:val="16"/>
          <w:szCs w:val="16"/>
          <w:color w:val="auto"/>
        </w:rPr>
        <w:t xml:space="preserve">such Valid Day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Daily Combination Settlement Cash Amount for</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 xml:space="preserve">such Valid Day,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(2) the Relevant Price on such Valid Day, </w:t>
      </w:r>
      <w:r>
        <w:rPr>
          <w:rFonts w:ascii="Times New Roman" w:cs="Times New Roman" w:eastAsia="Times New Roman" w:hAnsi="Times New Roman"/>
          <w:sz w:val="14"/>
          <w:szCs w:val="14"/>
          <w:i w:val="1"/>
          <w:iCs w:val="1"/>
          <w:color w:val="auto"/>
        </w:rPr>
        <w:t>divided</w:t>
      </w:r>
    </w:p>
    <w:p>
      <w:pPr>
        <w:spacing w:after="0" w:line="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(B) the number of Valid Days in the Settlement Averaging Period;</w:t>
      </w:r>
    </w:p>
    <w:p>
      <w:pPr>
        <w:ind w:left="4940"/>
        <w:spacing w:after="0"/>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if the calculation in sub-clause (A)(1) above results in zero or a</w:t>
      </w:r>
    </w:p>
    <w:p>
      <w:pPr>
        <w:spacing w:after="0" w:line="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negative number for any Valid Day, the Daily Combination Settlement Share</w:t>
      </w:r>
    </w:p>
    <w:p>
      <w:pPr>
        <w:spacing w:after="0" w:line="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Amount for such Valid Day shall be deemed to be zero;</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1" w:right="66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no event shall the sum of (x) the Combination Settlement Cash</w:t>
            </w:r>
          </w:p>
        </w:tc>
      </w:tr>
      <w:tr>
        <w:trPr>
          <w:trHeight w:val="178"/>
        </w:trPr>
        <w:tc>
          <w:tcPr>
            <w:tcW w:w="3820" w:type="dxa"/>
            <w:vAlign w:val="bottom"/>
          </w:tcPr>
          <w:p>
            <w:pPr>
              <w:spacing w:after="0"/>
              <w:rPr>
                <w:sz w:val="15"/>
                <w:szCs w:val="15"/>
                <w:color w:val="auto"/>
              </w:rPr>
            </w:pPr>
          </w:p>
        </w:tc>
        <w:tc>
          <w:tcPr>
            <w:tcW w:w="6760" w:type="dxa"/>
            <w:vAlign w:val="bottom"/>
            <w:gridSpan w:val="2"/>
          </w:tcPr>
          <w:p>
            <w:pPr>
              <w:ind w:left="1460"/>
              <w:spacing w:after="0" w:line="178" w:lineRule="exact"/>
              <w:rPr>
                <w:sz w:val="20"/>
                <w:szCs w:val="20"/>
                <w:color w:val="auto"/>
              </w:rPr>
            </w:pPr>
            <w:r>
              <w:rPr>
                <w:rFonts w:ascii="Times New Roman" w:cs="Times New Roman" w:eastAsia="Times New Roman" w:hAnsi="Times New Roman"/>
                <w:sz w:val="16"/>
                <w:szCs w:val="16"/>
                <w:color w:val="auto"/>
                <w:w w:val="98"/>
              </w:rPr>
              <w:t>Amount for any Option and (y) the Combination Settlement Share Amount for such</w:t>
            </w:r>
          </w:p>
        </w:tc>
      </w:tr>
      <w:tr>
        <w:trPr>
          <w:trHeight w:val="182"/>
        </w:trPr>
        <w:tc>
          <w:tcPr>
            <w:tcW w:w="3820" w:type="dxa"/>
            <w:vAlign w:val="bottom"/>
          </w:tcPr>
          <w:p>
            <w:pPr>
              <w:spacing w:after="0"/>
              <w:rPr>
                <w:sz w:val="15"/>
                <w:szCs w:val="15"/>
                <w:color w:val="auto"/>
              </w:rPr>
            </w:pPr>
          </w:p>
        </w:tc>
        <w:tc>
          <w:tcPr>
            <w:tcW w:w="676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rPr>
              <w:t xml:space="preserve">Option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Applicable Limit Price on the Settlement Date for such</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Option exceed the Applicable Limit for such Option.</w:t>
            </w:r>
          </w:p>
        </w:tc>
      </w:tr>
      <w:tr>
        <w:trPr>
          <w:trHeight w:val="337"/>
        </w:trPr>
        <w:tc>
          <w:tcPr>
            <w:tcW w:w="3820" w:type="dxa"/>
            <w:vAlign w:val="bottom"/>
          </w:tcPr>
          <w:p>
            <w:pPr>
              <w:spacing w:after="0"/>
              <w:rPr>
                <w:sz w:val="24"/>
                <w:szCs w:val="24"/>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9"/>
              </w:rPr>
              <w:t>Dealer will pay cash in lieu of delivering any fractional Shares to be delivered with</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9"/>
              </w:rPr>
              <w:t>respect to any Combination Settlement Share Amount valued at the Relevant Price</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for the last Valid Day of the Settlement Averaging Period.</w:t>
            </w:r>
          </w:p>
        </w:tc>
      </w:tr>
      <w:tr>
        <w:trPr>
          <w:trHeight w:val="337"/>
        </w:trPr>
        <w:tc>
          <w:tcPr>
            <w:tcW w:w="3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Cash Settlement:</w:t>
            </w: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If Cash Settlement is applicable to any Option exercised or deemed exercised</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hereunder, in lieu of Section 8.1 of the Equity Definitions, Dealer will pay to</w:t>
            </w:r>
          </w:p>
        </w:tc>
      </w:tr>
      <w:tr>
        <w:trPr>
          <w:trHeight w:val="178"/>
        </w:trPr>
        <w:tc>
          <w:tcPr>
            <w:tcW w:w="3820" w:type="dxa"/>
            <w:vAlign w:val="bottom"/>
          </w:tcPr>
          <w:p>
            <w:pPr>
              <w:spacing w:after="0"/>
              <w:rPr>
                <w:sz w:val="15"/>
                <w:szCs w:val="15"/>
                <w:color w:val="auto"/>
              </w:rPr>
            </w:pPr>
          </w:p>
        </w:tc>
        <w:tc>
          <w:tcPr>
            <w:tcW w:w="6760" w:type="dxa"/>
            <w:vAlign w:val="bottom"/>
            <w:gridSpan w:val="2"/>
          </w:tcPr>
          <w:p>
            <w:pPr>
              <w:ind w:left="1460"/>
              <w:spacing w:after="0" w:line="178" w:lineRule="exact"/>
              <w:rPr>
                <w:sz w:val="20"/>
                <w:szCs w:val="20"/>
                <w:color w:val="auto"/>
              </w:rPr>
            </w:pPr>
            <w:r>
              <w:rPr>
                <w:rFonts w:ascii="Times New Roman" w:cs="Times New Roman" w:eastAsia="Times New Roman" w:hAnsi="Times New Roman"/>
                <w:sz w:val="16"/>
                <w:szCs w:val="16"/>
                <w:color w:val="auto"/>
              </w:rPr>
              <w:t>Counterparty, on the relevant Settlement Date for each such Option, an amount of</w:t>
            </w:r>
          </w:p>
        </w:tc>
      </w:tr>
      <w:tr>
        <w:trPr>
          <w:trHeight w:val="182"/>
        </w:trPr>
        <w:tc>
          <w:tcPr>
            <w:tcW w:w="3820" w:type="dxa"/>
            <w:vAlign w:val="bottom"/>
          </w:tcPr>
          <w:p>
            <w:pPr>
              <w:spacing w:after="0"/>
              <w:rPr>
                <w:sz w:val="15"/>
                <w:szCs w:val="15"/>
                <w:color w:val="auto"/>
              </w:rPr>
            </w:pPr>
          </w:p>
        </w:tc>
        <w:tc>
          <w:tcPr>
            <w:tcW w:w="676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w w:val="98"/>
              </w:rPr>
              <w:t>cash (the “</w:t>
            </w:r>
            <w:r>
              <w:rPr>
                <w:rFonts w:ascii="Times New Roman" w:cs="Times New Roman" w:eastAsia="Times New Roman" w:hAnsi="Times New Roman"/>
                <w:sz w:val="16"/>
                <w:szCs w:val="16"/>
                <w:b w:val="1"/>
                <w:bCs w:val="1"/>
                <w:color w:val="auto"/>
                <w:w w:val="98"/>
              </w:rPr>
              <w:t>Cash Settlement Amount</w:t>
            </w:r>
            <w:r>
              <w:rPr>
                <w:rFonts w:ascii="Times New Roman" w:cs="Times New Roman" w:eastAsia="Times New Roman" w:hAnsi="Times New Roman"/>
                <w:sz w:val="16"/>
                <w:szCs w:val="16"/>
                <w:color w:val="auto"/>
                <w:w w:val="98"/>
              </w:rPr>
              <w:t>”) equal to the sum, for each Valid Day during</w:t>
            </w:r>
          </w:p>
        </w:tc>
      </w:tr>
      <w:tr>
        <w:trPr>
          <w:trHeight w:val="178"/>
        </w:trPr>
        <w:tc>
          <w:tcPr>
            <w:tcW w:w="3820" w:type="dxa"/>
            <w:vAlign w:val="bottom"/>
          </w:tcPr>
          <w:p>
            <w:pPr>
              <w:spacing w:after="0"/>
              <w:rPr>
                <w:sz w:val="15"/>
                <w:szCs w:val="15"/>
                <w:color w:val="auto"/>
              </w:rPr>
            </w:pPr>
          </w:p>
        </w:tc>
        <w:tc>
          <w:tcPr>
            <w:tcW w:w="6760" w:type="dxa"/>
            <w:vAlign w:val="bottom"/>
            <w:gridSpan w:val="2"/>
          </w:tcPr>
          <w:p>
            <w:pPr>
              <w:ind w:left="1460"/>
              <w:spacing w:after="0" w:line="178" w:lineRule="exact"/>
              <w:rPr>
                <w:sz w:val="20"/>
                <w:szCs w:val="20"/>
                <w:color w:val="auto"/>
              </w:rPr>
            </w:pPr>
            <w:r>
              <w:rPr>
                <w:rFonts w:ascii="Times New Roman" w:cs="Times New Roman" w:eastAsia="Times New Roman" w:hAnsi="Times New Roman"/>
                <w:sz w:val="16"/>
                <w:szCs w:val="16"/>
                <w:color w:val="auto"/>
                <w:w w:val="99"/>
              </w:rPr>
              <w:t>the Settlement Averaging Period for such Option, of (i) the Daily Option Value for</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 xml:space="preserve">such  Valid  Day,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number of Valid Days in the Settlement</w:t>
            </w:r>
          </w:p>
        </w:tc>
      </w:tr>
      <w:tr>
        <w:trPr>
          <w:trHeight w:val="182"/>
        </w:trPr>
        <w:tc>
          <w:tcPr>
            <w:tcW w:w="3820" w:type="dxa"/>
            <w:vAlign w:val="bottom"/>
          </w:tcPr>
          <w:p>
            <w:pPr>
              <w:spacing w:after="0"/>
              <w:rPr>
                <w:sz w:val="15"/>
                <w:szCs w:val="15"/>
                <w:color w:val="auto"/>
              </w:rPr>
            </w:pPr>
          </w:p>
        </w:tc>
        <w:tc>
          <w:tcPr>
            <w:tcW w:w="676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rPr>
              <w:t xml:space="preserve">Averaging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Cash Settlement Amount for</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any Option exceed the Applicable Limit for such Option.</w:t>
            </w:r>
          </w:p>
        </w:tc>
      </w:tr>
      <w:tr>
        <w:trPr>
          <w:trHeight w:val="335"/>
        </w:trPr>
        <w:tc>
          <w:tcPr>
            <w:tcW w:w="3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Daily Option Value:</w:t>
            </w: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For any Valid Day, an amount equal to (i) the Option Entitlement on such Valid</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 xml:space="preserve">Day,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(A) the lesser of the Relevant Price on such Valid Day and</w:t>
            </w:r>
          </w:p>
        </w:tc>
      </w:tr>
      <w:tr>
        <w:trPr>
          <w:trHeight w:val="182"/>
        </w:trPr>
        <w:tc>
          <w:tcPr>
            <w:tcW w:w="3820" w:type="dxa"/>
            <w:vAlign w:val="bottom"/>
          </w:tcPr>
          <w:p>
            <w:pPr>
              <w:spacing w:after="0"/>
              <w:rPr>
                <w:sz w:val="15"/>
                <w:szCs w:val="15"/>
                <w:color w:val="auto"/>
              </w:rPr>
            </w:pPr>
          </w:p>
        </w:tc>
        <w:tc>
          <w:tcPr>
            <w:tcW w:w="676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rPr>
              <w:t xml:space="preserve">the Cap Price,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Strike Price on such Valid Day;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calculation contained in clause (ii) above results in a negative number, the Daily</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Option Value for such Valid Day shall be deemed to be zero. In no event will the</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Daily Option Value be less than zero.</w:t>
            </w:r>
          </w:p>
        </w:tc>
      </w:tr>
      <w:tr>
        <w:trPr>
          <w:trHeight w:val="337"/>
        </w:trPr>
        <w:tc>
          <w:tcPr>
            <w:tcW w:w="3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Applicable Limit:</w:t>
            </w: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8"/>
              </w:rPr>
              <w:t xml:space="preserve">For any Option, an amount of cash equal to the Applicable Percentage </w:t>
            </w:r>
            <w:r>
              <w:rPr>
                <w:rFonts w:ascii="Times New Roman" w:cs="Times New Roman" w:eastAsia="Times New Roman" w:hAnsi="Times New Roman"/>
                <w:sz w:val="16"/>
                <w:szCs w:val="16"/>
                <w:i w:val="1"/>
                <w:iCs w:val="1"/>
                <w:color w:val="auto"/>
                <w:w w:val="98"/>
              </w:rPr>
              <w:t>multiplied by</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the excess of (i) the aggregate of (A) the amount of cash paid to the “Holder” (as</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such term is defined in the Indenture) of the related Convertible Note upon</w:t>
            </w:r>
          </w:p>
        </w:tc>
      </w:tr>
      <w:tr>
        <w:trPr>
          <w:trHeight w:val="180"/>
        </w:trPr>
        <w:tc>
          <w:tcPr>
            <w:tcW w:w="3820" w:type="dxa"/>
            <w:vAlign w:val="bottom"/>
          </w:tcPr>
          <w:p>
            <w:pPr>
              <w:spacing w:after="0"/>
              <w:rPr>
                <w:sz w:val="15"/>
                <w:szCs w:val="15"/>
                <w:color w:val="auto"/>
              </w:rPr>
            </w:pPr>
          </w:p>
        </w:tc>
        <w:tc>
          <w:tcPr>
            <w:tcW w:w="676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7"/>
              </w:rPr>
              <w:t>conversion of such Convertible Note and (B) the number of Shares, if any, delivered</w:t>
            </w:r>
          </w:p>
        </w:tc>
      </w:tr>
      <w:tr>
        <w:trPr>
          <w:trHeight w:val="178"/>
        </w:trPr>
        <w:tc>
          <w:tcPr>
            <w:tcW w:w="3820" w:type="dxa"/>
            <w:vAlign w:val="bottom"/>
          </w:tcPr>
          <w:p>
            <w:pPr>
              <w:spacing w:after="0"/>
              <w:rPr>
                <w:sz w:val="15"/>
                <w:szCs w:val="15"/>
                <w:color w:val="auto"/>
              </w:rPr>
            </w:pPr>
          </w:p>
        </w:tc>
        <w:tc>
          <w:tcPr>
            <w:tcW w:w="6760" w:type="dxa"/>
            <w:vAlign w:val="bottom"/>
            <w:gridSpan w:val="2"/>
          </w:tcPr>
          <w:p>
            <w:pPr>
              <w:ind w:left="1460"/>
              <w:spacing w:after="0" w:line="178" w:lineRule="exact"/>
              <w:rPr>
                <w:sz w:val="20"/>
                <w:szCs w:val="20"/>
                <w:color w:val="auto"/>
              </w:rPr>
            </w:pPr>
            <w:r>
              <w:rPr>
                <w:rFonts w:ascii="Times New Roman" w:cs="Times New Roman" w:eastAsia="Times New Roman" w:hAnsi="Times New Roman"/>
                <w:sz w:val="16"/>
                <w:szCs w:val="16"/>
                <w:color w:val="auto"/>
                <w:w w:val="99"/>
              </w:rPr>
              <w:t>to the “Holder” (as such term is defined in the Indenture) of the related Convertible</w:t>
            </w:r>
          </w:p>
        </w:tc>
      </w:tr>
      <w:tr>
        <w:trPr>
          <w:trHeight w:val="182"/>
        </w:trPr>
        <w:tc>
          <w:tcPr>
            <w:tcW w:w="3820" w:type="dxa"/>
            <w:vAlign w:val="bottom"/>
          </w:tcPr>
          <w:p>
            <w:pPr>
              <w:spacing w:after="0"/>
              <w:rPr>
                <w:sz w:val="15"/>
                <w:szCs w:val="15"/>
                <w:color w:val="auto"/>
              </w:rPr>
            </w:pPr>
          </w:p>
        </w:tc>
        <w:tc>
          <w:tcPr>
            <w:tcW w:w="676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w w:val="99"/>
              </w:rPr>
              <w:t xml:space="preserve">Note upon conversion of such Convertible Note </w:t>
            </w:r>
            <w:r>
              <w:rPr>
                <w:rFonts w:ascii="Times New Roman" w:cs="Times New Roman" w:eastAsia="Times New Roman" w:hAnsi="Times New Roman"/>
                <w:sz w:val="16"/>
                <w:szCs w:val="16"/>
                <w:i w:val="1"/>
                <w:iCs w:val="1"/>
                <w:color w:val="auto"/>
                <w:w w:val="99"/>
              </w:rPr>
              <w:t>multiplied by</w:t>
            </w:r>
            <w:r>
              <w:rPr>
                <w:rFonts w:ascii="Times New Roman" w:cs="Times New Roman" w:eastAsia="Times New Roman" w:hAnsi="Times New Roman"/>
                <w:sz w:val="16"/>
                <w:szCs w:val="16"/>
                <w:color w:val="auto"/>
                <w:w w:val="99"/>
              </w:rPr>
              <w:t xml:space="preserve"> the Applicable Limit</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Price on the Settlement Date for such Option, over (ii) USD 1,000.</w:t>
            </w:r>
          </w:p>
        </w:tc>
      </w:tr>
      <w:tr>
        <w:trPr>
          <w:trHeight w:val="337"/>
        </w:trPr>
        <w:tc>
          <w:tcPr>
            <w:tcW w:w="38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Applicable Limit Price:</w:t>
            </w: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On any day, the opening price as displayed under the heading “Op” on Bloomberg</w:t>
            </w:r>
          </w:p>
        </w:tc>
      </w:tr>
      <w:tr>
        <w:trPr>
          <w:trHeight w:val="203"/>
        </w:trPr>
        <w:tc>
          <w:tcPr>
            <w:tcW w:w="3820" w:type="dxa"/>
            <w:vAlign w:val="bottom"/>
          </w:tcPr>
          <w:p>
            <w:pPr>
              <w:spacing w:after="0"/>
              <w:rPr>
                <w:sz w:val="17"/>
                <w:szCs w:val="17"/>
                <w:color w:val="auto"/>
              </w:rPr>
            </w:pPr>
          </w:p>
        </w:tc>
        <w:tc>
          <w:tcPr>
            <w:tcW w:w="676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page [ ] &lt;equity&gt; (or any successor thereto).</w:t>
            </w:r>
          </w:p>
        </w:tc>
      </w:tr>
      <w:tr>
        <w:trPr>
          <w:trHeight w:val="360"/>
        </w:trPr>
        <w:tc>
          <w:tcPr>
            <w:tcW w:w="3820" w:type="dxa"/>
            <w:vAlign w:val="bottom"/>
          </w:tcPr>
          <w:p>
            <w:pPr>
              <w:spacing w:after="0"/>
              <w:rPr>
                <w:sz w:val="24"/>
                <w:szCs w:val="24"/>
                <w:color w:val="auto"/>
              </w:rPr>
            </w:pPr>
          </w:p>
        </w:tc>
        <w:tc>
          <w:tcPr>
            <w:tcW w:w="67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24"/>
                <w:szCs w:val="24"/>
                <w:color w:val="auto"/>
              </w:rPr>
            </w:pPr>
          </w:p>
        </w:tc>
      </w:tr>
      <w:tr>
        <w:trPr>
          <w:trHeight w:val="90"/>
        </w:trPr>
        <w:tc>
          <w:tcPr>
            <w:tcW w:w="382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1" w:right="66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Valid Day:</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7"/>
              </w:rPr>
              <w:t>A day on which (i) there is no Market Disruption Event and (ii) trading in the Shares</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generally occurs on the Exchange or, if the Shares are not then listed on the</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Exchange, on the principal other U.S. national or regional securities exchange on</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which the Shares are then listed or, if the Shares are not then listed on a U.S.</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8"/>
              </w:rPr>
              <w:t>national or regional securities exchange, on the principal other market on which the</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Shares are then listed or admitted for trading. If the Shares are not so listed or</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admitted for trading, then a “Valid Day” means a Business Day.</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Scheduled Valid Day:</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9"/>
              </w:rPr>
              <w:t>A day that is scheduled to be a Valid Day on the principal U.S. national or regional</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7"/>
              </w:rPr>
              <w:t>securities exchange or market on which the Shares are listed or admitted for trading.</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If the Shares are not so listed or admitted for trading, then “Scheduled Valid Day”</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means a Business Day.</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Business Day:</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8"/>
              </w:rPr>
              <w:t>Any day other than a Saturday, a Sunday or other day on which the Federal Reserve</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7"/>
              </w:rPr>
              <w:t>Bank of New York is authorized or required by law or executive order to close or be</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closed.</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Relevant Price:</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On any Valid Day, the per Share volume-weighted average price of the Shares as</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displayed under the heading “Bloomberg VWAP” on Bloomberg page “COHU</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&lt;equity&gt; AQR” (or if such page is not available, its equivalent successor page) in</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8"/>
              </w:rPr>
              <w:t>respect of the period from the scheduled open of trading until the scheduled close of</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trading of the primary trading session on such Valid Day (or if such volume-</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7"/>
              </w:rPr>
              <w:t>weighted average price is unavailable at such time, the market value of one Share on</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such Valid Day, as determined by the Calculation Agent in a commercially</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reasonable manner using, if practicable, a volume-weighted average method). The</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8"/>
              </w:rPr>
              <w:t>Relevant Price will be determined without regard to after-hours trading or any other</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trading outside of the regular trading session.</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Settlement Averaging Period:</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9"/>
              </w:rPr>
              <w:t>For any Option and regardless of the Settlement Method applicable to such Option,</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the 50 consecutive Valid Days commencing on, and including, the 51st Scheduled</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Valid Day immediately prior to the Expiration Date.</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Settlement Date:</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7"/>
              </w:rPr>
              <w:t>For any Option, the second Business Day immediately following the final Valid Day</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of the Settlement Averaging Period for such Option.</w:t>
            </w:r>
          </w:p>
        </w:tc>
      </w:tr>
      <w:tr>
        <w:trPr>
          <w:trHeight w:val="360"/>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Settlement Currency:</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USD</w:t>
            </w:r>
          </w:p>
        </w:tc>
      </w:tr>
      <w:tr>
        <w:trPr>
          <w:trHeight w:val="337"/>
        </w:trPr>
        <w:tc>
          <w:tcPr>
            <w:tcW w:w="40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Other Applicable Provisions:</w:t>
            </w: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w w:val="99"/>
              </w:rPr>
              <w:t>The provisions of Sections 9.1(c), 9.8, 9.9, 9.11, and 9.12 of the Equity Definitions</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will be applicable, except that all references in such provisions to “Physically-</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w w:val="99"/>
              </w:rPr>
              <w:t>settled” shall be read as references to “Share Settled”. “Share Settled” in relation to</w:t>
            </w:r>
          </w:p>
        </w:tc>
      </w:tr>
      <w:tr>
        <w:trPr>
          <w:trHeight w:val="180"/>
        </w:trPr>
        <w:tc>
          <w:tcPr>
            <w:tcW w:w="4000" w:type="dxa"/>
            <w:vAlign w:val="bottom"/>
          </w:tcPr>
          <w:p>
            <w:pPr>
              <w:spacing w:after="0"/>
              <w:rPr>
                <w:sz w:val="15"/>
                <w:szCs w:val="15"/>
                <w:color w:val="auto"/>
              </w:rPr>
            </w:pPr>
          </w:p>
        </w:tc>
        <w:tc>
          <w:tcPr>
            <w:tcW w:w="658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any  Option  means  that  Net  Share  Settlement  or  Combination  Settlement  is</w:t>
            </w:r>
          </w:p>
        </w:tc>
      </w:tr>
      <w:tr>
        <w:trPr>
          <w:trHeight w:val="203"/>
        </w:trPr>
        <w:tc>
          <w:tcPr>
            <w:tcW w:w="4000" w:type="dxa"/>
            <w:vAlign w:val="bottom"/>
          </w:tcPr>
          <w:p>
            <w:pPr>
              <w:spacing w:after="0"/>
              <w:rPr>
                <w:sz w:val="17"/>
                <w:szCs w:val="17"/>
                <w:color w:val="auto"/>
              </w:rPr>
            </w:pPr>
          </w:p>
        </w:tc>
        <w:tc>
          <w:tcPr>
            <w:tcW w:w="658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applicable to that Option.</w:t>
            </w:r>
          </w:p>
        </w:tc>
      </w:tr>
      <w:tr>
        <w:trPr>
          <w:trHeight w:val="360"/>
        </w:trPr>
        <w:tc>
          <w:tcPr>
            <w:tcW w:w="4000" w:type="dxa"/>
            <w:vAlign w:val="bottom"/>
          </w:tcPr>
          <w:p>
            <w:pPr>
              <w:spacing w:after="0"/>
              <w:rPr>
                <w:sz w:val="24"/>
                <w:szCs w:val="24"/>
                <w:color w:val="auto"/>
              </w:rPr>
            </w:pPr>
          </w:p>
        </w:tc>
        <w:tc>
          <w:tcPr>
            <w:tcW w:w="6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4"/>
                <w:szCs w:val="24"/>
                <w:color w:val="auto"/>
              </w:rPr>
            </w:pPr>
          </w:p>
        </w:tc>
      </w:tr>
      <w:tr>
        <w:trPr>
          <w:trHeight w:val="90"/>
        </w:trPr>
        <w:tc>
          <w:tcPr>
            <w:tcW w:w="4000" w:type="dxa"/>
            <w:vAlign w:val="bottom"/>
            <w:tcBorders>
              <w:bottom w:val="single" w:sz="8" w:color="auto"/>
            </w:tcBorders>
          </w:tcPr>
          <w:p>
            <w:pPr>
              <w:spacing w:after="0"/>
              <w:rPr>
                <w:sz w:val="7"/>
                <w:szCs w:val="7"/>
                <w:color w:val="auto"/>
              </w:rPr>
            </w:pPr>
          </w:p>
        </w:tc>
        <w:tc>
          <w:tcPr>
            <w:tcW w:w="6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1" w:right="66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Representation and Agreement:</w:t>
            </w:r>
          </w:p>
        </w:tc>
        <w:tc>
          <w:tcPr>
            <w:tcW w:w="6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Notwithstanding anything to the contrary in the Equity Definitions (including, but</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not limited to, Section 9.11 thereof), the parties acknowledge that (i) any Shares</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delivered to Counterparty shall be, upon delivery, subject to restrictions and</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limitations  arising  from  Counterparty’s  status  as  issuer  of  the  Shares  under</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applicable securities laws, (ii) Dealer may deliver any Shares required to be</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delivered hereunder in certificated form in lieu of delivery through the Clearance</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w w:val="98"/>
              </w:rPr>
              <w:t>System and (iii) any Shares delivered to Counterparty may be “restricted securities”</w:t>
            </w:r>
          </w:p>
        </w:tc>
      </w:tr>
      <w:tr>
        <w:trPr>
          <w:trHeight w:val="178"/>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78" w:lineRule="exact"/>
              <w:rPr>
                <w:sz w:val="20"/>
                <w:szCs w:val="20"/>
                <w:color w:val="auto"/>
              </w:rPr>
            </w:pPr>
            <w:r>
              <w:rPr>
                <w:rFonts w:ascii="Times New Roman" w:cs="Times New Roman" w:eastAsia="Times New Roman" w:hAnsi="Times New Roman"/>
                <w:sz w:val="16"/>
                <w:szCs w:val="16"/>
                <w:color w:val="auto"/>
              </w:rPr>
              <w:t>(as defined in Rule 144 under the Securities Act of 1933, as amended (the</w:t>
            </w:r>
          </w:p>
        </w:tc>
      </w:tr>
      <w:tr>
        <w:trPr>
          <w:trHeight w:val="205"/>
        </w:trPr>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w:t>
            </w:r>
          </w:p>
        </w:tc>
      </w:tr>
      <w:tr>
        <w:trPr>
          <w:trHeight w:val="326"/>
        </w:trPr>
        <w:tc>
          <w:tcPr>
            <w:tcW w:w="3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82"/>
              </w:rPr>
              <w:t>3</w:t>
            </w:r>
            <w:r>
              <w:rPr>
                <w:rFonts w:ascii="Times New Roman" w:cs="Times New Roman" w:eastAsia="Times New Roman" w:hAnsi="Times New Roman"/>
                <w:sz w:val="16"/>
                <w:szCs w:val="16"/>
                <w:color w:val="auto"/>
                <w:w w:val="82"/>
              </w:rPr>
              <w:t>.</w:t>
            </w:r>
          </w:p>
        </w:tc>
        <w:tc>
          <w:tcPr>
            <w:tcW w:w="26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Additional Terms applicable to the Transaction.</w:t>
            </w:r>
          </w:p>
        </w:tc>
        <w:tc>
          <w:tcPr>
            <w:tcW w:w="6020" w:type="dxa"/>
            <w:vAlign w:val="bottom"/>
          </w:tcPr>
          <w:p>
            <w:pPr>
              <w:spacing w:after="0"/>
              <w:rPr>
                <w:sz w:val="24"/>
                <w:szCs w:val="24"/>
                <w:color w:val="auto"/>
              </w:rPr>
            </w:pPr>
          </w:p>
        </w:tc>
      </w:tr>
      <w:tr>
        <w:trPr>
          <w:trHeight w:val="374"/>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Adjustments applicable to the Transaction:</w:t>
            </w:r>
          </w:p>
        </w:tc>
        <w:tc>
          <w:tcPr>
            <w:tcW w:w="78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337"/>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Potential Adjustment Events:</w:t>
            </w:r>
          </w:p>
        </w:tc>
        <w:tc>
          <w:tcPr>
            <w:tcW w:w="602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8"/>
              </w:rPr>
              <w:t>Notwithstanding Section 11.2(e) of the Equity Definitions, a “Potential Adjustment</w:t>
            </w:r>
          </w:p>
        </w:tc>
      </w:tr>
      <w:tr>
        <w:trPr>
          <w:trHeight w:val="180"/>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20" w:type="dxa"/>
            <w:vAlign w:val="bottom"/>
          </w:tcPr>
          <w:p>
            <w:pPr>
              <w:ind w:left="720"/>
              <w:spacing w:after="0" w:line="180" w:lineRule="exact"/>
              <w:rPr>
                <w:sz w:val="20"/>
                <w:szCs w:val="20"/>
                <w:color w:val="auto"/>
              </w:rPr>
            </w:pPr>
            <w:r>
              <w:rPr>
                <w:rFonts w:ascii="Times New Roman" w:cs="Times New Roman" w:eastAsia="Times New Roman" w:hAnsi="Times New Roman"/>
                <w:sz w:val="16"/>
                <w:szCs w:val="16"/>
                <w:color w:val="auto"/>
              </w:rPr>
              <w:t>Event” means an occurrence of any event or condition, as set forth in any Dilution</w:t>
            </w:r>
          </w:p>
        </w:tc>
      </w:tr>
      <w:tr>
        <w:trPr>
          <w:trHeight w:val="198"/>
        </w:trPr>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2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8"/>
              </w:rPr>
              <w:t>Adjustment Provision, that would result in an adjustment under the Indenture to the</w:t>
            </w:r>
          </w:p>
        </w:tc>
      </w:tr>
    </w:tbl>
    <w:p>
      <w:pPr>
        <w:jc w:val="both"/>
        <w:ind w:left="5280"/>
        <w:spacing w:after="0" w:line="268" w:lineRule="auto"/>
        <w:rPr>
          <w:sz w:val="20"/>
          <w:szCs w:val="20"/>
          <w:color w:val="auto"/>
        </w:rPr>
      </w:pPr>
      <w:r>
        <w:rPr>
          <w:rFonts w:ascii="Times New Roman" w:cs="Times New Roman" w:eastAsia="Times New Roman" w:hAnsi="Times New Roman"/>
          <w:sz w:val="14"/>
          <w:szCs w:val="14"/>
          <w:color w:val="auto"/>
        </w:rPr>
        <w:t>“Conversion Rate” or the composition of a “unit of Reference Property” or to any “Last Reported Sale Price,” “Daily VWAP,” “Daily Conversion Value,” “Daily Share Amount”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w:t>
      </w:r>
    </w:p>
    <w:p>
      <w:pPr>
        <w:ind w:left="5280"/>
        <w:spacing w:after="0" w:line="237" w:lineRule="auto"/>
        <w:rPr>
          <w:sz w:val="20"/>
          <w:szCs w:val="20"/>
          <w:color w:val="auto"/>
        </w:rPr>
      </w:pPr>
      <w:r>
        <w:rPr>
          <w:rFonts w:ascii="Times New Roman" w:cs="Times New Roman" w:eastAsia="Times New Roman" w:hAnsi="Times New Roman"/>
          <w:sz w:val="16"/>
          <w:szCs w:val="16"/>
          <w:color w:val="auto"/>
        </w:rPr>
        <w:t>participate, in each case, in lieu of an adjustment under the Indenture of the type</w:t>
      </w:r>
    </w:p>
    <w:p>
      <w:pPr>
        <w:ind w:left="5280"/>
        <w:spacing w:after="0" w:line="235" w:lineRule="auto"/>
        <w:rPr>
          <w:sz w:val="20"/>
          <w:szCs w:val="20"/>
          <w:color w:val="auto"/>
        </w:rPr>
      </w:pPr>
      <w:r>
        <w:rPr>
          <w:rFonts w:ascii="Times New Roman" w:cs="Times New Roman" w:eastAsia="Times New Roman" w:hAnsi="Times New Roman"/>
          <w:sz w:val="16"/>
          <w:szCs w:val="16"/>
          <w:color w:val="auto"/>
        </w:rPr>
        <w:t>referred to in the immediately preceding sentence (including, without limitation,</w:t>
      </w:r>
    </w:p>
    <w:p>
      <w:pPr>
        <w:ind w:left="5280"/>
        <w:spacing w:after="0" w:line="188" w:lineRule="auto"/>
        <w:rPr>
          <w:sz w:val="20"/>
          <w:szCs w:val="20"/>
          <w:color w:val="auto"/>
        </w:rPr>
      </w:pPr>
      <w:r>
        <w:rPr>
          <w:rFonts w:ascii="Times New Roman" w:cs="Times New Roman" w:eastAsia="Times New Roman" w:hAnsi="Times New Roman"/>
          <w:sz w:val="13"/>
          <w:szCs w:val="13"/>
          <w:color w:val="auto"/>
        </w:rPr>
        <w:t>pursuant to [the fourth sentence of the first paragraph of Section [14.04(c)]</w:t>
      </w:r>
      <w:r>
        <w:rPr>
          <w:rFonts w:ascii="Times New Roman" w:cs="Times New Roman" w:eastAsia="Times New Roman" w:hAnsi="Times New Roman"/>
          <w:sz w:val="20"/>
          <w:szCs w:val="20"/>
          <w:color w:val="auto"/>
          <w:vertAlign w:val="superscript"/>
        </w:rPr>
        <w:t>29</w:t>
      </w:r>
      <w:r>
        <w:rPr>
          <w:rFonts w:ascii="Times New Roman" w:cs="Times New Roman" w:eastAsia="Times New Roman" w:hAnsi="Times New Roman"/>
          <w:sz w:val="13"/>
          <w:szCs w:val="13"/>
          <w:color w:val="auto"/>
        </w:rPr>
        <w:t xml:space="preserve"> of the</w:t>
      </w:r>
    </w:p>
    <w:p>
      <w:pPr>
        <w:ind w:left="5280"/>
        <w:spacing w:after="0"/>
        <w:rPr>
          <w:sz w:val="20"/>
          <w:szCs w:val="20"/>
          <w:color w:val="auto"/>
        </w:rPr>
      </w:pPr>
      <w:r>
        <w:rPr>
          <w:rFonts w:ascii="Times New Roman" w:cs="Times New Roman" w:eastAsia="Times New Roman" w:hAnsi="Times New Roman"/>
          <w:sz w:val="16"/>
          <w:szCs w:val="16"/>
          <w:color w:val="auto"/>
        </w:rPr>
        <w:t>Indenture] or [the fourth sentence of Section 14.04(d)]</w:t>
      </w:r>
      <w:r>
        <w:rPr>
          <w:rFonts w:ascii="Times New Roman" w:cs="Times New Roman" w:eastAsia="Times New Roman" w:hAnsi="Times New Roman"/>
          <w:sz w:val="26"/>
          <w:szCs w:val="26"/>
          <w:color w:val="auto"/>
          <w:vertAlign w:val="superscript"/>
        </w:rPr>
        <w:t>30</w:t>
      </w:r>
      <w:r>
        <w:rPr>
          <w:rFonts w:ascii="Times New Roman" w:cs="Times New Roman" w:eastAsia="Times New Roman" w:hAnsi="Times New Roman"/>
          <w:sz w:val="16"/>
          <w:szCs w:val="16"/>
          <w:color w:val="auto"/>
        </w:rPr>
        <w:t xml:space="preserv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705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12" w:lineRule="exact"/>
        <w:rPr>
          <w:sz w:val="20"/>
          <w:szCs w:val="20"/>
          <w:color w:val="auto"/>
        </w:rPr>
      </w:pPr>
    </w:p>
    <w:p>
      <w:pPr>
        <w:ind w:right="20" w:firstLine="6"/>
        <w:spacing w:after="0"/>
        <w:tabs>
          <w:tab w:leader="none" w:pos="157" w:val="left"/>
        </w:tabs>
        <w:numPr>
          <w:ilvl w:val="0"/>
          <w:numId w:val="10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 cross-reference to provision in the Indenture for pass-through of distributed property, at the same time as it is received by holders of the Shares, in lieu of a Conversion Rate adjustment.</w:t>
      </w:r>
    </w:p>
    <w:p>
      <w:pPr>
        <w:spacing w:after="0" w:line="99" w:lineRule="exact"/>
        <w:rPr>
          <w:rFonts w:ascii="Times New Roman" w:cs="Times New Roman" w:eastAsia="Times New Roman" w:hAnsi="Times New Roman"/>
          <w:sz w:val="22"/>
          <w:szCs w:val="22"/>
          <w:color w:val="auto"/>
          <w:vertAlign w:val="superscript"/>
        </w:rPr>
      </w:pPr>
    </w:p>
    <w:p>
      <w:pPr>
        <w:ind w:left="160" w:hanging="154"/>
        <w:spacing w:after="0" w:line="189" w:lineRule="auto"/>
        <w:tabs>
          <w:tab w:leader="none" w:pos="160" w:val="left"/>
        </w:tabs>
        <w:numPr>
          <w:ilvl w:val="0"/>
          <w:numId w:val="10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provision in the Indenture for pass-through of cash, at the same time as it is received by holders of the Shares, in lieu of a Conversion Rate adjustment.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1" w:right="660" w:bottom="1440" w:gutter="0" w:footer="0" w:header="0"/>
        </w:sectPr>
      </w:pPr>
    </w:p>
    <w:bookmarkStart w:id="131" w:name="page132"/>
    <w:bookmarkEnd w:id="131"/>
    <w:tbl>
      <w:tblPr>
        <w:tblLayout w:type="fixed"/>
        <w:tblInd w:w="940" w:type="dxa"/>
        <w:tblCellMar>
          <w:top w:w="0" w:type="dxa"/>
          <w:left w:w="0" w:type="dxa"/>
          <w:bottom w:w="0" w:type="dxa"/>
          <w:right w:w="0" w:type="dxa"/>
        </w:tblCellMar>
      </w:tblPr>
      <w:tr>
        <w:trPr>
          <w:trHeight w:val="184"/>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Method of Adjustment:</w:t>
            </w:r>
          </w:p>
        </w:tc>
        <w:tc>
          <w:tcPr>
            <w:tcW w:w="67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w w:val="99"/>
              </w:rPr>
              <w:t>Calculation Agent Adjustment, which means that, notwithstanding Section 11.2(c)</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of the Equity Definitions, upon any Potential Adjustment Event, the Calculation</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Agent shall make a corresponding adjustment in respect of any adjustment to the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Convertible Notes under the Indenture to any one or more of the Strike Price,</w:t>
            </w:r>
          </w:p>
        </w:tc>
      </w:tr>
      <w:tr>
        <w:trPr>
          <w:trHeight w:val="178"/>
        </w:trPr>
        <w:tc>
          <w:tcPr>
            <w:tcW w:w="2900" w:type="dxa"/>
            <w:vAlign w:val="bottom"/>
          </w:tcPr>
          <w:p>
            <w:pPr>
              <w:spacing w:after="0"/>
              <w:rPr>
                <w:sz w:val="15"/>
                <w:szCs w:val="15"/>
                <w:color w:val="auto"/>
              </w:rPr>
            </w:pPr>
          </w:p>
        </w:tc>
        <w:tc>
          <w:tcPr>
            <w:tcW w:w="6740" w:type="dxa"/>
            <w:vAlign w:val="bottom"/>
            <w:gridSpan w:val="2"/>
          </w:tcPr>
          <w:p>
            <w:pPr>
              <w:ind w:left="1460"/>
              <w:spacing w:after="0" w:line="178" w:lineRule="exact"/>
              <w:rPr>
                <w:sz w:val="20"/>
                <w:szCs w:val="20"/>
                <w:color w:val="auto"/>
              </w:rPr>
            </w:pPr>
            <w:r>
              <w:rPr>
                <w:rFonts w:ascii="Times New Roman" w:cs="Times New Roman" w:eastAsia="Times New Roman" w:hAnsi="Times New Roman"/>
                <w:sz w:val="16"/>
                <w:szCs w:val="16"/>
                <w:color w:val="auto"/>
              </w:rPr>
              <w:t>Number of Options, Option Entitlement and any other variable relevant to the</w:t>
            </w:r>
          </w:p>
        </w:tc>
      </w:tr>
      <w:tr>
        <w:trPr>
          <w:trHeight w:val="182"/>
        </w:trPr>
        <w:tc>
          <w:tcPr>
            <w:tcW w:w="2900" w:type="dxa"/>
            <w:vAlign w:val="bottom"/>
          </w:tcPr>
          <w:p>
            <w:pPr>
              <w:spacing w:after="0"/>
              <w:rPr>
                <w:sz w:val="15"/>
                <w:szCs w:val="15"/>
                <w:color w:val="auto"/>
              </w:rPr>
            </w:pPr>
          </w:p>
        </w:tc>
        <w:tc>
          <w:tcPr>
            <w:tcW w:w="6740" w:type="dxa"/>
            <w:vAlign w:val="bottom"/>
            <w:gridSpan w:val="2"/>
          </w:tcPr>
          <w:p>
            <w:pPr>
              <w:ind w:left="1460"/>
              <w:spacing w:after="0" w:line="182" w:lineRule="exact"/>
              <w:rPr>
                <w:sz w:val="20"/>
                <w:szCs w:val="20"/>
                <w:color w:val="auto"/>
              </w:rPr>
            </w:pPr>
            <w:r>
              <w:rPr>
                <w:rFonts w:ascii="Times New Roman" w:cs="Times New Roman" w:eastAsia="Times New Roman" w:hAnsi="Times New Roman"/>
                <w:sz w:val="16"/>
                <w:szCs w:val="16"/>
                <w:color w:val="auto"/>
                <w:w w:val="99"/>
              </w:rPr>
              <w:t xml:space="preserve">exercise, settlement or payment for the Transaction; </w:t>
            </w:r>
            <w:r>
              <w:rPr>
                <w:rFonts w:ascii="Times New Roman" w:cs="Times New Roman" w:eastAsia="Times New Roman" w:hAnsi="Times New Roman"/>
                <w:sz w:val="16"/>
                <w:szCs w:val="16"/>
                <w:i w:val="1"/>
                <w:iCs w:val="1"/>
                <w:color w:val="auto"/>
                <w:w w:val="99"/>
              </w:rPr>
              <w:t>provided</w:t>
            </w:r>
            <w:r>
              <w:rPr>
                <w:rFonts w:ascii="Times New Roman" w:cs="Times New Roman" w:eastAsia="Times New Roman" w:hAnsi="Times New Roman"/>
                <w:sz w:val="16"/>
                <w:szCs w:val="16"/>
                <w:color w:val="auto"/>
                <w:w w:val="99"/>
              </w:rPr>
              <w:t xml:space="preserve"> that the parties agree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that (x) open market Share repurchases at prevailing market prices, and (y) Share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repurchases through a dealer pursuant to accelerated share repurchases, forward</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contracts or similar transactions that are entered into at prevailing market prices,</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7"/>
              </w:rPr>
              <w:t>volume-weighted average prices, or commercially reasonable discounts thereto, and</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in accordance with customary market terms for transactions of such type to</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8"/>
              </w:rPr>
              <w:t>repurchase the Shares shall not be considered Potential Adjustment Events, in each</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case, to the extent that, after giving effect to such transactions, the aggregate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number of Shares repurchased during the term of the Transaction pursuant to all</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such transactions described in clauses (x) and (y) above would not exceed 20% of</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8"/>
              </w:rPr>
              <w:t>the greater of (1) the number of Shares outstanding as of the Trade Date and (2) the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8"/>
              </w:rPr>
              <w:t>number of Shares outstanding as of the end of the Issuer’s most recently completed</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fiscal quarter (in the case of this clause (2), as may be adjusted by the Calculation</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Agent in a commercially reasonable manner to subtract any outstanding Shares</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rPr>
              <w:t>issued by the Issuer in transactions following the Trade Date that would not have</w:t>
            </w:r>
          </w:p>
        </w:tc>
      </w:tr>
      <w:tr>
        <w:trPr>
          <w:trHeight w:val="180"/>
        </w:trPr>
        <w:tc>
          <w:tcPr>
            <w:tcW w:w="2900" w:type="dxa"/>
            <w:vAlign w:val="bottom"/>
          </w:tcPr>
          <w:p>
            <w:pPr>
              <w:spacing w:after="0"/>
              <w:rPr>
                <w:sz w:val="15"/>
                <w:szCs w:val="15"/>
                <w:color w:val="auto"/>
              </w:rPr>
            </w:pPr>
          </w:p>
        </w:tc>
        <w:tc>
          <w:tcPr>
            <w:tcW w:w="6740" w:type="dxa"/>
            <w:vAlign w:val="bottom"/>
            <w:gridSpan w:val="2"/>
          </w:tcPr>
          <w:p>
            <w:pPr>
              <w:ind w:left="1460"/>
              <w:spacing w:after="0" w:line="180" w:lineRule="exact"/>
              <w:rPr>
                <w:sz w:val="20"/>
                <w:szCs w:val="20"/>
                <w:color w:val="auto"/>
              </w:rPr>
            </w:pPr>
            <w:r>
              <w:rPr>
                <w:rFonts w:ascii="Times New Roman" w:cs="Times New Roman" w:eastAsia="Times New Roman" w:hAnsi="Times New Roman"/>
                <w:sz w:val="16"/>
                <w:szCs w:val="16"/>
                <w:color w:val="auto"/>
                <w:w w:val="98"/>
              </w:rPr>
              <w:t>reasonably been expected to increase the “free float” for the Shares), as determined</w:t>
            </w:r>
          </w:p>
        </w:tc>
      </w:tr>
      <w:tr>
        <w:trPr>
          <w:trHeight w:val="203"/>
        </w:trPr>
        <w:tc>
          <w:tcPr>
            <w:tcW w:w="2900" w:type="dxa"/>
            <w:vAlign w:val="bottom"/>
          </w:tcPr>
          <w:p>
            <w:pPr>
              <w:spacing w:after="0"/>
              <w:rPr>
                <w:sz w:val="17"/>
                <w:szCs w:val="17"/>
                <w:color w:val="auto"/>
              </w:rPr>
            </w:pPr>
          </w:p>
        </w:tc>
        <w:tc>
          <w:tcPr>
            <w:tcW w:w="67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by the Calculation Agent.</w:t>
            </w:r>
          </w:p>
        </w:tc>
      </w:tr>
      <w:tr>
        <w:trPr>
          <w:trHeight w:val="337"/>
        </w:trPr>
        <w:tc>
          <w:tcPr>
            <w:tcW w:w="2900" w:type="dxa"/>
            <w:vAlign w:val="bottom"/>
          </w:tcPr>
          <w:p>
            <w:pPr>
              <w:spacing w:after="0"/>
              <w:rPr>
                <w:sz w:val="24"/>
                <w:szCs w:val="24"/>
                <w:color w:val="auto"/>
              </w:rPr>
            </w:pPr>
          </w:p>
        </w:tc>
        <w:tc>
          <w:tcPr>
            <w:tcW w:w="67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Notwithstanding the foregoing and “Consequences of Merger Events / Tender</w:t>
            </w:r>
          </w:p>
        </w:tc>
      </w:tr>
      <w:tr>
        <w:trPr>
          <w:trHeight w:val="203"/>
        </w:trPr>
        <w:tc>
          <w:tcPr>
            <w:tcW w:w="2900" w:type="dxa"/>
            <w:vAlign w:val="bottom"/>
          </w:tcPr>
          <w:p>
            <w:pPr>
              <w:spacing w:after="0"/>
              <w:rPr>
                <w:sz w:val="17"/>
                <w:szCs w:val="17"/>
                <w:color w:val="auto"/>
              </w:rPr>
            </w:pPr>
          </w:p>
        </w:tc>
        <w:tc>
          <w:tcPr>
            <w:tcW w:w="67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Offers” below:</w:t>
            </w:r>
          </w:p>
        </w:tc>
      </w:tr>
      <w:tr>
        <w:trPr>
          <w:trHeight w:val="337"/>
        </w:trPr>
        <w:tc>
          <w:tcPr>
            <w:tcW w:w="2900" w:type="dxa"/>
            <w:vAlign w:val="bottom"/>
          </w:tcPr>
          <w:p>
            <w:pPr>
              <w:spacing w:after="0"/>
              <w:rPr>
                <w:sz w:val="24"/>
                <w:szCs w:val="24"/>
                <w:color w:val="auto"/>
              </w:rPr>
            </w:pPr>
          </w:p>
        </w:tc>
        <w:tc>
          <w:tcPr>
            <w:tcW w:w="174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if the Calculation Agent in good faith disagrees with any adjustment to the</w:t>
            </w:r>
          </w:p>
        </w:tc>
      </w:tr>
      <w:tr>
        <w:trPr>
          <w:trHeight w:val="198"/>
        </w:trPr>
        <w:tc>
          <w:tcPr>
            <w:tcW w:w="2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Convertible Notes that involves an exercise of discretion by Counterparty or</w:t>
            </w:r>
          </w:p>
        </w:tc>
      </w:tr>
    </w:tbl>
    <w:p>
      <w:pPr>
        <w:ind w:left="5720"/>
        <w:spacing w:after="0" w:line="234" w:lineRule="auto"/>
        <w:rPr>
          <w:sz w:val="20"/>
          <w:szCs w:val="20"/>
          <w:color w:val="auto"/>
        </w:rPr>
      </w:pPr>
      <w:r>
        <w:rPr>
          <w:rFonts w:ascii="Times New Roman" w:cs="Times New Roman" w:eastAsia="Times New Roman" w:hAnsi="Times New Roman"/>
          <w:sz w:val="16"/>
          <w:szCs w:val="16"/>
          <w:color w:val="auto"/>
        </w:rPr>
        <w:t>its board of directors (including, without limitation, pursuant to Section</w:t>
      </w:r>
    </w:p>
    <w:p>
      <w:pPr>
        <w:ind w:left="5720"/>
        <w:spacing w:after="0" w:line="188" w:lineRule="auto"/>
        <w:rPr>
          <w:sz w:val="20"/>
          <w:szCs w:val="20"/>
          <w:color w:val="auto"/>
        </w:rPr>
      </w:pPr>
      <w:r>
        <w:rPr>
          <w:rFonts w:ascii="Times New Roman" w:cs="Times New Roman" w:eastAsia="Times New Roman" w:hAnsi="Times New Roman"/>
          <w:sz w:val="13"/>
          <w:szCs w:val="13"/>
          <w:color w:val="auto"/>
        </w:rPr>
        <w:t>[14.05)]</w:t>
      </w:r>
      <w:r>
        <w:rPr>
          <w:rFonts w:ascii="Times New Roman" w:cs="Times New Roman" w:eastAsia="Times New Roman" w:hAnsi="Times New Roman"/>
          <w:sz w:val="20"/>
          <w:szCs w:val="20"/>
          <w:color w:val="auto"/>
          <w:vertAlign w:val="superscript"/>
        </w:rPr>
        <w:t>31</w:t>
      </w:r>
      <w:r>
        <w:rPr>
          <w:rFonts w:ascii="Times New Roman" w:cs="Times New Roman" w:eastAsia="Times New Roman" w:hAnsi="Times New Roman"/>
          <w:sz w:val="13"/>
          <w:szCs w:val="13"/>
          <w:color w:val="auto"/>
        </w:rPr>
        <w:t xml:space="preserve">  of the Indenture, Section [14.07]</w:t>
      </w:r>
      <w:r>
        <w:rPr>
          <w:rFonts w:ascii="Times New Roman" w:cs="Times New Roman" w:eastAsia="Times New Roman" w:hAnsi="Times New Roman"/>
          <w:sz w:val="20"/>
          <w:szCs w:val="20"/>
          <w:color w:val="auto"/>
          <w:vertAlign w:val="superscript"/>
        </w:rPr>
        <w:t>32</w:t>
      </w:r>
      <w:r>
        <w:rPr>
          <w:rFonts w:ascii="Times New Roman" w:cs="Times New Roman" w:eastAsia="Times New Roman" w:hAnsi="Times New Roman"/>
          <w:sz w:val="13"/>
          <w:szCs w:val="13"/>
          <w:color w:val="auto"/>
        </w:rPr>
        <w:t xml:space="preserve">  of the Indenture or any</w:t>
      </w:r>
    </w:p>
    <w:p>
      <w:pPr>
        <w:ind w:left="5720"/>
        <w:spacing w:after="0" w:line="235" w:lineRule="auto"/>
        <w:rPr>
          <w:sz w:val="20"/>
          <w:szCs w:val="20"/>
          <w:color w:val="auto"/>
        </w:rPr>
      </w:pPr>
      <w:r>
        <w:rPr>
          <w:rFonts w:ascii="Times New Roman" w:cs="Times New Roman" w:eastAsia="Times New Roman" w:hAnsi="Times New Roman"/>
          <w:sz w:val="16"/>
          <w:szCs w:val="16"/>
          <w:color w:val="auto"/>
        </w:rPr>
        <w:t>supplemental indenture entered into thereunder or in connection with any</w:t>
      </w:r>
    </w:p>
    <w:p>
      <w:pPr>
        <w:ind w:left="5720"/>
        <w:spacing w:after="0" w:line="235" w:lineRule="auto"/>
        <w:rPr>
          <w:sz w:val="20"/>
          <w:szCs w:val="20"/>
          <w:color w:val="auto"/>
        </w:rPr>
      </w:pPr>
      <w:r>
        <w:rPr>
          <w:rFonts w:ascii="Times New Roman" w:cs="Times New Roman" w:eastAsia="Times New Roman" w:hAnsi="Times New Roman"/>
          <w:sz w:val="16"/>
          <w:szCs w:val="16"/>
          <w:color w:val="auto"/>
        </w:rPr>
        <w:t>proportional adjustment or the determination of the fair value of any</w:t>
      </w:r>
    </w:p>
    <w:p>
      <w:pPr>
        <w:ind w:left="5720"/>
        <w:spacing w:after="0" w:line="235" w:lineRule="auto"/>
        <w:rPr>
          <w:sz w:val="20"/>
          <w:szCs w:val="20"/>
          <w:color w:val="auto"/>
        </w:rPr>
      </w:pPr>
      <w:r>
        <w:rPr>
          <w:rFonts w:ascii="Times New Roman" w:cs="Times New Roman" w:eastAsia="Times New Roman" w:hAnsi="Times New Roman"/>
          <w:sz w:val="16"/>
          <w:szCs w:val="16"/>
          <w:color w:val="auto"/>
        </w:rPr>
        <w:t>securities, property, rights or other assets), then in each such case, the</w:t>
      </w:r>
    </w:p>
    <w:p>
      <w:pPr>
        <w:ind w:left="5720"/>
        <w:spacing w:after="0" w:line="235" w:lineRule="auto"/>
        <w:rPr>
          <w:sz w:val="20"/>
          <w:szCs w:val="20"/>
          <w:color w:val="auto"/>
        </w:rPr>
      </w:pPr>
      <w:r>
        <w:rPr>
          <w:rFonts w:ascii="Times New Roman" w:cs="Times New Roman" w:eastAsia="Times New Roman" w:hAnsi="Times New Roman"/>
          <w:sz w:val="16"/>
          <w:szCs w:val="16"/>
          <w:color w:val="auto"/>
        </w:rPr>
        <w:t>Calculation Agent will, in good faith and in a commercially reasonable</w:t>
      </w:r>
    </w:p>
    <w:p>
      <w:pPr>
        <w:ind w:left="5720"/>
        <w:spacing w:after="0"/>
        <w:rPr>
          <w:sz w:val="20"/>
          <w:szCs w:val="20"/>
          <w:color w:val="auto"/>
        </w:rPr>
      </w:pPr>
      <w:r>
        <w:rPr>
          <w:rFonts w:ascii="Times New Roman" w:cs="Times New Roman" w:eastAsia="Times New Roman" w:hAnsi="Times New Roman"/>
          <w:sz w:val="14"/>
          <w:szCs w:val="14"/>
          <w:color w:val="auto"/>
        </w:rPr>
        <w:t>manner, determine the adjustment to be made to any one or more of the Strike</w:t>
      </w:r>
    </w:p>
    <w:p>
      <w:pPr>
        <w:spacing w:after="0" w:line="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Price, Number of Options, Option Entitlement and any other variable</w:t>
      </w:r>
    </w:p>
    <w:p>
      <w:pPr>
        <w:ind w:left="5720"/>
        <w:spacing w:after="0" w:line="234" w:lineRule="auto"/>
        <w:rPr>
          <w:sz w:val="20"/>
          <w:szCs w:val="20"/>
          <w:color w:val="auto"/>
        </w:rPr>
      </w:pPr>
      <w:r>
        <w:rPr>
          <w:rFonts w:ascii="Times New Roman" w:cs="Times New Roman" w:eastAsia="Times New Roman" w:hAnsi="Times New Roman"/>
          <w:sz w:val="16"/>
          <w:szCs w:val="16"/>
          <w:color w:val="auto"/>
        </w:rPr>
        <w:t>relevant to the exercise, settlement or payment for the Transaction in a</w:t>
      </w:r>
    </w:p>
    <w:p>
      <w:pPr>
        <w:ind w:left="5720"/>
        <w:spacing w:after="0"/>
        <w:tabs>
          <w:tab w:leader="none" w:pos="6740" w:val="left"/>
          <w:tab w:leader="none" w:pos="7580" w:val="left"/>
          <w:tab w:leader="none" w:pos="8820" w:val="left"/>
          <w:tab w:leader="none" w:pos="9220" w:val="left"/>
          <w:tab w:leader="none" w:pos="10360" w:val="left"/>
        </w:tabs>
        <w:rPr>
          <w:sz w:val="20"/>
          <w:szCs w:val="20"/>
          <w:color w:val="auto"/>
        </w:rPr>
      </w:pPr>
      <w:r>
        <w:rPr>
          <w:rFonts w:ascii="Times New Roman" w:cs="Times New Roman" w:eastAsia="Times New Roman" w:hAnsi="Times New Roman"/>
          <w:sz w:val="16"/>
          <w:szCs w:val="16"/>
          <w:color w:val="auto"/>
        </w:rPr>
        <w:t>commercially</w:t>
        <w:tab/>
        <w:t>reasonable</w:t>
        <w:tab/>
        <w:t xml:space="preserve">manner;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ab/>
        <w:t>that,</w:t>
        <w:tab/>
        <w:t>notwithstanding</w:t>
      </w:r>
      <w:r>
        <w:rPr>
          <w:sz w:val="20"/>
          <w:szCs w:val="20"/>
          <w:color w:val="auto"/>
        </w:rPr>
        <w:tab/>
      </w:r>
      <w:r>
        <w:rPr>
          <w:rFonts w:ascii="Times New Roman" w:cs="Times New Roman" w:eastAsia="Times New Roman" w:hAnsi="Times New Roman"/>
          <w:sz w:val="14"/>
          <w:szCs w:val="14"/>
          <w:color w:val="auto"/>
        </w:rPr>
        <w:t>the</w:t>
      </w:r>
    </w:p>
    <w:p>
      <w:pPr>
        <w:ind w:left="5720"/>
        <w:spacing w:after="0" w:line="235" w:lineRule="auto"/>
        <w:rPr>
          <w:sz w:val="20"/>
          <w:szCs w:val="20"/>
          <w:color w:val="auto"/>
        </w:rPr>
      </w:pPr>
      <w:r>
        <w:rPr>
          <w:rFonts w:ascii="Times New Roman" w:cs="Times New Roman" w:eastAsia="Times New Roman" w:hAnsi="Times New Roman"/>
          <w:sz w:val="16"/>
          <w:szCs w:val="16"/>
          <w:color w:val="auto"/>
        </w:rPr>
        <w:t>foregoing, if any Potential Adjustment Event occurs during the Settlement</w:t>
      </w:r>
    </w:p>
    <w:p>
      <w:pPr>
        <w:ind w:left="5720"/>
        <w:spacing w:after="0"/>
        <w:rPr>
          <w:sz w:val="20"/>
          <w:szCs w:val="20"/>
          <w:color w:val="auto"/>
        </w:rPr>
      </w:pPr>
      <w:r>
        <w:rPr>
          <w:rFonts w:ascii="Times New Roman" w:cs="Times New Roman" w:eastAsia="Times New Roman" w:hAnsi="Times New Roman"/>
          <w:sz w:val="14"/>
          <w:szCs w:val="14"/>
          <w:color w:val="auto"/>
        </w:rPr>
        <w:t>Averaging Period but no adjustment was made to any Convertible Note under</w:t>
      </w:r>
    </w:p>
    <w:p>
      <w:pPr>
        <w:spacing w:after="0" w:line="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the Indenture because the relevant “Holder” (as such term is defined in the</w:t>
      </w:r>
    </w:p>
    <w:p>
      <w:pPr>
        <w:ind w:left="5720"/>
        <w:spacing w:after="0"/>
        <w:rPr>
          <w:sz w:val="20"/>
          <w:szCs w:val="20"/>
          <w:color w:val="auto"/>
        </w:rPr>
      </w:pPr>
      <w:r>
        <w:rPr>
          <w:rFonts w:ascii="Times New Roman" w:cs="Times New Roman" w:eastAsia="Times New Roman" w:hAnsi="Times New Roman"/>
          <w:sz w:val="14"/>
          <w:szCs w:val="14"/>
          <w:color w:val="auto"/>
        </w:rPr>
        <w:t>Indenture) was deemed to be a record owner of the underlying Shares on the</w:t>
      </w:r>
    </w:p>
    <w:p>
      <w:pPr>
        <w:spacing w:after="0" w:line="15" w:lineRule="exact"/>
        <w:rPr>
          <w:sz w:val="20"/>
          <w:szCs w:val="20"/>
          <w:color w:val="auto"/>
        </w:rPr>
      </w:pPr>
    </w:p>
    <w:p>
      <w:pPr>
        <w:ind w:left="5720"/>
        <w:spacing w:after="0"/>
        <w:tabs>
          <w:tab w:leader="none" w:pos="6240" w:val="left"/>
          <w:tab w:leader="none" w:pos="7080" w:val="left"/>
          <w:tab w:leader="none" w:pos="7540" w:val="left"/>
          <w:tab w:leader="none" w:pos="7940" w:val="left"/>
          <w:tab w:leader="none" w:pos="8260" w:val="left"/>
          <w:tab w:leader="none" w:pos="9580" w:val="left"/>
          <w:tab w:leader="none" w:pos="10000" w:val="left"/>
          <w:tab w:leader="none" w:pos="10460" w:val="left"/>
        </w:tabs>
        <w:rPr>
          <w:sz w:val="20"/>
          <w:szCs w:val="20"/>
          <w:color w:val="auto"/>
        </w:rPr>
      </w:pPr>
      <w:r>
        <w:rPr>
          <w:rFonts w:ascii="Times New Roman" w:cs="Times New Roman" w:eastAsia="Times New Roman" w:hAnsi="Times New Roman"/>
          <w:sz w:val="16"/>
          <w:szCs w:val="16"/>
          <w:color w:val="auto"/>
        </w:rPr>
        <w:t>related</w:t>
        <w:tab/>
        <w:t>Conversion</w:t>
        <w:tab/>
        <w:t>Date,</w:t>
        <w:tab/>
        <w:t>then</w:t>
        <w:tab/>
        <w:t>the</w:t>
        <w:tab/>
        <w:t>Calculation  Agent</w:t>
        <w:tab/>
        <w:t>shall</w:t>
        <w:tab/>
        <w:t>make</w:t>
        <w:tab/>
        <w:t>a</w:t>
      </w:r>
    </w:p>
    <w:p>
      <w:pPr>
        <w:ind w:left="5720"/>
        <w:spacing w:after="0"/>
        <w:rPr>
          <w:sz w:val="20"/>
          <w:szCs w:val="20"/>
          <w:color w:val="auto"/>
        </w:rPr>
      </w:pPr>
      <w:r>
        <w:rPr>
          <w:rFonts w:ascii="Times New Roman" w:cs="Times New Roman" w:eastAsia="Times New Roman" w:hAnsi="Times New Roman"/>
          <w:sz w:val="14"/>
          <w:szCs w:val="14"/>
          <w:color w:val="auto"/>
        </w:rPr>
        <w:t>commercially reasonable adjustment, as determined by it in good faith and in</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a commercially reasonable manner, to the terms hereof in order to account for</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such Potential Adjustment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6705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40" w:firstLine="6"/>
        <w:spacing w:after="0" w:line="193" w:lineRule="auto"/>
        <w:tabs>
          <w:tab w:leader="none" w:pos="168" w:val="left"/>
        </w:tabs>
        <w:numPr>
          <w:ilvl w:val="0"/>
          <w:numId w:val="10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 cross-reference to Indenture section providing for adjustments where a Conversion Rate adjustment occurs during a period over which Last Reported Sale Prices, Daily VWAPs, Daily Conversion Values, Daily Cash Amount or Daily Share Amounts are calculated.</w:t>
      </w:r>
    </w:p>
    <w:p>
      <w:pPr>
        <w:ind w:left="160" w:hanging="154"/>
        <w:spacing w:after="0" w:line="189" w:lineRule="auto"/>
        <w:tabs>
          <w:tab w:leader="none" w:pos="160" w:val="left"/>
        </w:tabs>
        <w:numPr>
          <w:ilvl w:val="0"/>
          <w:numId w:val="10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relating to common stock change events.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600"/>
          </w:cols>
          <w:pgMar w:left="660" w:top="961" w:right="640" w:bottom="1440" w:gutter="0" w:footer="0" w:header="0"/>
        </w:sectPr>
      </w:pPr>
    </w:p>
    <w:bookmarkStart w:id="132" w:name="page133"/>
    <w:bookmarkEnd w:id="132"/>
    <w:p>
      <w:pPr>
        <w:ind w:left="5300"/>
        <w:spacing w:after="0"/>
        <w:tabs>
          <w:tab w:leader="none" w:pos="5700" w:val="left"/>
        </w:tabs>
        <w:rPr>
          <w:sz w:val="20"/>
          <w:szCs w:val="20"/>
          <w:color w:val="auto"/>
        </w:rPr>
      </w:pPr>
      <w:r>
        <w:rPr>
          <w:rFonts w:ascii="Times New Roman" w:cs="Times New Roman" w:eastAsia="Times New Roman" w:hAnsi="Times New Roman"/>
          <w:sz w:val="14"/>
          <w:szCs w:val="14"/>
          <w:color w:val="auto"/>
        </w:rPr>
        <w:t>(ii)</w:t>
      </w:r>
      <w:r>
        <w:rPr>
          <w:sz w:val="20"/>
          <w:szCs w:val="20"/>
          <w:color w:val="auto"/>
        </w:rPr>
        <w:tab/>
      </w:r>
      <w:r>
        <w:rPr>
          <w:rFonts w:ascii="Times New Roman" w:cs="Times New Roman" w:eastAsia="Times New Roman" w:hAnsi="Times New Roman"/>
          <w:sz w:val="14"/>
          <w:szCs w:val="14"/>
          <w:color w:val="auto"/>
        </w:rPr>
        <w:t>in connection with any Potential Adjustment Event as a result of an event or</w:t>
      </w:r>
    </w:p>
    <w:p>
      <w:pPr>
        <w:ind w:left="5720"/>
        <w:spacing w:after="0" w:line="181" w:lineRule="auto"/>
        <w:rPr>
          <w:sz w:val="20"/>
          <w:szCs w:val="20"/>
          <w:color w:val="auto"/>
        </w:rPr>
      </w:pPr>
      <w:r>
        <w:rPr>
          <w:rFonts w:ascii="Times New Roman" w:cs="Times New Roman" w:eastAsia="Times New Roman" w:hAnsi="Times New Roman"/>
          <w:sz w:val="15"/>
          <w:szCs w:val="15"/>
          <w:color w:val="auto"/>
        </w:rPr>
        <w:t>condition set forth in Section [14.04(b)]</w:t>
      </w:r>
      <w:r>
        <w:rPr>
          <w:rFonts w:ascii="Times New Roman" w:cs="Times New Roman" w:eastAsia="Times New Roman" w:hAnsi="Times New Roman"/>
          <w:sz w:val="25"/>
          <w:szCs w:val="25"/>
          <w:color w:val="auto"/>
          <w:vertAlign w:val="superscript"/>
        </w:rPr>
        <w:t>33</w:t>
      </w:r>
      <w:r>
        <w:rPr>
          <w:rFonts w:ascii="Times New Roman" w:cs="Times New Roman" w:eastAsia="Times New Roman" w:hAnsi="Times New Roman"/>
          <w:sz w:val="15"/>
          <w:szCs w:val="15"/>
          <w:color w:val="auto"/>
        </w:rPr>
        <w:t xml:space="preserve">  of the Indenture or Section</w:t>
      </w:r>
    </w:p>
    <w:p>
      <w:pPr>
        <w:ind w:left="5720"/>
        <w:spacing w:after="0" w:line="188" w:lineRule="auto"/>
        <w:rPr>
          <w:sz w:val="20"/>
          <w:szCs w:val="20"/>
          <w:color w:val="auto"/>
        </w:rPr>
      </w:pPr>
      <w:r>
        <w:rPr>
          <w:rFonts w:ascii="Times New Roman" w:cs="Times New Roman" w:eastAsia="Times New Roman" w:hAnsi="Times New Roman"/>
          <w:sz w:val="13"/>
          <w:szCs w:val="13"/>
          <w:color w:val="auto"/>
        </w:rPr>
        <w:t>[14.04(c)]</w:t>
      </w:r>
      <w:r>
        <w:rPr>
          <w:rFonts w:ascii="Times New Roman" w:cs="Times New Roman" w:eastAsia="Times New Roman" w:hAnsi="Times New Roman"/>
          <w:sz w:val="20"/>
          <w:szCs w:val="20"/>
          <w:color w:val="auto"/>
          <w:vertAlign w:val="superscript"/>
        </w:rPr>
        <w:t>34</w:t>
      </w:r>
      <w:r>
        <w:rPr>
          <w:rFonts w:ascii="Times New Roman" w:cs="Times New Roman" w:eastAsia="Times New Roman" w:hAnsi="Times New Roman"/>
          <w:sz w:val="13"/>
          <w:szCs w:val="13"/>
          <w:color w:val="auto"/>
        </w:rPr>
        <w:t xml:space="preserve"> of the Indenture where, in either case, the period for determining</w:t>
      </w:r>
    </w:p>
    <w:p>
      <w:pPr>
        <w:ind w:left="5720"/>
        <w:spacing w:after="0" w:line="185" w:lineRule="auto"/>
        <w:rPr>
          <w:sz w:val="20"/>
          <w:szCs w:val="20"/>
          <w:color w:val="auto"/>
        </w:rPr>
      </w:pPr>
      <w:r>
        <w:rPr>
          <w:rFonts w:ascii="Times New Roman" w:cs="Times New Roman" w:eastAsia="Times New Roman" w:hAnsi="Times New Roman"/>
          <w:sz w:val="15"/>
          <w:szCs w:val="15"/>
          <w:color w:val="auto"/>
        </w:rPr>
        <w:t>“Y” (as such term is used in Section [14.04(b)]</w:t>
      </w:r>
      <w:r>
        <w:rPr>
          <w:rFonts w:ascii="Times New Roman" w:cs="Times New Roman" w:eastAsia="Times New Roman" w:hAnsi="Times New Roman"/>
          <w:sz w:val="24"/>
          <w:szCs w:val="24"/>
          <w:color w:val="auto"/>
          <w:vertAlign w:val="superscript"/>
        </w:rPr>
        <w:t>35</w:t>
      </w:r>
      <w:r>
        <w:rPr>
          <w:rFonts w:ascii="Times New Roman" w:cs="Times New Roman" w:eastAsia="Times New Roman" w:hAnsi="Times New Roman"/>
          <w:sz w:val="15"/>
          <w:szCs w:val="15"/>
          <w:color w:val="auto"/>
        </w:rPr>
        <w:t xml:space="preserve"> of the Indenture) or “SP</w:t>
      </w: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5"/>
          <w:szCs w:val="15"/>
          <w:color w:val="auto"/>
        </w:rPr>
        <w:t>”</w:t>
      </w:r>
    </w:p>
    <w:p>
      <w:pPr>
        <w:ind w:left="5720"/>
        <w:spacing w:after="0" w:line="182" w:lineRule="auto"/>
        <w:rPr>
          <w:sz w:val="20"/>
          <w:szCs w:val="20"/>
          <w:color w:val="auto"/>
        </w:rPr>
      </w:pPr>
      <w:r>
        <w:rPr>
          <w:rFonts w:ascii="Times New Roman" w:cs="Times New Roman" w:eastAsia="Times New Roman" w:hAnsi="Times New Roman"/>
          <w:sz w:val="13"/>
          <w:szCs w:val="13"/>
          <w:color w:val="auto"/>
        </w:rPr>
        <w:t>(as such term is used in Section [14.04(c)]</w:t>
      </w:r>
      <w:r>
        <w:rPr>
          <w:rFonts w:ascii="Times New Roman" w:cs="Times New Roman" w:eastAsia="Times New Roman" w:hAnsi="Times New Roman"/>
          <w:sz w:val="21"/>
          <w:szCs w:val="21"/>
          <w:color w:val="auto"/>
          <w:vertAlign w:val="superscript"/>
        </w:rPr>
        <w:t>36</w:t>
      </w:r>
      <w:r>
        <w:rPr>
          <w:rFonts w:ascii="Times New Roman" w:cs="Times New Roman" w:eastAsia="Times New Roman" w:hAnsi="Times New Roman"/>
          <w:sz w:val="13"/>
          <w:szCs w:val="13"/>
          <w:color w:val="auto"/>
        </w:rPr>
        <w:t xml:space="preserve"> of the Indenture), as the case</w:t>
      </w:r>
    </w:p>
    <w:p>
      <w:pPr>
        <w:ind w:left="5720"/>
        <w:spacing w:after="0" w:line="235" w:lineRule="auto"/>
        <w:rPr>
          <w:sz w:val="20"/>
          <w:szCs w:val="20"/>
          <w:color w:val="auto"/>
        </w:rPr>
      </w:pPr>
      <w:r>
        <w:rPr>
          <w:rFonts w:ascii="Times New Roman" w:cs="Times New Roman" w:eastAsia="Times New Roman" w:hAnsi="Times New Roman"/>
          <w:sz w:val="16"/>
          <w:szCs w:val="16"/>
          <w:color w:val="auto"/>
        </w:rPr>
        <w:t>may be, begins before Counterparty has publicly announced the event or</w:t>
      </w:r>
    </w:p>
    <w:p>
      <w:pPr>
        <w:ind w:left="5720"/>
        <w:spacing w:after="0" w:line="235" w:lineRule="auto"/>
        <w:tabs>
          <w:tab w:leader="none" w:pos="6400" w:val="left"/>
          <w:tab w:leader="none" w:pos="6920" w:val="left"/>
          <w:tab w:leader="none" w:pos="7280" w:val="left"/>
          <w:tab w:leader="none" w:pos="7520" w:val="left"/>
          <w:tab w:leader="none" w:pos="7920" w:val="left"/>
          <w:tab w:leader="none" w:pos="9960" w:val="left"/>
          <w:tab w:leader="none" w:pos="10340" w:val="left"/>
        </w:tabs>
        <w:rPr>
          <w:sz w:val="20"/>
          <w:szCs w:val="20"/>
          <w:color w:val="auto"/>
        </w:rPr>
      </w:pPr>
      <w:r>
        <w:rPr>
          <w:rFonts w:ascii="Times New Roman" w:cs="Times New Roman" w:eastAsia="Times New Roman" w:hAnsi="Times New Roman"/>
          <w:sz w:val="16"/>
          <w:szCs w:val="16"/>
          <w:color w:val="auto"/>
        </w:rPr>
        <w:t>condition</w:t>
        <w:tab/>
        <w:t>giving</w:t>
        <w:tab/>
        <w:t>rise</w:t>
        <w:tab/>
        <w:t>to</w:t>
        <w:tab/>
        <w:t>such</w:t>
        <w:tab/>
        <w:t>Potential  Adjustment  Event,</w:t>
        <w:tab/>
        <w:t>then</w:t>
        <w:tab/>
        <w:t>the</w:t>
      </w:r>
    </w:p>
    <w:p>
      <w:pPr>
        <w:ind w:left="5720"/>
        <w:spacing w:after="0" w:line="235" w:lineRule="auto"/>
        <w:rPr>
          <w:sz w:val="20"/>
          <w:szCs w:val="20"/>
          <w:color w:val="auto"/>
        </w:rPr>
      </w:pPr>
      <w:r>
        <w:rPr>
          <w:rFonts w:ascii="Times New Roman" w:cs="Times New Roman" w:eastAsia="Times New Roman" w:hAnsi="Times New Roman"/>
          <w:sz w:val="16"/>
          <w:szCs w:val="16"/>
          <w:color w:val="auto"/>
        </w:rPr>
        <w:t>Calculation Agent shall, in good faith and in a commercially reasonable</w:t>
      </w:r>
    </w:p>
    <w:p>
      <w:pPr>
        <w:ind w:left="5720"/>
        <w:spacing w:after="0" w:line="235" w:lineRule="auto"/>
        <w:rPr>
          <w:sz w:val="20"/>
          <w:szCs w:val="20"/>
          <w:color w:val="auto"/>
        </w:rPr>
      </w:pPr>
      <w:r>
        <w:rPr>
          <w:rFonts w:ascii="Times New Roman" w:cs="Times New Roman" w:eastAsia="Times New Roman" w:hAnsi="Times New Roman"/>
          <w:sz w:val="16"/>
          <w:szCs w:val="16"/>
          <w:color w:val="auto"/>
        </w:rPr>
        <w:t>manner, have the right to adjust any variable relevant to the exercise,</w:t>
      </w:r>
    </w:p>
    <w:p>
      <w:pPr>
        <w:ind w:left="5720"/>
        <w:spacing w:after="0" w:line="234" w:lineRule="auto"/>
        <w:rPr>
          <w:sz w:val="20"/>
          <w:szCs w:val="20"/>
          <w:color w:val="auto"/>
        </w:rPr>
      </w:pPr>
      <w:r>
        <w:rPr>
          <w:rFonts w:ascii="Times New Roman" w:cs="Times New Roman" w:eastAsia="Times New Roman" w:hAnsi="Times New Roman"/>
          <w:sz w:val="16"/>
          <w:szCs w:val="16"/>
          <w:color w:val="auto"/>
        </w:rPr>
        <w:t>settlement or payment for the Transaction as appropriate to reflect the costs</w:t>
      </w:r>
    </w:p>
    <w:p>
      <w:pPr>
        <w:ind w:left="5720"/>
        <w:spacing w:after="0" w:line="235" w:lineRule="auto"/>
        <w:rPr>
          <w:sz w:val="20"/>
          <w:szCs w:val="20"/>
          <w:color w:val="auto"/>
        </w:rPr>
      </w:pPr>
      <w:r>
        <w:rPr>
          <w:rFonts w:ascii="Times New Roman" w:cs="Times New Roman" w:eastAsia="Times New Roman" w:hAnsi="Times New Roman"/>
          <w:sz w:val="16"/>
          <w:szCs w:val="16"/>
          <w:color w:val="auto"/>
        </w:rPr>
        <w:t>(including, but not limited to, hedging mismatches and market losses) and</w:t>
      </w:r>
    </w:p>
    <w:p>
      <w:pPr>
        <w:ind w:left="5720"/>
        <w:spacing w:after="0" w:line="235" w:lineRule="auto"/>
        <w:rPr>
          <w:sz w:val="20"/>
          <w:szCs w:val="20"/>
          <w:color w:val="auto"/>
        </w:rPr>
      </w:pPr>
      <w:r>
        <w:rPr>
          <w:rFonts w:ascii="Times New Roman" w:cs="Times New Roman" w:eastAsia="Times New Roman" w:hAnsi="Times New Roman"/>
          <w:sz w:val="16"/>
          <w:szCs w:val="16"/>
          <w:color w:val="auto"/>
        </w:rPr>
        <w:t>expenses incurred by Dealer in connection with its hedging activities, with</w:t>
      </w:r>
    </w:p>
    <w:p>
      <w:pPr>
        <w:ind w:left="5720"/>
        <w:spacing w:after="0" w:line="235" w:lineRule="auto"/>
        <w:rPr>
          <w:sz w:val="20"/>
          <w:szCs w:val="20"/>
          <w:color w:val="auto"/>
        </w:rPr>
      </w:pPr>
      <w:r>
        <w:rPr>
          <w:rFonts w:ascii="Times New Roman" w:cs="Times New Roman" w:eastAsia="Times New Roman" w:hAnsi="Times New Roman"/>
          <w:sz w:val="16"/>
          <w:szCs w:val="16"/>
          <w:color w:val="auto"/>
        </w:rPr>
        <w:t>such  adjustments  made  assuming  that  Dealer  maintains  commercially</w:t>
      </w:r>
    </w:p>
    <w:p>
      <w:pPr>
        <w:ind w:left="5720"/>
        <w:spacing w:after="0"/>
        <w:rPr>
          <w:sz w:val="20"/>
          <w:szCs w:val="20"/>
          <w:color w:val="auto"/>
        </w:rPr>
      </w:pPr>
      <w:r>
        <w:rPr>
          <w:rFonts w:ascii="Times New Roman" w:cs="Times New Roman" w:eastAsia="Times New Roman" w:hAnsi="Times New Roman"/>
          <w:sz w:val="14"/>
          <w:szCs w:val="14"/>
          <w:color w:val="auto"/>
        </w:rPr>
        <w:t>reasonable hedge positions, as a result of such event or condition not having</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been publicly announced prior to the beginning of such period; and</w:t>
      </w:r>
    </w:p>
    <w:p>
      <w:pPr>
        <w:spacing w:after="0" w:line="158"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6"/>
          <w:szCs w:val="16"/>
          <w:color w:val="auto"/>
        </w:rPr>
        <w:t>(iii)</w:t>
        <w:tab/>
        <w:t>if any Potential Adjustment Event is declared and (a) the event or condition</w:t>
      </w:r>
    </w:p>
    <w:p>
      <w:pPr>
        <w:spacing w:after="0" w:line="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giving rise to such Potential Adjustment Event is subsequently amended,</w:t>
      </w:r>
    </w:p>
    <w:p>
      <w:pPr>
        <w:ind w:left="5720"/>
        <w:spacing w:after="0" w:line="234" w:lineRule="auto"/>
        <w:rPr>
          <w:sz w:val="20"/>
          <w:szCs w:val="20"/>
          <w:color w:val="auto"/>
        </w:rPr>
      </w:pPr>
      <w:r>
        <w:rPr>
          <w:rFonts w:ascii="Times New Roman" w:cs="Times New Roman" w:eastAsia="Times New Roman" w:hAnsi="Times New Roman"/>
          <w:sz w:val="16"/>
          <w:szCs w:val="16"/>
          <w:color w:val="auto"/>
        </w:rPr>
        <w:t>modified, cancelled or abandoned, (b) the “Conversion Rate” (as defined in</w:t>
      </w:r>
    </w:p>
    <w:p>
      <w:pPr>
        <w:ind w:left="5720"/>
        <w:spacing w:after="0" w:line="235" w:lineRule="auto"/>
        <w:rPr>
          <w:sz w:val="20"/>
          <w:szCs w:val="20"/>
          <w:color w:val="auto"/>
        </w:rPr>
      </w:pPr>
      <w:r>
        <w:rPr>
          <w:rFonts w:ascii="Times New Roman" w:cs="Times New Roman" w:eastAsia="Times New Roman" w:hAnsi="Times New Roman"/>
          <w:sz w:val="16"/>
          <w:szCs w:val="16"/>
          <w:color w:val="auto"/>
        </w:rPr>
        <w:t>the Indenture) is otherwise not adjusted at the time or in the manner</w:t>
      </w:r>
    </w:p>
    <w:p>
      <w:pPr>
        <w:ind w:left="5720"/>
        <w:spacing w:after="0" w:line="235" w:lineRule="auto"/>
        <w:rPr>
          <w:sz w:val="20"/>
          <w:szCs w:val="20"/>
          <w:color w:val="auto"/>
        </w:rPr>
      </w:pPr>
      <w:r>
        <w:rPr>
          <w:rFonts w:ascii="Times New Roman" w:cs="Times New Roman" w:eastAsia="Times New Roman" w:hAnsi="Times New Roman"/>
          <w:sz w:val="16"/>
          <w:szCs w:val="16"/>
          <w:color w:val="auto"/>
        </w:rPr>
        <w:t>contemplated by the relevant Dilution Adjustment Provision based on such</w:t>
      </w:r>
    </w:p>
    <w:p>
      <w:pPr>
        <w:ind w:left="5720"/>
        <w:spacing w:after="0" w:line="235" w:lineRule="auto"/>
        <w:rPr>
          <w:sz w:val="20"/>
          <w:szCs w:val="20"/>
          <w:color w:val="auto"/>
        </w:rPr>
      </w:pPr>
      <w:r>
        <w:rPr>
          <w:rFonts w:ascii="Times New Roman" w:cs="Times New Roman" w:eastAsia="Times New Roman" w:hAnsi="Times New Roman"/>
          <w:sz w:val="16"/>
          <w:szCs w:val="16"/>
          <w:color w:val="auto"/>
        </w:rPr>
        <w:t>declaration or (c) the “Conversion Rate” (as defined in the Indenture) is</w:t>
      </w:r>
    </w:p>
    <w:p>
      <w:pPr>
        <w:ind w:left="5720"/>
        <w:spacing w:after="0"/>
        <w:rPr>
          <w:sz w:val="20"/>
          <w:szCs w:val="20"/>
          <w:color w:val="auto"/>
        </w:rPr>
      </w:pPr>
      <w:r>
        <w:rPr>
          <w:rFonts w:ascii="Times New Roman" w:cs="Times New Roman" w:eastAsia="Times New Roman" w:hAnsi="Times New Roman"/>
          <w:sz w:val="14"/>
          <w:szCs w:val="14"/>
          <w:color w:val="auto"/>
        </w:rPr>
        <w:t>adjusted as a result of such Potential Adjustment Event and subsequently re-</w:t>
      </w:r>
    </w:p>
    <w:p>
      <w:pPr>
        <w:spacing w:after="0" w:line="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adjusted (each of clauses (a), (b) and (c), a “</w:t>
      </w:r>
      <w:r>
        <w:rPr>
          <w:rFonts w:ascii="Times New Roman" w:cs="Times New Roman" w:eastAsia="Times New Roman" w:hAnsi="Times New Roman"/>
          <w:sz w:val="16"/>
          <w:szCs w:val="16"/>
          <w:b w:val="1"/>
          <w:bCs w:val="1"/>
          <w:color w:val="auto"/>
        </w:rPr>
        <w:t>Potential Adjustment Event</w:t>
      </w:r>
    </w:p>
    <w:p>
      <w:pPr>
        <w:ind w:left="5720"/>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then, in each case, the Calculation Agent shall, in good faith and in</w:t>
      </w:r>
    </w:p>
    <w:p>
      <w:pPr>
        <w:spacing w:after="0" w:line="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a commercially reasonable manner, have the right to adjust any variable</w:t>
      </w:r>
    </w:p>
    <w:p>
      <w:pPr>
        <w:ind w:left="5720"/>
        <w:spacing w:after="0" w:line="234" w:lineRule="auto"/>
        <w:rPr>
          <w:sz w:val="20"/>
          <w:szCs w:val="20"/>
          <w:color w:val="auto"/>
        </w:rPr>
      </w:pPr>
      <w:r>
        <w:rPr>
          <w:rFonts w:ascii="Times New Roman" w:cs="Times New Roman" w:eastAsia="Times New Roman" w:hAnsi="Times New Roman"/>
          <w:sz w:val="16"/>
          <w:szCs w:val="16"/>
          <w:color w:val="auto"/>
        </w:rPr>
        <w:t>relevant to the exercise, settlement or payment for the Transaction as</w:t>
      </w:r>
    </w:p>
    <w:p>
      <w:pPr>
        <w:ind w:left="5720"/>
        <w:spacing w:after="0" w:line="235" w:lineRule="auto"/>
        <w:rPr>
          <w:sz w:val="20"/>
          <w:szCs w:val="20"/>
          <w:color w:val="auto"/>
        </w:rPr>
      </w:pPr>
      <w:r>
        <w:rPr>
          <w:rFonts w:ascii="Times New Roman" w:cs="Times New Roman" w:eastAsia="Times New Roman" w:hAnsi="Times New Roman"/>
          <w:sz w:val="16"/>
          <w:szCs w:val="16"/>
          <w:color w:val="auto"/>
        </w:rPr>
        <w:t>appropriate to reflect the costs (including, but not limited to, hedging</w:t>
      </w:r>
    </w:p>
    <w:p>
      <w:pPr>
        <w:ind w:left="5720"/>
        <w:spacing w:after="0" w:line="235" w:lineRule="auto"/>
        <w:rPr>
          <w:sz w:val="20"/>
          <w:szCs w:val="20"/>
          <w:color w:val="auto"/>
        </w:rPr>
      </w:pPr>
      <w:r>
        <w:rPr>
          <w:rFonts w:ascii="Times New Roman" w:cs="Times New Roman" w:eastAsia="Times New Roman" w:hAnsi="Times New Roman"/>
          <w:sz w:val="16"/>
          <w:szCs w:val="16"/>
          <w:color w:val="auto"/>
        </w:rPr>
        <w:t>mismatches  and  market  losses)  and  expenses  incurred  by  Dealer  in</w:t>
      </w:r>
    </w:p>
    <w:p>
      <w:pPr>
        <w:ind w:left="5720"/>
        <w:spacing w:after="0"/>
        <w:rPr>
          <w:sz w:val="20"/>
          <w:szCs w:val="20"/>
          <w:color w:val="auto"/>
        </w:rPr>
      </w:pPr>
      <w:r>
        <w:rPr>
          <w:rFonts w:ascii="Times New Roman" w:cs="Times New Roman" w:eastAsia="Times New Roman" w:hAnsi="Times New Roman"/>
          <w:sz w:val="14"/>
          <w:szCs w:val="14"/>
          <w:color w:val="auto"/>
        </w:rPr>
        <w:t>connection with its hedging activities, with such adjustments made assuming</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that Dealer maintains commercially reasonable hedge positions, as a result of</w:t>
      </w:r>
    </w:p>
    <w:p>
      <w:pPr>
        <w:spacing w:after="0" w:line="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such Potential Adjustment Event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6705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6" w:lineRule="exact"/>
        <w:rPr>
          <w:sz w:val="20"/>
          <w:szCs w:val="20"/>
          <w:color w:val="auto"/>
        </w:rPr>
      </w:pPr>
    </w:p>
    <w:p>
      <w:pPr>
        <w:ind w:left="160" w:hanging="154"/>
        <w:spacing w:after="0"/>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cross-reference to Indenture section providing for an adjustment to the Conversion Rate in connection with a below-market rights, options or warrants offering.</w:t>
      </w:r>
    </w:p>
    <w:p>
      <w:pPr>
        <w:ind w:left="160" w:hanging="154"/>
        <w:spacing w:after="0" w:line="184" w:lineRule="auto"/>
        <w:tabs>
          <w:tab w:leader="none" w:pos="160" w:val="left"/>
        </w:tabs>
        <w:numPr>
          <w:ilvl w:val="0"/>
          <w:numId w:val="1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providing for an adjustment to the Conversion Rate in connection with distributions of distributed property.</w:t>
      </w:r>
    </w:p>
    <w:p>
      <w:pPr>
        <w:ind w:left="160" w:hanging="154"/>
        <w:spacing w:after="0" w:line="184" w:lineRule="auto"/>
        <w:tabs>
          <w:tab w:leader="none" w:pos="160" w:val="left"/>
        </w:tabs>
        <w:numPr>
          <w:ilvl w:val="0"/>
          <w:numId w:val="1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providing for an adjustment to the Conversion Rate in connection with a below-market rights, options or warrants offering.</w:t>
      </w:r>
    </w:p>
    <w:p>
      <w:pPr>
        <w:ind w:left="160" w:hanging="154"/>
        <w:spacing w:after="0" w:line="189" w:lineRule="auto"/>
        <w:tabs>
          <w:tab w:leader="none" w:pos="160" w:val="left"/>
        </w:tabs>
        <w:numPr>
          <w:ilvl w:val="0"/>
          <w:numId w:val="1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providing for an adjustment to the Conversion Rate in connection with distributions of distributed property.</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33" w:name="page134"/>
    <w:bookmarkEnd w:id="133"/>
    <w:p>
      <w:pPr>
        <w:ind w:left="940"/>
        <w:spacing w:after="0"/>
        <w:rPr>
          <w:sz w:val="20"/>
          <w:szCs w:val="20"/>
          <w:color w:val="auto"/>
        </w:rPr>
      </w:pPr>
      <w:r>
        <w:rPr>
          <w:rFonts w:ascii="Times New Roman" w:cs="Times New Roman" w:eastAsia="Times New Roman" w:hAnsi="Times New Roman"/>
          <w:sz w:val="16"/>
          <w:szCs w:val="16"/>
          <w:color w:val="auto"/>
        </w:rPr>
        <w:t>Dilution Adjustment Provisions:</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Extraordinary Events applicable to the Transaction:</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Merger Events:</w:t>
      </w: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Tender Offers:</w:t>
      </w: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Consequences of Merger Events/</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2311400</wp:posOffset>
            </wp:positionV>
            <wp:extent cx="6705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Sections [14.04(a), (b), (c), (d) and (e)]</w:t>
      </w:r>
      <w:r>
        <w:rPr>
          <w:rFonts w:ascii="Times New Roman" w:cs="Times New Roman" w:eastAsia="Times New Roman" w:hAnsi="Times New Roman"/>
          <w:sz w:val="26"/>
          <w:szCs w:val="26"/>
          <w:color w:val="auto"/>
          <w:vertAlign w:val="superscript"/>
        </w:rPr>
        <w:t>37</w:t>
      </w:r>
      <w:r>
        <w:rPr>
          <w:rFonts w:ascii="Times New Roman" w:cs="Times New Roman" w:eastAsia="Times New Roman" w:hAnsi="Times New Roman"/>
          <w:sz w:val="16"/>
          <w:szCs w:val="16"/>
          <w:color w:val="auto"/>
        </w:rPr>
        <w:t xml:space="preserve"> and Section [14.07]</w:t>
      </w:r>
      <w:r>
        <w:rPr>
          <w:rFonts w:ascii="Times New Roman" w:cs="Times New Roman" w:eastAsia="Times New Roman" w:hAnsi="Times New Roman"/>
          <w:sz w:val="26"/>
          <w:szCs w:val="26"/>
          <w:color w:val="auto"/>
          <w:vertAlign w:val="superscript"/>
        </w:rPr>
        <w:t>38</w:t>
      </w:r>
      <w:r>
        <w:rPr>
          <w:rFonts w:ascii="Times New Roman" w:cs="Times New Roman" w:eastAsia="Times New Roman" w:hAnsi="Times New Roman"/>
          <w:sz w:val="16"/>
          <w:szCs w:val="16"/>
          <w:color w:val="auto"/>
        </w:rPr>
        <w:t xml:space="preserve"> of the Indenture.</w:t>
      </w:r>
    </w:p>
    <w:p>
      <w:pPr>
        <w:spacing w:after="0" w:line="200" w:lineRule="exact"/>
        <w:rPr>
          <w:sz w:val="20"/>
          <w:szCs w:val="20"/>
          <w:color w:val="auto"/>
        </w:rPr>
      </w:pP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Applicable;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notwithstanding Section 12.1(b) of the Equity Definitions, a “Merger Event” means the occurrence of any event or condition set forth in the definition of “Share Exchange Event” in Section [14.07]</w:t>
      </w:r>
      <w:r>
        <w:rPr>
          <w:rFonts w:ascii="Times New Roman" w:cs="Times New Roman" w:eastAsia="Times New Roman" w:hAnsi="Times New Roman"/>
          <w:sz w:val="25"/>
          <w:szCs w:val="25"/>
          <w:color w:val="auto"/>
          <w:vertAlign w:val="superscript"/>
        </w:rPr>
        <w:t>39</w:t>
      </w:r>
      <w:r>
        <w:rPr>
          <w:rFonts w:ascii="Times New Roman" w:cs="Times New Roman" w:eastAsia="Times New Roman" w:hAnsi="Times New Roman"/>
          <w:sz w:val="15"/>
          <w:szCs w:val="15"/>
          <w:color w:val="auto"/>
        </w:rPr>
        <w:t xml:space="preserve"> of the Indenture.</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Section 12.1(d) of the Equity Definitions, a “Tender Offer” means the occurrence of any event or condition set forth in Section [14.04(e)]</w:t>
      </w:r>
      <w:r>
        <w:rPr>
          <w:rFonts w:ascii="Times New Roman" w:cs="Times New Roman" w:eastAsia="Times New Roman" w:hAnsi="Times New Roman"/>
          <w:sz w:val="26"/>
          <w:szCs w:val="26"/>
          <w:color w:val="auto"/>
          <w:vertAlign w:val="superscript"/>
        </w:rPr>
        <w:t>40</w:t>
      </w:r>
      <w:r>
        <w:rPr>
          <w:rFonts w:ascii="Times New Roman" w:cs="Times New Roman" w:eastAsia="Times New Roman" w:hAnsi="Times New Roman"/>
          <w:sz w:val="16"/>
          <w:szCs w:val="16"/>
          <w:color w:val="auto"/>
        </w:rPr>
        <w:t xml:space="preserve"> of the Indenture.</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such adjustment shall be made without regard to any adjustment to the “Conversion Rate” (as defined in the Indenture) pursuant to any Excluded Provision;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commercially reasonable election;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for the avoidance of doubt, adjustments shall be made pursuant to the provisions set forth above regardless of whether any Merger Event or Tender Offer gives rise to an Early Conversion.</w:t>
      </w:r>
    </w:p>
    <w:p>
      <w:pPr>
        <w:spacing w:after="0" w:line="200" w:lineRule="exact"/>
        <w:rPr>
          <w:sz w:val="20"/>
          <w:szCs w:val="20"/>
          <w:color w:val="auto"/>
        </w:rPr>
      </w:pPr>
    </w:p>
    <w:p>
      <w:pPr>
        <w:sectPr>
          <w:pgSz w:w="11900" w:h="16840" w:orient="portrait"/>
          <w:cols w:equalWidth="0" w:num="2">
            <w:col w:w="4560" w:space="720"/>
            <w:col w:w="5300"/>
          </w:cols>
          <w:pgMar w:left="660" w:top="965" w:right="660" w:bottom="1440" w:gutter="0" w:footer="0" w:header="0"/>
        </w:sectPr>
      </w:pPr>
    </w:p>
    <w:p>
      <w:pPr>
        <w:spacing w:after="0" w:line="171" w:lineRule="exact"/>
        <w:rPr>
          <w:sz w:val="20"/>
          <w:szCs w:val="20"/>
          <w:color w:val="auto"/>
        </w:rPr>
      </w:pPr>
    </w:p>
    <w:p>
      <w:pPr>
        <w:ind w:left="160" w:hanging="154"/>
        <w:spacing w:after="0"/>
        <w:tabs>
          <w:tab w:leader="none" w:pos="160" w:val="left"/>
        </w:tabs>
        <w:numPr>
          <w:ilvl w:val="0"/>
          <w:numId w:val="1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cross-references to Indenture sections containing anti-dilution adjustments to the Conversion Rate.</w:t>
      </w:r>
    </w:p>
    <w:p>
      <w:pPr>
        <w:ind w:right="20" w:firstLine="6"/>
        <w:spacing w:after="0" w:line="184" w:lineRule="auto"/>
        <w:tabs>
          <w:tab w:leader="none" w:pos="168" w:val="left"/>
        </w:tabs>
        <w:numPr>
          <w:ilvl w:val="0"/>
          <w:numId w:val="1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 cross-reference to Indenture section providing for adjustments where a Conversion Rate adjustment occurs during a period over which Last Reported Sale Prices, Daily VWAPs, Daily Conversion Values, Daily Cash Amount or Daily Share Amounts are calculated.</w:t>
      </w:r>
    </w:p>
    <w:p>
      <w:pPr>
        <w:spacing w:after="0" w:line="1" w:lineRule="exact"/>
        <w:rPr>
          <w:rFonts w:ascii="Times New Roman" w:cs="Times New Roman" w:eastAsia="Times New Roman" w:hAnsi="Times New Roman"/>
          <w:sz w:val="24"/>
          <w:szCs w:val="24"/>
          <w:color w:val="auto"/>
          <w:vertAlign w:val="superscript"/>
        </w:rPr>
      </w:pPr>
    </w:p>
    <w:p>
      <w:pPr>
        <w:ind w:left="160" w:hanging="154"/>
        <w:spacing w:after="0" w:line="184" w:lineRule="auto"/>
        <w:tabs>
          <w:tab w:leader="none" w:pos="160" w:val="left"/>
        </w:tabs>
        <w:numPr>
          <w:ilvl w:val="0"/>
          <w:numId w:val="1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describing consequences of common stock change events.</w:t>
      </w:r>
    </w:p>
    <w:p>
      <w:pPr>
        <w:ind w:left="160" w:hanging="154"/>
        <w:spacing w:after="0" w:line="189" w:lineRule="auto"/>
        <w:tabs>
          <w:tab w:leader="none" w:pos="160" w:val="left"/>
        </w:tabs>
        <w:numPr>
          <w:ilvl w:val="0"/>
          <w:numId w:val="1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describing consequences of tender offers.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type w:val="continuous"/>
        </w:sectPr>
      </w:pPr>
    </w:p>
    <w:bookmarkStart w:id="134" w:name="page135"/>
    <w:bookmarkEnd w:id="134"/>
    <w:tbl>
      <w:tblPr>
        <w:tblLayout w:type="fixed"/>
        <w:tblInd w:w="160" w:type="dxa"/>
        <w:tblCellMar>
          <w:top w:w="0" w:type="dxa"/>
          <w:left w:w="0" w:type="dxa"/>
          <w:bottom w:w="0" w:type="dxa"/>
          <w:right w:w="0" w:type="dxa"/>
        </w:tblCellMar>
      </w:tblP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Consequences of Announcement Events:</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w w:val="97"/>
              </w:rPr>
              <w:t>Modified Calculation Agent Adjustment as set forth in Section 12.3(d) of the Equity</w:t>
            </w:r>
          </w:p>
        </w:tc>
      </w:tr>
      <w:tr>
        <w:trPr>
          <w:trHeight w:val="182"/>
        </w:trPr>
        <w:tc>
          <w:tcPr>
            <w:tcW w:w="3440" w:type="dxa"/>
            <w:vAlign w:val="bottom"/>
          </w:tcPr>
          <w:p>
            <w:pPr>
              <w:spacing w:after="0"/>
              <w:rPr>
                <w:sz w:val="15"/>
                <w:szCs w:val="15"/>
                <w:color w:val="auto"/>
              </w:rPr>
            </w:pPr>
          </w:p>
        </w:tc>
        <w:tc>
          <w:tcPr>
            <w:tcW w:w="6200" w:type="dxa"/>
            <w:vAlign w:val="bottom"/>
            <w:gridSpan w:val="2"/>
          </w:tcPr>
          <w:p>
            <w:pPr>
              <w:ind w:left="900"/>
              <w:spacing w:after="0" w:line="182" w:lineRule="exact"/>
              <w:rPr>
                <w:sz w:val="20"/>
                <w:szCs w:val="20"/>
                <w:color w:val="auto"/>
              </w:rPr>
            </w:pPr>
            <w:r>
              <w:rPr>
                <w:rFonts w:ascii="Times New Roman" w:cs="Times New Roman" w:eastAsia="Times New Roman" w:hAnsi="Times New Roman"/>
                <w:sz w:val="16"/>
                <w:szCs w:val="16"/>
                <w:color w:val="auto"/>
                <w:w w:val="99"/>
              </w:rPr>
              <w:t xml:space="preserve">Definitions; </w:t>
            </w:r>
            <w:r>
              <w:rPr>
                <w:rFonts w:ascii="Times New Roman" w:cs="Times New Roman" w:eastAsia="Times New Roman" w:hAnsi="Times New Roman"/>
                <w:sz w:val="16"/>
                <w:szCs w:val="16"/>
                <w:i w:val="1"/>
                <w:iCs w:val="1"/>
                <w:color w:val="auto"/>
                <w:w w:val="99"/>
              </w:rPr>
              <w:t>provided</w:t>
            </w:r>
            <w:r>
              <w:rPr>
                <w:rFonts w:ascii="Times New Roman" w:cs="Times New Roman" w:eastAsia="Times New Roman" w:hAnsi="Times New Roman"/>
                <w:sz w:val="16"/>
                <w:szCs w:val="16"/>
                <w:color w:val="auto"/>
                <w:w w:val="99"/>
              </w:rPr>
              <w:t xml:space="preserve"> that, in respect of an Announcement Event, (w) references to</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“Tender Offer” shall be replaced by references to “Announcement Event” and</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references to “Tender Offer Date” shall be replaced by references to “date of such</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Announcement Event”, (x) the phrase “exercise, settlement, payment or any other</w:t>
            </w:r>
          </w:p>
        </w:tc>
      </w:tr>
      <w:tr>
        <w:trPr>
          <w:trHeight w:val="178"/>
        </w:trPr>
        <w:tc>
          <w:tcPr>
            <w:tcW w:w="3440" w:type="dxa"/>
            <w:vAlign w:val="bottom"/>
          </w:tcPr>
          <w:p>
            <w:pPr>
              <w:spacing w:after="0"/>
              <w:rPr>
                <w:sz w:val="15"/>
                <w:szCs w:val="15"/>
                <w:color w:val="auto"/>
              </w:rPr>
            </w:pPr>
          </w:p>
        </w:tc>
        <w:tc>
          <w:tcPr>
            <w:tcW w:w="6200" w:type="dxa"/>
            <w:vAlign w:val="bottom"/>
            <w:gridSpan w:val="2"/>
          </w:tcPr>
          <w:p>
            <w:pPr>
              <w:ind w:left="900"/>
              <w:spacing w:after="0" w:line="178" w:lineRule="exact"/>
              <w:rPr>
                <w:sz w:val="20"/>
                <w:szCs w:val="20"/>
                <w:color w:val="auto"/>
              </w:rPr>
            </w:pPr>
            <w:r>
              <w:rPr>
                <w:rFonts w:ascii="Times New Roman" w:cs="Times New Roman" w:eastAsia="Times New Roman" w:hAnsi="Times New Roman"/>
                <w:sz w:val="16"/>
                <w:szCs w:val="16"/>
                <w:color w:val="auto"/>
              </w:rPr>
              <w:t>terms of the Transaction (including, without limitation, the spread)” shall be</w:t>
            </w:r>
          </w:p>
        </w:tc>
      </w:tr>
      <w:tr>
        <w:trPr>
          <w:trHeight w:val="182"/>
        </w:trPr>
        <w:tc>
          <w:tcPr>
            <w:tcW w:w="3440" w:type="dxa"/>
            <w:vAlign w:val="bottom"/>
          </w:tcPr>
          <w:p>
            <w:pPr>
              <w:spacing w:after="0"/>
              <w:rPr>
                <w:sz w:val="15"/>
                <w:szCs w:val="15"/>
                <w:color w:val="auto"/>
              </w:rPr>
            </w:pPr>
          </w:p>
        </w:tc>
        <w:tc>
          <w:tcPr>
            <w:tcW w:w="6200" w:type="dxa"/>
            <w:vAlign w:val="bottom"/>
            <w:gridSpan w:val="2"/>
          </w:tcPr>
          <w:p>
            <w:pPr>
              <w:ind w:left="900"/>
              <w:spacing w:after="0" w:line="182" w:lineRule="exact"/>
              <w:rPr>
                <w:sz w:val="20"/>
                <w:szCs w:val="20"/>
                <w:color w:val="auto"/>
              </w:rPr>
            </w:pPr>
            <w:r>
              <w:rPr>
                <w:rFonts w:ascii="Times New Roman" w:cs="Times New Roman" w:eastAsia="Times New Roman" w:hAnsi="Times New Roman"/>
                <w:sz w:val="16"/>
                <w:szCs w:val="16"/>
                <w:color w:val="auto"/>
                <w:w w:val="97"/>
              </w:rPr>
              <w:t>replaced with the phrase “Cap Price (</w:t>
            </w:r>
            <w:r>
              <w:rPr>
                <w:rFonts w:ascii="Times New Roman" w:cs="Times New Roman" w:eastAsia="Times New Roman" w:hAnsi="Times New Roman"/>
                <w:sz w:val="16"/>
                <w:szCs w:val="16"/>
                <w:i w:val="1"/>
                <w:iCs w:val="1"/>
                <w:color w:val="auto"/>
                <w:w w:val="97"/>
              </w:rPr>
              <w:t>provided</w:t>
            </w:r>
            <w:r>
              <w:rPr>
                <w:rFonts w:ascii="Times New Roman" w:cs="Times New Roman" w:eastAsia="Times New Roman" w:hAnsi="Times New Roman"/>
                <w:sz w:val="16"/>
                <w:szCs w:val="16"/>
                <w:color w:val="auto"/>
                <w:w w:val="97"/>
              </w:rPr>
              <w:t xml:space="preserve"> that in no event shall the Cap Price be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less than the Strike Price)”, (y) the phrases “whether within a commercially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8"/>
              </w:rPr>
              <w:t>reasonable (as determined by the Calculation Agent) period of time prior to or after</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the Announcement Event,” shall be inserted prior to the word “which” in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seventh line, and (z) for the avoidance of doubt, the Calculation Agent shall, in good</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faith and in a commercially reasonable manner, determine whether the relevant</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Announcement Event has had an economic effect on the Transaction (and, if so,</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shall adjust the Cap Price accordingly) on one or more occasions on or after the date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of the Announcement Event up to, and including, the Expiration Date, any Early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Termination Date and/or any other date of cancellation, it being understood that (i)</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any adjustment in respect of an Announcement Event shall take into account any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8"/>
              </w:rPr>
              <w:t>earlier adjustment relating to the same Announcement Event and (ii) in making any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adjustment the Calculation Agent shall take into account volatility, liquidity and</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other commercially reasonable option pricing inputs relevant to the Shares or the</w:t>
            </w:r>
          </w:p>
        </w:tc>
      </w:tr>
      <w:tr>
        <w:trPr>
          <w:trHeight w:val="203"/>
        </w:trPr>
        <w:tc>
          <w:tcPr>
            <w:tcW w:w="344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Transaction, if any, in each case, before and after such Announcement Event.</w:t>
            </w:r>
          </w:p>
        </w:tc>
      </w:tr>
      <w:tr>
        <w:trPr>
          <w:trHeight w:val="337"/>
        </w:trPr>
        <w:tc>
          <w:tcPr>
            <w:tcW w:w="3440" w:type="dxa"/>
            <w:vAlign w:val="bottom"/>
          </w:tcPr>
          <w:p>
            <w:pPr>
              <w:spacing w:after="0"/>
              <w:rPr>
                <w:sz w:val="24"/>
                <w:szCs w:val="24"/>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An Announcement Event shall be an “Extraordinary Event” for purposes of the</w:t>
            </w:r>
          </w:p>
        </w:tc>
      </w:tr>
      <w:tr>
        <w:trPr>
          <w:trHeight w:val="203"/>
        </w:trPr>
        <w:tc>
          <w:tcPr>
            <w:tcW w:w="344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Equity Definitions, to which Article 12 of the Equity Definitions is applicable.</w:t>
            </w:r>
          </w:p>
        </w:tc>
      </w:tr>
      <w:tr>
        <w:trPr>
          <w:trHeight w:val="33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Announcement Event:</w:t>
            </w:r>
          </w:p>
        </w:tc>
        <w:tc>
          <w:tcPr>
            <w:tcW w:w="12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(i)</w:t>
            </w:r>
          </w:p>
        </w:tc>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The public announcement by Issuer, any subsidiary, affiliate or authorized</w:t>
            </w:r>
          </w:p>
        </w:tc>
      </w:tr>
      <w:tr>
        <w:trPr>
          <w:trHeight w:val="178"/>
        </w:trPr>
        <w:tc>
          <w:tcPr>
            <w:tcW w:w="3440" w:type="dxa"/>
            <w:vAlign w:val="bottom"/>
          </w:tcPr>
          <w:p>
            <w:pPr>
              <w:spacing w:after="0"/>
              <w:rPr>
                <w:sz w:val="15"/>
                <w:szCs w:val="15"/>
                <w:color w:val="auto"/>
              </w:rPr>
            </w:pPr>
          </w:p>
        </w:tc>
        <w:tc>
          <w:tcPr>
            <w:tcW w:w="6200" w:type="dxa"/>
            <w:vAlign w:val="bottom"/>
            <w:gridSpan w:val="2"/>
          </w:tcPr>
          <w:p>
            <w:pPr>
              <w:ind w:left="900"/>
              <w:spacing w:after="0" w:line="178" w:lineRule="exact"/>
              <w:rPr>
                <w:sz w:val="20"/>
                <w:szCs w:val="20"/>
                <w:color w:val="auto"/>
              </w:rPr>
            </w:pPr>
            <w:r>
              <w:rPr>
                <w:rFonts w:ascii="Times New Roman" w:cs="Times New Roman" w:eastAsia="Times New Roman" w:hAnsi="Times New Roman"/>
                <w:sz w:val="16"/>
                <w:szCs w:val="16"/>
                <w:color w:val="auto"/>
                <w:w w:val="99"/>
              </w:rPr>
              <w:t>agent of Issuer, any Valid Third-Party Entity or any affiliate or authorized agent of</w:t>
            </w:r>
          </w:p>
        </w:tc>
      </w:tr>
      <w:tr>
        <w:trPr>
          <w:trHeight w:val="182"/>
        </w:trPr>
        <w:tc>
          <w:tcPr>
            <w:tcW w:w="3440" w:type="dxa"/>
            <w:vAlign w:val="bottom"/>
          </w:tcPr>
          <w:p>
            <w:pPr>
              <w:spacing w:after="0"/>
              <w:rPr>
                <w:sz w:val="15"/>
                <w:szCs w:val="15"/>
                <w:color w:val="auto"/>
              </w:rPr>
            </w:pPr>
          </w:p>
        </w:tc>
        <w:tc>
          <w:tcPr>
            <w:tcW w:w="6200" w:type="dxa"/>
            <w:vAlign w:val="bottom"/>
            <w:gridSpan w:val="2"/>
          </w:tcPr>
          <w:p>
            <w:pPr>
              <w:ind w:left="900"/>
              <w:spacing w:after="0" w:line="182" w:lineRule="exact"/>
              <w:rPr>
                <w:sz w:val="20"/>
                <w:szCs w:val="20"/>
                <w:color w:val="auto"/>
              </w:rPr>
            </w:pPr>
            <w:r>
              <w:rPr>
                <w:rFonts w:ascii="Times New Roman" w:cs="Times New Roman" w:eastAsia="Times New Roman" w:hAnsi="Times New Roman"/>
                <w:sz w:val="16"/>
                <w:szCs w:val="16"/>
                <w:color w:val="auto"/>
                <w:w w:val="97"/>
              </w:rPr>
              <w:t>such Valid Third-Party Entity (any such person or entity, a “</w:t>
            </w:r>
            <w:r>
              <w:rPr>
                <w:rFonts w:ascii="Times New Roman" w:cs="Times New Roman" w:eastAsia="Times New Roman" w:hAnsi="Times New Roman"/>
                <w:sz w:val="16"/>
                <w:szCs w:val="16"/>
                <w:b w:val="1"/>
                <w:bCs w:val="1"/>
                <w:color w:val="auto"/>
                <w:w w:val="97"/>
              </w:rPr>
              <w:t>Relevant Party</w:t>
            </w:r>
            <w:r>
              <w:rPr>
                <w:rFonts w:ascii="Times New Roman" w:cs="Times New Roman" w:eastAsia="Times New Roman" w:hAnsi="Times New Roman"/>
                <w:sz w:val="16"/>
                <w:szCs w:val="16"/>
                <w:color w:val="auto"/>
                <w:w w:val="97"/>
              </w:rPr>
              <w:t>”) of (x)</w:t>
            </w:r>
          </w:p>
        </w:tc>
      </w:tr>
      <w:tr>
        <w:trPr>
          <w:trHeight w:val="198"/>
        </w:trPr>
        <w:tc>
          <w:tcPr>
            <w:tcW w:w="344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any transaction or event that, if completed, would constitute a Merger Event or</w:t>
            </w:r>
          </w:p>
        </w:tc>
      </w:tr>
    </w:tbl>
    <w:p>
      <w:pPr>
        <w:jc w:val="both"/>
        <w:ind w:left="4500"/>
        <w:spacing w:after="0" w:line="236" w:lineRule="auto"/>
        <w:rPr>
          <w:sz w:val="20"/>
          <w:szCs w:val="20"/>
          <w:color w:val="auto"/>
        </w:rPr>
      </w:pPr>
      <w:r>
        <w:rPr>
          <w:rFonts w:ascii="Times New Roman" w:cs="Times New Roman" w:eastAsia="Times New Roman" w:hAnsi="Times New Roman"/>
          <w:sz w:val="16"/>
          <w:szCs w:val="16"/>
          <w:color w:val="auto"/>
        </w:rPr>
        <w:t>Tender Offer, or (y) any potential acquisition or disposition by Issuer and/or its subsidiaries where the aggregate consideration exceeds 35% of the market capitalization of Issuer as of the date of such announcement (an “</w:t>
      </w:r>
      <w:r>
        <w:rPr>
          <w:rFonts w:ascii="Times New Roman" w:cs="Times New Roman" w:eastAsia="Times New Roman" w:hAnsi="Times New Roman"/>
          <w:sz w:val="16"/>
          <w:szCs w:val="16"/>
          <w:b w:val="1"/>
          <w:bCs w:val="1"/>
          <w:color w:val="auto"/>
        </w:rPr>
        <w:t>Acquisition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or (z) the intention to enter into a Merger Event or Tender Offer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Acquisition Transaction involving Issuer;</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59" w:right="660" w:bottom="1440" w:gutter="0" w:footer="0" w:header="0"/>
        </w:sectPr>
      </w:pPr>
    </w:p>
    <w:bookmarkStart w:id="135" w:name="page136"/>
    <w:bookmarkEnd w:id="135"/>
    <w:tbl>
      <w:tblPr>
        <w:tblLayout w:type="fixed"/>
        <w:tblInd w:w="16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8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(ii)</w:t>
            </w:r>
          </w:p>
        </w:tc>
        <w:tc>
          <w:tcPr>
            <w:tcW w:w="4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public announcement by Issuer of its intention to solicit, enter into, or</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7"/>
              </w:rPr>
              <w:t>explore strategic alternatives that may include a Merger Event or Tender Offer or an</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Acquisition Transaction; or</w:t>
            </w:r>
          </w:p>
        </w:tc>
      </w:tr>
      <w:tr>
        <w:trPr>
          <w:trHeight w:val="337"/>
        </w:trPr>
        <w:tc>
          <w:tcPr>
            <w:tcW w:w="2960" w:type="dxa"/>
            <w:vAlign w:val="bottom"/>
          </w:tcPr>
          <w:p>
            <w:pPr>
              <w:spacing w:after="0"/>
              <w:rPr>
                <w:sz w:val="24"/>
                <w:szCs w:val="24"/>
                <w:color w:val="auto"/>
              </w:rPr>
            </w:pPr>
          </w:p>
        </w:tc>
        <w:tc>
          <w:tcPr>
            <w:tcW w:w="18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(iii)</w:t>
            </w:r>
          </w:p>
        </w:tc>
        <w:tc>
          <w:tcPr>
            <w:tcW w:w="4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any subsequent public announcement by a Relevant Party of a change to a</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8"/>
              </w:rPr>
              <w:t>transaction or intention that is the subject of an announcement of the type described</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8"/>
              </w:rPr>
              <w:t>in clause (i) of this sentence, or any subsequent public announcement by Issuer of a</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change to a transaction or intention that is the subject of an announcement of the</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type described in clause (ii) of this sentence (including, without limitation, a new</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9"/>
              </w:rPr>
              <w:t>announcement, whether or not, in the case of clause (i), by the same party, relating</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9"/>
              </w:rPr>
              <w:t>to such a transaction or intention or the announcement of a withdrawal from, or the</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abandonment or discontinuation of, such a transaction or intention), as determined</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by the Calculation Agent.</w:t>
            </w:r>
          </w:p>
        </w:tc>
      </w:tr>
      <w:tr>
        <w:trPr>
          <w:trHeight w:val="337"/>
        </w:trPr>
        <w:tc>
          <w:tcPr>
            <w:tcW w:w="2960" w:type="dxa"/>
            <w:vAlign w:val="bottom"/>
          </w:tcPr>
          <w:p>
            <w:pPr>
              <w:spacing w:after="0"/>
              <w:rPr>
                <w:sz w:val="24"/>
                <w:szCs w:val="24"/>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w w:val="98"/>
              </w:rPr>
              <w:t>For the avoidance of doubt, the occurrence of an Announcement Event with respect</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to any transaction or intention shall not preclude the occurrence of a later</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Announcement Event with respect to such transaction or intention.</w:t>
            </w:r>
          </w:p>
        </w:tc>
      </w:tr>
      <w:tr>
        <w:trPr>
          <w:trHeight w:val="337"/>
        </w:trPr>
        <w:tc>
          <w:tcPr>
            <w:tcW w:w="2960" w:type="dxa"/>
            <w:vAlign w:val="bottom"/>
          </w:tcPr>
          <w:p>
            <w:pPr>
              <w:spacing w:after="0"/>
              <w:rPr>
                <w:sz w:val="24"/>
                <w:szCs w:val="24"/>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w w:val="97"/>
              </w:rPr>
              <w:t>For purposes of this definition of “Announcement Event,” (A) “Merger Event” shall</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8"/>
              </w:rPr>
              <w:t>mean such term as defined under Section 12.1(b) of the Equity Definitions (but, for</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7"/>
              </w:rPr>
              <w:t>the avoidance of doubt, the remainder of the definition of “Merger Event” in Section</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12.1(b) of the Equity Definitions following the definition of “Reverse Merger”</w:t>
            </w:r>
          </w:p>
        </w:tc>
      </w:tr>
      <w:tr>
        <w:trPr>
          <w:trHeight w:val="178"/>
        </w:trPr>
        <w:tc>
          <w:tcPr>
            <w:tcW w:w="2960" w:type="dxa"/>
            <w:vAlign w:val="bottom"/>
          </w:tcPr>
          <w:p>
            <w:pPr>
              <w:spacing w:after="0"/>
              <w:rPr>
                <w:sz w:val="15"/>
                <w:szCs w:val="15"/>
                <w:color w:val="auto"/>
              </w:rPr>
            </w:pPr>
          </w:p>
        </w:tc>
        <w:tc>
          <w:tcPr>
            <w:tcW w:w="6680" w:type="dxa"/>
            <w:vAlign w:val="bottom"/>
            <w:gridSpan w:val="2"/>
          </w:tcPr>
          <w:p>
            <w:pPr>
              <w:ind w:left="1380"/>
              <w:spacing w:after="0" w:line="178" w:lineRule="exact"/>
              <w:rPr>
                <w:sz w:val="20"/>
                <w:szCs w:val="20"/>
                <w:color w:val="auto"/>
              </w:rPr>
            </w:pPr>
            <w:r>
              <w:rPr>
                <w:rFonts w:ascii="Times New Roman" w:cs="Times New Roman" w:eastAsia="Times New Roman" w:hAnsi="Times New Roman"/>
                <w:sz w:val="16"/>
                <w:szCs w:val="16"/>
                <w:color w:val="auto"/>
              </w:rPr>
              <w:t>therein shall be disregarded) and (B) “Tender Offer” shall mean such term as</w:t>
            </w:r>
          </w:p>
        </w:tc>
      </w:tr>
      <w:tr>
        <w:trPr>
          <w:trHeight w:val="182"/>
        </w:trPr>
        <w:tc>
          <w:tcPr>
            <w:tcW w:w="2960" w:type="dxa"/>
            <w:vAlign w:val="bottom"/>
          </w:tcPr>
          <w:p>
            <w:pPr>
              <w:spacing w:after="0"/>
              <w:rPr>
                <w:sz w:val="15"/>
                <w:szCs w:val="15"/>
                <w:color w:val="auto"/>
              </w:rPr>
            </w:pPr>
          </w:p>
        </w:tc>
        <w:tc>
          <w:tcPr>
            <w:tcW w:w="6680" w:type="dxa"/>
            <w:vAlign w:val="bottom"/>
            <w:gridSpan w:val="2"/>
          </w:tcPr>
          <w:p>
            <w:pPr>
              <w:ind w:left="1380"/>
              <w:spacing w:after="0" w:line="182" w:lineRule="exact"/>
              <w:rPr>
                <w:sz w:val="20"/>
                <w:szCs w:val="20"/>
                <w:color w:val="auto"/>
              </w:rPr>
            </w:pPr>
            <w:r>
              <w:rPr>
                <w:rFonts w:ascii="Times New Roman" w:cs="Times New Roman" w:eastAsia="Times New Roman" w:hAnsi="Times New Roman"/>
                <w:sz w:val="16"/>
                <w:szCs w:val="16"/>
                <w:color w:val="auto"/>
              </w:rPr>
              <w:t xml:space="preserve">defined under Section 12.1(d) of the Equity Definitions;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(1) Section</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12.1(d) of the Equity Definitions is hereby amended by (x) replacing “10%” with</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rPr>
              <w:t>“25%” in the third line thereof and (y) replacing the words “voting shares of the</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9"/>
              </w:rPr>
              <w:t>Issuer” in the fourth line thereof with the word “Shares” and (2) Section 12.1(e) of</w:t>
            </w:r>
          </w:p>
        </w:tc>
      </w:tr>
      <w:tr>
        <w:trPr>
          <w:trHeight w:val="180"/>
        </w:trPr>
        <w:tc>
          <w:tcPr>
            <w:tcW w:w="2960" w:type="dxa"/>
            <w:vAlign w:val="bottom"/>
          </w:tcPr>
          <w:p>
            <w:pPr>
              <w:spacing w:after="0"/>
              <w:rPr>
                <w:sz w:val="15"/>
                <w:szCs w:val="15"/>
                <w:color w:val="auto"/>
              </w:rPr>
            </w:pPr>
          </w:p>
        </w:tc>
        <w:tc>
          <w:tcPr>
            <w:tcW w:w="6680" w:type="dxa"/>
            <w:vAlign w:val="bottom"/>
            <w:gridSpan w:val="2"/>
          </w:tcPr>
          <w:p>
            <w:pPr>
              <w:ind w:left="1380"/>
              <w:spacing w:after="0" w:line="180" w:lineRule="exact"/>
              <w:rPr>
                <w:sz w:val="20"/>
                <w:szCs w:val="20"/>
                <w:color w:val="auto"/>
              </w:rPr>
            </w:pPr>
            <w:r>
              <w:rPr>
                <w:rFonts w:ascii="Times New Roman" w:cs="Times New Roman" w:eastAsia="Times New Roman" w:hAnsi="Times New Roman"/>
                <w:sz w:val="16"/>
                <w:szCs w:val="16"/>
                <w:color w:val="auto"/>
                <w:w w:val="98"/>
              </w:rPr>
              <w:t>the Equity Definitions is hereby amended by replacing the words “voting shares” in</w:t>
            </w:r>
          </w:p>
        </w:tc>
      </w:tr>
      <w:tr>
        <w:trPr>
          <w:trHeight w:val="203"/>
        </w:trPr>
        <w:tc>
          <w:tcPr>
            <w:tcW w:w="2960" w:type="dxa"/>
            <w:vAlign w:val="bottom"/>
          </w:tcPr>
          <w:p>
            <w:pPr>
              <w:spacing w:after="0"/>
              <w:rPr>
                <w:sz w:val="17"/>
                <w:szCs w:val="17"/>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the first line thereof with the word “Shares”.</w:t>
            </w:r>
          </w:p>
        </w:tc>
      </w:tr>
      <w:tr>
        <w:trPr>
          <w:trHeight w:val="33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Valid Third Party Entity:</w:t>
            </w: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In respect of any transaction or event, any third party that has a bona fide intent to</w:t>
            </w:r>
          </w:p>
        </w:tc>
      </w:tr>
      <w:tr>
        <w:trPr>
          <w:trHeight w:val="198"/>
        </w:trPr>
        <w:tc>
          <w:tcPr>
            <w:tcW w:w="2960" w:type="dxa"/>
            <w:vAlign w:val="bottom"/>
          </w:tcPr>
          <w:p>
            <w:pPr>
              <w:spacing w:after="0"/>
              <w:rPr>
                <w:sz w:val="17"/>
                <w:szCs w:val="17"/>
                <w:color w:val="auto"/>
              </w:rPr>
            </w:pPr>
          </w:p>
        </w:tc>
        <w:tc>
          <w:tcPr>
            <w:tcW w:w="66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w w:val="99"/>
              </w:rPr>
              <w:t>enter into or consummate such transaction, as determined by the Calculation Agent</w:t>
            </w:r>
          </w:p>
        </w:tc>
      </w:tr>
    </w:tbl>
    <w:p>
      <w:pPr>
        <w:jc w:val="both"/>
        <w:ind w:left="4500" w:right="20"/>
        <w:spacing w:after="0" w:line="236" w:lineRule="auto"/>
        <w:rPr>
          <w:sz w:val="20"/>
          <w:szCs w:val="20"/>
          <w:color w:val="auto"/>
        </w:rPr>
      </w:pPr>
      <w:r>
        <w:rPr>
          <w:rFonts w:ascii="Times New Roman" w:cs="Times New Roman" w:eastAsia="Times New Roman" w:hAnsi="Times New Roman"/>
          <w:sz w:val="16"/>
          <w:szCs w:val="16"/>
          <w:color w:val="auto"/>
        </w:rPr>
        <w:t>(it being understood and agreed that in determining, in a commercially reasonable manner, whether such third party has such a bona fide intent, the Calculation Agent shall take into consideration the effect of the relevant announcement by such third party on the Shares and/or Options on the Shares).</w:t>
      </w:r>
    </w:p>
    <w:p>
      <w:pPr>
        <w:spacing w:after="0" w:line="1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1" w:right="660" w:bottom="1440" w:gutter="0" w:footer="0" w:header="0"/>
        </w:sectPr>
      </w:pPr>
    </w:p>
    <w:bookmarkStart w:id="136" w:name="page137"/>
    <w:bookmarkEnd w:id="136"/>
    <w:tbl>
      <w:tblPr>
        <w:tblLayout w:type="fixed"/>
        <w:tblInd w:w="160" w:type="dxa"/>
        <w:tblCellMar>
          <w:top w:w="0" w:type="dxa"/>
          <w:left w:w="0" w:type="dxa"/>
          <w:bottom w:w="0" w:type="dxa"/>
          <w:right w:w="0" w:type="dxa"/>
        </w:tblCellMar>
      </w:tblP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Nationalization, Insolvency or Delisting:</w:t>
            </w: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xml:space="preserve">Cancellation and Payment (Calculation Agent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addition to the provisions of Section 12.6(a)(iii) of the Equity Definitions, it will</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also constitute a Delisting if the Exchange is located in the United States and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w w:val="97"/>
              </w:rPr>
              <w:t>Shares are not immediately re-listed, re-traded or re-quoted on any of the New York</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Stock Exchange, The Nasdaq Global Select Market or The Nasdaq Global Market</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w w:val="98"/>
              </w:rPr>
              <w:t>(or their respective successors); if the Shares are immediately re-listed, re-traded or</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re-quoted on any of the New York Stock Exchange, The Nasdaq Global Select</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Market or The Nasdaq Global Market (or their respective successors), such</w:t>
            </w:r>
          </w:p>
        </w:tc>
      </w:tr>
      <w:tr>
        <w:trPr>
          <w:trHeight w:val="203"/>
        </w:trPr>
        <w:tc>
          <w:tcPr>
            <w:tcW w:w="3440" w:type="dxa"/>
            <w:vAlign w:val="bottom"/>
          </w:tcPr>
          <w:p>
            <w:pPr>
              <w:spacing w:after="0"/>
              <w:rPr>
                <w:sz w:val="17"/>
                <w:szCs w:val="17"/>
                <w:color w:val="auto"/>
              </w:rPr>
            </w:pP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exchange or quotation system shall thereafter be deemed to be the Exchange.</w:t>
            </w:r>
          </w:p>
        </w:tc>
      </w:tr>
      <w:tr>
        <w:trPr>
          <w:trHeight w:val="36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Additional Disruption Events:</w:t>
            </w:r>
          </w:p>
        </w:tc>
        <w:tc>
          <w:tcPr>
            <w:tcW w:w="12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33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Change in Law:</w:t>
            </w: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xml:space="preserve">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Section 12.9(a)(ii) of the Equity Definitions is hereby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amended by (i) replacing the phrase “the interpretation” in the third line thereof</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w w:val="97"/>
              </w:rPr>
              <w:t>with the phrase “, or public announcement of, the formal or informal interpretation”,</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(ii) replacing the word “Shares” where it appears in clause (X) thereof with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words “Hedge Position” and (iii) replacing the parenthetical beginning after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word “regulation” in the second line thereof with the words “(including, for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avoidance of doubt and without limitation, (x) any tax law or (y) adoption,</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effectiveness or promulgation of new regulations authorized or mandated by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existing  statute)”.  Notwithstanding  anything  to  the  contrary  in  the  Equity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Definitions, a Change in Law described in clause (Y) of Section 12.9(a)(ii) of the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w w:val="98"/>
              </w:rPr>
              <w:t>Equity Definitions shall not constitute a Change in Law and instead shall constitute</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an Increased Cost of Hedging as described in Section 12.9(a)(vi) of the Equity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rPr>
              <w:t>Definitions, and any such determination of a Change in Law shall be consistently</w:t>
            </w:r>
          </w:p>
        </w:tc>
      </w:tr>
      <w:tr>
        <w:trPr>
          <w:trHeight w:val="180"/>
        </w:trPr>
        <w:tc>
          <w:tcPr>
            <w:tcW w:w="3440" w:type="dxa"/>
            <w:vAlign w:val="bottom"/>
          </w:tcPr>
          <w:p>
            <w:pPr>
              <w:spacing w:after="0"/>
              <w:rPr>
                <w:sz w:val="15"/>
                <w:szCs w:val="15"/>
                <w:color w:val="auto"/>
              </w:rPr>
            </w:pPr>
          </w:p>
        </w:tc>
        <w:tc>
          <w:tcPr>
            <w:tcW w:w="6200" w:type="dxa"/>
            <w:vAlign w:val="bottom"/>
            <w:gridSpan w:val="2"/>
          </w:tcPr>
          <w:p>
            <w:pPr>
              <w:ind w:left="920"/>
              <w:spacing w:after="0" w:line="180" w:lineRule="exact"/>
              <w:rPr>
                <w:sz w:val="20"/>
                <w:szCs w:val="20"/>
                <w:color w:val="auto"/>
              </w:rPr>
            </w:pPr>
            <w:r>
              <w:rPr>
                <w:rFonts w:ascii="Times New Roman" w:cs="Times New Roman" w:eastAsia="Times New Roman" w:hAnsi="Times New Roman"/>
                <w:sz w:val="16"/>
                <w:szCs w:val="16"/>
                <w:color w:val="auto"/>
                <w:w w:val="99"/>
              </w:rPr>
              <w:t>applied by the Hedging Party across transactions similar to the Transaction and for</w:t>
            </w:r>
          </w:p>
        </w:tc>
      </w:tr>
      <w:tr>
        <w:trPr>
          <w:trHeight w:val="203"/>
        </w:trPr>
        <w:tc>
          <w:tcPr>
            <w:tcW w:w="3440" w:type="dxa"/>
            <w:vAlign w:val="bottom"/>
          </w:tcPr>
          <w:p>
            <w:pPr>
              <w:spacing w:after="0"/>
              <w:rPr>
                <w:sz w:val="17"/>
                <w:szCs w:val="17"/>
                <w:color w:val="auto"/>
              </w:rPr>
            </w:pP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counterparties similar to Counterparty.</w:t>
            </w:r>
          </w:p>
        </w:tc>
      </w:tr>
      <w:tr>
        <w:trPr>
          <w:trHeight w:val="36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Failure to Deliver:</w:t>
            </w: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Applicable</w:t>
            </w:r>
          </w:p>
        </w:tc>
      </w:tr>
      <w:tr>
        <w:trPr>
          <w:trHeight w:val="36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Hedging Disruption:</w:t>
            </w:r>
          </w:p>
        </w:tc>
        <w:tc>
          <w:tcPr>
            <w:tcW w:w="62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xml:space="preserve">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tc>
      </w:tr>
      <w:tr>
        <w:trPr>
          <w:trHeight w:val="337"/>
        </w:trPr>
        <w:tc>
          <w:tcPr>
            <w:tcW w:w="3440" w:type="dxa"/>
            <w:vAlign w:val="bottom"/>
          </w:tcPr>
          <w:p>
            <w:pPr>
              <w:spacing w:after="0"/>
              <w:rPr>
                <w:sz w:val="24"/>
                <w:szCs w:val="24"/>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Section 12.9(a)(v) of the Equity Definitions is hereby amended by inserting</w:t>
            </w:r>
          </w:p>
        </w:tc>
      </w:tr>
      <w:tr>
        <w:trPr>
          <w:trHeight w:val="203"/>
        </w:trPr>
        <w:tc>
          <w:tcPr>
            <w:tcW w:w="3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following two phrases at the end of such Section:</w:t>
            </w:r>
          </w:p>
        </w:tc>
      </w:tr>
    </w:tbl>
    <w:p>
      <w:pPr>
        <w:spacing w:after="0" w:line="15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“For the avoidance of doubt, the term “equity price risk” shall be deemed to</w:t>
      </w:r>
    </w:p>
    <w:p>
      <w:pPr>
        <w:spacing w:after="0" w:line="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include, but shall not be limited to, stock price and volatility risk. And, for</w:t>
      </w:r>
    </w:p>
    <w:p>
      <w:pPr>
        <w:ind w:left="4940"/>
        <w:spacing w:after="0" w:line="234" w:lineRule="auto"/>
        <w:rPr>
          <w:sz w:val="20"/>
          <w:szCs w:val="20"/>
          <w:color w:val="auto"/>
        </w:rPr>
      </w:pPr>
      <w:r>
        <w:rPr>
          <w:rFonts w:ascii="Times New Roman" w:cs="Times New Roman" w:eastAsia="Times New Roman" w:hAnsi="Times New Roman"/>
          <w:sz w:val="16"/>
          <w:szCs w:val="16"/>
          <w:color w:val="auto"/>
        </w:rPr>
        <w:t>the further avoidance of doubt, any such transactions or assets referred to in</w:t>
      </w:r>
    </w:p>
    <w:p>
      <w:pPr>
        <w:ind w:left="4940"/>
        <w:spacing w:after="0" w:line="235" w:lineRule="auto"/>
        <w:rPr>
          <w:sz w:val="20"/>
          <w:szCs w:val="20"/>
          <w:color w:val="auto"/>
        </w:rPr>
      </w:pPr>
      <w:r>
        <w:rPr>
          <w:rFonts w:ascii="Times New Roman" w:cs="Times New Roman" w:eastAsia="Times New Roman" w:hAnsi="Times New Roman"/>
          <w:sz w:val="16"/>
          <w:szCs w:val="16"/>
          <w:color w:val="auto"/>
        </w:rPr>
        <w:t>phrases (A) or (B) above must be available on commercially reasonable</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pricing terms.”; and</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1" w:right="660" w:bottom="1440" w:gutter="0" w:footer="0" w:header="0"/>
        </w:sectPr>
      </w:pPr>
    </w:p>
    <w:bookmarkStart w:id="137" w:name="page138"/>
    <w:bookmarkEnd w:id="137"/>
    <w:tbl>
      <w:tblPr>
        <w:tblLayout w:type="fixed"/>
        <w:tblInd w:w="16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3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(ii)</w:t>
            </w:r>
          </w:p>
        </w:tc>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Section 12.9(b)(iii) of the Equity Definitions is hereby amended by inserting</w:t>
            </w:r>
          </w:p>
        </w:tc>
      </w:tr>
      <w:tr>
        <w:trPr>
          <w:trHeight w:val="180"/>
        </w:trPr>
        <w:tc>
          <w:tcPr>
            <w:tcW w:w="3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 the third line thereof, after the words “to terminate the Transaction”, the</w:t>
            </w:r>
          </w:p>
        </w:tc>
      </w:tr>
      <w:tr>
        <w:trPr>
          <w:trHeight w:val="180"/>
        </w:trPr>
        <w:tc>
          <w:tcPr>
            <w:tcW w:w="3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97"/>
              </w:rPr>
              <w:t>words “or a portion of the Transaction affected by such Hedging Disruption”;</w:t>
            </w:r>
          </w:p>
        </w:tc>
      </w:tr>
      <w:tr>
        <w:trPr>
          <w:trHeight w:val="203"/>
        </w:trPr>
        <w:tc>
          <w:tcPr>
            <w:tcW w:w="3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w:t>
            </w:r>
          </w:p>
        </w:tc>
      </w:tr>
      <w:tr>
        <w:trPr>
          <w:trHeight w:val="337"/>
        </w:trPr>
        <w:tc>
          <w:tcPr>
            <w:tcW w:w="3280" w:type="dxa"/>
            <w:vAlign w:val="bottom"/>
          </w:tcPr>
          <w:p>
            <w:pPr>
              <w:spacing w:after="0"/>
              <w:rPr>
                <w:sz w:val="24"/>
                <w:szCs w:val="24"/>
                <w:color w:val="auto"/>
              </w:rPr>
            </w:pP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9"/>
              </w:rPr>
              <w:t>(iii)   Notwithstanding anything to the contrary herein or in the Equity Definitions,</w:t>
            </w:r>
          </w:p>
        </w:tc>
      </w:tr>
      <w:tr>
        <w:trPr>
          <w:trHeight w:val="180"/>
        </w:trPr>
        <w:tc>
          <w:tcPr>
            <w:tcW w:w="3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w w:val="97"/>
              </w:rPr>
              <w:t>in no event will a Hedging Disruption occur solely due to the deterioration of</w:t>
            </w:r>
          </w:p>
        </w:tc>
      </w:tr>
      <w:tr>
        <w:trPr>
          <w:trHeight w:val="203"/>
        </w:trPr>
        <w:tc>
          <w:tcPr>
            <w:tcW w:w="3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creditworthiness of the Hedging Party.</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Increased Cost of Hedging:</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Applicable solely with respect to a “Change in Law” described in clause (Y) of</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7"/>
              </w:rPr>
              <w:t>Section 12.9(a)(ii) of the Equity Definitions as set forth in the last sentence opposite</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the caption “Change in Law” above (which determination shall be consistently</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9"/>
              </w:rPr>
              <w:t>applied by the Hedging Party across transactions similar to the Transaction and for</w:t>
            </w:r>
          </w:p>
        </w:tc>
      </w:tr>
      <w:tr>
        <w:trPr>
          <w:trHeight w:val="203"/>
        </w:trPr>
        <w:tc>
          <w:tcPr>
            <w:tcW w:w="3280" w:type="dxa"/>
            <w:vAlign w:val="bottom"/>
          </w:tcPr>
          <w:p>
            <w:pPr>
              <w:spacing w:after="0"/>
              <w:rPr>
                <w:sz w:val="17"/>
                <w:szCs w:val="17"/>
                <w:color w:val="auto"/>
              </w:rPr>
            </w:pP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counterparties similar to Counterparty).</w:t>
            </w:r>
          </w:p>
        </w:tc>
      </w:tr>
      <w:tr>
        <w:trPr>
          <w:trHeight w:val="36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Hedging Party:</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For all applicable Additional Disruption Events, Dealer.</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Determining Party:</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98"/>
              </w:rPr>
              <w:t>For all applicable Extraordinary Events, Dealer. The Determining Party agrees that</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it will promptly (but in any event within five (5) Exchange Business Days), upon</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written notice from Counterparty, provide a statement displaying in reasonable</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9"/>
              </w:rPr>
              <w:t>detail the basis for any determination or calculation, as the case may be (including</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8"/>
              </w:rPr>
              <w:t>any quotations, market data or information from internal or external sources used in</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8"/>
              </w:rPr>
              <w:t>making such determination or calculation, it being understood that the Determining</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Party shall not be required to disclose any confidential information or proprietary</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9"/>
              </w:rPr>
              <w:t>models used by it in connection with such determination or calculation, as the case</w:t>
            </w:r>
          </w:p>
        </w:tc>
      </w:tr>
      <w:tr>
        <w:trPr>
          <w:trHeight w:val="203"/>
        </w:trPr>
        <w:tc>
          <w:tcPr>
            <w:tcW w:w="3280" w:type="dxa"/>
            <w:vAlign w:val="bottom"/>
          </w:tcPr>
          <w:p>
            <w:pPr>
              <w:spacing w:after="0"/>
              <w:rPr>
                <w:sz w:val="17"/>
                <w:szCs w:val="17"/>
                <w:color w:val="auto"/>
              </w:rPr>
            </w:pP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may be).</w:t>
            </w:r>
          </w:p>
        </w:tc>
      </w:tr>
      <w:tr>
        <w:trPr>
          <w:trHeight w:val="36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Non-Reliance:</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Applicable</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Agreements and Acknowledgments</w:t>
            </w:r>
          </w:p>
        </w:tc>
        <w:tc>
          <w:tcPr>
            <w:tcW w:w="13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Regarding Hedging Activities:</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Applicable</w:t>
            </w:r>
          </w:p>
        </w:tc>
      </w:tr>
      <w:tr>
        <w:trPr>
          <w:trHeight w:val="36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Additional Acknowledgments:</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Applicable</w:t>
            </w:r>
          </w:p>
        </w:tc>
      </w:tr>
      <w:tr>
        <w:trPr>
          <w:trHeight w:val="337"/>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Hedging Adjustment:</w:t>
            </w: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For the avoidance of doubt, whenever Hedging Party, Determining Party or the</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w w:val="99"/>
              </w:rPr>
              <w:t>Calculation Agent makes an adjustment, calculation or determination permitted or</w:t>
            </w:r>
          </w:p>
        </w:tc>
      </w:tr>
      <w:tr>
        <w:trPr>
          <w:trHeight w:val="180"/>
        </w:trPr>
        <w:tc>
          <w:tcPr>
            <w:tcW w:w="3280" w:type="dxa"/>
            <w:vAlign w:val="bottom"/>
          </w:tcPr>
          <w:p>
            <w:pPr>
              <w:spacing w:after="0"/>
              <w:rPr>
                <w:sz w:val="15"/>
                <w:szCs w:val="15"/>
                <w:color w:val="auto"/>
              </w:rPr>
            </w:pPr>
          </w:p>
        </w:tc>
        <w:tc>
          <w:tcPr>
            <w:tcW w:w="636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color w:val="auto"/>
              </w:rPr>
              <w:t>required to be made pursuant to the terms of this Confirmation or the Equity</w:t>
            </w:r>
          </w:p>
        </w:tc>
      </w:tr>
      <w:tr>
        <w:trPr>
          <w:trHeight w:val="198"/>
        </w:trPr>
        <w:tc>
          <w:tcPr>
            <w:tcW w:w="3280" w:type="dxa"/>
            <w:vAlign w:val="bottom"/>
          </w:tcPr>
          <w:p>
            <w:pPr>
              <w:spacing w:after="0"/>
              <w:rPr>
                <w:sz w:val="17"/>
                <w:szCs w:val="17"/>
                <w:color w:val="auto"/>
              </w:rPr>
            </w:pPr>
          </w:p>
        </w:tc>
        <w:tc>
          <w:tcPr>
            <w:tcW w:w="6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Definitions to take into account the effect of any event (other than an adjustment,</w:t>
            </w:r>
          </w:p>
        </w:tc>
      </w:tr>
    </w:tbl>
    <w:p>
      <w:pPr>
        <w:jc w:val="both"/>
        <w:ind w:left="4520" w:right="20"/>
        <w:spacing w:after="0" w:line="236" w:lineRule="auto"/>
        <w:rPr>
          <w:sz w:val="20"/>
          <w:szCs w:val="20"/>
          <w:color w:val="auto"/>
        </w:rPr>
      </w:pPr>
      <w:r>
        <w:rPr>
          <w:rFonts w:ascii="Times New Roman" w:cs="Times New Roman" w:eastAsia="Times New Roman" w:hAnsi="Times New Roman"/>
          <w:sz w:val="16"/>
          <w:szCs w:val="16"/>
          <w:color w:val="auto"/>
        </w:rPr>
        <w:t>calculation or determination made by reference to the Indenture), the Calculation Agent, Determining Party or Hedging Party, as the case may be, shall make such adjustment, calculation or determination in a commercially reasonable manner assuming that Dealer maintains a commercially reasonable hedge position.</w:t>
      </w:r>
    </w:p>
    <w:p>
      <w:pPr>
        <w:spacing w:after="0" w:line="1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1" w:right="660" w:bottom="1440" w:gutter="0" w:footer="0" w:header="0"/>
        </w:sectPr>
      </w:pPr>
    </w:p>
    <w:bookmarkStart w:id="138" w:name="page139"/>
    <w:bookmarkEnd w:id="138"/>
    <w:p>
      <w:pPr>
        <w:ind w:left="634" w:hanging="634"/>
        <w:spacing w:after="0"/>
        <w:tabs>
          <w:tab w:leader="none" w:pos="634"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Calculation Agent</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34" w:hanging="634"/>
        <w:spacing w:after="0"/>
        <w:tabs>
          <w:tab w:leader="none" w:pos="63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Account Details</w:t>
      </w:r>
      <w:r>
        <w:rPr>
          <w:rFonts w:ascii="Times New Roman" w:cs="Times New Roman" w:eastAsia="Times New Roman" w:hAnsi="Times New Roman"/>
          <w:sz w:val="16"/>
          <w:szCs w:val="16"/>
          <w:b w:val="1"/>
          <w:bCs w:val="1"/>
          <w:color w:val="auto"/>
        </w:rPr>
        <w:t>.</w:t>
      </w:r>
    </w:p>
    <w:p>
      <w:pPr>
        <w:spacing w:after="0" w:line="178" w:lineRule="exact"/>
        <w:rPr>
          <w:rFonts w:ascii="Times New Roman" w:cs="Times New Roman" w:eastAsia="Times New Roman" w:hAnsi="Times New Roman"/>
          <w:sz w:val="16"/>
          <w:szCs w:val="16"/>
          <w:b w:val="1"/>
          <w:bCs w:val="1"/>
          <w:color w:val="auto"/>
        </w:rPr>
      </w:pPr>
    </w:p>
    <w:p>
      <w:pPr>
        <w:ind w:left="1174" w:right="860" w:hanging="538"/>
        <w:spacing w:after="0" w:line="536" w:lineRule="auto"/>
        <w:tabs>
          <w:tab w:leader="none" w:pos="1174"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payments to Counterparty: To be provided by Counterparty.</w:t>
      </w:r>
    </w:p>
    <w:p>
      <w:pPr>
        <w:spacing w:after="0" w:line="1" w:lineRule="exact"/>
        <w:rPr>
          <w:rFonts w:ascii="Times New Roman" w:cs="Times New Roman" w:eastAsia="Times New Roman" w:hAnsi="Times New Roman"/>
          <w:sz w:val="14"/>
          <w:szCs w:val="14"/>
          <w:color w:val="auto"/>
        </w:rPr>
      </w:pPr>
    </w:p>
    <w:p>
      <w:pPr>
        <w:ind w:left="1174" w:right="320"/>
        <w:spacing w:after="0" w:line="5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for delivery of Shares to Counterparty: To be provided by Counterparty.</w:t>
      </w:r>
    </w:p>
    <w:p>
      <w:pPr>
        <w:spacing w:after="0" w:line="1" w:lineRule="exact"/>
        <w:rPr>
          <w:rFonts w:ascii="Times New Roman" w:cs="Times New Roman" w:eastAsia="Times New Roman" w:hAnsi="Times New Roman"/>
          <w:sz w:val="14"/>
          <w:szCs w:val="14"/>
          <w:color w:val="auto"/>
        </w:rPr>
      </w:pPr>
    </w:p>
    <w:p>
      <w:pPr>
        <w:ind w:left="1174" w:hanging="538"/>
        <w:spacing w:after="0"/>
        <w:tabs>
          <w:tab w:leader="none" w:pos="1174"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 for payments to Dealer:</w:t>
      </w:r>
    </w:p>
    <w:p>
      <w:pPr>
        <w:spacing w:after="0" w:line="98" w:lineRule="exact"/>
        <w:rPr>
          <w:rFonts w:ascii="Times New Roman" w:cs="Times New Roman" w:eastAsia="Times New Roman" w:hAnsi="Times New Roman"/>
          <w:sz w:val="16"/>
          <w:szCs w:val="16"/>
          <w:color w:val="auto"/>
        </w:rPr>
      </w:pPr>
    </w:p>
    <w:p>
      <w:pPr>
        <w:ind w:left="117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w:t>
      </w:r>
      <w:r>
        <w:rPr>
          <w:rFonts w:ascii="Times New Roman" w:cs="Times New Roman" w:eastAsia="Times New Roman" w:hAnsi="Times New Roman"/>
          <w:sz w:val="15"/>
          <w:szCs w:val="15"/>
          <w:color w:val="auto"/>
        </w:rPr>
        <w:t>[_________]</w:t>
      </w:r>
      <w:r>
        <w:rPr>
          <w:rFonts w:ascii="Times New Roman" w:cs="Times New Roman" w:eastAsia="Times New Roman" w:hAnsi="Times New Roman"/>
          <w:sz w:val="24"/>
          <w:szCs w:val="24"/>
          <w:color w:val="auto"/>
          <w:vertAlign w:val="superscript"/>
        </w:rPr>
        <w:t>41</w:t>
      </w:r>
    </w:p>
    <w:p>
      <w:pPr>
        <w:ind w:left="117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[SWIFT:]</w:t>
      </w:r>
      <w:r>
        <w:rPr>
          <w:rFonts w:ascii="Times New Roman" w:cs="Times New Roman" w:eastAsia="Times New Roman" w:hAnsi="Times New Roman"/>
          <w:sz w:val="14"/>
          <w:szCs w:val="14"/>
          <w:color w:val="auto"/>
        </w:rPr>
        <w:t>[_________]</w:t>
      </w:r>
    </w:p>
    <w:p>
      <w:pPr>
        <w:ind w:left="1174"/>
        <w:spacing w:after="0"/>
        <w:tabs>
          <w:tab w:leader="none" w:pos="2314" w:val="left"/>
        </w:tabs>
        <w:rPr>
          <w:sz w:val="20"/>
          <w:szCs w:val="20"/>
          <w:color w:val="auto"/>
        </w:rPr>
      </w:pPr>
      <w:r>
        <w:rPr>
          <w:rFonts w:ascii="Times New Roman" w:cs="Times New Roman" w:eastAsia="Times New Roman" w:hAnsi="Times New Roman"/>
          <w:sz w:val="16"/>
          <w:szCs w:val="16"/>
          <w:color w:val="auto"/>
        </w:rPr>
        <w:t>[Bank Routing:]</w:t>
      </w:r>
      <w:r>
        <w:rPr>
          <w:sz w:val="20"/>
          <w:szCs w:val="20"/>
          <w:color w:val="auto"/>
        </w:rPr>
        <w:tab/>
      </w:r>
      <w:r>
        <w:rPr>
          <w:rFonts w:ascii="Times New Roman" w:cs="Times New Roman" w:eastAsia="Times New Roman" w:hAnsi="Times New Roman"/>
          <w:sz w:val="14"/>
          <w:szCs w:val="14"/>
          <w:color w:val="auto"/>
        </w:rPr>
        <w:t>[_________]</w:t>
      </w:r>
    </w:p>
    <w:p>
      <w:pPr>
        <w:ind w:left="1174"/>
        <w:spacing w:after="0"/>
        <w:tabs>
          <w:tab w:leader="none" w:pos="2314" w:val="left"/>
        </w:tabs>
        <w:rPr>
          <w:sz w:val="20"/>
          <w:szCs w:val="20"/>
          <w:color w:val="auto"/>
        </w:rPr>
      </w:pPr>
      <w:r>
        <w:rPr>
          <w:rFonts w:ascii="Times New Roman" w:cs="Times New Roman" w:eastAsia="Times New Roman" w:hAnsi="Times New Roman"/>
          <w:sz w:val="16"/>
          <w:szCs w:val="16"/>
          <w:color w:val="auto"/>
        </w:rPr>
        <w:t>[Acct Name:]</w:t>
      </w:r>
      <w:r>
        <w:rPr>
          <w:sz w:val="20"/>
          <w:szCs w:val="20"/>
          <w:color w:val="auto"/>
        </w:rPr>
        <w:tab/>
      </w:r>
      <w:r>
        <w:rPr>
          <w:rFonts w:ascii="Times New Roman" w:cs="Times New Roman" w:eastAsia="Times New Roman" w:hAnsi="Times New Roman"/>
          <w:sz w:val="14"/>
          <w:szCs w:val="14"/>
          <w:color w:val="auto"/>
        </w:rPr>
        <w:t>[_________]</w:t>
      </w:r>
    </w:p>
    <w:p>
      <w:pPr>
        <w:ind w:left="1174"/>
        <w:spacing w:after="0"/>
        <w:tabs>
          <w:tab w:leader="none" w:pos="2314" w:val="left"/>
        </w:tabs>
        <w:rPr>
          <w:sz w:val="20"/>
          <w:szCs w:val="20"/>
          <w:color w:val="auto"/>
        </w:rPr>
      </w:pPr>
      <w:r>
        <w:rPr>
          <w:rFonts w:ascii="Times New Roman" w:cs="Times New Roman" w:eastAsia="Times New Roman" w:hAnsi="Times New Roman"/>
          <w:sz w:val="16"/>
          <w:szCs w:val="16"/>
          <w:color w:val="auto"/>
        </w:rPr>
        <w:t>[Acct No.:]</w:t>
      </w:r>
      <w:r>
        <w:rPr>
          <w:sz w:val="20"/>
          <w:szCs w:val="20"/>
          <w:color w:val="auto"/>
        </w:rPr>
        <w:tab/>
      </w:r>
      <w:r>
        <w:rPr>
          <w:rFonts w:ascii="Times New Roman" w:cs="Times New Roman" w:eastAsia="Times New Roman" w:hAnsi="Times New Roman"/>
          <w:sz w:val="14"/>
          <w:szCs w:val="14"/>
          <w:color w:val="auto"/>
        </w:rPr>
        <w:t>[_________]</w:t>
      </w:r>
    </w:p>
    <w:p>
      <w:pPr>
        <w:spacing w:after="0" w:line="158" w:lineRule="exact"/>
        <w:rPr>
          <w:sz w:val="20"/>
          <w:szCs w:val="20"/>
          <w:color w:val="auto"/>
        </w:rPr>
      </w:pPr>
    </w:p>
    <w:p>
      <w:pPr>
        <w:ind w:left="1174"/>
        <w:spacing w:after="0"/>
        <w:rPr>
          <w:sz w:val="20"/>
          <w:szCs w:val="20"/>
          <w:color w:val="auto"/>
        </w:rPr>
      </w:pPr>
      <w:r>
        <w:rPr>
          <w:rFonts w:ascii="Times New Roman" w:cs="Times New Roman" w:eastAsia="Times New Roman" w:hAnsi="Times New Roman"/>
          <w:sz w:val="16"/>
          <w:szCs w:val="16"/>
          <w:color w:val="auto"/>
        </w:rPr>
        <w:t>Account for delivery of Shares from Dealer:</w:t>
      </w:r>
    </w:p>
    <w:p>
      <w:pPr>
        <w:spacing w:after="0" w:line="176" w:lineRule="exact"/>
        <w:rPr>
          <w:sz w:val="20"/>
          <w:szCs w:val="20"/>
          <w:color w:val="auto"/>
        </w:rPr>
      </w:pPr>
    </w:p>
    <w:p>
      <w:pPr>
        <w:ind w:left="1174"/>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6705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69" w:lineRule="exact"/>
        <w:rPr>
          <w:sz w:val="20"/>
          <w:szCs w:val="20"/>
          <w:color w:val="auto"/>
        </w:rPr>
      </w:pPr>
    </w:p>
    <w:p>
      <w:pPr>
        <w:ind w:left="154" w:hanging="154"/>
        <w:spacing w:after="0"/>
        <w:tabs>
          <w:tab w:leader="none" w:pos="154"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Insert Dealer’s account information.</w:t>
      </w:r>
    </w:p>
    <w:p>
      <w:pPr>
        <w:spacing w:after="0" w:line="20" w:lineRule="exact"/>
        <w:rPr>
          <w:sz w:val="20"/>
          <w:szCs w:val="20"/>
          <w:color w:val="auto"/>
        </w:rPr>
      </w:pPr>
      <w:r>
        <w:rPr>
          <w:sz w:val="20"/>
          <w:szCs w:val="20"/>
          <w:color w:val="auto"/>
        </w:rPr>
        <w:br w:type="column"/>
      </w:r>
    </w:p>
    <w:p>
      <w:pPr>
        <w:jc w:val="both"/>
        <w:ind w:left="80"/>
        <w:spacing w:after="0" w:line="239" w:lineRule="auto"/>
        <w:rPr>
          <w:sz w:val="20"/>
          <w:szCs w:val="20"/>
          <w:color w:val="auto"/>
        </w:rPr>
      </w:pPr>
      <w:r>
        <w:rPr>
          <w:rFonts w:ascii="Times New Roman" w:cs="Times New Roman" w:eastAsia="Times New Roman" w:hAnsi="Times New Roman"/>
          <w:sz w:val="16"/>
          <w:szCs w:val="16"/>
          <w:color w:val="auto"/>
        </w:rPr>
        <w:t xml:space="preserve">Dealer;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following the occurrence of an Event of Default of the type described in Section 5(a)(vii) of the Agreement with respect to which Dealer is the sole Defaulting Party,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60" w:lineRule="exact"/>
        <w:rPr>
          <w:sz w:val="20"/>
          <w:szCs w:val="20"/>
          <w:color w:val="auto"/>
        </w:rPr>
      </w:pPr>
    </w:p>
    <w:p>
      <w:pPr>
        <w:jc w:val="both"/>
        <w:ind w:left="80"/>
        <w:spacing w:after="0" w:line="274" w:lineRule="auto"/>
        <w:rPr>
          <w:sz w:val="20"/>
          <w:szCs w:val="20"/>
          <w:color w:val="auto"/>
        </w:rPr>
      </w:pPr>
      <w:r>
        <w:rPr>
          <w:rFonts w:ascii="Times New Roman" w:cs="Times New Roman" w:eastAsia="Times New Roman" w:hAnsi="Times New Roman"/>
          <w:sz w:val="14"/>
          <w:szCs w:val="14"/>
          <w:color w:val="auto"/>
        </w:rPr>
        <w:t>All calculations, adjustments and determinations made by the Calculation Agent shall be made in good faith and in a commercially reasonable manner; provided that, upon receipt of written request (which may be by e-mail) from Counterparty, the Calculation Agent shall promptly provide Counterparty with a written explanation (which may be by e- mail) describing in reasonable detail the basis for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66675</wp:posOffset>
            </wp:positionV>
            <wp:extent cx="670750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2">
            <w:col w:w="4474" w:space="720"/>
            <w:col w:w="5380"/>
          </w:cols>
          <w:pgMar w:left="666" w:top="963" w:right="660" w:bottom="1440" w:gutter="0" w:footer="0" w:header="0"/>
        </w:sectPr>
      </w:pPr>
    </w:p>
    <w:bookmarkStart w:id="139" w:name="page140"/>
    <w:bookmarkEnd w:id="139"/>
    <w:p>
      <w:pPr>
        <w:ind w:left="640" w:hanging="634"/>
        <w:spacing w:after="0"/>
        <w:tabs>
          <w:tab w:leader="none" w:pos="640"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Offices</w:t>
      </w:r>
      <w:r>
        <w:rPr>
          <w:rFonts w:ascii="Times New Roman" w:cs="Times New Roman" w:eastAsia="Times New Roman" w:hAnsi="Times New Roman"/>
          <w:sz w:val="16"/>
          <w:szCs w:val="16"/>
          <w:b w:val="1"/>
          <w:bCs w:val="1"/>
          <w:color w:val="auto"/>
        </w:rPr>
        <w:t>.</w:t>
      </w:r>
    </w:p>
    <w:p>
      <w:pPr>
        <w:spacing w:after="0" w:line="178" w:lineRule="exact"/>
        <w:rPr>
          <w:rFonts w:ascii="Times New Roman" w:cs="Times New Roman" w:eastAsia="Times New Roman" w:hAnsi="Times New Roman"/>
          <w:sz w:val="16"/>
          <w:szCs w:val="16"/>
          <w:b w:val="1"/>
          <w:bCs w:val="1"/>
          <w:color w:val="auto"/>
        </w:rPr>
      </w:pPr>
    </w:p>
    <w:p>
      <w:pPr>
        <w:ind w:left="1180" w:hanging="538"/>
        <w:spacing w:after="0"/>
        <w:tabs>
          <w:tab w:leader="none" w:pos="118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Office of Counterparty for the Transaction is: Inapplicable, Counterparty is not a Multibranch Party.</w:t>
      </w:r>
    </w:p>
    <w:p>
      <w:pPr>
        <w:spacing w:after="0" w:line="176" w:lineRule="exact"/>
        <w:rPr>
          <w:rFonts w:ascii="Times New Roman" w:cs="Times New Roman" w:eastAsia="Times New Roman" w:hAnsi="Times New Roman"/>
          <w:sz w:val="16"/>
          <w:szCs w:val="16"/>
          <w:color w:val="auto"/>
        </w:rPr>
      </w:pPr>
    </w:p>
    <w:p>
      <w:pPr>
        <w:ind w:left="1180" w:hanging="538"/>
        <w:spacing w:after="0"/>
        <w:tabs>
          <w:tab w:leader="none" w:pos="118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Office of Dealer for the Transaction is: [____________][Inapplicable; Dealer is not a Multibranch Party]</w:t>
      </w:r>
    </w:p>
    <w:p>
      <w:pPr>
        <w:spacing w:after="0" w:line="174"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b w:val="1"/>
          <w:bCs w:val="1"/>
          <w:color w:val="auto"/>
        </w:rPr>
        <w:t>.</w:t>
      </w:r>
    </w:p>
    <w:p>
      <w:pPr>
        <w:spacing w:after="0" w:line="178" w:lineRule="exact"/>
        <w:rPr>
          <w:rFonts w:ascii="Times New Roman" w:cs="Times New Roman" w:eastAsia="Times New Roman" w:hAnsi="Times New Roman"/>
          <w:sz w:val="16"/>
          <w:szCs w:val="16"/>
          <w:b w:val="1"/>
          <w:bCs w:val="1"/>
          <w:color w:val="auto"/>
        </w:rPr>
      </w:pPr>
    </w:p>
    <w:p>
      <w:pPr>
        <w:ind w:left="1180" w:right="5880" w:hanging="538"/>
        <w:spacing w:after="0" w:line="469" w:lineRule="auto"/>
        <w:tabs>
          <w:tab w:leader="none" w:pos="118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for notices or communications to Counterparty: [ ]</w:t>
      </w:r>
    </w:p>
    <w:p>
      <w:pPr>
        <w:spacing w:after="0" w:line="1" w:lineRule="exact"/>
        <w:rPr>
          <w:rFonts w:ascii="Times New Roman" w:cs="Times New Roman" w:eastAsia="Times New Roman" w:hAnsi="Times New Roman"/>
          <w:sz w:val="16"/>
          <w:szCs w:val="16"/>
          <w:color w:val="auto"/>
        </w:rPr>
      </w:pPr>
    </w:p>
    <w:p>
      <w:pPr>
        <w:ind w:left="1180" w:right="8360"/>
        <w:spacing w:after="0" w:line="5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With a copy to: [____________]</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w:t>
      </w:r>
      <w:r>
        <w:rPr>
          <w:rFonts w:ascii="Times New Roman" w:cs="Times New Roman" w:eastAsia="Times New Roman" w:hAnsi="Times New Roman"/>
          <w:sz w:val="14"/>
          <w:szCs w:val="14"/>
          <w:color w:val="auto"/>
        </w:rPr>
        <w:t>[____________]</w:t>
      </w:r>
    </w:p>
    <w:p>
      <w:pPr>
        <w:spacing w:after="0" w:line="14"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Telephone:</w:t>
      </w:r>
      <w:r>
        <w:rPr>
          <w:rFonts w:ascii="Times New Roman" w:cs="Times New Roman" w:eastAsia="Times New Roman" w:hAnsi="Times New Roman"/>
          <w:sz w:val="14"/>
          <w:szCs w:val="14"/>
          <w:color w:val="auto"/>
        </w:rPr>
        <w:t>[____________]</w:t>
      </w: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w:t>
      </w:r>
      <w:r>
        <w:rPr>
          <w:rFonts w:ascii="Times New Roman" w:cs="Times New Roman" w:eastAsia="Times New Roman" w:hAnsi="Times New Roman"/>
          <w:sz w:val="14"/>
          <w:szCs w:val="14"/>
          <w:color w:val="auto"/>
        </w:rPr>
        <w:t>[____________]</w:t>
      </w:r>
    </w:p>
    <w:p>
      <w:pPr>
        <w:spacing w:after="0" w:line="158" w:lineRule="exact"/>
        <w:rPr>
          <w:rFonts w:ascii="Times New Roman" w:cs="Times New Roman" w:eastAsia="Times New Roman" w:hAnsi="Times New Roman"/>
          <w:sz w:val="16"/>
          <w:szCs w:val="16"/>
          <w:color w:val="auto"/>
        </w:rPr>
      </w:pPr>
    </w:p>
    <w:p>
      <w:pPr>
        <w:ind w:left="1180" w:hanging="538"/>
        <w:spacing w:after="0"/>
        <w:tabs>
          <w:tab w:leader="none" w:pos="1180"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for notices or communications to Dealer:</w:t>
      </w:r>
    </w:p>
    <w:p>
      <w:pPr>
        <w:spacing w:after="0" w:line="176"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[____________]</w:t>
      </w:r>
      <w:r>
        <w:rPr>
          <w:rFonts w:ascii="Times New Roman" w:cs="Times New Roman" w:eastAsia="Times New Roman" w:hAnsi="Times New Roman"/>
          <w:sz w:val="26"/>
          <w:szCs w:val="26"/>
          <w:color w:val="auto"/>
          <w:vertAlign w:val="superscript"/>
        </w:rPr>
        <w:t>42</w:t>
      </w:r>
    </w:p>
    <w:p>
      <w:pPr>
        <w:spacing w:after="0" w:line="6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w:t>
      </w:r>
      <w:r>
        <w:rPr>
          <w:rFonts w:ascii="Times New Roman" w:cs="Times New Roman" w:eastAsia="Times New Roman" w:hAnsi="Times New Roman"/>
          <w:sz w:val="14"/>
          <w:szCs w:val="14"/>
          <w:color w:val="auto"/>
        </w:rPr>
        <w:t>[____________]</w:t>
      </w:r>
    </w:p>
    <w:p>
      <w:pPr>
        <w:spacing w:after="0" w:line="14"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Telephone:</w:t>
      </w:r>
      <w:r>
        <w:rPr>
          <w:rFonts w:ascii="Times New Roman" w:cs="Times New Roman" w:eastAsia="Times New Roman" w:hAnsi="Times New Roman"/>
          <w:sz w:val="14"/>
          <w:szCs w:val="14"/>
          <w:color w:val="auto"/>
        </w:rPr>
        <w:t>[____________]</w:t>
      </w:r>
    </w:p>
    <w:p>
      <w:pPr>
        <w:ind w:left="1180" w:right="7200"/>
        <w:spacing w:after="0" w:line="4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Email: [____________] [With a copy to:</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[____________]</w:t>
      </w:r>
    </w:p>
    <w:p>
      <w:pPr>
        <w:spacing w:after="0" w:line="176"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w:t>
      </w:r>
      <w:r>
        <w:rPr>
          <w:rFonts w:ascii="Times New Roman" w:cs="Times New Roman" w:eastAsia="Times New Roman" w:hAnsi="Times New Roman"/>
          <w:sz w:val="14"/>
          <w:szCs w:val="14"/>
          <w:color w:val="auto"/>
        </w:rPr>
        <w:t>[____________]</w:t>
      </w:r>
    </w:p>
    <w:p>
      <w:pPr>
        <w:spacing w:after="0" w:line="10" w:lineRule="exact"/>
        <w:rPr>
          <w:sz w:val="20"/>
          <w:szCs w:val="20"/>
          <w:color w:val="auto"/>
        </w:rPr>
      </w:pPr>
    </w:p>
    <w:p>
      <w:pPr>
        <w:ind w:left="1180"/>
        <w:spacing w:after="0"/>
        <w:tabs>
          <w:tab w:leader="none" w:pos="2320" w:val="left"/>
        </w:tabs>
        <w:rPr>
          <w:sz w:val="20"/>
          <w:szCs w:val="20"/>
          <w:color w:val="auto"/>
        </w:rPr>
      </w:pPr>
      <w:r>
        <w:rPr>
          <w:rFonts w:ascii="Times New Roman" w:cs="Times New Roman" w:eastAsia="Times New Roman" w:hAnsi="Times New Roman"/>
          <w:sz w:val="16"/>
          <w:szCs w:val="16"/>
          <w:color w:val="auto"/>
        </w:rPr>
        <w:t>Telephone:</w:t>
      </w:r>
      <w:r>
        <w:rPr>
          <w:sz w:val="20"/>
          <w:szCs w:val="20"/>
          <w:color w:val="auto"/>
        </w:rPr>
        <w:tab/>
      </w:r>
      <w:r>
        <w:rPr>
          <w:rFonts w:ascii="Times New Roman" w:cs="Times New Roman" w:eastAsia="Times New Roman" w:hAnsi="Times New Roman"/>
          <w:sz w:val="16"/>
          <w:szCs w:val="16"/>
          <w:color w:val="auto"/>
        </w:rPr>
        <w:t>[____________]</w:t>
      </w:r>
    </w:p>
    <w:p>
      <w:pPr>
        <w:ind w:left="1180"/>
        <w:spacing w:after="0"/>
        <w:tabs>
          <w:tab w:leader="none" w:pos="23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[____________]]</w:t>
      </w:r>
    </w:p>
    <w:p>
      <w:pPr>
        <w:spacing w:after="0" w:line="156" w:lineRule="exact"/>
        <w:rPr>
          <w:sz w:val="20"/>
          <w:szCs w:val="20"/>
          <w:color w:val="auto"/>
        </w:rPr>
      </w:pPr>
    </w:p>
    <w:p>
      <w:pPr>
        <w:ind w:left="640" w:hanging="634"/>
        <w:spacing w:after="0"/>
        <w:tabs>
          <w:tab w:leader="none" w:pos="640"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Counterparty</w:t>
      </w:r>
      <w:r>
        <w:rPr>
          <w:rFonts w:ascii="Times New Roman" w:cs="Times New Roman" w:eastAsia="Times New Roman" w:hAnsi="Times New Roman"/>
          <w:sz w:val="16"/>
          <w:szCs w:val="16"/>
          <w:b w:val="1"/>
          <w:bCs w:val="1"/>
          <w:color w:val="auto"/>
        </w:rPr>
        <w:t>.</w:t>
      </w:r>
    </w:p>
    <w:p>
      <w:pPr>
        <w:spacing w:after="0" w:line="176" w:lineRule="exact"/>
        <w:rPr>
          <w:rFonts w:ascii="Times New Roman" w:cs="Times New Roman" w:eastAsia="Times New Roman" w:hAnsi="Times New Roman"/>
          <w:sz w:val="16"/>
          <w:szCs w:val="16"/>
          <w:b w:val="1"/>
          <w:bCs w:val="1"/>
          <w:color w:val="auto"/>
        </w:rPr>
      </w:pPr>
    </w:p>
    <w:p>
      <w:pPr>
        <w:jc w:val="both"/>
        <w:ind w:left="640"/>
        <w:spacing w:after="0" w:line="24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of the representations and warranties of Counterparty set forth in Section 3 of the Purchase Agreement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dated as of [__], 2025, among Counterparty and [____________], as representatives of the Initial Purchasers party thereto (the “</w:t>
      </w:r>
      <w:r>
        <w:rPr>
          <w:rFonts w:ascii="Times New Roman" w:cs="Times New Roman" w:eastAsia="Times New Roman" w:hAnsi="Times New Roman"/>
          <w:sz w:val="16"/>
          <w:szCs w:val="16"/>
          <w:b w:val="1"/>
          <w:bCs w:val="1"/>
          <w:color w:val="auto"/>
        </w:rPr>
        <w:t>Initial Purchasers</w:t>
      </w:r>
      <w:r>
        <w:rPr>
          <w:rFonts w:ascii="Times New Roman" w:cs="Times New Roman" w:eastAsia="Times New Roman" w:hAnsi="Times New Roman"/>
          <w:sz w:val="16"/>
          <w:szCs w:val="16"/>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54" w:lineRule="exact"/>
        <w:rPr>
          <w:rFonts w:ascii="Times New Roman" w:cs="Times New Roman" w:eastAsia="Times New Roman" w:hAnsi="Times New Roman"/>
          <w:sz w:val="16"/>
          <w:szCs w:val="16"/>
          <w:b w:val="1"/>
          <w:bCs w:val="1"/>
          <w:color w:val="auto"/>
        </w:rPr>
      </w:pPr>
    </w:p>
    <w:p>
      <w:pPr>
        <w:jc w:val="both"/>
        <w:ind w:left="1180" w:hanging="538"/>
        <w:spacing w:after="0" w:line="278" w:lineRule="auto"/>
        <w:tabs>
          <w:tab w:leader="none" w:pos="118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238760</wp:posOffset>
            </wp:positionV>
            <wp:extent cx="6705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02" w:lineRule="exact"/>
        <w:rPr>
          <w:sz w:val="20"/>
          <w:szCs w:val="20"/>
          <w:color w:val="auto"/>
        </w:rPr>
      </w:pPr>
    </w:p>
    <w:p>
      <w:pPr>
        <w:ind w:left="180" w:hanging="174"/>
        <w:spacing w:after="0"/>
        <w:tabs>
          <w:tab w:leader="none" w:pos="180" w:val="left"/>
        </w:tabs>
        <w:numPr>
          <w:ilvl w:val="0"/>
          <w:numId w:val="1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Insert Dealer’s notice contact information.</w:t>
      </w: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70750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40" w:name="page141"/>
    <w:bookmarkEnd w:id="140"/>
    <w:p>
      <w:pPr>
        <w:jc w:val="both"/>
        <w:ind w:left="538" w:hanging="538"/>
        <w:spacing w:after="0" w:line="184" w:lineRule="exact"/>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laws (or any equivalent documents) of Counterparty, or any applicable law or regulation, or any order, writ, injunction or decree of any court or governmental authority or 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60" w:lineRule="exact"/>
        <w:rPr>
          <w:rFonts w:ascii="Times New Roman" w:cs="Times New Roman" w:eastAsia="Times New Roman" w:hAnsi="Times New Roman"/>
          <w:sz w:val="16"/>
          <w:szCs w:val="16"/>
          <w:color w:val="auto"/>
        </w:rPr>
      </w:pPr>
    </w:p>
    <w:p>
      <w:pPr>
        <w:ind w:left="538" w:hanging="538"/>
        <w:spacing w:after="0"/>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76" w:lineRule="exact"/>
        <w:rPr>
          <w:rFonts w:ascii="Times New Roman" w:cs="Times New Roman" w:eastAsia="Times New Roman" w:hAnsi="Times New Roman"/>
          <w:sz w:val="16"/>
          <w:szCs w:val="16"/>
          <w:color w:val="auto"/>
        </w:rPr>
      </w:pPr>
    </w:p>
    <w:p>
      <w:pPr>
        <w:ind w:left="538" w:right="20" w:hanging="538"/>
        <w:spacing w:after="0" w:line="259"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is not and, after consummation of the transactions contemplated hereby, will not be required to register as an “investment company” as such term is defined in the Investment Company Act of 1940, as amended.</w:t>
      </w:r>
    </w:p>
    <w:p>
      <w:pPr>
        <w:spacing w:after="0" w:line="143" w:lineRule="exact"/>
        <w:rPr>
          <w:rFonts w:ascii="Times New Roman" w:cs="Times New Roman" w:eastAsia="Times New Roman" w:hAnsi="Times New Roman"/>
          <w:sz w:val="16"/>
          <w:szCs w:val="16"/>
          <w:color w:val="auto"/>
        </w:rPr>
      </w:pPr>
    </w:p>
    <w:p>
      <w:pPr>
        <w:ind w:left="538" w:hanging="538"/>
        <w:spacing w:after="0" w:line="259"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43" w:lineRule="exact"/>
        <w:rPr>
          <w:rFonts w:ascii="Times New Roman" w:cs="Times New Roman" w:eastAsia="Times New Roman" w:hAnsi="Times New Roman"/>
          <w:sz w:val="16"/>
          <w:szCs w:val="16"/>
          <w:color w:val="auto"/>
        </w:rPr>
      </w:pPr>
    </w:p>
    <w:p>
      <w:pPr>
        <w:ind w:left="538" w:hanging="538"/>
        <w:spacing w:after="0"/>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is not, on the date hereof, in possession of any material non-public information with respect to Counterparty or the Shares.</w:t>
      </w:r>
    </w:p>
    <w:p>
      <w:pPr>
        <w:spacing w:after="0" w:line="176" w:lineRule="exact"/>
        <w:rPr>
          <w:rFonts w:ascii="Times New Roman" w:cs="Times New Roman" w:eastAsia="Times New Roman" w:hAnsi="Times New Roman"/>
          <w:sz w:val="16"/>
          <w:szCs w:val="16"/>
          <w:color w:val="auto"/>
        </w:rPr>
      </w:pPr>
    </w:p>
    <w:p>
      <w:pPr>
        <w:jc w:val="both"/>
        <w:ind w:left="538" w:hanging="538"/>
        <w:spacing w:after="0" w:line="241"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a financial institution or broker-dealer.</w:t>
      </w:r>
    </w:p>
    <w:p>
      <w:pPr>
        <w:spacing w:after="0" w:line="156" w:lineRule="exact"/>
        <w:rPr>
          <w:rFonts w:ascii="Times New Roman" w:cs="Times New Roman" w:eastAsia="Times New Roman" w:hAnsi="Times New Roman"/>
          <w:sz w:val="16"/>
          <w:szCs w:val="16"/>
          <w:color w:val="auto"/>
        </w:rPr>
      </w:pPr>
    </w:p>
    <w:p>
      <w:pPr>
        <w:jc w:val="both"/>
        <w:ind w:left="538" w:hanging="538"/>
        <w:spacing w:after="0" w:line="241"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consulted with its own legal, regulatory, tax, business, investments, financial and accounting advisors with respect to the Transaction to the extent that it has deemed necessary; and (D) has total assets of at least USD 50 million.</w:t>
      </w:r>
    </w:p>
    <w:p>
      <w:pPr>
        <w:spacing w:after="0" w:line="156" w:lineRule="exact"/>
        <w:rPr>
          <w:rFonts w:ascii="Times New Roman" w:cs="Times New Roman" w:eastAsia="Times New Roman" w:hAnsi="Times New Roman"/>
          <w:sz w:val="16"/>
          <w:szCs w:val="16"/>
          <w:color w:val="auto"/>
        </w:rPr>
      </w:pPr>
    </w:p>
    <w:p>
      <w:pPr>
        <w:ind w:left="538" w:right="20" w:hanging="538"/>
        <w:spacing w:after="0" w:line="259"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assets of Counterparty used to pay the Premium do not constitute “plan assets” under the Employee Retirement Income Security Act of 1974, as amended (“</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by reason of Department of Labor Regulation 29 CFR §2510.3-101, as modified by Section 3(42) of ERISA.</w:t>
      </w:r>
    </w:p>
    <w:p>
      <w:pPr>
        <w:spacing w:after="0" w:line="143" w:lineRule="exact"/>
        <w:rPr>
          <w:rFonts w:ascii="Times New Roman" w:cs="Times New Roman" w:eastAsia="Times New Roman" w:hAnsi="Times New Roman"/>
          <w:sz w:val="16"/>
          <w:szCs w:val="16"/>
          <w:color w:val="auto"/>
        </w:rPr>
      </w:pPr>
    </w:p>
    <w:p>
      <w:pPr>
        <w:jc w:val="both"/>
        <w:ind w:left="538" w:hanging="538"/>
        <w:spacing w:after="0" w:line="239" w:lineRule="auto"/>
        <w:tabs>
          <w:tab w:leader="none" w:pos="53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and immediately after the Trade Date and the Premium Payment Date, (A) the value of the total assets of Counterparty is greater than the sum of the total liabilities (including contingent liabilities) and the capital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6"/>
          <w:szCs w:val="16"/>
          <w:b w:val="1"/>
          <w:bCs w:val="1"/>
          <w:color w:val="auto"/>
        </w:rPr>
        <w:t>Bankruptcy Code</w:t>
      </w:r>
      <w:r>
        <w:rPr>
          <w:rFonts w:ascii="Times New Roman" w:cs="Times New Roman" w:eastAsia="Times New Roman" w:hAnsi="Times New Roman"/>
          <w:sz w:val="16"/>
          <w:szCs w:val="16"/>
          <w:color w:val="auto"/>
        </w:rPr>
        <w:t>”)) and (F) Counterparty would be able to purchase the number of Shares with respect to the Transaction in compliance with the laws of the jurisdiction of Counterparty’s incorporation.</w:t>
      </w:r>
    </w:p>
    <w:p>
      <w:pPr>
        <w:spacing w:after="0" w:line="158" w:lineRule="exact"/>
        <w:rPr>
          <w:sz w:val="20"/>
          <w:szCs w:val="20"/>
          <w:color w:val="auto"/>
        </w:rPr>
      </w:pPr>
    </w:p>
    <w:p>
      <w:pPr>
        <w:ind w:left="4558"/>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670750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38"/>
          </w:cols>
          <w:pgMar w:left="1302" w:top="965" w:right="660" w:bottom="1440" w:gutter="0" w:footer="0" w:header="0"/>
        </w:sectPr>
      </w:pPr>
    </w:p>
    <w:bookmarkStart w:id="141" w:name="page142"/>
    <w:bookmarkEnd w:id="141"/>
    <w:p>
      <w:pPr>
        <w:jc w:val="both"/>
        <w:ind w:left="1180" w:hanging="538"/>
        <w:spacing w:after="0" w:line="271" w:lineRule="auto"/>
        <w:tabs>
          <w:tab w:leader="none" w:pos="118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Counterparty represents and warrants that it has not applied, and shall not, without the consent of Dealer,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 </w:t>
      </w:r>
      <w:r>
        <w:rPr>
          <w:rFonts w:ascii="Times New Roman" w:cs="Times New Roman" w:eastAsia="Times New Roman" w:hAnsi="Times New Roman"/>
          <w:sz w:val="14"/>
          <w:szCs w:val="14"/>
          <w:b w:val="1"/>
          <w:bCs w:val="1"/>
          <w:color w:val="auto"/>
        </w:rPr>
        <w:t>CARES Act</w:t>
      </w:r>
      <w:r>
        <w:rPr>
          <w:rFonts w:ascii="Times New Roman" w:cs="Times New Roman" w:eastAsia="Times New Roman" w:hAnsi="Times New Roman"/>
          <w:sz w:val="14"/>
          <w:szCs w:val="14"/>
          <w:color w:val="auto"/>
        </w:rPr>
        <w:t>”)) or other investment, or to receive any financial assistance or relief under any program or facility (collectively “</w:t>
      </w:r>
      <w:r>
        <w:rPr>
          <w:rFonts w:ascii="Times New Roman" w:cs="Times New Roman" w:eastAsia="Times New Roman" w:hAnsi="Times New Roman"/>
          <w:sz w:val="14"/>
          <w:szCs w:val="14"/>
          <w:b w:val="1"/>
          <w:bCs w:val="1"/>
          <w:color w:val="auto"/>
        </w:rPr>
        <w:t>Financial Assistance</w:t>
      </w:r>
      <w:r>
        <w:rPr>
          <w:rFonts w:ascii="Times New Roman" w:cs="Times New Roman" w:eastAsia="Times New Roman" w:hAnsi="Times New Roman"/>
          <w:sz w:val="14"/>
          <w:szCs w:val="14"/>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the Counterparty agree, attest, certify or warrant that it has not, as of the date specified in such condition, repurchased, or will not repurchase, any equity security of Counterparty, and that it has not, as of the date specified in the condition, made a capital distribution or will make a capital distribution, or (ii) where the terms of the Transaction would cause Counterparty under any circumstances to fail to satisfy any condition for application for or receipt or retention of the Financial Assistance (collectively “</w:t>
      </w:r>
      <w:r>
        <w:rPr>
          <w:rFonts w:ascii="Times New Roman" w:cs="Times New Roman" w:eastAsia="Times New Roman" w:hAnsi="Times New Roman"/>
          <w:sz w:val="14"/>
          <w:szCs w:val="14"/>
          <w:b w:val="1"/>
          <w:bCs w:val="1"/>
          <w:color w:val="auto"/>
        </w:rPr>
        <w:t>Restricted Financial Assistance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Counterparty may apply for Restricted Financial Assistance if (x) Counterparty either (a) determines based on advice of outside counsel reasonably satisfactory to the Dealer that the terms of the Transaction would not cause Counterparty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and (y) on the basis of which Dealer consents to Counterparty’s application for such Restricted Financial Assistance (such consent not to be unreasonably withheld or delayed).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3" w:lineRule="exact"/>
        <w:rPr>
          <w:rFonts w:ascii="Times New Roman" w:cs="Times New Roman" w:eastAsia="Times New Roman" w:hAnsi="Times New Roman"/>
          <w:sz w:val="14"/>
          <w:szCs w:val="14"/>
          <w:color w:val="auto"/>
        </w:rPr>
      </w:pPr>
    </w:p>
    <w:p>
      <w:pPr>
        <w:ind w:left="1180" w:hanging="538"/>
        <w:spacing w:after="0" w:line="267" w:lineRule="auto"/>
        <w:tabs>
          <w:tab w:leader="none" w:pos="118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6"/>
          <w:szCs w:val="26"/>
          <w:color w:val="auto"/>
          <w:vertAlign w:val="superscript"/>
        </w:rPr>
        <w:t>43</w:t>
      </w:r>
    </w:p>
    <w:p>
      <w:pPr>
        <w:ind w:left="640" w:hanging="634"/>
        <w:spacing w:after="0"/>
        <w:tabs>
          <w:tab w:leader="none" w:pos="640"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Provisions</w:t>
      </w:r>
      <w:r>
        <w:rPr>
          <w:rFonts w:ascii="Times New Roman" w:cs="Times New Roman" w:eastAsia="Times New Roman" w:hAnsi="Times New Roman"/>
          <w:sz w:val="16"/>
          <w:szCs w:val="16"/>
          <w:b w:val="1"/>
          <w:bCs w:val="1"/>
          <w:color w:val="auto"/>
        </w:rPr>
        <w:t>.</w:t>
      </w:r>
    </w:p>
    <w:p>
      <w:pPr>
        <w:spacing w:after="0" w:line="176" w:lineRule="exact"/>
        <w:rPr>
          <w:rFonts w:ascii="Times New Roman" w:cs="Times New Roman" w:eastAsia="Times New Roman" w:hAnsi="Times New Roman"/>
          <w:sz w:val="16"/>
          <w:szCs w:val="16"/>
          <w:b w:val="1"/>
          <w:bCs w:val="1"/>
          <w:color w:val="auto"/>
        </w:rPr>
      </w:pPr>
    </w:p>
    <w:p>
      <w:pPr>
        <w:jc w:val="both"/>
        <w:ind w:left="1180" w:hanging="538"/>
        <w:spacing w:after="0" w:line="248" w:lineRule="auto"/>
        <w:tabs>
          <w:tab w:leader="none" w:pos="118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Opinions</w:t>
      </w:r>
      <w:r>
        <w:rPr>
          <w:rFonts w:ascii="Times New Roman" w:cs="Times New Roman" w:eastAsia="Times New Roman" w:hAnsi="Times New Roman"/>
          <w:sz w:val="16"/>
          <w:szCs w:val="16"/>
          <w:color w:val="auto"/>
        </w:rPr>
        <w:t>. Counterparty shall deliver to Dealer an opinion of counsel, dated as of the Effective Date, with respect to the matters set forth in Sections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8(a) through (d) of this Confirmation. Delivery of such opinion to Dealer shall be a condition precedent for the purpose of Section 2(a)(iii) of the Agreement with respect to each obligation of Dealer under Section 2(a)(i)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249555</wp:posOffset>
            </wp:positionV>
            <wp:extent cx="6705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4" w:lineRule="exact"/>
        <w:rPr>
          <w:sz w:val="20"/>
          <w:szCs w:val="20"/>
          <w:color w:val="auto"/>
        </w:rPr>
      </w:pPr>
    </w:p>
    <w:p>
      <w:pPr>
        <w:ind w:left="160" w:hanging="154"/>
        <w:spacing w:after="0"/>
        <w:tabs>
          <w:tab w:leader="none" w:pos="160" w:val="left"/>
        </w:tabs>
        <w:numPr>
          <w:ilvl w:val="0"/>
          <w:numId w:val="1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for applicable Dealers.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42" w:name="page143"/>
    <w:bookmarkEnd w:id="142"/>
    <w:p>
      <w:pPr>
        <w:jc w:val="both"/>
        <w:ind w:left="1180" w:hanging="538"/>
        <w:spacing w:after="0" w:line="206" w:lineRule="auto"/>
        <w:tabs>
          <w:tab w:leader="none" w:pos="11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Repurchase Notices</w:t>
      </w:r>
      <w:r>
        <w:rPr>
          <w:rFonts w:ascii="Times New Roman" w:cs="Times New Roman" w:eastAsia="Times New Roman" w:hAnsi="Times New Roman"/>
          <w:sz w:val="16"/>
          <w:szCs w:val="16"/>
          <w:color w:val="auto"/>
        </w:rPr>
        <w:t>. Counterparty shall, on any day on which Counterparty effects any repurchase of Shares, promptly give Dealer a written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for the avoidance of doubt may be by email) of such repurchase (a “</w:t>
      </w:r>
      <w:r>
        <w:rPr>
          <w:rFonts w:ascii="Times New Roman" w:cs="Times New Roman" w:eastAsia="Times New Roman" w:hAnsi="Times New Roman"/>
          <w:sz w:val="16"/>
          <w:szCs w:val="16"/>
          <w:b w:val="1"/>
          <w:bCs w:val="1"/>
          <w:color w:val="auto"/>
        </w:rPr>
        <w:t>Repurchase Notice</w:t>
      </w:r>
      <w:r>
        <w:rPr>
          <w:rFonts w:ascii="Times New Roman" w:cs="Times New Roman" w:eastAsia="Times New Roman" w:hAnsi="Times New Roman"/>
          <w:sz w:val="16"/>
          <w:szCs w:val="16"/>
          <w:color w:val="auto"/>
        </w:rPr>
        <w:t>”) on such day if following such repurchase, the number of outstanding Shares as determined on such day is (i) less than [__]</w:t>
      </w:r>
      <w:r>
        <w:rPr>
          <w:rFonts w:ascii="Times New Roman" w:cs="Times New Roman" w:eastAsia="Times New Roman" w:hAnsi="Times New Roman"/>
          <w:sz w:val="26"/>
          <w:szCs w:val="26"/>
          <w:color w:val="auto"/>
          <w:vertAlign w:val="superscript"/>
        </w:rPr>
        <w:t>44</w:t>
      </w:r>
      <w:r>
        <w:rPr>
          <w:rFonts w:ascii="Times New Roman" w:cs="Times New Roman" w:eastAsia="Times New Roman" w:hAnsi="Times New Roman"/>
          <w:sz w:val="16"/>
          <w:szCs w:val="16"/>
          <w:color w:val="auto"/>
        </w:rPr>
        <w:t xml:space="preserve"> million (in the case of the first such notice) or (ii) thereafter more than [__]</w:t>
      </w:r>
      <w:r>
        <w:rPr>
          <w:rFonts w:ascii="Times New Roman" w:cs="Times New Roman" w:eastAsia="Times New Roman" w:hAnsi="Times New Roman"/>
          <w:sz w:val="26"/>
          <w:szCs w:val="26"/>
          <w:color w:val="auto"/>
          <w:vertAlign w:val="superscript"/>
        </w:rPr>
        <w:t>45</w:t>
      </w:r>
      <w:r>
        <w:rPr>
          <w:rFonts w:ascii="Times New Roman" w:cs="Times New Roman" w:eastAsia="Times New Roman" w:hAnsi="Times New Roman"/>
          <w:sz w:val="16"/>
          <w:szCs w:val="16"/>
          <w:color w:val="auto"/>
        </w:rPr>
        <w:t xml:space="preserve"> million less than the number of Shares included in the immediately preceding Repurchase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any repurchase of Shares pursuant to a plan under Rule 10b5-1 under the Exchange Act (as defined below),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9(b)).</w:t>
      </w:r>
    </w:p>
    <w:p>
      <w:pPr>
        <w:spacing w:after="0" w:line="161" w:lineRule="exact"/>
        <w:rPr>
          <w:rFonts w:ascii="Times New Roman" w:cs="Times New Roman" w:eastAsia="Times New Roman" w:hAnsi="Times New Roman"/>
          <w:sz w:val="16"/>
          <w:szCs w:val="16"/>
          <w:color w:val="auto"/>
        </w:rPr>
      </w:pPr>
    </w:p>
    <w:p>
      <w:pPr>
        <w:jc w:val="both"/>
        <w:ind w:left="118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commercially reasonable hedging activities and any commercially reasonable losses in connection therewith with respect to the Transaction), claims, damages, judgments, liabilities and reasonable and documented out-of-pocket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reasonable and documented out-of-pocket expenses incurred in connection with investigating, preparing for, providing testimony or other evidence in connection with or defending any of the foregoing.</w:t>
      </w:r>
    </w:p>
    <w:p>
      <w:pPr>
        <w:spacing w:after="0" w:line="163" w:lineRule="exact"/>
        <w:rPr>
          <w:rFonts w:ascii="Times New Roman" w:cs="Times New Roman" w:eastAsia="Times New Roman" w:hAnsi="Times New Roman"/>
          <w:sz w:val="16"/>
          <w:szCs w:val="16"/>
          <w:color w:val="auto"/>
        </w:rPr>
      </w:pPr>
    </w:p>
    <w:p>
      <w:pPr>
        <w:jc w:val="both"/>
        <w:ind w:left="118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and documented out-of-pocket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commercially reasonable loss or liability by reason of such settlement or judgment.</w:t>
      </w:r>
    </w:p>
    <w:p>
      <w:pPr>
        <w:spacing w:after="0" w:line="160" w:lineRule="exact"/>
        <w:rPr>
          <w:rFonts w:ascii="Times New Roman" w:cs="Times New Roman" w:eastAsia="Times New Roman" w:hAnsi="Times New Roman"/>
          <w:sz w:val="16"/>
          <w:szCs w:val="16"/>
          <w:color w:val="auto"/>
        </w:rPr>
      </w:pPr>
    </w:p>
    <w:p>
      <w:pPr>
        <w:jc w:val="both"/>
        <w:ind w:left="1180"/>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251460</wp:posOffset>
            </wp:positionV>
            <wp:extent cx="6705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right="20" w:firstLine="6"/>
        <w:spacing w:after="0" w:line="208" w:lineRule="auto"/>
        <w:tabs>
          <w:tab w:leader="none" w:pos="175" w:val="left"/>
        </w:tabs>
        <w:numPr>
          <w:ilvl w:val="0"/>
          <w:numId w:val="1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Insert the number of Shares outstanding that would cause Dealer’s current position in the Shares underlying the Transaction (including the number of Shares underlying any additional transaction if the greenshoe is exercised in full, and any Shares under pre-existing call option transactions with Counterparty) to increase by [0.5]%. To be based on Dealer with highest Applicable Percentage.</w:t>
      </w:r>
    </w:p>
    <w:p>
      <w:pPr>
        <w:spacing w:after="0" w:line="1" w:lineRule="exact"/>
        <w:rPr>
          <w:rFonts w:ascii="Times New Roman" w:cs="Times New Roman" w:eastAsia="Times New Roman" w:hAnsi="Times New Roman"/>
          <w:sz w:val="24"/>
          <w:szCs w:val="24"/>
          <w:color w:val="auto"/>
          <w:vertAlign w:val="superscript"/>
        </w:rPr>
      </w:pPr>
    </w:p>
    <w:p>
      <w:pPr>
        <w:jc w:val="both"/>
        <w:ind w:firstLine="6"/>
        <w:spacing w:after="0" w:line="204" w:lineRule="auto"/>
        <w:tabs>
          <w:tab w:leader="none" w:pos="166" w:val="left"/>
        </w:tabs>
        <w:numPr>
          <w:ilvl w:val="0"/>
          <w:numId w:val="1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Insert the number of Shares that, if repurchased, would cause Dealer’s current position in the Shares underlying the Transaction (including the number of Shares underlying any additional transaction if the greenshoe is exercised in full, and any Shares under pre-existing call option transactions with Counterparty) to increase by a further [0.5]% from the threshold for the first Repurchase Notice. To be based on Dealer with highest Applicable Percentage.</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43" w:name="page144"/>
    <w:bookmarkEnd w:id="143"/>
    <w:p>
      <w:pPr>
        <w:jc w:val="both"/>
        <w:ind w:left="538"/>
        <w:spacing w:after="0" w:line="247" w:lineRule="auto"/>
        <w:rPr>
          <w:sz w:val="20"/>
          <w:szCs w:val="20"/>
          <w:color w:val="auto"/>
        </w:rPr>
      </w:pPr>
      <w:r>
        <w:rPr>
          <w:rFonts w:ascii="Times New Roman" w:cs="Times New Roman" w:eastAsia="Times New Roman" w:hAnsi="Times New Roman"/>
          <w:sz w:val="16"/>
          <w:szCs w:val="16"/>
          <w:color w:val="auto"/>
        </w:rPr>
        <w:t>If the indemnification provided for in this paragraph (b)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w:t>
      </w:r>
    </w:p>
    <w:p>
      <w:pPr>
        <w:spacing w:after="0" w:line="152" w:lineRule="exact"/>
        <w:rPr>
          <w:sz w:val="20"/>
          <w:szCs w:val="20"/>
          <w:color w:val="auto"/>
        </w:rPr>
      </w:pPr>
    </w:p>
    <w:p>
      <w:pPr>
        <w:jc w:val="both"/>
        <w:ind w:left="538"/>
        <w:spacing w:after="0" w:line="247" w:lineRule="auto"/>
        <w:rPr>
          <w:sz w:val="20"/>
          <w:szCs w:val="20"/>
          <w:color w:val="auto"/>
        </w:rPr>
      </w:pPr>
      <w:r>
        <w:rPr>
          <w:rFonts w:ascii="Times New Roman" w:cs="Times New Roman" w:eastAsia="Times New Roman" w:hAnsi="Times New Roman"/>
          <w:sz w:val="16"/>
          <w:szCs w:val="16"/>
          <w:color w:val="auto"/>
        </w:rPr>
        <w:t>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50" w:lineRule="exact"/>
        <w:rPr>
          <w:sz w:val="20"/>
          <w:szCs w:val="20"/>
          <w:color w:val="auto"/>
        </w:rPr>
      </w:pPr>
    </w:p>
    <w:p>
      <w:pPr>
        <w:jc w:val="both"/>
        <w:ind w:left="538" w:hanging="538"/>
        <w:spacing w:after="0" w:line="244" w:lineRule="auto"/>
        <w:tabs>
          <w:tab w:leader="none" w:pos="53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Regulation M</w:t>
      </w:r>
      <w:r>
        <w:rPr>
          <w:rFonts w:ascii="Times New Roman" w:cs="Times New Roman" w:eastAsia="Times New Roman" w:hAnsi="Times New Roman"/>
          <w:sz w:val="16"/>
          <w:szCs w:val="16"/>
          <w:color w:val="auto"/>
        </w:rPr>
        <w:t>. Counterparty is not on the Trade Date engaged in a distribution, as such term is used in Regulation M under the Securities Exchange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152" w:lineRule="exact"/>
        <w:rPr>
          <w:rFonts w:ascii="Times New Roman" w:cs="Times New Roman" w:eastAsia="Times New Roman" w:hAnsi="Times New Roman"/>
          <w:sz w:val="16"/>
          <w:szCs w:val="16"/>
          <w:color w:val="auto"/>
        </w:rPr>
      </w:pPr>
    </w:p>
    <w:p>
      <w:pPr>
        <w:jc w:val="both"/>
        <w:ind w:left="538" w:hanging="538"/>
        <w:spacing w:after="0" w:line="248" w:lineRule="auto"/>
        <w:tabs>
          <w:tab w:leader="none" w:pos="53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No Manipulation</w:t>
      </w:r>
      <w:r>
        <w:rPr>
          <w:rFonts w:ascii="Times New Roman" w:cs="Times New Roman" w:eastAsia="Times New Roman" w:hAnsi="Times New Roman"/>
          <w:sz w:val="16"/>
          <w:szCs w:val="16"/>
          <w:color w:val="auto"/>
        </w:rPr>
        <w:t>. Counterparty is not entering into the Transaction to create actual or apparent trading activity in the Shares (or any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149" w:lineRule="exact"/>
        <w:rPr>
          <w:rFonts w:ascii="Times New Roman" w:cs="Times New Roman" w:eastAsia="Times New Roman" w:hAnsi="Times New Roman"/>
          <w:sz w:val="16"/>
          <w:szCs w:val="16"/>
          <w:color w:val="auto"/>
        </w:rPr>
      </w:pPr>
    </w:p>
    <w:p>
      <w:pPr>
        <w:ind w:left="538" w:hanging="538"/>
        <w:spacing w:after="0"/>
        <w:tabs>
          <w:tab w:leader="none" w:pos="53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Transfer or Assignment</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jc w:val="both"/>
        <w:ind w:left="1058" w:right="20" w:hanging="530"/>
        <w:spacing w:after="0" w:line="247" w:lineRule="auto"/>
        <w:tabs>
          <w:tab w:leader="none" w:pos="105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6"/>
          <w:szCs w:val="16"/>
          <w:b w:val="1"/>
          <w:bCs w:val="1"/>
          <w:color w:val="auto"/>
        </w:rPr>
        <w:t>Transfer Options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transfer or assignment shall be subject to reasonable conditions that Dealer may impose, including but not limited, to the following conditions:</w:t>
      </w:r>
    </w:p>
    <w:p>
      <w:pPr>
        <w:spacing w:after="0" w:line="152" w:lineRule="exact"/>
        <w:rPr>
          <w:rFonts w:ascii="Times New Roman" w:cs="Times New Roman" w:eastAsia="Times New Roman" w:hAnsi="Times New Roman"/>
          <w:sz w:val="16"/>
          <w:szCs w:val="16"/>
          <w:color w:val="auto"/>
        </w:rPr>
      </w:pPr>
    </w:p>
    <w:p>
      <w:pPr>
        <w:ind w:left="1578" w:right="20" w:hanging="522"/>
        <w:spacing w:after="0" w:line="266" w:lineRule="auto"/>
        <w:tabs>
          <w:tab w:leader="none" w:pos="1578"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any Transfer Options, Counterparty shall not be released from its notice and indemnification obligations pursuant to Section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9(b) or any obligations under Section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9(n) or </w:t>
      </w:r>
      <w:r>
        <w:rPr>
          <w:rFonts w:ascii="Arial" w:cs="Arial" w:eastAsia="Arial" w:hAnsi="Arial"/>
          <w:sz w:val="16"/>
          <w:szCs w:val="16"/>
          <w:color w:val="auto"/>
        </w:rPr>
        <w:t>​</w:t>
      </w:r>
      <w:r>
        <w:rPr>
          <w:rFonts w:ascii="Times New Roman" w:cs="Times New Roman" w:eastAsia="Times New Roman" w:hAnsi="Times New Roman"/>
          <w:sz w:val="16"/>
          <w:szCs w:val="16"/>
          <w:color w:val="auto"/>
        </w:rPr>
        <w:t>9(s) of this Confirmation;</w:t>
      </w:r>
    </w:p>
    <w:p>
      <w:pPr>
        <w:spacing w:after="0" w:line="131" w:lineRule="exact"/>
        <w:rPr>
          <w:rFonts w:ascii="Times New Roman" w:cs="Times New Roman" w:eastAsia="Times New Roman" w:hAnsi="Times New Roman"/>
          <w:sz w:val="16"/>
          <w:szCs w:val="16"/>
          <w:color w:val="auto"/>
        </w:rPr>
      </w:pPr>
    </w:p>
    <w:p>
      <w:pPr>
        <w:ind w:left="1578" w:right="20" w:hanging="522"/>
        <w:spacing w:after="0" w:line="259" w:lineRule="auto"/>
        <w:tabs>
          <w:tab w:leader="none" w:pos="1578"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jc w:val="both"/>
        <w:ind w:left="1578" w:right="20" w:hanging="522"/>
        <w:spacing w:after="0" w:line="241" w:lineRule="auto"/>
        <w:tabs>
          <w:tab w:leader="none" w:pos="1578"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56" w:lineRule="exact"/>
        <w:rPr>
          <w:rFonts w:ascii="Times New Roman" w:cs="Times New Roman" w:eastAsia="Times New Roman" w:hAnsi="Times New Roman"/>
          <w:sz w:val="16"/>
          <w:szCs w:val="16"/>
          <w:color w:val="auto"/>
        </w:rPr>
      </w:pPr>
    </w:p>
    <w:p>
      <w:pPr>
        <w:jc w:val="both"/>
        <w:ind w:left="1578" w:hanging="522"/>
        <w:spacing w:after="0" w:line="247" w:lineRule="auto"/>
        <w:tabs>
          <w:tab w:leader="none" w:pos="1578"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 will not, as a result of such transfer or assignment, be required to pay the transferee or assignee on any payment date an amount under Section 2(d)(i)(4) of the Agreement greater than an amount that Dealer would have been required to pay to Counterparty in the absence of such transfer or assignment;</w:t>
      </w:r>
    </w:p>
    <w:p>
      <w:pPr>
        <w:spacing w:after="0" w:line="152" w:lineRule="exact"/>
        <w:rPr>
          <w:rFonts w:ascii="Times New Roman" w:cs="Times New Roman" w:eastAsia="Times New Roman" w:hAnsi="Times New Roman"/>
          <w:sz w:val="16"/>
          <w:szCs w:val="16"/>
          <w:color w:val="auto"/>
        </w:rPr>
      </w:pPr>
    </w:p>
    <w:p>
      <w:pPr>
        <w:jc w:val="both"/>
        <w:ind w:left="1578" w:hanging="522"/>
        <w:spacing w:after="0" w:line="243" w:lineRule="auto"/>
        <w:tabs>
          <w:tab w:leader="none" w:pos="1578" w:val="left"/>
        </w:tabs>
        <w:numPr>
          <w:ilvl w:val="2"/>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 will not, as a result of such transfer or assignment, receive from the transferee or assignee on any payment date (after accounting for amounts paid by the transferee or assignee under Section 2(d)(i)(4) of the Agreement as well as any withholding or deduction of Tax from the payment) an amount less than the amount it would have been entitled to receive from Counterparty in the absence of such transfer or assignment;</w:t>
      </w:r>
    </w:p>
    <w:p>
      <w:pPr>
        <w:spacing w:after="0" w:line="155" w:lineRule="exact"/>
        <w:rPr>
          <w:sz w:val="20"/>
          <w:szCs w:val="20"/>
          <w:color w:val="auto"/>
        </w:rPr>
      </w:pPr>
    </w:p>
    <w:p>
      <w:pPr>
        <w:ind w:left="4558"/>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670750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38"/>
          </w:cols>
          <w:pgMar w:left="1302" w:top="965" w:right="660" w:bottom="1440" w:gutter="0" w:footer="0" w:header="0"/>
        </w:sectPr>
      </w:pPr>
    </w:p>
    <w:bookmarkStart w:id="144" w:name="page145"/>
    <w:bookmarkEnd w:id="144"/>
    <w:p>
      <w:pPr>
        <w:ind w:left="1440" w:hanging="522"/>
        <w:spacing w:after="0"/>
        <w:tabs>
          <w:tab w:leader="none" w:pos="14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Event of Default, Potential Event of Default or Termination Event will not occur as a result of such transfer or assignment;</w:t>
      </w:r>
    </w:p>
    <w:p>
      <w:pPr>
        <w:spacing w:after="0" w:line="176" w:lineRule="exact"/>
        <w:rPr>
          <w:rFonts w:ascii="Times New Roman" w:cs="Times New Roman" w:eastAsia="Times New Roman" w:hAnsi="Times New Roman"/>
          <w:sz w:val="16"/>
          <w:szCs w:val="16"/>
          <w:color w:val="auto"/>
        </w:rPr>
      </w:pPr>
    </w:p>
    <w:p>
      <w:pPr>
        <w:jc w:val="both"/>
        <w:ind w:left="1440" w:right="20" w:hanging="522"/>
        <w:spacing w:after="0" w:line="250" w:lineRule="auto"/>
        <w:tabs>
          <w:tab w:leader="none" w:pos="14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clause (B), the transferee or assignee shall make such Payee Tax Representations and provide a properly executed IRS Form W-9 and any such other tax documentation as may be reasonably requested by Dealer to permit Dealer to determine that results described in clauses </w:t>
      </w:r>
      <w:r>
        <w:rPr>
          <w:rFonts w:ascii="Arial" w:cs="Arial" w:eastAsia="Arial" w:hAnsi="Arial"/>
          <w:sz w:val="16"/>
          <w:szCs w:val="16"/>
          <w:color w:val="auto"/>
        </w:rPr>
        <w:t>​</w:t>
      </w:r>
      <w:r>
        <w:rPr>
          <w:rFonts w:ascii="Times New Roman" w:cs="Times New Roman" w:eastAsia="Times New Roman" w:hAnsi="Times New Roman"/>
          <w:sz w:val="16"/>
          <w:szCs w:val="16"/>
          <w:color w:val="auto"/>
        </w:rPr>
        <w:t>(D) and (E) will not occur upon or after such transfer or assignment; and</w:t>
      </w:r>
    </w:p>
    <w:p>
      <w:pPr>
        <w:spacing w:after="0" w:line="144" w:lineRule="exact"/>
        <w:rPr>
          <w:rFonts w:ascii="Times New Roman" w:cs="Times New Roman" w:eastAsia="Times New Roman" w:hAnsi="Times New Roman"/>
          <w:sz w:val="16"/>
          <w:szCs w:val="16"/>
          <w:color w:val="auto"/>
        </w:rPr>
      </w:pPr>
    </w:p>
    <w:p>
      <w:pPr>
        <w:ind w:left="1440" w:hanging="522"/>
        <w:spacing w:after="0" w:line="259" w:lineRule="auto"/>
        <w:tabs>
          <w:tab w:leader="none" w:pos="144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shall be responsible for all reasonable and documented out-of-pocket costs and expenses, including reasonable counsel fees, incurred by Dealer in connection with such transfer or assignment.</w:t>
      </w:r>
    </w:p>
    <w:p>
      <w:pPr>
        <w:spacing w:after="0" w:line="143" w:lineRule="exact"/>
        <w:rPr>
          <w:rFonts w:ascii="Times New Roman" w:cs="Times New Roman" w:eastAsia="Times New Roman" w:hAnsi="Times New Roman"/>
          <w:sz w:val="16"/>
          <w:szCs w:val="16"/>
          <w:color w:val="auto"/>
        </w:rPr>
      </w:pPr>
    </w:p>
    <w:p>
      <w:pPr>
        <w:jc w:val="both"/>
        <w:ind w:left="920" w:hanging="530"/>
        <w:spacing w:after="0" w:line="236" w:lineRule="auto"/>
        <w:tabs>
          <w:tab w:leader="none" w:pos="9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 may, without Counterparty’s consent, transfer or assign all, but not less than all, of its rights or obligations under the Transaction to any Affiliate or branch of Dealer that (i) is a nationally recognized dealer in equity derivatives similar to the Transaction and (ii)(A) has a long-term issuer rating that is equal to or better than Dealer’s credit rating at the time of such transfer or assignment or (B) whose obligations will be guaranteed, pursuant to the terms of a customary guarantee used generally for similar transactions, by Dealer or its ultimate parent, in each case, if the following conditions are satisfied: (1) the transferee or assignee agrees in writing with Dealer to be bound by the terms of this Confirmation with respect to the transferred or assigned obligations; (2) as of the date of such transfer or assignment, and giving effect thereto, the Counterparty will not (x) receive from the transferee or assignee on any payment date or delivery date (after accounting for amounts paid by the transferee or assignee under Section 2(d)(i)(4) of the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or (y) be require to pay such transferee or assignee on any payment date an amount under Section 2(d)(i)(4) of the Agreement greater than the amount that Counterparty would have been required to pay to Dealer in the absence of such transfer or assignment; (3) no Event of Default where Dealer is the Defaulting Party or Termination Event where Dealer is the sole Affected Party has occurred and is continuing at the time of the transfer or assignment, and no Event of Default or Termination Event will occur with respect to Counterparty, Dealer or the transferee or assignee as a result of such transfer or assignment; (4) if to a transferee or assignee incorporated or organized in a jurisdiction other than the United States or United Kingdom, after giving effect to such transfer or assignment, no material adverse legal or regulatory consequence shall result to Dealer, Counterparty or the transferee or assignee as a result of such transfer or assignment; (5) either (x) the transferee or assignee is a “dealer in securities” within the meaning of Section 475(c)(1) of the Code or (y) the transfer or assignment does not otherwise constitute a “deemed exchange” by Counterparty within the meaning of Section 1001 of the Code; and (6) Dealer shall have provided prompt written notice to Counterparty of such transfer or assignment.</w:t>
      </w:r>
    </w:p>
    <w:p>
      <w:pPr>
        <w:spacing w:after="0" w:line="162" w:lineRule="exact"/>
        <w:rPr>
          <w:rFonts w:ascii="Times New Roman" w:cs="Times New Roman" w:eastAsia="Times New Roman" w:hAnsi="Times New Roman"/>
          <w:sz w:val="16"/>
          <w:szCs w:val="16"/>
          <w:color w:val="auto"/>
        </w:rPr>
      </w:pPr>
    </w:p>
    <w:p>
      <w:pPr>
        <w:jc w:val="both"/>
        <w:ind w:left="9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at which (A) the Section 16 Percentage exceeds 9.0%, (B) the Option Equity Percentage exceeds 14.5%, or (C) the Share Amount exceeds the Applicable Share Limit (if any applies) (any such condition described in clauses (A), (B) or (C), an “ </w:t>
      </w:r>
      <w:r>
        <w:rPr>
          <w:rFonts w:ascii="Times New Roman" w:cs="Times New Roman" w:eastAsia="Times New Roman" w:hAnsi="Times New Roman"/>
          <w:sz w:val="16"/>
          <w:szCs w:val="16"/>
          <w:b w:val="1"/>
          <w:bCs w:val="1"/>
          <w:color w:val="auto"/>
        </w:rPr>
        <w:t>Excess Ownership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Position</w:t>
      </w:r>
      <w:r>
        <w:rPr>
          <w:rFonts w:ascii="Times New Roman" w:cs="Times New Roman" w:eastAsia="Times New Roman" w:hAnsi="Times New Roman"/>
          <w:sz w:val="16"/>
          <w:szCs w:val="16"/>
          <w:color w:val="auto"/>
        </w:rPr>
        <w:t>”), Dealer is unable after using its commercially reasonable efforts to effect a transfer or assignment of Options to a third party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pricing terms reasonably acceptable to Dealer and within a time period reasonably acceptable to Dealer such that no Excess Ownership Position exists (after giving effect to such transfer or assignment and any resulting change in Dealer’s commercially reasonable Hedge Positions), then Dealer may designate any Exchange Business Day as an Early Termination Date with respect to a portion of the Transaction (the “</w:t>
      </w:r>
      <w:r>
        <w:rPr>
          <w:rFonts w:ascii="Times New Roman" w:cs="Times New Roman" w:eastAsia="Times New Roman" w:hAnsi="Times New Roman"/>
          <w:sz w:val="16"/>
          <w:szCs w:val="16"/>
          <w:b w:val="1"/>
          <w:bCs w:val="1"/>
          <w:color w:val="auto"/>
        </w:rPr>
        <w:t>Terminated Portion</w:t>
      </w:r>
      <w:r>
        <w:rPr>
          <w:rFonts w:ascii="Times New Roman" w:cs="Times New Roman" w:eastAsia="Times New Roman" w:hAnsi="Times New Roman"/>
          <w:sz w:val="16"/>
          <w:szCs w:val="16"/>
          <w:color w:val="auto"/>
        </w:rPr>
        <w:t>”), such that following such partial termination no Excess Ownership Position exists (after giving effect to such transfer or assignment and any resulting change in Dealer’s commercially reasonable Hedge Positions).</w:t>
      </w:r>
    </w:p>
    <w:p>
      <w:pPr>
        <w:spacing w:after="0" w:line="1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5" w:right="660" w:bottom="1440" w:gutter="0" w:footer="0" w:header="0"/>
        </w:sectPr>
      </w:pPr>
    </w:p>
    <w:bookmarkStart w:id="145" w:name="page146"/>
    <w:bookmarkEnd w:id="145"/>
    <w:p>
      <w:pPr>
        <w:jc w:val="both"/>
        <w:ind w:left="920"/>
        <w:spacing w:after="0" w:line="237" w:lineRule="auto"/>
        <w:rPr>
          <w:sz w:val="20"/>
          <w:szCs w:val="20"/>
          <w:color w:val="auto"/>
        </w:rPr>
      </w:pPr>
      <w:r>
        <w:rPr>
          <w:rFonts w:ascii="Times New Roman" w:cs="Times New Roman" w:eastAsia="Times New Roman" w:hAnsi="Times New Roman"/>
          <w:sz w:val="16"/>
          <w:szCs w:val="16"/>
          <w:color w:val="auto"/>
        </w:rPr>
        <w:t xml:space="preserve">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 </w:t>
      </w:r>
      <w:r>
        <w:rPr>
          <w:rFonts w:ascii="Times New Roman" w:cs="Times New Roman" w:eastAsia="Times New Roman" w:hAnsi="Times New Roman"/>
          <w:sz w:val="16"/>
          <w:szCs w:val="16"/>
          <w:b w:val="1"/>
          <w:bCs w:val="1"/>
          <w:color w:val="auto"/>
        </w:rPr>
        <w:t>Section 16 Percentage</w:t>
      </w:r>
      <w:r>
        <w:rPr>
          <w:rFonts w:ascii="Times New Roman" w:cs="Times New Roman" w:eastAsia="Times New Roman" w:hAnsi="Times New Roman"/>
          <w:sz w:val="16"/>
          <w:szCs w:val="16"/>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58" w:lineRule="exact"/>
        <w:rPr>
          <w:sz w:val="20"/>
          <w:szCs w:val="20"/>
          <w:color w:val="auto"/>
        </w:rPr>
      </w:pPr>
    </w:p>
    <w:p>
      <w:pPr>
        <w:jc w:val="both"/>
        <w:ind w:left="920" w:right="20"/>
        <w:spacing w:after="0" w:line="248"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Option Equity Percentage</w:t>
      </w:r>
      <w:r>
        <w:rPr>
          <w:rFonts w:ascii="Times New Roman" w:cs="Times New Roman" w:eastAsia="Times New Roman" w:hAnsi="Times New Roman"/>
          <w:sz w:val="16"/>
          <w:szCs w:val="16"/>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w:t>
      </w:r>
    </w:p>
    <w:p>
      <w:pPr>
        <w:spacing w:after="0" w:line="150"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Share Amount</w:t>
      </w:r>
      <w:r>
        <w:rPr>
          <w:rFonts w:ascii="Times New Roman" w:cs="Times New Roman" w:eastAsia="Times New Roman" w:hAnsi="Times New Roman"/>
          <w:sz w:val="16"/>
          <w:szCs w:val="16"/>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6"/>
          <w:szCs w:val="16"/>
          <w:b w:val="1"/>
          <w:bCs w:val="1"/>
          <w:color w:val="auto"/>
        </w:rPr>
        <w:t>Dealer Person</w:t>
      </w:r>
      <w:r>
        <w:rPr>
          <w:rFonts w:ascii="Times New Roman" w:cs="Times New Roman" w:eastAsia="Times New Roman" w:hAnsi="Times New Roman"/>
          <w:sz w:val="16"/>
          <w:szCs w:val="16"/>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6"/>
          <w:szCs w:val="16"/>
          <w:b w:val="1"/>
          <w:bCs w:val="1"/>
          <w:color w:val="auto"/>
        </w:rPr>
        <w:t>Applicable Restrictions</w:t>
      </w:r>
      <w:r>
        <w:rPr>
          <w:rFonts w:ascii="Times New Roman" w:cs="Times New Roman" w:eastAsia="Times New Roman" w:hAnsi="Times New Roman"/>
          <w:sz w:val="16"/>
          <w:szCs w:val="16"/>
          <w:color w:val="auto"/>
        </w:rPr>
        <w:t>”), owns, beneficially owns, constructively owns, controls, holds the power to vote or otherwise meets a relevant definition of ownership under any Applicable Restriction, as determined by Dealer in its reasonable discretion.</w:t>
      </w:r>
    </w:p>
    <w:p>
      <w:pPr>
        <w:spacing w:after="0" w:line="157"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Applicable Share Limit</w:t>
      </w:r>
      <w:r>
        <w:rPr>
          <w:rFonts w:ascii="Times New Roman" w:cs="Times New Roman" w:eastAsia="Times New Roman" w:hAnsi="Times New Roman"/>
          <w:sz w:val="16"/>
          <w:szCs w:val="16"/>
          <w:color w:val="auto"/>
        </w:rPr>
        <w:t xml:space="preserve">” means a number of Shares equal to (A) the minimum number of Shares that would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would result in an adverse effect on a Dealer Person, under any Applicable Restriction, as determined by Dealer in its reasonable discretion,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(B) 1% of the number of Shares outstanding.</w:t>
      </w:r>
    </w:p>
    <w:p>
      <w:pPr>
        <w:spacing w:after="0" w:line="159" w:lineRule="exact"/>
        <w:rPr>
          <w:sz w:val="20"/>
          <w:szCs w:val="20"/>
          <w:color w:val="auto"/>
        </w:rPr>
      </w:pPr>
    </w:p>
    <w:p>
      <w:pPr>
        <w:jc w:val="both"/>
        <w:ind w:left="920" w:hanging="530"/>
        <w:spacing w:after="0" w:line="278" w:lineRule="auto"/>
        <w:tabs>
          <w:tab w:leader="none" w:pos="9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4"/>
          <w:szCs w:val="14"/>
          <w:b w:val="1"/>
          <w:bCs w:val="1"/>
          <w:color w:val="auto"/>
        </w:rPr>
        <w:t>Dealer Designated Affiliate</w:t>
      </w:r>
      <w:r>
        <w:rPr>
          <w:rFonts w:ascii="Times New Roman" w:cs="Times New Roman" w:eastAsia="Times New Roman" w:hAnsi="Times New Roman"/>
          <w:sz w:val="14"/>
          <w:szCs w:val="14"/>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Dealer Designated Affiliate shall comply with the provisions of the Transaction in the same manner as Dealer would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required to comply. For the avoidance of doubt, the representations and covenants with respect to Sections 9(z)(i) and 9(z)(ii) shall remain unaffected by such designation. Dealer shall be discharged of its obligations to Counterparty to the extent of any such performance.</w:t>
      </w:r>
    </w:p>
    <w:p>
      <w:pPr>
        <w:spacing w:after="0" w:line="1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66675</wp:posOffset>
            </wp:positionV>
            <wp:extent cx="670750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800"/>
          </w:cols>
          <w:pgMar w:left="1440" w:top="965" w:right="660" w:bottom="1440" w:gutter="0" w:footer="0" w:header="0"/>
        </w:sectPr>
      </w:pPr>
    </w:p>
    <w:bookmarkStart w:id="146" w:name="page147"/>
    <w:bookmarkEnd w:id="146"/>
    <w:p>
      <w:pPr>
        <w:jc w:val="both"/>
        <w:ind w:left="1180" w:hanging="538"/>
        <w:spacing w:after="0" w:line="241" w:lineRule="auto"/>
        <w:tabs>
          <w:tab w:leader="none" w:pos="11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Staggered Settlement</w:t>
      </w:r>
      <w:r>
        <w:rPr>
          <w:rFonts w:ascii="Times New Roman" w:cs="Times New Roman" w:eastAsia="Times New Roman" w:hAnsi="Times New Roman"/>
          <w:sz w:val="16"/>
          <w:szCs w:val="16"/>
          <w:color w:val="auto"/>
        </w:rPr>
        <w:t>. If, upon advice of counsel with respect to applicable legal and regulatory requirements, including any requirements relating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Dealer’s commercially reasonable hedging activities hereunder, Dealer reasonably determines that it would have a legal or a regulatory concern if it were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6"/>
          <w:szCs w:val="16"/>
          <w:b w:val="1"/>
          <w:bCs w:val="1"/>
          <w:color w:val="auto"/>
        </w:rPr>
        <w:t>Nominal Settlement Date</w:t>
      </w:r>
      <w:r>
        <w:rPr>
          <w:rFonts w:ascii="Times New Roman" w:cs="Times New Roman" w:eastAsia="Times New Roman" w:hAnsi="Times New Roman"/>
          <w:sz w:val="16"/>
          <w:szCs w:val="16"/>
          <w:color w:val="auto"/>
        </w:rPr>
        <w:t>”), elect to deliver the Shares on two or more dates (each, a “</w:t>
      </w:r>
      <w:r>
        <w:rPr>
          <w:rFonts w:ascii="Times New Roman" w:cs="Times New Roman" w:eastAsia="Times New Roman" w:hAnsi="Times New Roman"/>
          <w:sz w:val="16"/>
          <w:szCs w:val="16"/>
          <w:b w:val="1"/>
          <w:bCs w:val="1"/>
          <w:color w:val="auto"/>
        </w:rPr>
        <w:t>Staggered Settlement Date</w:t>
      </w:r>
      <w:r>
        <w:rPr>
          <w:rFonts w:ascii="Times New Roman" w:cs="Times New Roman" w:eastAsia="Times New Roman" w:hAnsi="Times New Roman"/>
          <w:sz w:val="16"/>
          <w:szCs w:val="16"/>
          <w:color w:val="auto"/>
        </w:rPr>
        <w:t>”) as follows:</w:t>
      </w:r>
    </w:p>
    <w:p>
      <w:pPr>
        <w:spacing w:after="0" w:line="158" w:lineRule="exact"/>
        <w:rPr>
          <w:rFonts w:ascii="Times New Roman" w:cs="Times New Roman" w:eastAsia="Times New Roman" w:hAnsi="Times New Roman"/>
          <w:sz w:val="16"/>
          <w:szCs w:val="16"/>
          <w:color w:val="auto"/>
        </w:rPr>
      </w:pPr>
    </w:p>
    <w:p>
      <w:pPr>
        <w:jc w:val="both"/>
        <w:ind w:left="1700" w:hanging="530"/>
        <w:spacing w:after="0" w:line="247" w:lineRule="auto"/>
        <w:tabs>
          <w:tab w:leader="none" w:pos="170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such notice, Dealer will specify to Counterparty the related Staggered Settlement Dates (the first of which will be such Nominal Settlement Date and the last of which will be no later than the twentieth (20th) Exchange Business Day following such Nominal Settlement Date) and the number of Shares that it will deliver on each Staggered Settlement Date;</w:t>
      </w:r>
    </w:p>
    <w:p>
      <w:pPr>
        <w:spacing w:after="0" w:line="152" w:lineRule="exact"/>
        <w:rPr>
          <w:rFonts w:ascii="Times New Roman" w:cs="Times New Roman" w:eastAsia="Times New Roman" w:hAnsi="Times New Roman"/>
          <w:sz w:val="16"/>
          <w:szCs w:val="16"/>
          <w:color w:val="auto"/>
        </w:rPr>
      </w:pPr>
    </w:p>
    <w:p>
      <w:pPr>
        <w:ind w:left="1700" w:right="20" w:hanging="530"/>
        <w:spacing w:after="0" w:line="259" w:lineRule="auto"/>
        <w:tabs>
          <w:tab w:leader="none" w:pos="170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43" w:lineRule="exact"/>
        <w:rPr>
          <w:rFonts w:ascii="Times New Roman" w:cs="Times New Roman" w:eastAsia="Times New Roman" w:hAnsi="Times New Roman"/>
          <w:sz w:val="16"/>
          <w:szCs w:val="16"/>
          <w:color w:val="auto"/>
        </w:rPr>
      </w:pPr>
    </w:p>
    <w:p>
      <w:pPr>
        <w:jc w:val="both"/>
        <w:ind w:left="1700" w:hanging="530"/>
        <w:spacing w:after="0" w:line="245" w:lineRule="auto"/>
        <w:tabs>
          <w:tab w:leader="none" w:pos="170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w:t>
      </w:r>
      <w:r>
        <w:rPr>
          <w:rFonts w:ascii="Arial" w:cs="Arial" w:eastAsia="Arial" w:hAnsi="Arial"/>
          <w:sz w:val="16"/>
          <w:szCs w:val="16"/>
          <w:color w:val="auto"/>
        </w:rPr>
        <w:t>​</w:t>
      </w:r>
      <w:r>
        <w:rPr>
          <w:rFonts w:ascii="Times New Roman" w:cs="Times New Roman" w:eastAsia="Times New Roman" w:hAnsi="Times New Roman"/>
          <w:sz w:val="16"/>
          <w:szCs w:val="16"/>
          <w:color w:val="auto"/>
        </w:rPr>
        <w:t>(i) above.</w:t>
      </w:r>
    </w:p>
    <w:p>
      <w:pPr>
        <w:spacing w:after="0" w:line="146" w:lineRule="exact"/>
        <w:rPr>
          <w:rFonts w:ascii="Times New Roman" w:cs="Times New Roman" w:eastAsia="Times New Roman" w:hAnsi="Times New Roman"/>
          <w:sz w:val="16"/>
          <w:szCs w:val="16"/>
          <w:color w:val="auto"/>
        </w:rPr>
      </w:pPr>
    </w:p>
    <w:p>
      <w:pPr>
        <w:ind w:left="1180" w:hanging="538"/>
        <w:spacing w:after="0"/>
        <w:tabs>
          <w:tab w:leader="none" w:pos="11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u w:val="single" w:color="auto"/>
          <w:color w:val="auto"/>
        </w:rPr>
        <w:t>Insert any relevant agency provisions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u w:val="single" w:color="auto"/>
          <w:color w:val="auto"/>
        </w:rPr>
        <w:t>Reserved</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180" w:right="20" w:hanging="538"/>
        <w:spacing w:after="0" w:line="268" w:lineRule="auto"/>
        <w:tabs>
          <w:tab w:leader="none" w:pos="11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u w:val="single" w:color="auto"/>
          <w:color w:val="auto"/>
        </w:rPr>
        <w:t>Conduct Rules</w:t>
      </w:r>
      <w:r>
        <w:rPr>
          <w:rFonts w:ascii="Times New Roman" w:cs="Times New Roman" w:eastAsia="Times New Roman" w:hAnsi="Times New Roman"/>
          <w:sz w:val="16"/>
          <w:szCs w:val="16"/>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16"/>
          <w:szCs w:val="16"/>
          <w:i w:val="1"/>
          <w:iCs w:val="1"/>
          <w:u w:val="single" w:color="auto"/>
          <w:color w:val="auto"/>
        </w:rPr>
        <w:t>Reserved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46</w:t>
      </w:r>
    </w:p>
    <w:p>
      <w:pPr>
        <w:ind w:left="1180" w:hanging="538"/>
        <w:spacing w:after="0"/>
        <w:tabs>
          <w:tab w:leader="none" w:pos="11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Additional Termination Events/Conversion Events/Repayment Events</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jc w:val="both"/>
        <w:ind w:left="1700" w:right="20" w:hanging="530"/>
        <w:spacing w:after="0" w:line="247" w:lineRule="auto"/>
        <w:tabs>
          <w:tab w:leader="none" w:pos="170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52" w:lineRule="exact"/>
        <w:rPr>
          <w:rFonts w:ascii="Times New Roman" w:cs="Times New Roman" w:eastAsia="Times New Roman" w:hAnsi="Times New Roman"/>
          <w:sz w:val="16"/>
          <w:szCs w:val="16"/>
          <w:color w:val="auto"/>
        </w:rPr>
      </w:pPr>
    </w:p>
    <w:p>
      <w:pPr>
        <w:jc w:val="both"/>
        <w:ind w:left="2220" w:hanging="522"/>
        <w:spacing w:after="0" w:line="245" w:lineRule="auto"/>
        <w:tabs>
          <w:tab w:leader="none" w:pos="2220" w:val="left"/>
        </w:tabs>
        <w:numPr>
          <w:ilvl w:val="2"/>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shall, within five Scheduled Trading Days of the Conversion Date for such Early Conversion, provide written notice (an “</w:t>
      </w:r>
      <w:r>
        <w:rPr>
          <w:rFonts w:ascii="Times New Roman" w:cs="Times New Roman" w:eastAsia="Times New Roman" w:hAnsi="Times New Roman"/>
          <w:sz w:val="16"/>
          <w:szCs w:val="16"/>
          <w:b w:val="1"/>
          <w:bCs w:val="1"/>
          <w:color w:val="auto"/>
        </w:rPr>
        <w:t>Early Conversion Notice</w:t>
      </w:r>
      <w:r>
        <w:rPr>
          <w:rFonts w:ascii="Times New Roman" w:cs="Times New Roman" w:eastAsia="Times New Roman" w:hAnsi="Times New Roman"/>
          <w:sz w:val="16"/>
          <w:szCs w:val="16"/>
          <w:color w:val="auto"/>
        </w:rPr>
        <w:t>”) to Dealer specifying the number of Convertible Notes surrendered for conversion on such Conversion Date (such Convertible Notes, the “</w:t>
      </w:r>
      <w:r>
        <w:rPr>
          <w:rFonts w:ascii="Times New Roman" w:cs="Times New Roman" w:eastAsia="Times New Roman" w:hAnsi="Times New Roman"/>
          <w:sz w:val="16"/>
          <w:szCs w:val="16"/>
          <w:b w:val="1"/>
          <w:bCs w:val="1"/>
          <w:color w:val="auto"/>
        </w:rPr>
        <w:t>Affected Convertible Notes</w:t>
      </w:r>
      <w:r>
        <w:rPr>
          <w:rFonts w:ascii="Times New Roman" w:cs="Times New Roman" w:eastAsia="Times New Roman" w:hAnsi="Times New Roman"/>
          <w:sz w:val="16"/>
          <w:szCs w:val="16"/>
          <w:color w:val="auto"/>
        </w:rPr>
        <w:t>”), and the giving of such Early Conversion Notice shall constitute a Conversion Event. “</w:t>
      </w:r>
      <w:r>
        <w:rPr>
          <w:rFonts w:ascii="Times New Roman" w:cs="Times New Roman" w:eastAsia="Times New Roman" w:hAnsi="Times New Roman"/>
          <w:sz w:val="16"/>
          <w:szCs w:val="16"/>
          <w:b w:val="1"/>
          <w:bCs w:val="1"/>
          <w:color w:val="auto"/>
        </w:rPr>
        <w:t>Conversion Event</w:t>
      </w:r>
      <w:r>
        <w:rPr>
          <w:rFonts w:ascii="Times New Roman" w:cs="Times New Roman" w:eastAsia="Times New Roman" w:hAnsi="Times New Roman"/>
          <w:sz w:val="16"/>
          <w:szCs w:val="16"/>
          <w:color w:val="auto"/>
        </w:rPr>
        <w:t xml:space="preserve">” means an event as provided in this clause </w:t>
      </w:r>
      <w:r>
        <w:rPr>
          <w:rFonts w:ascii="Arial" w:cs="Arial" w:eastAsia="Arial" w:hAnsi="Arial"/>
          <w:sz w:val="16"/>
          <w:szCs w:val="16"/>
          <w:color w:val="auto"/>
        </w:rPr>
        <w:t>​</w:t>
      </w: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6705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161" w:lineRule="exact"/>
        <w:rPr>
          <w:sz w:val="20"/>
          <w:szCs w:val="20"/>
          <w:color w:val="auto"/>
        </w:rPr>
      </w:pPr>
    </w:p>
    <w:p>
      <w:pPr>
        <w:ind w:left="160" w:hanging="154"/>
        <w:spacing w:after="0"/>
        <w:tabs>
          <w:tab w:leader="none" w:pos="160" w:val="left"/>
        </w:tabs>
        <w:numPr>
          <w:ilvl w:val="0"/>
          <w:numId w:val="1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for applicable Dealers.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47" w:name="page148"/>
    <w:bookmarkEnd w:id="147"/>
    <w:p>
      <w:pPr>
        <w:jc w:val="both"/>
        <w:ind w:left="2220" w:hanging="522"/>
        <w:spacing w:after="0" w:line="217" w:lineRule="auto"/>
        <w:tabs>
          <w:tab w:leader="none" w:pos="22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receipt of any such Early Conversion Notice, Dealer shall designate an Exchange Business Day as an Early Termination Date (which Exchange Business Day shall be no earlier than one Scheduled Valid Day following the Conversion Date for such Early Conversion) with respect to the portion of the Transaction corresponding to a number of Options (the “</w:t>
      </w:r>
      <w:r>
        <w:rPr>
          <w:rFonts w:ascii="Times New Roman" w:cs="Times New Roman" w:eastAsia="Times New Roman" w:hAnsi="Times New Roman"/>
          <w:sz w:val="16"/>
          <w:szCs w:val="16"/>
          <w:b w:val="1"/>
          <w:bCs w:val="1"/>
          <w:color w:val="auto"/>
        </w:rPr>
        <w:t>Affected Number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equal to the lesser of (x) the number of Affected Convertible Notes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“Affected Number of Options” (as defined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 the Base Call Option Confirmation), if any, that relate to such Affected Convertible Notes] </w:t>
      </w:r>
      <w:r>
        <w:rPr>
          <w:rFonts w:ascii="Times New Roman" w:cs="Times New Roman" w:eastAsia="Times New Roman" w:hAnsi="Times New Roman"/>
          <w:sz w:val="26"/>
          <w:szCs w:val="26"/>
          <w:color w:val="auto"/>
          <w:vertAlign w:val="superscript"/>
        </w:rPr>
        <w:t>47</w:t>
      </w:r>
      <w:r>
        <w:rPr>
          <w:rFonts w:ascii="Times New Roman" w:cs="Times New Roman" w:eastAsia="Times New Roman" w:hAnsi="Times New Roman"/>
          <w:sz w:val="16"/>
          <w:szCs w:val="16"/>
          <w:color w:val="auto"/>
        </w:rPr>
        <w:t xml:space="preserve"> and (y) the Number of Options as of the Conversion Date for such Early Conversion;</w:t>
      </w:r>
    </w:p>
    <w:p>
      <w:pPr>
        <w:spacing w:after="0" w:line="158" w:lineRule="exact"/>
        <w:rPr>
          <w:rFonts w:ascii="Times New Roman" w:cs="Times New Roman" w:eastAsia="Times New Roman" w:hAnsi="Times New Roman"/>
          <w:sz w:val="16"/>
          <w:szCs w:val="16"/>
          <w:color w:val="auto"/>
        </w:rPr>
      </w:pPr>
    </w:p>
    <w:p>
      <w:pPr>
        <w:jc w:val="both"/>
        <w:ind w:left="2220" w:hanging="522"/>
        <w:spacing w:after="0" w:line="232" w:lineRule="auto"/>
        <w:tabs>
          <w:tab w:leader="none" w:pos="222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payment hereunder with respect to such termination shall be calculated pursuant to Section 6 of the Agreement as if (x) an Additional Termination Event has occurred and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(and, for the avoidance of doubt, the other provisions of the Agreement shall apply as if an Additional Termination Event had occurred);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amount payable with respect to such termination shall not be greater than (1) the Applicable Percentage,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(2) the Affected Number of Options,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(3) (x) the sum of (i) the amount of cash paid (if any) to the Holder (as such term is defined in the Indenture) of an Affected Convertible Note upon conversion of such Affected Convertible Note (including any cash payable as the result of an adjustment to the “Conversion Rate” (as defined in the Indenture) pursuant to Section [14.03]</w:t>
      </w:r>
      <w:r>
        <w:rPr>
          <w:rFonts w:ascii="Times New Roman" w:cs="Times New Roman" w:eastAsia="Times New Roman" w:hAnsi="Times New Roman"/>
          <w:sz w:val="25"/>
          <w:szCs w:val="25"/>
          <w:color w:val="auto"/>
          <w:vertAlign w:val="superscript"/>
        </w:rPr>
        <w:t>48</w:t>
      </w:r>
      <w:r>
        <w:rPr>
          <w:rFonts w:ascii="Times New Roman" w:cs="Times New Roman" w:eastAsia="Times New Roman" w:hAnsi="Times New Roman"/>
          <w:sz w:val="15"/>
          <w:szCs w:val="15"/>
          <w:color w:val="auto"/>
        </w:rPr>
        <w:t xml:space="preserve"> of the Indenture) and (ii) the number of Shares delivered (if any) to the Holder (as such term is defined in the Indenture) of an Affected Convertible Note upon conversion of such Affected Convertible Note (including any Shares deliverable as the result of an adjustment to the “Conversion Rate” (as defined in the Indenture) pursuant to Section [14.03]</w:t>
      </w:r>
      <w:r>
        <w:rPr>
          <w:rFonts w:ascii="Times New Roman" w:cs="Times New Roman" w:eastAsia="Times New Roman" w:hAnsi="Times New Roman"/>
          <w:sz w:val="25"/>
          <w:szCs w:val="25"/>
          <w:color w:val="auto"/>
          <w:vertAlign w:val="superscript"/>
        </w:rPr>
        <w:t>49</w:t>
      </w:r>
      <w:r>
        <w:rPr>
          <w:rFonts w:ascii="Times New Roman" w:cs="Times New Roman" w:eastAsia="Times New Roman" w:hAnsi="Times New Roman"/>
          <w:sz w:val="15"/>
          <w:szCs w:val="15"/>
          <w:color w:val="auto"/>
        </w:rPr>
        <w:t xml:space="preserve"> of the Indenture),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the Applicable Limit Price on the settlement date for the conversion of such Affected Convertible Note (the “</w:t>
      </w:r>
      <w:r>
        <w:rPr>
          <w:rFonts w:ascii="Times New Roman" w:cs="Times New Roman" w:eastAsia="Times New Roman" w:hAnsi="Times New Roman"/>
          <w:sz w:val="15"/>
          <w:szCs w:val="15"/>
          <w:b w:val="1"/>
          <w:bCs w:val="1"/>
          <w:color w:val="auto"/>
        </w:rPr>
        <w:t>Conversion Settlement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minus</w:t>
      </w:r>
      <w:r>
        <w:rPr>
          <w:rFonts w:ascii="Times New Roman" w:cs="Times New Roman" w:eastAsia="Times New Roman" w:hAnsi="Times New Roman"/>
          <w:sz w:val="15"/>
          <w:szCs w:val="15"/>
          <w:color w:val="auto"/>
        </w:rPr>
        <w:t xml:space="preserve"> (y) the Synthetic Instrument Adjusted Issue Price per Affected Convertible Note on the Conversion Settlement Date, as determined by the Calculation Agent in good faith and in a commercially reasonable manner.</w:t>
      </w:r>
    </w:p>
    <w:p>
      <w:pPr>
        <w:spacing w:after="0" w:line="155" w:lineRule="exact"/>
        <w:rPr>
          <w:rFonts w:ascii="Times New Roman" w:cs="Times New Roman" w:eastAsia="Times New Roman" w:hAnsi="Times New Roman"/>
          <w:sz w:val="15"/>
          <w:szCs w:val="15"/>
          <w:color w:val="auto"/>
        </w:rPr>
      </w:pPr>
    </w:p>
    <w:p>
      <w:pPr>
        <w:jc w:val="both"/>
        <w:ind w:left="2220" w:right="20"/>
        <w:spacing w:after="0" w:line="22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“Synthetic Instrument Adjusted Issue Price</w:t>
      </w:r>
      <w:r>
        <w:rPr>
          <w:rFonts w:ascii="Times New Roman" w:cs="Times New Roman" w:eastAsia="Times New Roman" w:hAnsi="Times New Roman"/>
          <w:sz w:val="15"/>
          <w:szCs w:val="15"/>
          <w:color w:val="auto"/>
        </w:rPr>
        <w:t>” shall mean the amount determined by the Calculation Agent by reference to the table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set forth below based on the relevant Conversion Settlement Date (the “</w:t>
      </w:r>
      <w:r>
        <w:rPr>
          <w:rFonts w:ascii="Times New Roman" w:cs="Times New Roman" w:eastAsia="Times New Roman" w:hAnsi="Times New Roman"/>
          <w:sz w:val="15"/>
          <w:szCs w:val="15"/>
          <w:b w:val="1"/>
          <w:bCs w:val="1"/>
          <w:color w:val="auto"/>
        </w:rPr>
        <w:t>Synthetic Instrument AIP Table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5"/>
          <w:szCs w:val="25"/>
          <w:color w:val="auto"/>
          <w:vertAlign w:val="superscript"/>
        </w:rPr>
        <w:t>50</w:t>
      </w:r>
      <w:r>
        <w:rPr>
          <w:rFonts w:ascii="Times New Roman" w:cs="Times New Roman" w:eastAsia="Times New Roman" w:hAnsi="Times New Roman"/>
          <w:sz w:val="15"/>
          <w:szCs w:val="15"/>
          <w:color w:val="auto"/>
        </w:rPr>
        <w:t xml:space="preserve"> If the relevant Conversion Settlement Date is not listed below, the amount in the preceding sentence shall be determined by the Calculation Agent by reference to the Synthetic Instrument AIP Table using a linear interpolation between the lower and higher Synthetic Instrument Adjusted Issue Prices for the dates immediately preceding and immediately following the relevant Conversion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6705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6" w:lineRule="exact"/>
        <w:rPr>
          <w:sz w:val="20"/>
          <w:szCs w:val="20"/>
          <w:color w:val="auto"/>
        </w:rPr>
      </w:pPr>
    </w:p>
    <w:p>
      <w:pPr>
        <w:ind w:left="160" w:hanging="154"/>
        <w:spacing w:after="0"/>
        <w:tabs>
          <w:tab w:leader="none" w:pos="160"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in Additional Call Option Confirmation only.</w:t>
      </w:r>
    </w:p>
    <w:p>
      <w:pPr>
        <w:ind w:left="160" w:hanging="154"/>
        <w:spacing w:after="0" w:line="184" w:lineRule="auto"/>
        <w:tabs>
          <w:tab w:leader="none" w:pos="160" w:val="left"/>
        </w:tabs>
        <w:numPr>
          <w:ilvl w:val="0"/>
          <w:numId w:val="1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governing make-whole adjustments to the Conversion Rate.</w:t>
      </w:r>
    </w:p>
    <w:p>
      <w:pPr>
        <w:ind w:left="160" w:hanging="154"/>
        <w:spacing w:after="0" w:line="184" w:lineRule="auto"/>
        <w:tabs>
          <w:tab w:leader="none" w:pos="160" w:val="left"/>
        </w:tabs>
        <w:numPr>
          <w:ilvl w:val="0"/>
          <w:numId w:val="1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section(s) governing make-whole adjustments to the Conversion Rate.</w:t>
      </w:r>
    </w:p>
    <w:p>
      <w:pPr>
        <w:ind w:right="20" w:firstLine="6"/>
        <w:spacing w:after="0" w:line="192" w:lineRule="auto"/>
        <w:tabs>
          <w:tab w:leader="none" w:pos="162"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Table to be filled out by calculating the synthetic adjusted issue price of a Convertible Note after giving effect to the integration pursuant to Section 1.1275-6 of the United States Treasury Regulations of the Transaction (and other call option transactions with respect to such Convertible Note entered into by the Counterparty) and the Convertible Note.</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48" w:name="page149"/>
    <w:bookmarkEnd w:id="148"/>
    <w:tbl>
      <w:tblPr>
        <w:tblLayout w:type="fixed"/>
        <w:tblInd w:w="2170" w:type="dxa"/>
        <w:tblCellMar>
          <w:top w:w="0" w:type="dxa"/>
          <w:left w:w="0" w:type="dxa"/>
          <w:bottom w:w="0" w:type="dxa"/>
          <w:right w:w="0" w:type="dxa"/>
        </w:tblCellMar>
      </w:tblPr>
      <w:tr>
        <w:trPr>
          <w:trHeight w:val="179"/>
        </w:trPr>
        <w:tc>
          <w:tcPr>
            <w:tcW w:w="2620" w:type="dxa"/>
            <w:vAlign w:val="bottom"/>
            <w:tcBorders>
              <w:top w:val="single" w:sz="8" w:color="auto"/>
              <w:left w:val="single" w:sz="8" w:color="auto"/>
              <w:right w:val="single" w:sz="8" w:color="auto"/>
            </w:tcBorders>
            <w:shd w:val="clear" w:color="auto" w:fill="E6E6E6"/>
          </w:tcPr>
          <w:p>
            <w:pPr>
              <w:jc w:val="center"/>
              <w:spacing w:after="0" w:line="179" w:lineRule="exact"/>
              <w:rPr>
                <w:sz w:val="20"/>
                <w:szCs w:val="20"/>
                <w:color w:val="auto"/>
              </w:rPr>
            </w:pPr>
            <w:r>
              <w:rPr>
                <w:rFonts w:ascii="Times New Roman" w:cs="Times New Roman" w:eastAsia="Times New Roman" w:hAnsi="Times New Roman"/>
                <w:sz w:val="16"/>
                <w:szCs w:val="16"/>
                <w:color w:val="auto"/>
                <w:w w:val="97"/>
              </w:rPr>
              <w:t>Conversion Settlement</w:t>
            </w:r>
          </w:p>
        </w:tc>
        <w:tc>
          <w:tcPr>
            <w:tcW w:w="3740" w:type="dxa"/>
            <w:vAlign w:val="bottom"/>
            <w:tcBorders>
              <w:top w:val="single" w:sz="8" w:color="auto"/>
              <w:right w:val="single" w:sz="8" w:color="auto"/>
            </w:tcBorders>
            <w:shd w:val="clear" w:color="auto" w:fill="E6E6E6"/>
          </w:tcPr>
          <w:p>
            <w:pPr>
              <w:jc w:val="center"/>
              <w:spacing w:after="0" w:line="179" w:lineRule="exact"/>
              <w:rPr>
                <w:sz w:val="20"/>
                <w:szCs w:val="20"/>
                <w:color w:val="auto"/>
              </w:rPr>
            </w:pPr>
            <w:r>
              <w:rPr>
                <w:rFonts w:ascii="Times New Roman" w:cs="Times New Roman" w:eastAsia="Times New Roman" w:hAnsi="Times New Roman"/>
                <w:sz w:val="16"/>
                <w:szCs w:val="16"/>
                <w:color w:val="auto"/>
                <w:w w:val="97"/>
              </w:rPr>
              <w:t>Synthetic Instrument Adjusted</w:t>
            </w:r>
          </w:p>
        </w:tc>
      </w:tr>
      <w:tr>
        <w:trPr>
          <w:trHeight w:val="193"/>
        </w:trPr>
        <w:tc>
          <w:tcPr>
            <w:tcW w:w="262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7"/>
              </w:rPr>
              <w:t>Date/Repayment Date</w:t>
            </w:r>
          </w:p>
        </w:tc>
        <w:tc>
          <w:tcPr>
            <w:tcW w:w="374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7"/>
              </w:rPr>
              <w:t>Issue Price</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i w:val="1"/>
                <w:iCs w:val="1"/>
                <w:color w:val="auto"/>
                <w:w w:val="96"/>
              </w:rPr>
              <w:t>[Notes closing date]</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 ]</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[_______]</w:t>
            </w:r>
          </w:p>
        </w:tc>
      </w:tr>
      <w:tr>
        <w:trPr>
          <w:trHeight w:val="172"/>
        </w:trPr>
        <w:tc>
          <w:tcPr>
            <w:tcW w:w="2620" w:type="dxa"/>
            <w:vAlign w:val="bottom"/>
            <w:tcBorders>
              <w:left w:val="single" w:sz="8" w:color="auto"/>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9"/>
                <w:szCs w:val="19"/>
                <w:color w:val="auto"/>
                <w:vertAlign w:val="superscript"/>
              </w:rPr>
              <w:t>51</w:t>
            </w:r>
          </w:p>
        </w:tc>
        <w:tc>
          <w:tcPr>
            <w:tcW w:w="3740" w:type="dxa"/>
            <w:vAlign w:val="bottom"/>
            <w:tcBorders>
              <w:bottom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USD 1,000.00</w:t>
            </w:r>
          </w:p>
        </w:tc>
      </w:tr>
    </w:tbl>
    <w:p>
      <w:pPr>
        <w:spacing w:after="0" w:line="167" w:lineRule="exact"/>
        <w:rPr>
          <w:sz w:val="20"/>
          <w:szCs w:val="20"/>
          <w:color w:val="auto"/>
        </w:rPr>
      </w:pPr>
    </w:p>
    <w:p>
      <w:pPr>
        <w:jc w:val="both"/>
        <w:ind w:left="2220" w:hanging="522"/>
        <w:spacing w:after="0" w:line="284" w:lineRule="auto"/>
        <w:tabs>
          <w:tab w:leader="none" w:pos="222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defined in the Indenture) have occurred pursuant to any Excluded Provision and (z) the corresponding Convertible Notes remain outstanding as if the circumstances related to such Early Conversion had not occurred; and</w:t>
      </w:r>
    </w:p>
    <w:p>
      <w:pPr>
        <w:spacing w:after="0" w:line="127" w:lineRule="exact"/>
        <w:rPr>
          <w:rFonts w:ascii="Times New Roman" w:cs="Times New Roman" w:eastAsia="Times New Roman" w:hAnsi="Times New Roman"/>
          <w:sz w:val="14"/>
          <w:szCs w:val="14"/>
          <w:color w:val="auto"/>
        </w:rPr>
      </w:pPr>
    </w:p>
    <w:p>
      <w:pPr>
        <w:jc w:val="both"/>
        <w:ind w:left="2220" w:right="20" w:hanging="522"/>
        <w:spacing w:after="0" w:line="247" w:lineRule="auto"/>
        <w:tabs>
          <w:tab w:leader="none" w:pos="2220"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Transaction shall remain in full force and effect, except that, as of the Conversion Date for such Early Conversion, the Number of Options shall be reduced by the Affected Number of Options;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the Transaction shall terminate upon such reduction if, after such reduction, the Number of Options is zero.</w:t>
      </w:r>
    </w:p>
    <w:p>
      <w:pPr>
        <w:spacing w:after="0" w:line="152" w:lineRule="exact"/>
        <w:rPr>
          <w:rFonts w:ascii="Times New Roman" w:cs="Times New Roman" w:eastAsia="Times New Roman" w:hAnsi="Times New Roman"/>
          <w:sz w:val="16"/>
          <w:szCs w:val="16"/>
          <w:color w:val="auto"/>
        </w:rPr>
      </w:pPr>
    </w:p>
    <w:p>
      <w:pPr>
        <w:jc w:val="both"/>
        <w:ind w:left="1700" w:hanging="530"/>
        <w:spacing w:after="0" w:line="217" w:lineRule="auto"/>
        <w:tabs>
          <w:tab w:leader="none" w:pos="17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Confirmation if an event of default with respect to Counterparty occurs under the terms of the Convertible Notes as set forth in Section [6.01]</w:t>
      </w:r>
      <w:r>
        <w:rPr>
          <w:rFonts w:ascii="Times New Roman" w:cs="Times New Roman" w:eastAsia="Times New Roman" w:hAnsi="Times New Roman"/>
          <w:sz w:val="26"/>
          <w:szCs w:val="26"/>
          <w:color w:val="auto"/>
          <w:vertAlign w:val="superscript"/>
        </w:rPr>
        <w:t>52</w:t>
      </w:r>
      <w:r>
        <w:rPr>
          <w:rFonts w:ascii="Times New Roman" w:cs="Times New Roman" w:eastAsia="Times New Roman" w:hAnsi="Times New Roman"/>
          <w:sz w:val="16"/>
          <w:szCs w:val="16"/>
          <w:color w:val="auto"/>
        </w:rPr>
        <w:t xml:space="preserve"> of the Indenture, which event of default has resulted in the Convertible Notes becoming due and payable under the terms thereof,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158" w:lineRule="exact"/>
        <w:rPr>
          <w:rFonts w:ascii="Times New Roman" w:cs="Times New Roman" w:eastAsia="Times New Roman" w:hAnsi="Times New Roman"/>
          <w:sz w:val="16"/>
          <w:szCs w:val="16"/>
          <w:color w:val="auto"/>
        </w:rPr>
      </w:pPr>
    </w:p>
    <w:p>
      <w:pPr>
        <w:jc w:val="both"/>
        <w:ind w:left="1700" w:right="40" w:hanging="530"/>
        <w:spacing w:after="0" w:line="243" w:lineRule="auto"/>
        <w:tabs>
          <w:tab w:leader="none" w:pos="17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251460</wp:posOffset>
            </wp:positionV>
            <wp:extent cx="6705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3" w:lineRule="exact"/>
        <w:rPr>
          <w:sz w:val="20"/>
          <w:szCs w:val="20"/>
          <w:color w:val="auto"/>
        </w:rPr>
      </w:pPr>
    </w:p>
    <w:p>
      <w:pPr>
        <w:ind w:left="160" w:hanging="154"/>
        <w:spacing w:after="0"/>
        <w:tabs>
          <w:tab w:leader="none" w:pos="160" w:val="left"/>
        </w:tabs>
        <w:numPr>
          <w:ilvl w:val="0"/>
          <w:numId w:val="1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To be the maturity date for the Convertible Notes.</w:t>
      </w:r>
    </w:p>
    <w:p>
      <w:pPr>
        <w:ind w:left="160" w:hanging="154"/>
        <w:spacing w:after="0" w:line="189" w:lineRule="auto"/>
        <w:tabs>
          <w:tab w:leader="none" w:pos="160" w:val="left"/>
        </w:tabs>
        <w:numPr>
          <w:ilvl w:val="0"/>
          <w:numId w:val="1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the Indenture section containing events of default.</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58" w:right="660" w:bottom="1440" w:gutter="0" w:footer="0" w:header="0"/>
        </w:sectPr>
      </w:pPr>
    </w:p>
    <w:bookmarkStart w:id="149" w:name="page150"/>
    <w:bookmarkEnd w:id="149"/>
    <w:p>
      <w:pPr>
        <w:jc w:val="both"/>
        <w:ind w:left="1700" w:right="20"/>
        <w:spacing w:after="0" w:line="21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Amendment Event</w:t>
      </w:r>
      <w:r>
        <w:rPr>
          <w:rFonts w:ascii="Times New Roman" w:cs="Times New Roman" w:eastAsia="Times New Roman" w:hAnsi="Times New Roman"/>
          <w:sz w:val="16"/>
          <w:szCs w:val="16"/>
          <w:color w:val="auto"/>
        </w:rPr>
        <w:t>” means that Counterparty amends, modifies, supplements, waives or obtains a waiver in respect of any term of the Indenture or the Convertible Notes governing the principal amount, coupon, maturity, repurchase obligation of Counterparty,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(v) pursuant to Section [10.01(c)]</w:t>
      </w:r>
      <w:r>
        <w:rPr>
          <w:rFonts w:ascii="Times New Roman" w:cs="Times New Roman" w:eastAsia="Times New Roman" w:hAnsi="Times New Roman"/>
          <w:sz w:val="26"/>
          <w:szCs w:val="26"/>
          <w:color w:val="auto"/>
          <w:vertAlign w:val="superscript"/>
        </w:rPr>
        <w:t>53</w:t>
      </w:r>
      <w:r>
        <w:rPr>
          <w:rFonts w:ascii="Times New Roman" w:cs="Times New Roman" w:eastAsia="Times New Roman" w:hAnsi="Times New Roman"/>
          <w:sz w:val="16"/>
          <w:szCs w:val="16"/>
          <w:color w:val="auto"/>
        </w:rPr>
        <w:t xml:space="preserve"> of the Indenture, (w) pursuant to Section [10.01(h)]</w:t>
      </w:r>
      <w:r>
        <w:rPr>
          <w:rFonts w:ascii="Times New Roman" w:cs="Times New Roman" w:eastAsia="Times New Roman" w:hAnsi="Times New Roman"/>
          <w:sz w:val="26"/>
          <w:szCs w:val="26"/>
          <w:color w:val="auto"/>
          <w:vertAlign w:val="superscript"/>
        </w:rPr>
        <w:t>54</w:t>
      </w:r>
      <w:r>
        <w:rPr>
          <w:rFonts w:ascii="Times New Roman" w:cs="Times New Roman" w:eastAsia="Times New Roman" w:hAnsi="Times New Roman"/>
          <w:sz w:val="16"/>
          <w:szCs w:val="16"/>
          <w:color w:val="auto"/>
        </w:rPr>
        <w:t xml:space="preserve"> of the Indenture that, as determined by the Calculation Agent, conforms the Indenture to the description of Convertible Notes in the Offering Memorandum, (x) pursuant to Section [10.01(h)]</w:t>
      </w:r>
      <w:r>
        <w:rPr>
          <w:rFonts w:ascii="Times New Roman" w:cs="Times New Roman" w:eastAsia="Times New Roman" w:hAnsi="Times New Roman"/>
          <w:sz w:val="26"/>
          <w:szCs w:val="26"/>
          <w:color w:val="auto"/>
          <w:vertAlign w:val="superscript"/>
        </w:rPr>
        <w:t>55</w:t>
      </w:r>
      <w:r>
        <w:rPr>
          <w:rFonts w:ascii="Times New Roman" w:cs="Times New Roman" w:eastAsia="Times New Roman" w:hAnsi="Times New Roman"/>
          <w:sz w:val="16"/>
          <w:szCs w:val="16"/>
          <w:color w:val="auto"/>
        </w:rPr>
        <w:t xml:space="preserve"> of the Indenture, (y) pursuant to Section [14.07]</w:t>
      </w:r>
      <w:r>
        <w:rPr>
          <w:rFonts w:ascii="Times New Roman" w:cs="Times New Roman" w:eastAsia="Times New Roman" w:hAnsi="Times New Roman"/>
          <w:sz w:val="26"/>
          <w:szCs w:val="26"/>
          <w:color w:val="auto"/>
          <w:vertAlign w:val="superscript"/>
        </w:rPr>
        <w:t>56</w:t>
      </w:r>
      <w:r>
        <w:rPr>
          <w:rFonts w:ascii="Times New Roman" w:cs="Times New Roman" w:eastAsia="Times New Roman" w:hAnsi="Times New Roman"/>
          <w:sz w:val="16"/>
          <w:szCs w:val="16"/>
          <w:color w:val="auto"/>
        </w:rPr>
        <w:t xml:space="preserve"> of the Indenture, or (z) pursuant to Section [10.01(a)] of the Indenture that, as determined by Calculation Agent, cures any ambiguity, omission, defect or inconsistency in the Indenture or in the Convertible Notes), in each case, without the consent of Dealer.</w:t>
      </w:r>
    </w:p>
    <w:p>
      <w:pPr>
        <w:spacing w:after="0" w:line="163" w:lineRule="exact"/>
        <w:rPr>
          <w:sz w:val="20"/>
          <w:szCs w:val="20"/>
          <w:color w:val="auto"/>
        </w:rPr>
      </w:pPr>
    </w:p>
    <w:p>
      <w:pPr>
        <w:jc w:val="both"/>
        <w:ind w:left="1700" w:hanging="530"/>
        <w:spacing w:after="0" w:line="242" w:lineRule="auto"/>
        <w:tabs>
          <w:tab w:leader="none" w:pos="17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five Scheduled Trading Days following any Repayment Event (as defined below), Counterparty (x) in the case of a Repayment Event resulting from the redemption of any Convertible Notes by Counterparty or from the repurchase of any Convertible Notes by Counterparty upon the occurrence of a “Fundamental Change” (as defined in the Indenture), shall notify Dealer in writing of such Repayment Event and (y) in the case of a Repayment Event not described in clause (x) above, may, at its option, notify Dealer of such Repayment Event, in each case, including the number of Convertible Notes subject to such Repayment Event (any such notice, a “</w:t>
      </w:r>
      <w:r>
        <w:rPr>
          <w:rFonts w:ascii="Times New Roman" w:cs="Times New Roman" w:eastAsia="Times New Roman" w:hAnsi="Times New Roman"/>
          <w:sz w:val="16"/>
          <w:szCs w:val="16"/>
          <w:b w:val="1"/>
          <w:bCs w:val="1"/>
          <w:color w:val="auto"/>
        </w:rPr>
        <w:t>Repayment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Repayment Notice described in clause (y) above shall be effective unless it contains the representation by Counterparty set forth in Section 8(f) hereunder as of the date of such Repayment Notice [;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to this Confirmation]</w:t>
      </w:r>
      <w:r>
        <w:rPr>
          <w:rFonts w:ascii="Times New Roman" w:cs="Times New Roman" w:eastAsia="Times New Roman" w:hAnsi="Times New Roman"/>
          <w:sz w:val="26"/>
          <w:szCs w:val="26"/>
          <w:color w:val="auto"/>
          <w:vertAlign w:val="superscript"/>
        </w:rPr>
        <w:t>57</w:t>
      </w:r>
      <w:r>
        <w:rPr>
          <w:rFonts w:ascii="Times New Roman" w:cs="Times New Roman" w:eastAsia="Times New Roman" w:hAnsi="Times New Roman"/>
          <w:sz w:val="16"/>
          <w:szCs w:val="16"/>
          <w:color w:val="auto"/>
        </w:rPr>
        <w:t>.</w:t>
      </w:r>
    </w:p>
    <w:p>
      <w:pPr>
        <w:spacing w:after="0" w:line="14" w:lineRule="exact"/>
        <w:rPr>
          <w:rFonts w:ascii="Times New Roman" w:cs="Times New Roman" w:eastAsia="Times New Roman" w:hAnsi="Times New Roman"/>
          <w:sz w:val="16"/>
          <w:szCs w:val="16"/>
          <w:color w:val="auto"/>
        </w:rPr>
      </w:pPr>
    </w:p>
    <w:p>
      <w:pPr>
        <w:ind w:left="1700"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acknowledges its responsibilities under applicable securities laws, and in particular Section 9 and Section 10(b) of the Exchange Act and the rules and regulations thereunder, in respect of any Repayment Notice delivered hereunder.</w:t>
      </w:r>
    </w:p>
    <w:p>
      <w:pPr>
        <w:spacing w:after="0" w:line="143" w:lineRule="exact"/>
        <w:rPr>
          <w:rFonts w:ascii="Times New Roman" w:cs="Times New Roman" w:eastAsia="Times New Roman" w:hAnsi="Times New Roman"/>
          <w:sz w:val="16"/>
          <w:szCs w:val="16"/>
          <w:color w:val="auto"/>
        </w:rPr>
      </w:pPr>
    </w:p>
    <w:p>
      <w:pPr>
        <w:jc w:val="both"/>
        <w:ind w:left="170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receipt of any such Repayment Notice, Dealer shall promptly designate an Exchange Business Day following receipt of such Repayment Notice (which in no event shall be earlier than the related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6"/>
          <w:szCs w:val="16"/>
          <w:b w:val="1"/>
          <w:bCs w:val="1"/>
          <w:color w:val="auto"/>
        </w:rPr>
        <w:t>Repayment Options</w:t>
      </w:r>
      <w:r>
        <w:rPr>
          <w:rFonts w:ascii="Times New Roman" w:cs="Times New Roman" w:eastAsia="Times New Roman" w:hAnsi="Times New Roman"/>
          <w:sz w:val="16"/>
          <w:szCs w:val="16"/>
          <w:color w:val="auto"/>
        </w:rPr>
        <w:t>”) equal to the lesser of (A) the number of such Convertible Notes specified in such Repayment Notice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number of Repayment Options (as defined in the Base Call Option Confirmation), if any, that relate to such Convertible Notes (and for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6"/>
          <w:szCs w:val="26"/>
          <w:color w:val="auto"/>
          <w:vertAlign w:val="superscript"/>
        </w:rPr>
        <w:t>57</w:t>
      </w:r>
      <w:r>
        <w:rPr>
          <w:rFonts w:ascii="Times New Roman" w:cs="Times New Roman" w:eastAsia="Times New Roman" w:hAnsi="Times New Roman"/>
          <w:sz w:val="16"/>
          <w:szCs w:val="16"/>
          <w:color w:val="auto"/>
        </w:rPr>
        <w:t xml:space="preserve"> and (B) the Number of Options as of the date Dealer designates such Early Termination Date and, as of such date, the Number of Options shall be reduced by the number of Repayment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363855</wp:posOffset>
            </wp:positionV>
            <wp:extent cx="6705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60" w:hanging="154"/>
        <w:spacing w:after="0"/>
        <w:tabs>
          <w:tab w:leader="none" w:pos="16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cross-reference for Indenture section regarding adding guarantees with respect to the Notes.</w:t>
      </w:r>
    </w:p>
    <w:p>
      <w:pPr>
        <w:ind w:left="160" w:hanging="154"/>
        <w:spacing w:after="0" w:line="184" w:lineRule="auto"/>
        <w:tabs>
          <w:tab w:leader="none" w:pos="16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permitting amendments without holder consent to conform the Indenture to the Description of Notes.</w:t>
      </w:r>
    </w:p>
    <w:p>
      <w:pPr>
        <w:ind w:left="160" w:hanging="154"/>
        <w:spacing w:after="0" w:line="184" w:lineRule="auto"/>
        <w:tabs>
          <w:tab w:leader="none" w:pos="16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for Indenture section regarding amendments to irrevocably elect or eliminate a settlement method.</w:t>
      </w:r>
    </w:p>
    <w:p>
      <w:pPr>
        <w:ind w:left="160" w:hanging="154"/>
        <w:spacing w:after="0" w:line="184" w:lineRule="auto"/>
        <w:tabs>
          <w:tab w:leader="none" w:pos="16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governing common stock change events.</w:t>
      </w:r>
    </w:p>
    <w:p>
      <w:pPr>
        <w:ind w:left="160" w:hanging="154"/>
        <w:spacing w:after="0" w:line="184" w:lineRule="auto"/>
        <w:tabs>
          <w:tab w:leader="none" w:pos="16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for additional capped call.</w:t>
      </w:r>
    </w:p>
    <w:p>
      <w:pPr>
        <w:ind w:left="160" w:hanging="154"/>
        <w:spacing w:after="0" w:line="189" w:lineRule="auto"/>
        <w:tabs>
          <w:tab w:leader="none" w:pos="16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for additional capped call</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50" w:name="page151"/>
    <w:bookmarkEnd w:id="150"/>
    <w:p>
      <w:pPr>
        <w:jc w:val="both"/>
        <w:ind w:left="1700"/>
        <w:spacing w:after="0" w:line="227" w:lineRule="auto"/>
        <w:rPr>
          <w:sz w:val="20"/>
          <w:szCs w:val="20"/>
          <w:color w:val="auto"/>
        </w:rPr>
      </w:pPr>
      <w:r>
        <w:rPr>
          <w:rFonts w:ascii="Times New Roman" w:cs="Times New Roman" w:eastAsia="Times New Roman" w:hAnsi="Times New Roman"/>
          <w:sz w:val="16"/>
          <w:szCs w:val="16"/>
          <w:color w:val="auto"/>
        </w:rPr>
        <w:t>Any payment hereunder with respect to such termination (the “</w:t>
      </w:r>
      <w:r>
        <w:rPr>
          <w:rFonts w:ascii="Times New Roman" w:cs="Times New Roman" w:eastAsia="Times New Roman" w:hAnsi="Times New Roman"/>
          <w:sz w:val="16"/>
          <w:szCs w:val="16"/>
          <w:b w:val="1"/>
          <w:bCs w:val="1"/>
          <w:color w:val="auto"/>
        </w:rPr>
        <w:t>Repayment Unwind Payment</w:t>
      </w:r>
      <w:r>
        <w:rPr>
          <w:rFonts w:ascii="Times New Roman" w:cs="Times New Roman" w:eastAsia="Times New Roman" w:hAnsi="Times New Roman"/>
          <w:sz w:val="16"/>
          <w:szCs w:val="16"/>
          <w:color w:val="auto"/>
        </w:rPr>
        <w:t xml:space="preserve">”) shall be calculated pursuant to Section 6 of the Agreement as if (1) an Early Termination Date had been designated on the basis of an Additional Termination Event having or being deemed to have occurred in respect of a transaction having terms identical to the Transaction and a Number of Options equal to the number of Repayment Options, (2) Counterparty were the sole Affected Party with respect to such Additional Termination Event, (3) the terminated portion of the Transaction were the sole Affected Transaction, (4) the relevant Repayment Event and any conversions, adjustments, agreements, payments, deliveries or acquisitions by or on behalf of Counterparty leading thereto had not occurred, (5) no adjustments to the “Conversion Rate” (as defined in the Indenture) have occurred pursuant to any Excluded Provision and (6) the corresponding Convertible Notes remain outstanding as if the circumstances related to such Repayment Event had not occurred (and, for the avoidance of doubt, the other provisions of the Agreement shall apply as if an Additional Termination Event had occurred);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in the event of a Repayment Event pursuant to Section [15.02]5</w:t>
      </w:r>
      <w:r>
        <w:rPr>
          <w:rFonts w:ascii="Times New Roman" w:cs="Times New Roman" w:eastAsia="Times New Roman" w:hAnsi="Times New Roman"/>
          <w:sz w:val="26"/>
          <w:szCs w:val="26"/>
          <w:color w:val="auto"/>
          <w:vertAlign w:val="superscript"/>
        </w:rPr>
        <w:t>59</w:t>
      </w:r>
      <w:r>
        <w:rPr>
          <w:rFonts w:ascii="Times New Roman" w:cs="Times New Roman" w:eastAsia="Times New Roman" w:hAnsi="Times New Roman"/>
          <w:sz w:val="16"/>
          <w:szCs w:val="16"/>
          <w:color w:val="auto"/>
        </w:rPr>
        <w:t xml:space="preserve"> of the Indenture or Section [16.01]</w:t>
      </w:r>
      <w:r>
        <w:rPr>
          <w:rFonts w:ascii="Times New Roman" w:cs="Times New Roman" w:eastAsia="Times New Roman" w:hAnsi="Times New Roman"/>
          <w:sz w:val="26"/>
          <w:szCs w:val="26"/>
          <w:color w:val="auto"/>
          <w:vertAlign w:val="superscript"/>
        </w:rPr>
        <w:t>60</w:t>
      </w:r>
      <w:r>
        <w:rPr>
          <w:rFonts w:ascii="Times New Roman" w:cs="Times New Roman" w:eastAsia="Times New Roman" w:hAnsi="Times New Roman"/>
          <w:sz w:val="16"/>
          <w:szCs w:val="16"/>
          <w:color w:val="auto"/>
        </w:rPr>
        <w:t xml:space="preserve"> of the Indenture, the Repayment Unwind Payment shall not be greater than (x) the number of Repayment Options multiplied by (y) the product of (A) the Applicable Percentage and (B) the excess of (I) the amount paid by the Counterparty per Convertible Note pursuant to the relevant sections of the Indenture over (II) the Synthetic Instrument Adjusted Issue Price determined by the Calculation Agent based on the date of payment of the relevant amounts to holders of the Convertible Note (the “</w:t>
      </w:r>
      <w:r>
        <w:rPr>
          <w:rFonts w:ascii="Times New Roman" w:cs="Times New Roman" w:eastAsia="Times New Roman" w:hAnsi="Times New Roman"/>
          <w:sz w:val="16"/>
          <w:szCs w:val="16"/>
          <w:b w:val="1"/>
          <w:bCs w:val="1"/>
          <w:color w:val="auto"/>
        </w:rPr>
        <w:t>Repayment Date</w:t>
      </w:r>
      <w:r>
        <w:rPr>
          <w:rFonts w:ascii="Times New Roman" w:cs="Times New Roman" w:eastAsia="Times New Roman" w:hAnsi="Times New Roman"/>
          <w:sz w:val="16"/>
          <w:szCs w:val="16"/>
          <w:color w:val="auto"/>
        </w:rPr>
        <w:t>”), as determined by the Calculation Agent in good faith and in a commercially reasonable manner.</w:t>
      </w:r>
    </w:p>
    <w:p>
      <w:pPr>
        <w:spacing w:after="0" w:line="164" w:lineRule="exact"/>
        <w:rPr>
          <w:sz w:val="20"/>
          <w:szCs w:val="20"/>
          <w:color w:val="auto"/>
        </w:rPr>
      </w:pPr>
    </w:p>
    <w:p>
      <w:pPr>
        <w:jc w:val="both"/>
        <w:ind w:left="1700"/>
        <w:spacing w:after="0" w:line="289" w:lineRule="auto"/>
        <w:rPr>
          <w:sz w:val="20"/>
          <w:szCs w:val="20"/>
          <w:color w:val="auto"/>
        </w:rPr>
      </w:pPr>
      <w:r>
        <w:rPr>
          <w:rFonts w:ascii="Times New Roman" w:cs="Times New Roman" w:eastAsia="Times New Roman" w:hAnsi="Times New Roman"/>
          <w:sz w:val="14"/>
          <w:szCs w:val="14"/>
          <w:color w:val="auto"/>
        </w:rPr>
        <w:t>For the avoidance of doubt, any payment pursuant to this paragraph shall be subject to Section 9(k) of this Confirmation. If the relevant Repayment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Repayment Dates immediately preceding and immediately following the relevant Repayment Date.</w:t>
      </w:r>
    </w:p>
    <w:p>
      <w:pPr>
        <w:spacing w:after="0" w:line="123" w:lineRule="exact"/>
        <w:rPr>
          <w:sz w:val="20"/>
          <w:szCs w:val="20"/>
          <w:color w:val="auto"/>
        </w:rPr>
      </w:pPr>
    </w:p>
    <w:p>
      <w:pPr>
        <w:jc w:val="both"/>
        <w:ind w:left="1700"/>
        <w:spacing w:after="0" w:line="185" w:lineRule="auto"/>
        <w:rPr>
          <w:sz w:val="20"/>
          <w:szCs w:val="20"/>
          <w:color w:val="auto"/>
        </w:rPr>
      </w:pPr>
      <w:r>
        <w:rPr>
          <w:rFonts w:ascii="Times New Roman" w:cs="Times New Roman" w:eastAsia="Times New Roman" w:hAnsi="Times New Roman"/>
          <w:sz w:val="15"/>
          <w:szCs w:val="15"/>
          <w:b w:val="1"/>
          <w:bCs w:val="1"/>
          <w:color w:val="auto"/>
        </w:rPr>
        <w:t>“Repayment Event</w:t>
      </w:r>
      <w:r>
        <w:rPr>
          <w:rFonts w:ascii="Times New Roman" w:cs="Times New Roman" w:eastAsia="Times New Roman" w:hAnsi="Times New Roman"/>
          <w:sz w:val="15"/>
          <w:szCs w:val="15"/>
          <w:color w:val="auto"/>
        </w:rPr>
        <w:t>” means that (i) any Convertible Notes are repurchased (whether pursuant to Section [15.02]</w:t>
      </w:r>
      <w:r>
        <w:rPr>
          <w:rFonts w:ascii="Times New Roman" w:cs="Times New Roman" w:eastAsia="Times New Roman" w:hAnsi="Times New Roman"/>
          <w:sz w:val="24"/>
          <w:szCs w:val="24"/>
          <w:color w:val="auto"/>
          <w:vertAlign w:val="superscript"/>
        </w:rPr>
        <w:t>61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Indenture or Section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[16.01]</w:t>
      </w:r>
      <w:r>
        <w:rPr>
          <w:rFonts w:ascii="Times New Roman" w:cs="Times New Roman" w:eastAsia="Times New Roman" w:hAnsi="Times New Roman"/>
          <w:sz w:val="24"/>
          <w:szCs w:val="24"/>
          <w:color w:val="auto"/>
          <w:vertAlign w:val="superscript"/>
        </w:rPr>
        <w:t>62</w:t>
      </w:r>
      <w:r>
        <w:rPr>
          <w:rFonts w:ascii="Times New Roman" w:cs="Times New Roman" w:eastAsia="Times New Roman" w:hAnsi="Times New Roman"/>
          <w:sz w:val="15"/>
          <w:szCs w:val="15"/>
          <w:color w:val="auto"/>
        </w:rPr>
        <w:t xml:space="preserve"> of the Indenture or otherwise) by Counterparty or any of its subsidiaries (including in connection with, or as a result of, a Fundamental Change (as defined in the Indenture), a redemption, a tender offer, exchange offer or similar transaction or for any other reason),</w:t>
      </w:r>
    </w:p>
    <w:p>
      <w:pPr>
        <w:spacing w:after="0" w:line="2" w:lineRule="exact"/>
        <w:rPr>
          <w:sz w:val="20"/>
          <w:szCs w:val="20"/>
          <w:color w:val="auto"/>
        </w:rPr>
      </w:pPr>
    </w:p>
    <w:p>
      <w:pPr>
        <w:jc w:val="both"/>
        <w:ind w:left="1700" w:hanging="2"/>
        <w:spacing w:after="0" w:line="213" w:lineRule="auto"/>
        <w:tabs>
          <w:tab w:leader="none" w:pos="1949"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Convertible Notes are delivered to Counterparty in exchange for delivery of any property or assets of Counterparty or any of its subsidiaries (howsoever described), (iii) any principal of any of the Convertible Notes is repaid in full prior to the final maturity date of the Convertible Notes (other than upon acceleration of the Convertible Notes pursuant to Section [6.02]</w:t>
      </w:r>
      <w:r>
        <w:rPr>
          <w:rFonts w:ascii="Times New Roman" w:cs="Times New Roman" w:eastAsia="Times New Roman" w:hAnsi="Times New Roman"/>
          <w:sz w:val="26"/>
          <w:szCs w:val="26"/>
          <w:color w:val="auto"/>
          <w:vertAlign w:val="superscript"/>
        </w:rPr>
        <w:t>63</w:t>
      </w:r>
      <w:r>
        <w:rPr>
          <w:rFonts w:ascii="Times New Roman" w:cs="Times New Roman" w:eastAsia="Times New Roman" w:hAnsi="Times New Roman"/>
          <w:sz w:val="16"/>
          <w:szCs w:val="16"/>
          <w:color w:val="auto"/>
        </w:rPr>
        <w:t xml:space="preserve"> of the Indenture), or (iv) any Convertible Notes are exchanged by or for the benefit of the “Holders” (as such term is defined in the Indenture) thereof for any other securities of Counterparty or any of its affiliates (or any other property, or any combination thereof) pursuant to any exchange offer or similar transaction.</w:t>
      </w:r>
    </w:p>
    <w:p>
      <w:pPr>
        <w:spacing w:after="0" w:line="161" w:lineRule="exact"/>
        <w:rPr>
          <w:sz w:val="20"/>
          <w:szCs w:val="20"/>
          <w:color w:val="auto"/>
        </w:rPr>
      </w:pPr>
    </w:p>
    <w:p>
      <w:pPr>
        <w:jc w:val="both"/>
        <w:ind w:left="1700"/>
        <w:spacing w:after="0" w:line="241" w:lineRule="auto"/>
        <w:rPr>
          <w:sz w:val="20"/>
          <w:szCs w:val="20"/>
          <w:color w:val="auto"/>
        </w:rPr>
      </w:pPr>
      <w:r>
        <w:rPr>
          <w:rFonts w:ascii="Times New Roman" w:cs="Times New Roman" w:eastAsia="Times New Roman" w:hAnsi="Times New Roman"/>
          <w:sz w:val="16"/>
          <w:szCs w:val="16"/>
          <w:color w:val="auto"/>
        </w:rPr>
        <w:t>For the avoidance of doubt, any conversion of Convertible Notes (whether into cash, Shares, a combination of cash and Shares or any “Reference Property” (as defined in the Indenture)) pursuant to the terms of the Indenture shall not constitute a Repayment Event. Counterparty acknowledges and agrees that if a deemed Additional Termination Event has occurred under this Section 9(i)(iv), then any related Convertible Notes subject to a Repayment Event will be deemed to be cancelled and disregarded and no longer outstanding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6705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5" w:lineRule="exact"/>
        <w:rPr>
          <w:sz w:val="20"/>
          <w:szCs w:val="20"/>
          <w:color w:val="auto"/>
        </w:rPr>
      </w:pPr>
    </w:p>
    <w:p>
      <w:pPr>
        <w:ind w:left="160" w:hanging="154"/>
        <w:spacing w:after="0"/>
        <w:tabs>
          <w:tab w:leader="none" w:pos="160" w:val="left"/>
        </w:tabs>
        <w:numPr>
          <w:ilvl w:val="0"/>
          <w:numId w:val="1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cross-reference to Indenture section governing repurchase upon a fundamental change.</w:t>
      </w:r>
    </w:p>
    <w:p>
      <w:pPr>
        <w:ind w:left="160" w:hanging="154"/>
        <w:spacing w:after="0" w:line="184" w:lineRule="auto"/>
        <w:tabs>
          <w:tab w:leader="none" w:pos="1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governing optional redemption.</w:t>
      </w:r>
    </w:p>
    <w:p>
      <w:pPr>
        <w:ind w:left="160" w:hanging="154"/>
        <w:spacing w:after="0" w:line="184" w:lineRule="auto"/>
        <w:tabs>
          <w:tab w:leader="none" w:pos="1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governing repurchase upon a fundamental change.</w:t>
      </w:r>
    </w:p>
    <w:p>
      <w:pPr>
        <w:ind w:left="160" w:hanging="154"/>
        <w:spacing w:after="0" w:line="184" w:lineRule="auto"/>
        <w:tabs>
          <w:tab w:leader="none" w:pos="1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governing optional redemption.</w:t>
      </w:r>
    </w:p>
    <w:p>
      <w:pPr>
        <w:ind w:left="160" w:hanging="154"/>
        <w:spacing w:after="0" w:line="189" w:lineRule="auto"/>
        <w:tabs>
          <w:tab w:leader="none" w:pos="16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 cross-reference to Indenture section governing acceleration of the Convertible Notes.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51" w:name="page152"/>
    <w:bookmarkEnd w:id="151"/>
    <w:p>
      <w:pPr>
        <w:ind w:left="538" w:hanging="538"/>
        <w:spacing w:after="0"/>
        <w:tabs>
          <w:tab w:leader="none" w:pos="53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Amendments to Equity Definitions; Agreement</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jc w:val="both"/>
        <w:ind w:left="1058" w:right="20" w:hanging="530"/>
        <w:spacing w:after="0" w:line="243" w:lineRule="auto"/>
        <w:tabs>
          <w:tab w:leader="none" w:pos="105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11.2(e)(vii) of the Equity Definitions is hereby replaced in its entirety with the words “any other corporate event involving the Issuer that has a material effect on the theoretical value of the Shares or the Options, provided that such event is not based on (a) an observable market (other than the market for Issuer’s own stock) or (b) an observable index (other than an index calculated and measured solely by reference to Issuer’s own operations).”</w:t>
      </w:r>
    </w:p>
    <w:p>
      <w:pPr>
        <w:spacing w:after="0" w:line="155" w:lineRule="exact"/>
        <w:rPr>
          <w:rFonts w:ascii="Times New Roman" w:cs="Times New Roman" w:eastAsia="Times New Roman" w:hAnsi="Times New Roman"/>
          <w:sz w:val="16"/>
          <w:szCs w:val="16"/>
          <w:color w:val="auto"/>
        </w:rPr>
      </w:pPr>
    </w:p>
    <w:p>
      <w:pPr>
        <w:jc w:val="both"/>
        <w:ind w:left="1058" w:hanging="530"/>
        <w:spacing w:after="0" w:line="247" w:lineRule="auto"/>
        <w:tabs>
          <w:tab w:leader="none" w:pos="105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52" w:lineRule="exact"/>
        <w:rPr>
          <w:rFonts w:ascii="Times New Roman" w:cs="Times New Roman" w:eastAsia="Times New Roman" w:hAnsi="Times New Roman"/>
          <w:sz w:val="16"/>
          <w:szCs w:val="16"/>
          <w:color w:val="auto"/>
        </w:rPr>
      </w:pPr>
    </w:p>
    <w:p>
      <w:pPr>
        <w:ind w:left="1058" w:hanging="530"/>
        <w:spacing w:after="0" w:line="259" w:lineRule="auto"/>
        <w:tabs>
          <w:tab w:leader="none" w:pos="105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43" w:lineRule="exact"/>
        <w:rPr>
          <w:rFonts w:ascii="Times New Roman" w:cs="Times New Roman" w:eastAsia="Times New Roman" w:hAnsi="Times New Roman"/>
          <w:sz w:val="16"/>
          <w:szCs w:val="16"/>
          <w:color w:val="auto"/>
        </w:rPr>
      </w:pPr>
    </w:p>
    <w:p>
      <w:pPr>
        <w:jc w:val="both"/>
        <w:ind w:left="1058" w:right="20" w:hanging="530"/>
        <w:spacing w:after="0" w:line="247" w:lineRule="auto"/>
        <w:tabs>
          <w:tab w:leader="none" w:pos="1058"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50" w:lineRule="exact"/>
        <w:rPr>
          <w:rFonts w:ascii="Times New Roman" w:cs="Times New Roman" w:eastAsia="Times New Roman" w:hAnsi="Times New Roman"/>
          <w:sz w:val="16"/>
          <w:szCs w:val="16"/>
          <w:color w:val="auto"/>
        </w:rPr>
      </w:pPr>
    </w:p>
    <w:p>
      <w:pPr>
        <w:jc w:val="both"/>
        <w:ind w:left="538" w:hanging="538"/>
        <w:spacing w:after="0" w:line="244" w:lineRule="auto"/>
        <w:tabs>
          <w:tab w:leader="none" w:pos="53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No Setoff.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provisions of Section 2(c) of the Agreement will not apply to the Transaction. Each party (“</w:t>
      </w: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 waives any and all rights it may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set off delivery or payment obligations (whether absolute or contingent, matured or unmatured, and irrespective of the currency, place of payment or booking of the obligation) arising under the Agreement or the Transaction against any delivery or payment obligations of the other party to X, whether arising under the Agreement, under any other agreement between parties hereto, by operation of law or otherwise.</w:t>
      </w:r>
    </w:p>
    <w:p>
      <w:pPr>
        <w:spacing w:after="0" w:line="152" w:lineRule="exact"/>
        <w:rPr>
          <w:rFonts w:ascii="Times New Roman" w:cs="Times New Roman" w:eastAsia="Times New Roman" w:hAnsi="Times New Roman"/>
          <w:sz w:val="16"/>
          <w:szCs w:val="16"/>
          <w:color w:val="auto"/>
        </w:rPr>
      </w:pPr>
    </w:p>
    <w:p>
      <w:pPr>
        <w:jc w:val="both"/>
        <w:ind w:left="538" w:hanging="538"/>
        <w:spacing w:after="0" w:line="273" w:lineRule="auto"/>
        <w:tabs>
          <w:tab w:leader="none" w:pos="53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4"/>
          <w:szCs w:val="14"/>
          <w:color w:val="auto"/>
        </w:rPr>
        <w:t>. If (a) an Early Termination Date (whether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4"/>
          <w:szCs w:val="14"/>
          <w:b w:val="1"/>
          <w:bCs w:val="1"/>
          <w:color w:val="auto"/>
        </w:rPr>
        <w:t>Payment Obligation</w:t>
      </w:r>
      <w:r>
        <w:rPr>
          <w:rFonts w:ascii="Times New Roman" w:cs="Times New Roman" w:eastAsia="Times New Roman" w:hAnsi="Times New Roman"/>
          <w:sz w:val="14"/>
          <w:szCs w:val="14"/>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pacing w:after="0" w:line="319" w:lineRule="exact"/>
        <w:rPr>
          <w:sz w:val="20"/>
          <w:szCs w:val="20"/>
          <w:color w:val="auto"/>
        </w:rPr>
      </w:pPr>
    </w:p>
    <w:p>
      <w:pPr>
        <w:ind w:left="4558"/>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670750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38"/>
          </w:cols>
          <w:pgMar w:left="1302" w:top="963" w:right="66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84"/>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Share Termination Alternative:</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If applicable, Dealer shall deliver to Counterparty the Share Termination Delivery</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Property on, or within a commercially reasonable period of time after, the date when</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the relevant Payment Obligation would otherwise be due pursuant to Section 12.7 or</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12.9 of the Equity Definitions or Section 6(d)(ii) and 6(e) of the Agreement, as</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applicable, in satisfaction of such Payment Obligation in the manner reasonably</w:t>
            </w:r>
          </w:p>
        </w:tc>
      </w:tr>
      <w:tr>
        <w:trPr>
          <w:trHeight w:val="203"/>
        </w:trPr>
        <w:tc>
          <w:tcPr>
            <w:tcW w:w="438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requested by Counterparty free of payment.</w:t>
            </w:r>
          </w:p>
        </w:tc>
      </w:tr>
      <w:tr>
        <w:trPr>
          <w:trHeight w:val="337"/>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Share Termination Delivery Property:</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 number of Share Termination Delivery Units, as calculated by the Calculation</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Agent, equal to the Payment Obligation divided by the Share Termination Unit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Price. The Calculation Agent shall adjust the Share Termination Delivery Property</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by replacing any fractional portion of a security therein with an amount of cash</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equal to the value of such fractional security based on the values used to calculate</w:t>
            </w:r>
          </w:p>
        </w:tc>
      </w:tr>
      <w:tr>
        <w:trPr>
          <w:trHeight w:val="203"/>
        </w:trPr>
        <w:tc>
          <w:tcPr>
            <w:tcW w:w="438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the Share Termination Unit Price.</w:t>
            </w:r>
          </w:p>
        </w:tc>
      </w:tr>
      <w:tr>
        <w:trPr>
          <w:trHeight w:val="337"/>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Share Termination Unit Price:</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w w:val="99"/>
              </w:rPr>
              <w:t>The value to Dealer of property contained in one Share Termination Delivery Unit,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as determined by the Calculation Agent in its discretion by commercially reasonable</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means and notified by the Calculation Agent to Dealer at the time of notification of</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the Payment Obligation. For the avoidance of doubt, the parties agree that in</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determining the Share Termination Delivery Unit Price the Calculation Agent may</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consider  the  purchase  price  paid  in  connection  with  the  purchase  of  Share</w:t>
            </w:r>
          </w:p>
        </w:tc>
      </w:tr>
      <w:tr>
        <w:trPr>
          <w:trHeight w:val="203"/>
        </w:trPr>
        <w:tc>
          <w:tcPr>
            <w:tcW w:w="438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Termination Delivery Property.</w:t>
            </w:r>
          </w:p>
        </w:tc>
      </w:tr>
      <w:tr>
        <w:trPr>
          <w:trHeight w:val="337"/>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Share Termination Delivery Unit:</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w w:val="97"/>
              </w:rPr>
              <w:t>One Share or, if the Shares have changed into cash or any other property or the right</w:t>
            </w:r>
          </w:p>
        </w:tc>
      </w:tr>
      <w:tr>
        <w:trPr>
          <w:trHeight w:val="178"/>
        </w:trPr>
        <w:tc>
          <w:tcPr>
            <w:tcW w:w="4380" w:type="dxa"/>
            <w:vAlign w:val="bottom"/>
          </w:tcPr>
          <w:p>
            <w:pPr>
              <w:spacing w:after="0"/>
              <w:rPr>
                <w:sz w:val="15"/>
                <w:szCs w:val="15"/>
                <w:color w:val="auto"/>
              </w:rPr>
            </w:pPr>
          </w:p>
        </w:tc>
        <w:tc>
          <w:tcPr>
            <w:tcW w:w="6200" w:type="dxa"/>
            <w:vAlign w:val="bottom"/>
            <w:gridSpan w:val="2"/>
          </w:tcPr>
          <w:p>
            <w:pPr>
              <w:ind w:left="900"/>
              <w:spacing w:after="0" w:line="178" w:lineRule="exact"/>
              <w:rPr>
                <w:sz w:val="20"/>
                <w:szCs w:val="20"/>
                <w:color w:val="auto"/>
              </w:rPr>
            </w:pPr>
            <w:r>
              <w:rPr>
                <w:rFonts w:ascii="Times New Roman" w:cs="Times New Roman" w:eastAsia="Times New Roman" w:hAnsi="Times New Roman"/>
                <w:sz w:val="16"/>
                <w:szCs w:val="16"/>
                <w:color w:val="auto"/>
                <w:w w:val="97"/>
              </w:rPr>
              <w:t>to receive cash or any other property as the result of a Nationalization, Insolvency or</w:t>
            </w:r>
          </w:p>
        </w:tc>
      </w:tr>
      <w:tr>
        <w:trPr>
          <w:trHeight w:val="182"/>
        </w:trPr>
        <w:tc>
          <w:tcPr>
            <w:tcW w:w="4380" w:type="dxa"/>
            <w:vAlign w:val="bottom"/>
          </w:tcPr>
          <w:p>
            <w:pPr>
              <w:spacing w:after="0"/>
              <w:rPr>
                <w:sz w:val="15"/>
                <w:szCs w:val="15"/>
                <w:color w:val="auto"/>
              </w:rPr>
            </w:pPr>
          </w:p>
        </w:tc>
        <w:tc>
          <w:tcPr>
            <w:tcW w:w="6200" w:type="dxa"/>
            <w:vAlign w:val="bottom"/>
            <w:gridSpan w:val="2"/>
          </w:tcPr>
          <w:p>
            <w:pPr>
              <w:ind w:left="900"/>
              <w:spacing w:after="0" w:line="182" w:lineRule="exact"/>
              <w:rPr>
                <w:sz w:val="20"/>
                <w:szCs w:val="20"/>
                <w:color w:val="auto"/>
              </w:rPr>
            </w:pPr>
            <w:r>
              <w:rPr>
                <w:rFonts w:ascii="Times New Roman" w:cs="Times New Roman" w:eastAsia="Times New Roman" w:hAnsi="Times New Roman"/>
                <w:sz w:val="16"/>
                <w:szCs w:val="16"/>
                <w:color w:val="auto"/>
              </w:rPr>
              <w:t>Merger Event (any such cash or other property, the “</w:t>
            </w:r>
            <w:r>
              <w:rPr>
                <w:rFonts w:ascii="Times New Roman" w:cs="Times New Roman" w:eastAsia="Times New Roman" w:hAnsi="Times New Roman"/>
                <w:sz w:val="16"/>
                <w:szCs w:val="16"/>
                <w:b w:val="1"/>
                <w:bCs w:val="1"/>
                <w:color w:val="auto"/>
              </w:rPr>
              <w:t>Exchange Property</w:t>
            </w:r>
            <w:r>
              <w:rPr>
                <w:rFonts w:ascii="Times New Roman" w:cs="Times New Roman" w:eastAsia="Times New Roman" w:hAnsi="Times New Roman"/>
                <w:sz w:val="16"/>
                <w:szCs w:val="16"/>
                <w:color w:val="auto"/>
              </w:rPr>
              <w:t>”), a unit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consisting of the type and amount of such Exchange Property received by a holder</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of one Share (without consideration of any requirement to pay cash or other</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7"/>
              </w:rPr>
              <w:t>consideration in lieu of fractional amounts of any securities) in such Nationalization,</w:t>
            </w:r>
          </w:p>
        </w:tc>
      </w:tr>
      <w:tr>
        <w:trPr>
          <w:trHeight w:val="203"/>
        </w:trPr>
        <w:tc>
          <w:tcPr>
            <w:tcW w:w="438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Insolvency or Merger Event, as determined by the Calculation Agent.</w:t>
            </w:r>
          </w:p>
        </w:tc>
      </w:tr>
      <w:tr>
        <w:trPr>
          <w:trHeight w:val="360"/>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Failure to Deliver:</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Applicable</w:t>
            </w:r>
          </w:p>
        </w:tc>
      </w:tr>
      <w:tr>
        <w:trPr>
          <w:trHeight w:val="337"/>
        </w:trPr>
        <w:tc>
          <w:tcPr>
            <w:tcW w:w="43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Other applicable provisions:</w:t>
            </w: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If Share Termination Alternative is applicable, the provisions of Sections 9.8, 9.9,</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9.11, and 9.12 (as modified above) of the Equity Definitions and the provisions set</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forth opposite the caption “Representation and Agreement” in Section 2 will be</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8"/>
              </w:rPr>
              <w:t>applicable, except that all references in such provisions to “Physically-settled” shall</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w w:val="99"/>
              </w:rPr>
              <w:t>be read as references to “Share Termination Settled” and all references to “Shares”</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shall  be  read  as  references  to  “Share  Termination  Delivery  Units”.  “Share</w:t>
            </w:r>
          </w:p>
        </w:tc>
      </w:tr>
      <w:tr>
        <w:trPr>
          <w:trHeight w:val="180"/>
        </w:trPr>
        <w:tc>
          <w:tcPr>
            <w:tcW w:w="4380" w:type="dxa"/>
            <w:vAlign w:val="bottom"/>
          </w:tcPr>
          <w:p>
            <w:pPr>
              <w:spacing w:after="0"/>
              <w:rPr>
                <w:sz w:val="15"/>
                <w:szCs w:val="15"/>
                <w:color w:val="auto"/>
              </w:rPr>
            </w:pPr>
          </w:p>
        </w:tc>
        <w:tc>
          <w:tcPr>
            <w:tcW w:w="6200" w:type="dxa"/>
            <w:vAlign w:val="bottom"/>
            <w:gridSpan w:val="2"/>
          </w:tcPr>
          <w:p>
            <w:pPr>
              <w:ind w:left="900"/>
              <w:spacing w:after="0" w:line="180" w:lineRule="exact"/>
              <w:rPr>
                <w:sz w:val="20"/>
                <w:szCs w:val="20"/>
                <w:color w:val="auto"/>
              </w:rPr>
            </w:pPr>
            <w:r>
              <w:rPr>
                <w:rFonts w:ascii="Times New Roman" w:cs="Times New Roman" w:eastAsia="Times New Roman" w:hAnsi="Times New Roman"/>
                <w:sz w:val="16"/>
                <w:szCs w:val="16"/>
                <w:color w:val="auto"/>
              </w:rPr>
              <w:t>Termination Settled” in relation to the Transaction means that Share Termination</w:t>
            </w:r>
          </w:p>
        </w:tc>
      </w:tr>
      <w:tr>
        <w:trPr>
          <w:trHeight w:val="203"/>
        </w:trPr>
        <w:tc>
          <w:tcPr>
            <w:tcW w:w="4380" w:type="dxa"/>
            <w:vAlign w:val="bottom"/>
          </w:tcPr>
          <w:p>
            <w:pPr>
              <w:spacing w:after="0"/>
              <w:rPr>
                <w:sz w:val="17"/>
                <w:szCs w:val="17"/>
                <w:color w:val="auto"/>
              </w:rPr>
            </w:pPr>
          </w:p>
        </w:tc>
        <w:tc>
          <w:tcPr>
            <w:tcW w:w="620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Alternative is applicable to the Transaction.</w:t>
            </w:r>
          </w:p>
        </w:tc>
      </w:tr>
      <w:tr>
        <w:trPr>
          <w:trHeight w:val="360"/>
        </w:trPr>
        <w:tc>
          <w:tcPr>
            <w:tcW w:w="4380" w:type="dxa"/>
            <w:vAlign w:val="bottom"/>
          </w:tcPr>
          <w:p>
            <w:pPr>
              <w:spacing w:after="0"/>
              <w:rPr>
                <w:sz w:val="24"/>
                <w:szCs w:val="24"/>
                <w:color w:val="auto"/>
              </w:rPr>
            </w:pPr>
          </w:p>
        </w:tc>
        <w:tc>
          <w:tcPr>
            <w:tcW w:w="61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24"/>
                <w:szCs w:val="24"/>
                <w:color w:val="auto"/>
              </w:rPr>
            </w:pPr>
          </w:p>
        </w:tc>
      </w:tr>
      <w:tr>
        <w:trPr>
          <w:trHeight w:val="90"/>
        </w:trPr>
        <w:tc>
          <w:tcPr>
            <w:tcW w:w="438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40" w:orient="portrait"/>
          <w:cols w:equalWidth="0" w:num="1">
            <w:col w:w="10580"/>
          </w:cols>
          <w:pgMar w:left="660" w:top="961" w:right="660" w:bottom="1440" w:gutter="0" w:footer="0" w:header="0"/>
        </w:sectPr>
      </w:pPr>
    </w:p>
    <w:bookmarkStart w:id="153" w:name="page154"/>
    <w:bookmarkEnd w:id="153"/>
    <w:p>
      <w:pPr>
        <w:jc w:val="both"/>
        <w:ind w:left="538" w:hanging="538"/>
        <w:spacing w:after="0"/>
        <w:tabs>
          <w:tab w:leader="none" w:pos="53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Governing Law; Waiver of Jury Trial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This Confirmation will be governed by and construed in accordance with the laws of the State of New York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reference to choice of law doctrine).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56" w:lineRule="exact"/>
        <w:rPr>
          <w:rFonts w:ascii="Times New Roman" w:cs="Times New Roman" w:eastAsia="Times New Roman" w:hAnsi="Times New Roman"/>
          <w:sz w:val="16"/>
          <w:szCs w:val="16"/>
          <w:color w:val="auto"/>
        </w:rPr>
      </w:pPr>
    </w:p>
    <w:p>
      <w:pPr>
        <w:jc w:val="both"/>
        <w:ind w:left="538" w:hanging="538"/>
        <w:spacing w:after="0" w:line="248" w:lineRule="auto"/>
        <w:tabs>
          <w:tab w:leader="none" w:pos="53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Counterparty hereby agrees that if, in the good faith reasonable judgment of Dealer, the Shares (“</w:t>
      </w:r>
      <w:r>
        <w:rPr>
          <w:rFonts w:ascii="Times New Roman" w:cs="Times New Roman" w:eastAsia="Times New Roman" w:hAnsi="Times New Roman"/>
          <w:sz w:val="16"/>
          <w:szCs w:val="16"/>
          <w:b w:val="1"/>
          <w:bCs w:val="1"/>
          <w:color w:val="auto"/>
        </w:rPr>
        <w:t>Hedge Shares</w:t>
      </w:r>
      <w:r>
        <w:rPr>
          <w:rFonts w:ascii="Times New Roman" w:cs="Times New Roman" w:eastAsia="Times New Roman" w:hAnsi="Times New Roman"/>
          <w:sz w:val="16"/>
          <w:szCs w:val="16"/>
          <w:color w:val="auto"/>
        </w:rPr>
        <w:t>”) acquired by Dealer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purpose of effecting a commercially reasonable hedge of its obligations pursuant to the Transaction cannot be sold in the public market by Dealer without registration under the Securities Act, Counterparty shall, at its election:</w:t>
      </w:r>
    </w:p>
    <w:p>
      <w:pPr>
        <w:spacing w:after="0" w:line="151" w:lineRule="exact"/>
        <w:rPr>
          <w:rFonts w:ascii="Times New Roman" w:cs="Times New Roman" w:eastAsia="Times New Roman" w:hAnsi="Times New Roman"/>
          <w:sz w:val="16"/>
          <w:szCs w:val="16"/>
          <w:color w:val="auto"/>
        </w:rPr>
      </w:pPr>
    </w:p>
    <w:p>
      <w:pPr>
        <w:jc w:val="both"/>
        <w:ind w:left="1058" w:hanging="530"/>
        <w:spacing w:after="0" w:line="237" w:lineRule="auto"/>
        <w:tabs>
          <w:tab w:leader="none" w:pos="1058"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order to allow Dealer to sell the Hedge Shares in a registered offering, make available to Dealer an effective registration statement under the Securities Act to cover the resale of such Hedge Shares and (A) enter into a customary agreement, in form and substance reasonably satisfactory to Dealer, substantially in the form of an underwriting agreement for a registered secondary offering of similar size, (B) provide accountant’s “comfort” letters in customary form for registered offerings of equity securities of a similar size, (C) provide disclosure opinions of nationally recognized outside counsel to Counterparty reasonably acceptable to Dealer, (D) provide other customary opinions, certificates and closing documents customary in form for registered secondary offerings of equity securities of a similar size and (E) afford Dealer a reasonable opportunity to conduct a “due diligence” investigation with respect to Counterparty customary in scope for underwritten offerings of equity securities of a similar size;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the items referred to in clause (i) are not completed within a commercially reasonable time, or if Dealer, in its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w:t>
      </w:r>
    </w:p>
    <w:p>
      <w:pPr>
        <w:spacing w:after="0" w:line="162" w:lineRule="exact"/>
        <w:rPr>
          <w:rFonts w:ascii="Times New Roman" w:cs="Times New Roman" w:eastAsia="Times New Roman" w:hAnsi="Times New Roman"/>
          <w:sz w:val="16"/>
          <w:szCs w:val="16"/>
          <w:color w:val="auto"/>
        </w:rPr>
      </w:pPr>
    </w:p>
    <w:p>
      <w:pPr>
        <w:jc w:val="both"/>
        <w:ind w:left="1058" w:hanging="530"/>
        <w:spacing w:after="0" w:line="238" w:lineRule="auto"/>
        <w:tabs>
          <w:tab w:leader="none" w:pos="1058"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allow Dealer to sell the Hedge Shares in a private placement, enter into a private placement agreement substantially similar to private placement purchase agreements customary for private placements of equity securities of a similar size, in form and substance reasonably satisfactory to Dealer, including customary representations, covenants, blue sky and other governmental filings and/or registrations, indemnities to Dealer, due diligence rights (for Dealer or any designated buyer of the Hedge Shares from Dealer), and use commercially reasonable efforts to obtain certificates and such other documentation (it being understood that no comfort letters or disclosure opinions are required) as is customary for private placement agreements for private placements of equity securities of a similar size, all reasonably satisfactory to Dealer (in which case, the Calculation Agent shall make any adjustments to the terms of the Transaction that are necessary, in its commercially reasonable judgment, to compensate Dealer for any discount from the public market price of the Shares incurred on the sale of Hedge Shares in a private placement) of similar size; or</w:t>
      </w:r>
    </w:p>
    <w:p>
      <w:pPr>
        <w:spacing w:after="0" w:line="158" w:lineRule="exact"/>
        <w:rPr>
          <w:sz w:val="20"/>
          <w:szCs w:val="20"/>
          <w:color w:val="auto"/>
        </w:rPr>
      </w:pPr>
    </w:p>
    <w:p>
      <w:pPr>
        <w:ind w:left="4558"/>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670750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38"/>
          </w:cols>
          <w:pgMar w:left="1302" w:top="963" w:right="660" w:bottom="1440" w:gutter="0" w:footer="0" w:header="0"/>
        </w:sectPr>
      </w:pPr>
    </w:p>
    <w:bookmarkStart w:id="154" w:name="page155"/>
    <w:bookmarkEnd w:id="154"/>
    <w:p>
      <w:pPr>
        <w:ind w:left="1058" w:right="40" w:hanging="530"/>
        <w:spacing w:after="0" w:line="259" w:lineRule="auto"/>
        <w:tabs>
          <w:tab w:leader="none" w:pos="105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the Hedge Shares from Dealer at the then-current market price on such Exchange Business Days, and in the amounts and at such time(s), requested by Dealer.</w:t>
      </w:r>
    </w:p>
    <w:p>
      <w:pPr>
        <w:spacing w:after="0" w:line="143" w:lineRule="exact"/>
        <w:rPr>
          <w:sz w:val="20"/>
          <w:szCs w:val="20"/>
          <w:color w:val="auto"/>
        </w:rPr>
      </w:pPr>
    </w:p>
    <w:p>
      <w:pPr>
        <w:ind w:left="538"/>
        <w:spacing w:after="0"/>
        <w:rPr>
          <w:sz w:val="20"/>
          <w:szCs w:val="20"/>
          <w:color w:val="auto"/>
        </w:rPr>
      </w:pPr>
      <w:r>
        <w:rPr>
          <w:rFonts w:ascii="Times New Roman" w:cs="Times New Roman" w:eastAsia="Times New Roman" w:hAnsi="Times New Roman"/>
          <w:sz w:val="16"/>
          <w:szCs w:val="16"/>
          <w:color w:val="auto"/>
        </w:rPr>
        <w:t>This Section 9(n) shall survive the termination, expiration or early unwind of the Transaction.</w:t>
      </w:r>
    </w:p>
    <w:p>
      <w:pPr>
        <w:spacing w:after="0" w:line="174" w:lineRule="exact"/>
        <w:rPr>
          <w:sz w:val="20"/>
          <w:szCs w:val="20"/>
          <w:color w:val="auto"/>
        </w:rPr>
      </w:pPr>
    </w:p>
    <w:p>
      <w:pPr>
        <w:jc w:val="both"/>
        <w:ind w:left="538" w:right="20" w:hanging="538"/>
        <w:spacing w:after="0" w:line="244" w:lineRule="auto"/>
        <w:tabs>
          <w:tab w:leader="none" w:pos="5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Tax Disclosure</w:t>
      </w:r>
      <w:r>
        <w:rPr>
          <w:rFonts w:ascii="Times New Roman" w:cs="Times New Roman" w:eastAsia="Times New Roman" w:hAnsi="Times New Roman"/>
          <w:sz w:val="16"/>
          <w:szCs w:val="16"/>
          <w:color w:val="auto"/>
        </w:rPr>
        <w:t>. Effective from the date of commencement of discussions concerning the Transaction, Counterparty, Dealer, and each of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employees, representatives, or other agents may disclose to any and all persons, without limitation of any kind, the tax treatment and tax structure of the Transaction and all materials of any kind (including opinions or other tax analyses) that are provided to Counterparty or Dealer relating to such tax treatment and tax structure.</w:t>
      </w:r>
    </w:p>
    <w:p>
      <w:pPr>
        <w:spacing w:after="0" w:line="152" w:lineRule="exact"/>
        <w:rPr>
          <w:rFonts w:ascii="Times New Roman" w:cs="Times New Roman" w:eastAsia="Times New Roman" w:hAnsi="Times New Roman"/>
          <w:sz w:val="16"/>
          <w:szCs w:val="16"/>
          <w:color w:val="auto"/>
        </w:rPr>
      </w:pPr>
    </w:p>
    <w:p>
      <w:pPr>
        <w:jc w:val="both"/>
        <w:ind w:left="538" w:right="20" w:hanging="538"/>
        <w:spacing w:after="0" w:line="237" w:lineRule="auto"/>
        <w:tabs>
          <w:tab w:leader="none" w:pos="5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Right to Extend</w:t>
      </w:r>
      <w:r>
        <w:rPr>
          <w:rFonts w:ascii="Times New Roman" w:cs="Times New Roman" w:eastAsia="Times New Roman" w:hAnsi="Times New Roman"/>
          <w:sz w:val="16"/>
          <w:szCs w:val="16"/>
          <w:color w:val="auto"/>
        </w:rPr>
        <w:t>. Dealer may postpone or add, in a commercially reasonable manner, in whole or in part, any Valid Day or Valid Days during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Settlement Averaging Period or any other date of valuation, payment or delivery by Dealer, with respect to some or all of the Options hereunder, if Dealer reasonably determines, in its commercially reasonable judgment (in the case of clause (i) below) or based on the advice of counsel (in the case of clause (ii) below), that such action is reasonably necessary or appropriate (i) to preserve Dealer’s commercially reasonable hedging or hedge unwind activity hereunder in light of existing liquidity conditions (but only if there is a material decrease in liquidity relative to Dealer’s expectations on the Trade Date) in the cash or options market, the stock loan market or other relevant market, or (ii) to enable Dealer to effect transactions with respect to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 such Valid Day or any other date of valuation, payment or delivery may be postponed or added more than 50 Valid Days after the original Valid Day or any other date of valuation, payment or delivery, as the case may be.</w:t>
      </w:r>
    </w:p>
    <w:p>
      <w:pPr>
        <w:spacing w:after="0" w:line="160" w:lineRule="exact"/>
        <w:rPr>
          <w:rFonts w:ascii="Times New Roman" w:cs="Times New Roman" w:eastAsia="Times New Roman" w:hAnsi="Times New Roman"/>
          <w:sz w:val="16"/>
          <w:szCs w:val="16"/>
          <w:color w:val="auto"/>
        </w:rPr>
      </w:pPr>
    </w:p>
    <w:p>
      <w:pPr>
        <w:jc w:val="both"/>
        <w:ind w:left="538" w:right="20" w:hanging="538"/>
        <w:spacing w:after="0" w:line="241" w:lineRule="auto"/>
        <w:tabs>
          <w:tab w:leader="none" w:pos="5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Status of Claims in Bankruptcy</w:t>
      </w:r>
      <w:r>
        <w:rPr>
          <w:rFonts w:ascii="Times New Roman" w:cs="Times New Roman" w:eastAsia="Times New Roman" w:hAnsi="Times New Roman"/>
          <w:sz w:val="16"/>
          <w:szCs w:val="16"/>
          <w:color w:val="auto"/>
        </w:rPr>
        <w:t>. Dealer acknowledges and agrees that this Confirmation is not intended to convey to Dealer rights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nothing herein shall limit or shall be deemed to limit Dealer’s rights in respect of any transactions other than the Transaction.</w:t>
      </w:r>
    </w:p>
    <w:p>
      <w:pPr>
        <w:spacing w:after="0" w:line="156" w:lineRule="exact"/>
        <w:rPr>
          <w:rFonts w:ascii="Times New Roman" w:cs="Times New Roman" w:eastAsia="Times New Roman" w:hAnsi="Times New Roman"/>
          <w:sz w:val="16"/>
          <w:szCs w:val="16"/>
          <w:color w:val="auto"/>
        </w:rPr>
      </w:pPr>
    </w:p>
    <w:p>
      <w:pPr>
        <w:jc w:val="both"/>
        <w:ind w:left="538" w:right="40" w:hanging="538"/>
        <w:spacing w:after="0"/>
        <w:tabs>
          <w:tab w:leader="none" w:pos="5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Securities Contract; Swap Agreement</w:t>
      </w:r>
      <w:r>
        <w:rPr>
          <w:rFonts w:ascii="Times New Roman" w:cs="Times New Roman" w:eastAsia="Times New Roman" w:hAnsi="Times New Roman"/>
          <w:sz w:val="16"/>
          <w:szCs w:val="16"/>
          <w:color w:val="auto"/>
        </w:rPr>
        <w:t>. The parties hereto intend for (i) the Transaction to be a “securities contract” and a “swap agreement” as defined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56" w:lineRule="exact"/>
        <w:rPr>
          <w:rFonts w:ascii="Times New Roman" w:cs="Times New Roman" w:eastAsia="Times New Roman" w:hAnsi="Times New Roman"/>
          <w:sz w:val="16"/>
          <w:szCs w:val="16"/>
          <w:color w:val="auto"/>
        </w:rPr>
      </w:pPr>
    </w:p>
    <w:p>
      <w:pPr>
        <w:ind w:left="538" w:hanging="538"/>
        <w:spacing w:after="0"/>
        <w:tabs>
          <w:tab w:leader="none" w:pos="53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Notice of Certain Other Events</w:t>
      </w:r>
      <w:r>
        <w:rPr>
          <w:rFonts w:ascii="Times New Roman" w:cs="Times New Roman" w:eastAsia="Times New Roman" w:hAnsi="Times New Roman"/>
          <w:sz w:val="16"/>
          <w:szCs w:val="16"/>
          <w:color w:val="auto"/>
        </w:rPr>
        <w:t>. Counterparty covenants and agrees that:</w:t>
      </w:r>
    </w:p>
    <w:p>
      <w:pPr>
        <w:spacing w:after="0" w:line="178" w:lineRule="exact"/>
        <w:rPr>
          <w:sz w:val="20"/>
          <w:szCs w:val="20"/>
          <w:color w:val="auto"/>
        </w:rPr>
      </w:pPr>
    </w:p>
    <w:p>
      <w:pPr>
        <w:jc w:val="both"/>
        <w:ind w:left="1058" w:hanging="530"/>
        <w:spacing w:after="0" w:line="241" w:lineRule="auto"/>
        <w:tabs>
          <w:tab w:leader="none" w:pos="105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as reasonably practicable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6"/>
          <w:szCs w:val="16"/>
          <w:b w:val="1"/>
          <w:bCs w:val="1"/>
          <w:color w:val="auto"/>
        </w:rPr>
        <w:t>Consideration Notification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Consideration Notification Date be later than the date on which such Merger Event is consummated; and</w:t>
      </w:r>
    </w:p>
    <w:p>
      <w:pPr>
        <w:spacing w:after="0" w:line="157" w:lineRule="exact"/>
        <w:rPr>
          <w:sz w:val="20"/>
          <w:szCs w:val="20"/>
          <w:color w:val="auto"/>
        </w:rPr>
      </w:pPr>
    </w:p>
    <w:p>
      <w:pPr>
        <w:ind w:left="4558"/>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66675</wp:posOffset>
            </wp:positionV>
            <wp:extent cx="670750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58"/>
          </w:cols>
          <w:pgMar w:left="1302" w:top="965" w:right="640" w:bottom="1440" w:gutter="0" w:footer="0" w:header="0"/>
        </w:sectPr>
      </w:pPr>
    </w:p>
    <w:bookmarkStart w:id="155" w:name="page156"/>
    <w:bookmarkEnd w:id="155"/>
    <w:p>
      <w:pPr>
        <w:jc w:val="both"/>
        <w:ind w:left="1700" w:hanging="530"/>
        <w:spacing w:after="0" w:line="243" w:lineRule="auto"/>
        <w:tabs>
          <w:tab w:leader="none" w:pos="170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153" w:lineRule="exact"/>
        <w:rPr>
          <w:rFonts w:ascii="Times New Roman" w:cs="Times New Roman" w:eastAsia="Times New Roman" w:hAnsi="Times New Roman"/>
          <w:sz w:val="16"/>
          <w:szCs w:val="16"/>
          <w:color w:val="auto"/>
        </w:rPr>
      </w:pPr>
    </w:p>
    <w:p>
      <w:pPr>
        <w:jc w:val="both"/>
        <w:ind w:left="1180" w:right="20" w:hanging="538"/>
        <w:spacing w:after="0" w:line="239" w:lineRule="auto"/>
        <w:tabs>
          <w:tab w:leader="none" w:pos="11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Wall Street Transparency and Accountability Act</w:t>
      </w:r>
      <w:r>
        <w:rPr>
          <w:rFonts w:ascii="Times New Roman" w:cs="Times New Roman" w:eastAsia="Times New Roman" w:hAnsi="Times New Roman"/>
          <w:sz w:val="16"/>
          <w:szCs w:val="16"/>
          <w:color w:val="auto"/>
        </w:rPr>
        <w:t>. In connection with Section 739 of the Wall Street Transparency and Accountability Act of 2010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WSTAA</w:t>
      </w:r>
      <w:r>
        <w:rPr>
          <w:rFonts w:ascii="Times New Roman" w:cs="Times New Roman" w:eastAsia="Times New Roman" w:hAnsi="Times New Roman"/>
          <w:sz w:val="16"/>
          <w:szCs w:val="16"/>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57" w:lineRule="exact"/>
        <w:rPr>
          <w:rFonts w:ascii="Times New Roman" w:cs="Times New Roman" w:eastAsia="Times New Roman" w:hAnsi="Times New Roman"/>
          <w:sz w:val="16"/>
          <w:szCs w:val="16"/>
          <w:color w:val="auto"/>
        </w:rPr>
      </w:pPr>
    </w:p>
    <w:p>
      <w:pPr>
        <w:jc w:val="both"/>
        <w:ind w:left="1180" w:right="20" w:hanging="538"/>
        <w:spacing w:after="0" w:line="279" w:lineRule="auto"/>
        <w:tabs>
          <w:tab w:leader="none" w:pos="11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Agreements and Acknowledgements Regarding Hedging</w:t>
      </w:r>
      <w:r>
        <w:rPr>
          <w:rFonts w:ascii="Times New Roman" w:cs="Times New Roman" w:eastAsia="Times New Roman" w:hAnsi="Times New Roman"/>
          <w:sz w:val="14"/>
          <w:szCs w:val="14"/>
          <w:color w:val="auto"/>
        </w:rPr>
        <w:t>. Counterparty understands, acknowledges and agrees that: (A) at any time on and prior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30" w:lineRule="exact"/>
        <w:rPr>
          <w:rFonts w:ascii="Times New Roman" w:cs="Times New Roman" w:eastAsia="Times New Roman" w:hAnsi="Times New Roman"/>
          <w:sz w:val="14"/>
          <w:szCs w:val="14"/>
          <w:color w:val="auto"/>
        </w:rPr>
      </w:pPr>
    </w:p>
    <w:p>
      <w:pPr>
        <w:jc w:val="both"/>
        <w:ind w:left="1180" w:hanging="538"/>
        <w:spacing w:after="0" w:line="223" w:lineRule="auto"/>
        <w:tabs>
          <w:tab w:leader="none" w:pos="11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Early Unwind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event the sale of the [“Underwritten Securities”]</w:t>
      </w:r>
      <w:r>
        <w:rPr>
          <w:rFonts w:ascii="Times New Roman" w:cs="Times New Roman" w:eastAsia="Times New Roman" w:hAnsi="Times New Roman"/>
          <w:sz w:val="26"/>
          <w:szCs w:val="26"/>
          <w:color w:val="auto"/>
          <w:vertAlign w:val="superscript"/>
        </w:rPr>
        <w:t>6 4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 Securities”]</w:t>
      </w:r>
      <w:r>
        <w:rPr>
          <w:rFonts w:ascii="Times New Roman" w:cs="Times New Roman" w:eastAsia="Times New Roman" w:hAnsi="Times New Roman"/>
          <w:sz w:val="26"/>
          <w:szCs w:val="26"/>
          <w:color w:val="auto"/>
          <w:vertAlign w:val="superscript"/>
        </w:rPr>
        <w:t>65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defined in the Purchase Agreement) is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consummated with the Initial Purchasers for any reason, or Counterparty fails to deliver to Dealer an opinion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6"/>
          <w:szCs w:val="16"/>
          <w:b w:val="1"/>
          <w:bCs w:val="1"/>
          <w:color w:val="auto"/>
        </w:rPr>
        <w:t>Early Unwind Date</w:t>
      </w:r>
      <w:r>
        <w:rPr>
          <w:rFonts w:ascii="Times New Roman" w:cs="Times New Roman" w:eastAsia="Times New Roman" w:hAnsi="Times New Roman"/>
          <w:sz w:val="16"/>
          <w:szCs w:val="16"/>
          <w:color w:val="auto"/>
        </w:rPr>
        <w:t>”), the Transaction shall automatically terminate (the “</w:t>
      </w:r>
      <w:r>
        <w:rPr>
          <w:rFonts w:ascii="Times New Roman" w:cs="Times New Roman" w:eastAsia="Times New Roman" w:hAnsi="Times New Roman"/>
          <w:sz w:val="16"/>
          <w:szCs w:val="16"/>
          <w:b w:val="1"/>
          <w:bCs w:val="1"/>
          <w:color w:val="auto"/>
        </w:rPr>
        <w:t>Early Unwind</w:t>
      </w:r>
      <w:r>
        <w:rPr>
          <w:rFonts w:ascii="Times New Roman" w:cs="Times New Roman" w:eastAsia="Times New Roman" w:hAnsi="Times New Roman"/>
          <w:sz w:val="16"/>
          <w:szCs w:val="16"/>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79" w:lineRule="exact"/>
        <w:rPr>
          <w:rFonts w:ascii="Times New Roman" w:cs="Times New Roman" w:eastAsia="Times New Roman" w:hAnsi="Times New Roman"/>
          <w:sz w:val="16"/>
          <w:szCs w:val="16"/>
          <w:color w:val="auto"/>
        </w:rPr>
      </w:pPr>
    </w:p>
    <w:p>
      <w:pPr>
        <w:jc w:val="both"/>
        <w:ind w:left="1180" w:right="20" w:hanging="538"/>
        <w:spacing w:after="0" w:line="241" w:lineRule="auto"/>
        <w:tabs>
          <w:tab w:leader="none" w:pos="11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Payment by Counterparty</w:t>
      </w:r>
      <w:r>
        <w:rPr>
          <w:rFonts w:ascii="Times New Roman" w:cs="Times New Roman" w:eastAsia="Times New Roman" w:hAnsi="Times New Roman"/>
          <w:sz w:val="16"/>
          <w:szCs w:val="16"/>
          <w:color w:val="auto"/>
        </w:rPr>
        <w:t>. In the event that, following payment of the Premium, (i) an Early Termination Date occurs or is designated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6705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347" w:lineRule="exact"/>
        <w:rPr>
          <w:sz w:val="20"/>
          <w:szCs w:val="20"/>
          <w:color w:val="auto"/>
        </w:rPr>
      </w:pPr>
    </w:p>
    <w:p>
      <w:pPr>
        <w:ind w:left="160" w:hanging="154"/>
        <w:spacing w:after="0"/>
        <w:tabs>
          <w:tab w:leader="none" w:pos="160" w:val="left"/>
        </w:tabs>
        <w:numPr>
          <w:ilvl w:val="0"/>
          <w:numId w:val="1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Insert for Base Call Option Confirmation.</w:t>
      </w:r>
    </w:p>
    <w:p>
      <w:pPr>
        <w:ind w:left="160" w:hanging="154"/>
        <w:spacing w:after="0" w:line="189" w:lineRule="auto"/>
        <w:tabs>
          <w:tab w:leader="none" w:pos="160" w:val="left"/>
        </w:tabs>
        <w:numPr>
          <w:ilvl w:val="0"/>
          <w:numId w:val="1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Insert for Additional Call Option Confirmation.</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56" w:name="page157"/>
    <w:bookmarkEnd w:id="156"/>
    <w:p>
      <w:pPr>
        <w:jc w:val="both"/>
        <w:ind w:left="1180" w:hanging="538"/>
        <w:spacing w:after="0" w:line="275" w:lineRule="auto"/>
        <w:tabs>
          <w:tab w:leader="none" w:pos="118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Other Adjustments Pursuant to the Equity Definitions</w:t>
      </w:r>
      <w:r>
        <w:rPr>
          <w:rFonts w:ascii="Times New Roman" w:cs="Times New Roman" w:eastAsia="Times New Roman" w:hAnsi="Times New Roman"/>
          <w:sz w:val="14"/>
          <w:szCs w:val="14"/>
          <w:color w:val="auto"/>
        </w:rPr>
        <w:t>. Notwithstanding anything to the contrary in this Confirmation, solely for the purpose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adjusting the Cap Price, the terms “Potential Adjustment Event,” “Merger Event,” and “Tender Offer” shall each have the meanings assigned to such term in the Equity Definitions (as amended by Section 9(j)(i) or, if applicable, by the definition of “Announcement Event”, and provided that for purposes of the foregoing (1) Section 12.1(d) of the Equity Definitions shall be amended by (x) replacing “10%”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as the Calculation Agent determines appropriate to account for the economic effect on the Transaction of such occurrence or declaration, as 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Cap Price be less than the Strike Price. Solely for purposes of this Section 9(x) “Extraordinary Dividend” means any cash dividend on the Shares.</w:t>
      </w:r>
    </w:p>
    <w:p>
      <w:pPr>
        <w:spacing w:after="0" w:line="315" w:lineRule="exact"/>
        <w:rPr>
          <w:rFonts w:ascii="Times New Roman" w:cs="Times New Roman" w:eastAsia="Times New Roman" w:hAnsi="Times New Roman"/>
          <w:sz w:val="14"/>
          <w:szCs w:val="14"/>
          <w:color w:val="auto"/>
        </w:rPr>
      </w:pPr>
    </w:p>
    <w:p>
      <w:pPr>
        <w:ind w:left="1180" w:hanging="538"/>
        <w:spacing w:after="0"/>
        <w:tabs>
          <w:tab w:leader="none" w:pos="11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w:t>
      </w:r>
      <w:r>
        <w:rPr>
          <w:rFonts w:ascii="Times New Roman" w:cs="Times New Roman" w:eastAsia="Times New Roman" w:hAnsi="Times New Roman"/>
          <w:sz w:val="16"/>
          <w:szCs w:val="16"/>
          <w:i w:val="1"/>
          <w:iCs w:val="1"/>
          <w:color w:val="auto"/>
        </w:rPr>
        <w:t>Insert preferred form of U.S. QFC Stay Rule language for each Dealer, if applicable</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180" w:hanging="538"/>
        <w:spacing w:after="0"/>
        <w:tabs>
          <w:tab w:leader="none" w:pos="11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Tax Matters</w:t>
      </w:r>
      <w:r>
        <w:rPr>
          <w:rFonts w:ascii="Times New Roman" w:cs="Times New Roman" w:eastAsia="Times New Roman" w:hAnsi="Times New Roman"/>
          <w:sz w:val="16"/>
          <w:szCs w:val="16"/>
          <w:i w:val="1"/>
          <w:iCs w:val="1"/>
          <w:color w:val="auto"/>
        </w:rPr>
        <w:t>.</w:t>
      </w:r>
    </w:p>
    <w:p>
      <w:pPr>
        <w:spacing w:after="0" w:line="176" w:lineRule="exact"/>
        <w:rPr>
          <w:rFonts w:ascii="Times New Roman" w:cs="Times New Roman" w:eastAsia="Times New Roman" w:hAnsi="Times New Roman"/>
          <w:sz w:val="16"/>
          <w:szCs w:val="16"/>
          <w:color w:val="auto"/>
        </w:rPr>
      </w:pPr>
    </w:p>
    <w:p>
      <w:pPr>
        <w:ind w:left="1700" w:hanging="530"/>
        <w:spacing w:after="0"/>
        <w:tabs>
          <w:tab w:leader="none" w:pos="170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Payee Tax Representations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purpose of Section 3(f) of the Agreement, the parties make the following representations, as applicable:</w:t>
      </w:r>
    </w:p>
    <w:p>
      <w:pPr>
        <w:spacing w:after="0" w:line="201" w:lineRule="exact"/>
        <w:rPr>
          <w:rFonts w:ascii="Times New Roman" w:cs="Times New Roman" w:eastAsia="Times New Roman" w:hAnsi="Times New Roman"/>
          <w:sz w:val="14"/>
          <w:szCs w:val="14"/>
          <w:color w:val="auto"/>
        </w:rPr>
      </w:pPr>
    </w:p>
    <w:p>
      <w:pPr>
        <w:jc w:val="both"/>
        <w:ind w:left="2220" w:hanging="522"/>
        <w:spacing w:after="0" w:line="243" w:lineRule="auto"/>
        <w:tabs>
          <w:tab w:leader="none" w:pos="2220" w:val="left"/>
        </w:tabs>
        <w:numPr>
          <w:ilvl w:val="2"/>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Counterparty is a corporation created or organized under the laws of the State of Delaware and a “U.S. person” (as that term is used in Treasury Regulation section 1.1441-4(a)(3)(ii)) for U.S. federal income tax purposes. It is “exempt” within the meaning of Treasury Regulation section 1.6049-4(c) from information reporting on U.S. Internal Revenue Service Form 1099 and backup withholding.</w:t>
      </w:r>
    </w:p>
    <w:p>
      <w:pPr>
        <w:spacing w:after="0" w:line="155" w:lineRule="exact"/>
        <w:rPr>
          <w:rFonts w:ascii="Times New Roman" w:cs="Times New Roman" w:eastAsia="Times New Roman" w:hAnsi="Times New Roman"/>
          <w:sz w:val="16"/>
          <w:szCs w:val="16"/>
          <w:color w:val="auto"/>
        </w:rPr>
      </w:pPr>
    </w:p>
    <w:p>
      <w:pPr>
        <w:ind w:left="2220" w:hanging="522"/>
        <w:spacing w:after="0"/>
        <w:tabs>
          <w:tab w:leader="none" w:pos="2220" w:val="left"/>
        </w:tabs>
        <w:numPr>
          <w:ilvl w:val="2"/>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w:t>
      </w:r>
      <w:r>
        <w:rPr>
          <w:rFonts w:ascii="Times New Roman" w:cs="Times New Roman" w:eastAsia="Times New Roman" w:hAnsi="Times New Roman"/>
          <w:sz w:val="26"/>
          <w:szCs w:val="26"/>
          <w:color w:val="auto"/>
          <w:vertAlign w:val="superscript"/>
        </w:rPr>
        <w:t>66</w:t>
      </w:r>
    </w:p>
    <w:p>
      <w:pPr>
        <w:spacing w:after="0" w:line="59" w:lineRule="exact"/>
        <w:rPr>
          <w:rFonts w:ascii="Times New Roman" w:cs="Times New Roman" w:eastAsia="Times New Roman" w:hAnsi="Times New Roman"/>
          <w:sz w:val="16"/>
          <w:szCs w:val="16"/>
          <w:color w:val="auto"/>
        </w:rPr>
      </w:pPr>
    </w:p>
    <w:p>
      <w:pPr>
        <w:ind w:left="1700" w:hanging="530"/>
        <w:spacing w:after="0"/>
        <w:tabs>
          <w:tab w:leader="none" w:pos="1700"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Tax Forms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purpose of Section 4(a)(i) of the Agreement:</w:t>
      </w:r>
    </w:p>
    <w:p>
      <w:pPr>
        <w:spacing w:after="0" w:line="178" w:lineRule="exact"/>
        <w:rPr>
          <w:rFonts w:ascii="Times New Roman" w:cs="Times New Roman" w:eastAsia="Times New Roman" w:hAnsi="Times New Roman"/>
          <w:sz w:val="16"/>
          <w:szCs w:val="16"/>
          <w:color w:val="auto"/>
        </w:rPr>
      </w:pPr>
    </w:p>
    <w:p>
      <w:pPr>
        <w:ind w:left="2220" w:hanging="522"/>
        <w:spacing w:after="0"/>
        <w:tabs>
          <w:tab w:leader="none" w:pos="2220" w:val="left"/>
        </w:tabs>
        <w:numPr>
          <w:ilvl w:val="2"/>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shall provide Dealer with a valid and duly executed U.S. Internal Revenue Service Form W-9, or any successor thereto,</w:t>
      </w:r>
    </w:p>
    <w:p>
      <w:pPr>
        <w:spacing w:after="0" w:line="37" w:lineRule="exact"/>
        <w:rPr>
          <w:rFonts w:ascii="Times New Roman" w:cs="Times New Roman" w:eastAsia="Times New Roman" w:hAnsi="Times New Roman"/>
          <w:sz w:val="14"/>
          <w:szCs w:val="14"/>
          <w:color w:val="auto"/>
        </w:rPr>
      </w:pPr>
    </w:p>
    <w:p>
      <w:pPr>
        <w:ind w:left="2220" w:right="20" w:firstLine="7"/>
        <w:spacing w:after="0" w:line="238" w:lineRule="auto"/>
        <w:tabs>
          <w:tab w:leader="none" w:pos="2412" w:val="left"/>
        </w:tabs>
        <w:numPr>
          <w:ilvl w:val="3"/>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of execution of this Confirmation, (ii) promptly upon reasonable demand by Dealer and (iii) promptly upon learning that any such tax form previously provided by Counterparty has become obsolete or incorrect.</w:t>
      </w:r>
    </w:p>
    <w:p>
      <w:pPr>
        <w:spacing w:after="0" w:line="157" w:lineRule="exact"/>
        <w:rPr>
          <w:rFonts w:ascii="Times New Roman" w:cs="Times New Roman" w:eastAsia="Times New Roman" w:hAnsi="Times New Roman"/>
          <w:sz w:val="16"/>
          <w:szCs w:val="16"/>
          <w:color w:val="auto"/>
        </w:rPr>
      </w:pPr>
    </w:p>
    <w:p>
      <w:pPr>
        <w:ind w:left="2220" w:hanging="522"/>
        <w:spacing w:after="0"/>
        <w:tabs>
          <w:tab w:leader="none" w:pos="2220" w:val="left"/>
        </w:tabs>
        <w:numPr>
          <w:ilvl w:val="2"/>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 shall provide Counterparty with a valid and duly executed U.S. Internal Revenue Service Form [__], or any successor thereto,</w:t>
      </w:r>
    </w:p>
    <w:p>
      <w:pPr>
        <w:spacing w:after="0" w:line="37" w:lineRule="exact"/>
        <w:rPr>
          <w:rFonts w:ascii="Times New Roman" w:cs="Times New Roman" w:eastAsia="Times New Roman" w:hAnsi="Times New Roman"/>
          <w:sz w:val="14"/>
          <w:szCs w:val="14"/>
          <w:color w:val="auto"/>
        </w:rPr>
      </w:pPr>
    </w:p>
    <w:p>
      <w:pPr>
        <w:ind w:left="2220" w:right="20" w:firstLine="7"/>
        <w:spacing w:after="0" w:line="262" w:lineRule="auto"/>
        <w:tabs>
          <w:tab w:leader="none" w:pos="2409" w:val="left"/>
        </w:tabs>
        <w:numPr>
          <w:ilvl w:val="3"/>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of execution of this Confirmation, (ii) promptly upon reasonable demand by Counterparty and (iii) promptly upon learning that any such tax form previously provided by Dealer has become obsolete or incorrect.]</w:t>
      </w:r>
      <w:r>
        <w:rPr>
          <w:rFonts w:ascii="Times New Roman" w:cs="Times New Roman" w:eastAsia="Times New Roman" w:hAnsi="Times New Roman"/>
          <w:sz w:val="26"/>
          <w:szCs w:val="26"/>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67056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195" w:lineRule="exact"/>
        <w:rPr>
          <w:sz w:val="20"/>
          <w:szCs w:val="20"/>
          <w:color w:val="auto"/>
        </w:rPr>
      </w:pPr>
    </w:p>
    <w:p>
      <w:pPr>
        <w:ind w:left="160" w:hanging="154"/>
        <w:spacing w:after="0"/>
        <w:tabs>
          <w:tab w:leader="none" w:pos="160"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Up date for specific Dealers.</w:t>
      </w:r>
    </w:p>
    <w:p>
      <w:pPr>
        <w:ind w:left="160" w:hanging="154"/>
        <w:spacing w:after="0" w:line="189" w:lineRule="auto"/>
        <w:tabs>
          <w:tab w:leader="none" w:pos="160" w:val="left"/>
        </w:tabs>
        <w:numPr>
          <w:ilvl w:val="0"/>
          <w:numId w:val="1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Update for specific Dealers.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670750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3" w:right="660" w:bottom="1440" w:gutter="0" w:footer="0" w:header="0"/>
        </w:sectPr>
      </w:pPr>
    </w:p>
    <w:bookmarkStart w:id="157" w:name="page158"/>
    <w:bookmarkEnd w:id="157"/>
    <w:p>
      <w:pPr>
        <w:ind w:left="860" w:hanging="330"/>
        <w:spacing w:after="0"/>
        <w:tabs>
          <w:tab w:leader="none" w:pos="86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Foreign Account Tax Compliance Ac</w:t>
      </w:r>
      <w:r>
        <w:rPr>
          <w:rFonts w:ascii="Times New Roman" w:cs="Times New Roman" w:eastAsia="Times New Roman" w:hAnsi="Times New Roman"/>
          <w:sz w:val="16"/>
          <w:szCs w:val="16"/>
          <w:color w:val="auto"/>
        </w:rPr>
        <w:t>t. “Indemnifiable Tax”, as defined in Section 14 of the Agreement, shall not include any U.S. federal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6"/>
          <w:szCs w:val="16"/>
          <w:b w:val="1"/>
          <w:bCs w:val="1"/>
          <w:color w:val="auto"/>
        </w:rPr>
        <w:t>FATCA Withholding Tax</w:t>
      </w:r>
      <w:r>
        <w:rPr>
          <w:rFonts w:ascii="Times New Roman" w:cs="Times New Roman" w:eastAsia="Times New Roman" w:hAnsi="Times New Roman"/>
          <w:sz w:val="16"/>
          <w:szCs w:val="16"/>
          <w:color w:val="auto"/>
        </w:rPr>
        <w:t xml:space="preserve"> ”). For the avoidance of doubt, a FATCA Withholding Tax is a Tax the deduction or withholding of which is required by applicable law for the purposes of Section 2(d) of the Agreement.</w:t>
      </w:r>
    </w:p>
    <w:p>
      <w:pPr>
        <w:spacing w:after="0" w:line="156" w:lineRule="exact"/>
        <w:rPr>
          <w:rFonts w:ascii="Times New Roman" w:cs="Times New Roman" w:eastAsia="Times New Roman" w:hAnsi="Times New Roman"/>
          <w:sz w:val="16"/>
          <w:szCs w:val="16"/>
          <w:color w:val="auto"/>
        </w:rPr>
      </w:pPr>
    </w:p>
    <w:p>
      <w:pPr>
        <w:jc w:val="both"/>
        <w:ind w:left="860" w:right="20" w:hanging="330"/>
        <w:spacing w:after="0"/>
        <w:tabs>
          <w:tab w:leader="none" w:pos="86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Section 871(m) Protocol</w:t>
      </w:r>
      <w:r>
        <w:rPr>
          <w:rFonts w:ascii="Times New Roman" w:cs="Times New Roman" w:eastAsia="Times New Roman" w:hAnsi="Times New Roman"/>
          <w:sz w:val="16"/>
          <w:szCs w:val="16"/>
          <w:color w:val="auto"/>
        </w:rPr>
        <w:t>. Dealer and Counterparty hereby agree that the Agreement shall be treated as a Covered Master Agreement (as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term is defined in the 2015 Section 871(m) Protocol published by the International Swaps and Derivatives Association, Inc. on November 2, 2015, as may be amended or modified from time to time (the “</w:t>
      </w:r>
      <w:r>
        <w:rPr>
          <w:rFonts w:ascii="Times New Roman" w:cs="Times New Roman" w:eastAsia="Times New Roman" w:hAnsi="Times New Roman"/>
          <w:sz w:val="16"/>
          <w:szCs w:val="16"/>
          <w:b w:val="1"/>
          <w:bCs w:val="1"/>
          <w:color w:val="auto"/>
        </w:rPr>
        <w:t>2015 Section 871(m) Protocol</w:t>
      </w:r>
      <w:r>
        <w:rPr>
          <w:rFonts w:ascii="Times New Roman" w:cs="Times New Roman" w:eastAsia="Times New Roman" w:hAnsi="Times New Roman"/>
          <w:sz w:val="16"/>
          <w:szCs w:val="16"/>
          <w:color w:val="auto"/>
        </w:rPr>
        <w:t>”)) and the Agreement shall be deemed to have been amended in accordance with the modifications specified in the Attachment to the 2015 Section 871(m) Protocol. If there is any inconsistency between this provision and a provision in any other agreement executed between the parties, this provision shall prevail unless such other agreement expressly overrides the provisions of the 2015 Section 871(m) Protocol.</w:t>
      </w:r>
    </w:p>
    <w:p>
      <w:pPr>
        <w:spacing w:after="0" w:line="156" w:lineRule="exact"/>
        <w:rPr>
          <w:rFonts w:ascii="Times New Roman" w:cs="Times New Roman" w:eastAsia="Times New Roman" w:hAnsi="Times New Roman"/>
          <w:sz w:val="16"/>
          <w:szCs w:val="16"/>
          <w:color w:val="auto"/>
        </w:rPr>
      </w:pPr>
    </w:p>
    <w:p>
      <w:pPr>
        <w:ind w:left="540" w:hanging="538"/>
        <w:spacing w:after="0"/>
        <w:tabs>
          <w:tab w:leader="none" w:pos="5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Insert additional Dealer boilerplate, if applicable</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66675</wp:posOffset>
            </wp:positionV>
            <wp:extent cx="670750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940"/>
          </w:cols>
          <w:pgMar w:left="1300" w:top="1143" w:right="660" w:bottom="1440" w:gutter="0" w:footer="0" w:header="0"/>
        </w:sectPr>
      </w:pPr>
    </w:p>
    <w:bookmarkStart w:id="158" w:name="page159"/>
    <w:bookmarkEnd w:id="158"/>
    <w:p>
      <w:pPr>
        <w:ind w:left="574"/>
        <w:spacing w:after="0"/>
        <w:rPr>
          <w:sz w:val="20"/>
          <w:szCs w:val="20"/>
          <w:color w:val="auto"/>
        </w:rPr>
      </w:pPr>
      <w:r>
        <w:rPr>
          <w:rFonts w:ascii="Times New Roman" w:cs="Times New Roman" w:eastAsia="Times New Roman" w:hAnsi="Times New Roman"/>
          <w:sz w:val="15"/>
          <w:szCs w:val="15"/>
          <w:color w:val="auto"/>
        </w:rPr>
        <w:t>Please confirm that the foregoing correctly sets forth the terms of our agreement by executing this Confirmation and returning it to [Dealer]</w:t>
      </w:r>
      <w:r>
        <w:rPr>
          <w:rFonts w:ascii="Times New Roman" w:cs="Times New Roman" w:eastAsia="Times New Roman" w:hAnsi="Times New Roman"/>
          <w:sz w:val="25"/>
          <w:szCs w:val="25"/>
          <w:color w:val="auto"/>
          <w:vertAlign w:val="superscript"/>
        </w:rPr>
        <w:t>68</w:t>
      </w:r>
      <w:r>
        <w:rPr>
          <w:rFonts w:ascii="Times New Roman" w:cs="Times New Roman" w:eastAsia="Times New Roman" w:hAnsi="Times New Roman"/>
          <w:sz w:val="15"/>
          <w:szCs w:val="15"/>
          <w:color w:val="auto"/>
        </w:rPr>
        <w:t>.</w:t>
      </w:r>
    </w:p>
    <w:p>
      <w:pPr>
        <w:spacing w:after="0" w:line="301"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74" w:lineRule="exact"/>
        <w:rPr>
          <w:sz w:val="20"/>
          <w:szCs w:val="20"/>
          <w:color w:val="auto"/>
        </w:rPr>
      </w:pPr>
    </w:p>
    <w:p>
      <w:pPr>
        <w:ind w:left="507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Dealer</w:t>
      </w:r>
      <w:r>
        <w:rPr>
          <w:rFonts w:ascii="Times New Roman" w:cs="Times New Roman" w:eastAsia="Times New Roman" w:hAnsi="Times New Roman"/>
          <w:sz w:val="16"/>
          <w:szCs w:val="16"/>
          <w:color w:val="auto"/>
        </w:rPr>
        <w:t>]</w:t>
      </w:r>
    </w:p>
    <w:p>
      <w:pPr>
        <w:spacing w:after="0" w:line="358" w:lineRule="exact"/>
        <w:rPr>
          <w:sz w:val="20"/>
          <w:szCs w:val="20"/>
          <w:color w:val="auto"/>
        </w:rPr>
      </w:pPr>
    </w:p>
    <w:p>
      <w:pPr>
        <w:ind w:left="5074"/>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5715</wp:posOffset>
            </wp:positionV>
            <wp:extent cx="310959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09595" cy="7620"/>
                    </a:xfrm>
                    <a:prstGeom prst="rect">
                      <a:avLst/>
                    </a:prstGeom>
                    <a:noFill/>
                  </pic:spPr>
                </pic:pic>
              </a:graphicData>
            </a:graphic>
          </wp:anchor>
        </w:drawing>
      </w:r>
    </w:p>
    <w:p>
      <w:pPr>
        <w:ind w:left="5074"/>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74"/>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6705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0560" cy="76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54" w:hanging="154"/>
        <w:spacing w:after="0"/>
        <w:tabs>
          <w:tab w:leader="none" w:pos="154" w:val="left"/>
        </w:tabs>
        <w:numPr>
          <w:ilvl w:val="0"/>
          <w:numId w:val="1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 Dealer preferred signature page information, as applicable.</w:t>
      </w:r>
    </w:p>
    <w:p>
      <w:pPr>
        <w:spacing w:after="0" w:line="157" w:lineRule="exact"/>
        <w:rPr>
          <w:sz w:val="20"/>
          <w:szCs w:val="20"/>
          <w:color w:val="auto"/>
        </w:rPr>
      </w:pPr>
    </w:p>
    <w:p>
      <w:pPr>
        <w:ind w:left="321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[Base][Additional] Capped Call Confirmation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670750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9794"/>
          </w:cols>
          <w:pgMar w:left="666" w:top="965"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color w:val="auto"/>
        </w:rPr>
        <w:t>Accepted and confirmed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Trade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COHU, INC.</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5715</wp:posOffset>
            </wp:positionV>
            <wp:extent cx="29800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800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336" w:lineRule="exact"/>
        <w:rPr>
          <w:sz w:val="20"/>
          <w:szCs w:val="20"/>
          <w:color w:val="auto"/>
        </w:rPr>
      </w:pPr>
    </w:p>
    <w:p>
      <w:pPr>
        <w:jc w:val="right"/>
        <w:ind w:right="24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[Base][Additional] Capped Call Confirmation</w:t>
      </w:r>
      <w:r>
        <w:rPr>
          <w:rFonts w:ascii="Times New Roman" w:cs="Times New Roman" w:eastAsia="Times New Roman" w:hAnsi="Times New Roman"/>
          <w:sz w:val="16"/>
          <w:szCs w:val="16"/>
          <w:color w:val="auto"/>
        </w:rPr>
        <w:t>]</w:t>
      </w:r>
    </w:p>
    <w:p>
      <w:pPr>
        <w:sectPr>
          <w:pgSz w:w="11900" w:h="16840" w:orient="portrait"/>
          <w:cols w:equalWidth="0" w:num="1">
            <w:col w:w="9800"/>
          </w:cols>
          <w:pgMar w:left="660" w:top="965" w:right="1440" w:bottom="1440" w:gutter="0" w:footer="0" w:header="0"/>
        </w:sectPr>
      </w:pPr>
    </w:p>
    <w:bookmarkStart w:id="160" w:name="page161"/>
    <w:bookmarkEnd w:id="160"/>
    <w:p>
      <w:pPr>
        <w:ind w:left="976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85" w:lineRule="exact"/>
        <w:rPr>
          <w:sz w:val="20"/>
          <w:szCs w:val="20"/>
          <w:color w:val="auto"/>
        </w:rPr>
      </w:pPr>
    </w:p>
    <w:tbl>
      <w:tblPr>
        <w:tblLayout w:type="fixed"/>
        <w:tblInd w:w="5280" w:type="dxa"/>
        <w:tblCellMar>
          <w:top w:w="0" w:type="dxa"/>
          <w:left w:w="0" w:type="dxa"/>
          <w:bottom w:w="0" w:type="dxa"/>
          <w:right w:w="0" w:type="dxa"/>
        </w:tblCellMar>
      </w:tblPr>
      <w:tr>
        <w:trPr>
          <w:trHeight w:val="29"/>
        </w:trPr>
        <w:tc>
          <w:tcPr>
            <w:tcW w:w="256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line="20" w:lineRule="exact"/>
              <w:rPr>
                <w:sz w:val="1"/>
                <w:szCs w:val="1"/>
                <w:color w:val="auto"/>
              </w:rPr>
            </w:pPr>
          </w:p>
        </w:tc>
      </w:tr>
      <w:tr>
        <w:trPr>
          <w:trHeight w:val="180"/>
        </w:trPr>
        <w:tc>
          <w:tcPr>
            <w:tcW w:w="256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0</wp:posOffset>
            </wp:positionV>
            <wp:extent cx="1623695" cy="236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23695" cy="236220"/>
                    </a:xfrm>
                    <a:prstGeom prst="rect">
                      <a:avLst/>
                    </a:prstGeom>
                    <a:noFill/>
                  </pic:spPr>
                </pic:pic>
              </a:graphicData>
            </a:graphic>
          </wp:anchor>
        </w:drawing>
      </w:r>
    </w:p>
    <w:p>
      <w:pPr>
        <w:spacing w:after="0" w:line="34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3"/>
          <w:szCs w:val="13"/>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4973320</wp:posOffset>
            </wp:positionH>
            <wp:positionV relativeFrom="paragraph">
              <wp:posOffset>-86995</wp:posOffset>
            </wp:positionV>
            <wp:extent cx="22860" cy="4953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860" cy="495300"/>
                    </a:xfrm>
                    <a:prstGeom prst="rect">
                      <a:avLst/>
                    </a:prstGeom>
                    <a:noFill/>
                  </pic:spPr>
                </pic:pic>
              </a:graphicData>
            </a:graphic>
          </wp:anchor>
        </w:drawing>
      </w:r>
    </w:p>
    <w:p>
      <w:pPr>
        <w:ind w:left="7860"/>
        <w:spacing w:after="0"/>
        <w:rPr>
          <w:sz w:val="20"/>
          <w:szCs w:val="20"/>
          <w:color w:val="auto"/>
        </w:rPr>
      </w:pPr>
      <w:r>
        <w:rPr>
          <w:rFonts w:ascii="Times New Roman" w:cs="Times New Roman" w:eastAsia="Times New Roman" w:hAnsi="Times New Roman"/>
          <w:sz w:val="13"/>
          <w:szCs w:val="13"/>
          <w:color w:val="auto"/>
        </w:rPr>
        <w:t>12367 CROSTHWAITE CIRCLE</w:t>
      </w:r>
    </w:p>
    <w:p>
      <w:pPr>
        <w:ind w:left="5280"/>
        <w:spacing w:after="0" w:line="221" w:lineRule="auto"/>
        <w:tabs>
          <w:tab w:leader="none" w:pos="7840" w:val="left"/>
        </w:tabs>
        <w:rPr>
          <w:sz w:val="20"/>
          <w:szCs w:val="20"/>
          <w:color w:val="auto"/>
        </w:rPr>
      </w:pPr>
      <w:r>
        <w:rPr>
          <w:rFonts w:ascii="Arial" w:cs="Arial" w:eastAsia="Arial" w:hAnsi="Arial"/>
          <w:sz w:val="16"/>
          <w:szCs w:val="16"/>
          <w:color w:val="auto"/>
        </w:rPr>
        <w:t> </w:t>
      </w:r>
      <w:r>
        <w:rPr>
          <w:sz w:val="20"/>
          <w:szCs w:val="20"/>
          <w:color w:val="auto"/>
        </w:rPr>
        <w:tab/>
      </w:r>
      <w:r>
        <w:rPr>
          <w:rFonts w:ascii="Times New Roman" w:cs="Times New Roman" w:eastAsia="Times New Roman" w:hAnsi="Times New Roman"/>
          <w:sz w:val="13"/>
          <w:szCs w:val="13"/>
          <w:color w:val="auto"/>
        </w:rPr>
        <w:t>POWAY, CA 92064</w:t>
      </w:r>
    </w:p>
    <w:p>
      <w:pPr>
        <w:spacing w:after="0" w:line="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3"/>
          <w:szCs w:val="13"/>
          <w:color w:val="auto"/>
        </w:rPr>
        <w:t>FAX (858) 848-8185</w:t>
      </w:r>
    </w:p>
    <w:p>
      <w:pPr>
        <w:spacing w:after="0" w:line="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3"/>
          <w:szCs w:val="13"/>
          <w:color w:val="auto"/>
        </w:rPr>
        <w:t>PHONE (858) 858-8100</w:t>
      </w:r>
    </w:p>
    <w:p>
      <w:pPr>
        <w:spacing w:after="0" w:line="15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3"/>
          <w:szCs w:val="23"/>
          <w:b w:val="1"/>
          <w:bCs w:val="1"/>
          <w:color w:val="auto"/>
        </w:rPr>
        <w:t>Cohu Announces Upsize and Pricing of</w:t>
      </w:r>
    </w:p>
    <w:p>
      <w:pPr>
        <w:spacing w:after="0" w:line="3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3"/>
          <w:szCs w:val="23"/>
          <w:b w:val="1"/>
          <w:bCs w:val="1"/>
          <w:color w:val="auto"/>
        </w:rPr>
        <w:t>1.50% Convertible Senior Notes Offering</w:t>
      </w:r>
    </w:p>
    <w:p>
      <w:pPr>
        <w:spacing w:after="0" w:line="344" w:lineRule="exact"/>
        <w:rPr>
          <w:sz w:val="20"/>
          <w:szCs w:val="20"/>
          <w:color w:val="auto"/>
        </w:rPr>
      </w:pPr>
    </w:p>
    <w:p>
      <w:pPr>
        <w:ind w:left="580" w:hanging="286"/>
        <w:spacing w:after="0"/>
        <w:tabs>
          <w:tab w:leader="none" w:pos="58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Opportunistic capital raise with proceeds used to enhance strategic flexibility</w:t>
      </w:r>
    </w:p>
    <w:p>
      <w:pPr>
        <w:spacing w:after="0" w:line="44" w:lineRule="exact"/>
        <w:rPr>
          <w:rFonts w:ascii="Times New Roman" w:cs="Times New Roman" w:eastAsia="Times New Roman" w:hAnsi="Times New Roman"/>
          <w:sz w:val="16"/>
          <w:szCs w:val="16"/>
          <w:color w:val="auto"/>
        </w:rPr>
      </w:pPr>
    </w:p>
    <w:p>
      <w:pPr>
        <w:ind w:left="580" w:right="260" w:hanging="286"/>
        <w:spacing w:after="0" w:line="262" w:lineRule="auto"/>
        <w:tabs>
          <w:tab w:leader="none" w:pos="58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portion of the proceeds to be used to purchase capped calls intended to offset any share dilution up to a 100% premium to the last reported sale price per share of Cohu</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common stock on the date of pricing</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b w:val="1"/>
          <w:bCs w:val="1"/>
          <w:color w:val="auto"/>
        </w:rPr>
        <w:t xml:space="preserve">POWAY, Calif., September 24, 2025 - </w:t>
      </w:r>
      <w:r>
        <w:rPr>
          <w:rFonts w:ascii="Times New Roman" w:cs="Times New Roman" w:eastAsia="Times New Roman" w:hAnsi="Times New Roman"/>
          <w:sz w:val="16"/>
          <w:szCs w:val="16"/>
          <w:color w:val="auto"/>
        </w:rPr>
        <w:t>Cohu, Inc. (NASDAQ: COHU) (“Cohu” or the “Company,” “we” or “our”), a global supplier of equipment and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optimizing semiconductor manufacturing yield and productivity, today announced the pricing of $260.0 million aggregate principal amount of 1.50% convertible senior notes due 2031 (the “Notes”) in a private offering to persons reasonably believed to be qualified institutional buyers pursuant to Rule 144A under the Securities Act of 1933, as amended (the “Securities Act”). Cohu also granted the initial purchasers of the Notes an option to purchase up to an additional $ 27.5 million aggregate principal amount of the Notes, for settlement by (and including) October 3, 2025. The aggregate principal amount of the offering was increased from the previously announced offering size of $200.0 million (or $230.0 million if the initial purchasers exercise their option to purchase the option in full). The offering of the Notes is expected to close on September 29, 2025, subject to customary closing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Notes</w:t>
      </w:r>
    </w:p>
    <w:p>
      <w:pPr>
        <w:spacing w:after="0" w:line="18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Notes will be Cohu’s senior unsecured obligations. The Notes will mature on January 15, 2031, unless earlier converted, redeemed or repurchased. The Notes will bear interest at a rate of 1.50% per year, payable semi-annually in arrears on January 15 and July 15 of each year, beginning on January 15, 2026.</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Cohu will satisfy its conversion obligations by paying cash up to the aggregate principal amount of the Notes to be converted and paying and/or delivering, as the case may be, cash, shares of its common stock or a combination of cash and shares of its common stock, in respect of the remainder, if any, of its conversion obligation in excess of the aggregate principal amount of the Notes being converted. The initial conversion rate for the Notes is 36.7975 shares of common stock per $1,000 principal amount of Notes (equivalent to an initial conversion price of approximately $27.1758 per share of common stock), which represents an approximately 32.50% conversion premium over the last reported sale price of $20.51 per share of Cohu’s common stock on The Nasdaq Stock Market on September 24, 2025 (the “Reference Price”). The conversion rate (and accordingly the conversion price) is subject to adjustment upon the occurrence of certain events. In addition, upon certain corporate events or upon a notice of redemption (as described below), Cohu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316865</wp:posOffset>
            </wp:positionV>
            <wp:extent cx="670750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1" w:name="page162"/>
    <w:bookmarkEnd w:id="161"/>
    <w:p>
      <w:pPr>
        <w:jc w:val="both"/>
        <w:spacing w:after="0" w:line="239" w:lineRule="auto"/>
        <w:rPr>
          <w:sz w:val="20"/>
          <w:szCs w:val="20"/>
          <w:color w:val="auto"/>
        </w:rPr>
      </w:pPr>
      <w:r>
        <w:rPr>
          <w:rFonts w:ascii="Times New Roman" w:cs="Times New Roman" w:eastAsia="Times New Roman" w:hAnsi="Times New Roman"/>
          <w:sz w:val="16"/>
          <w:szCs w:val="16"/>
          <w:color w:val="auto"/>
        </w:rPr>
        <w:t>The Notes will not be redeemable before January 22, 2029. The Notes will be redeemable, in whole or in part, for cash at Cohu’s option at any time, and from time to time, on or after January 22, 2029 and prior to the 51st scheduled trading day immediately preceding the maturity date, if (1) the Notes are “freely tradable” (as will be defined in the indenture for the Notes), and certain accrued and unpaid additional interest, if any, has been paid in full, as of the first interest payment date occurring on or before the date Cohu sends such notice and (2) the last reported sale price per share of Cohu’s common stock has been at least 130% of the conversion price for a specified period of time. The redemption price will be equal to 100% of the principal amount of the Notes to be redeemed, plus accrued and unpaid interest, if any, to, but excluding, the redemption date.</w:t>
      </w:r>
    </w:p>
    <w:p>
      <w:pPr>
        <w:spacing w:after="0" w:line="16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If a “fundamental change” (as will be defined in the indenture for the Notes) occurs, then, subject to limited exceptions, noteholders may require Cohu to repurchase their Notes for cash. The repurchase price will be equal to the principal amount of the Notes to be repurchased, plus accrued and unpaid interest, if any, to, but excluding, the applicable repurchase date. Cohu intends to use (i) approximately $28.4 million of the net proceeds from this offering to enter into the capped call transactions described below and (ii) any remaining net proceeds from this offering for general corporate purposes.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If the option granted to the initial purchasers to purchase additional Notes is exercised, Cohu intends to use a portion of the net proceeds from the sale of such additional Notes to enter into additional capped call transactions and any remaining net proceeds for general corporate purposes.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Capped Call Transactions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connection with the pricing of the Notes, Cohu has entered into privately negotiated capped call transactions with certain of the initial purchasers of the Notes or their respective affiliates and/or certain other financial institutions (the “option counterparties”). The capped call transactions cover, subject to anti-dilution adjustments substantially similar to those applicable to the Notes, the number of shares of Cohu’s common stock initially underlying the Notes. The cap price of the capped call transactions is initially $41.02 per share of Cohu’s common stock, representing a premium of 100% above the Reference Price, and is subject to certain adjustments under the terms of the capped call transactions. The capped call transactions are generally expected to reduce the potential dilution to Cohu’s common stock upon any conversion of the Notes and/or offset any potential cash payments Cohu is required to make in excess of the principal amount of converted Notes, as the case may be, with such reduction and/or offset subject to a cap. If the initial purchasers exercise their option to purchase additional Notes, Cohu expects to enter into additional capped call transactions with the option counterparties.</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connection with establishing their initial hedges of the capped call transactions, Cohu expects the option counterparties or their respective affiliates to enter into various derivative transactions with respect to Cohu’s common stock and/or purchase shares of Cohu’s common stock concurrently with or shortly after the pricing of the Notes, including with, or from, as the case may be, certain investors in the Notes. This activity could increase (or reduce the size of any decrease in) the market price of Cohu’s common stock or the Notes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312420</wp:posOffset>
            </wp:positionV>
            <wp:extent cx="670750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62" w:name="page163"/>
    <w:bookmarkEnd w:id="162"/>
    <w:p>
      <w:pPr>
        <w:jc w:val="both"/>
        <w:spacing w:after="0" w:line="239" w:lineRule="auto"/>
        <w:rPr>
          <w:sz w:val="20"/>
          <w:szCs w:val="20"/>
          <w:color w:val="auto"/>
        </w:rPr>
      </w:pPr>
      <w:r>
        <w:rPr>
          <w:rFonts w:ascii="Times New Roman" w:cs="Times New Roman" w:eastAsia="Times New Roman" w:hAnsi="Times New Roman"/>
          <w:sz w:val="16"/>
          <w:szCs w:val="16"/>
          <w:color w:val="auto"/>
        </w:rPr>
        <w:t>In addition, the option counterparties or their respective affiliates may modify their hedge positions by entering into or unwinding various derivatives with respect to Cohu’s common stock and/or purchasing or selling Cohu’s common stock or other securities of Cohu in secondary market transactions following the pricing of the Notes and prior to the maturity of the Notes (and are likely to do so during the observation period related to a conversion of the Notes, in connection with any fundamental change repurchase or redemption of the Notes and, to the extent Cohu unwinds a corresponding portion of the capped call transactions, following any other repurchase of the Notes). This activity could also cause or avoid an increase or a decrease in the market price of Cohu’s common stock or the Notes, which could affect a noteholder’s ability to convert the Notes and, to the extent the activity occurs during any observation period related to a conversion of Notes, it could affect the amount and value of the consideration that noteholders will receive upon conversion of the Notes.</w:t>
      </w:r>
    </w:p>
    <w:p>
      <w:pPr>
        <w:spacing w:after="0" w:line="15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Notes were offered to persons reasonably believed to be qualified institutional buyers pursuant to Rule 144A under the Securities Act. The offer and sale of the Notes and any shares of Cohu’s common stock issuable upon conversion of the Notes have not been registered under the Securities Act, or any state securities law, and the Notes and any such shares may not be offered or sold absent registration under, or pursuant to an exemption from, or in a transaction not subject to, the Securities Act and applicable state securities laws.</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This press release does not constitute an offer to sell or a solicitation of an offer to buy any securities, including the Notes or any shares of Cohu’s common stock, nor shall there be any offer, solicitation or sale of any Notes or any such shares of Cohu’s common stock in any jurisdiction in which such offer, solicitation or sale would be unlawful.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About Cohu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 (NASDAQ: COHU) is a global technology leader supplying test, automation, inspection and metrology products and services to the semiconductor industry.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Cohu’s differentiated and broad product portfolio enables optimized yield and productivity, accelerating customers’ manufacturing time-to-market.</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5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Certain statements contained in this release may be considered forward-looking statements within the meaning of Section 27A of the Securities Act of 1933, as amended, and Section 21E of the Securities Exchange Act of 1934, as amended. One can identify these forward-looking statements by the use of the words “expect,” “anticipate,” “plan,” “may,” “will,” “estimate,” “feeling” or other similar expressions and include all statements with regard to the completion of the proposed offering, the intended use of proceeds and the anticipated effects of entering into the capped call transactions.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319405</wp:posOffset>
            </wp:positionV>
            <wp:extent cx="670750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965" w:right="660" w:bottom="1440" w:gutter="0" w:footer="0" w:header="0"/>
        </w:sectPr>
      </w:pPr>
    </w:p>
    <w:bookmarkStart w:id="163" w:name="page164"/>
    <w:bookmarkEnd w:id="163"/>
    <w:p>
      <w:pPr>
        <w:jc w:val="both"/>
        <w:spacing w:after="0" w:line="238" w:lineRule="auto"/>
        <w:rPr>
          <w:sz w:val="20"/>
          <w:szCs w:val="20"/>
          <w:color w:val="auto"/>
        </w:rPr>
      </w:pPr>
      <w:r>
        <w:rPr>
          <w:rFonts w:ascii="Times New Roman" w:cs="Times New Roman" w:eastAsia="Times New Roman" w:hAnsi="Times New Roman"/>
          <w:sz w:val="16"/>
          <w:szCs w:val="16"/>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more information, contact: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Jeffrey D. Jones - Investor Relations</w:t>
      </w:r>
    </w:p>
    <w:p>
      <w:pPr>
        <w:spacing w:after="0"/>
        <w:rPr>
          <w:sz w:val="20"/>
          <w:szCs w:val="20"/>
          <w:color w:val="auto"/>
        </w:rPr>
      </w:pPr>
      <w:r>
        <w:rPr>
          <w:rFonts w:ascii="Times New Roman" w:cs="Times New Roman" w:eastAsia="Times New Roman" w:hAnsi="Times New Roman"/>
          <w:sz w:val="16"/>
          <w:szCs w:val="16"/>
          <w:color w:val="auto"/>
        </w:rPr>
        <w:t>858-848-8106</w:t>
      </w:r>
    </w:p>
    <w:p>
      <w:pPr>
        <w:sectPr>
          <w:pgSz w:w="11900" w:h="16840" w:orient="portrait"/>
          <w:cols w:equalWidth="0" w:num="1">
            <w:col w:w="10580"/>
          </w:cols>
          <w:pgMar w:left="660" w:top="965" w:right="660" w:bottom="1440" w:gutter="0" w:footer="0" w:header="0"/>
        </w:sectPr>
      </w:pPr>
    </w:p>
    <w:bookmarkStart w:id="164" w:name="page165"/>
    <w:bookmarkEnd w:id="164"/>
    <w:p>
      <w:pPr>
        <w:ind w:left="976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85" w:lineRule="exact"/>
        <w:rPr>
          <w:sz w:val="20"/>
          <w:szCs w:val="20"/>
          <w:color w:val="auto"/>
        </w:rPr>
      </w:pPr>
    </w:p>
    <w:tbl>
      <w:tblPr>
        <w:tblLayout w:type="fixed"/>
        <w:tblInd w:w="5280" w:type="dxa"/>
        <w:tblCellMar>
          <w:top w:w="0" w:type="dxa"/>
          <w:left w:w="0" w:type="dxa"/>
          <w:bottom w:w="0" w:type="dxa"/>
          <w:right w:w="0" w:type="dxa"/>
        </w:tblCellMar>
      </w:tblPr>
      <w:tr>
        <w:trPr>
          <w:trHeight w:val="29"/>
        </w:trPr>
        <w:tc>
          <w:tcPr>
            <w:tcW w:w="2520" w:type="dxa"/>
            <w:vAlign w:val="bottom"/>
            <w:vMerge w:val="restart"/>
          </w:tcPr>
          <w:p>
            <w:pPr>
              <w:spacing w:after="0"/>
              <w:rPr>
                <w:sz w:val="20"/>
                <w:szCs w:val="20"/>
                <w:color w:val="auto"/>
              </w:rPr>
            </w:pPr>
            <w:r>
              <w:rPr>
                <w:rFonts w:ascii="Arial" w:cs="Arial" w:eastAsia="Arial" w:hAnsi="Arial"/>
                <w:sz w:val="16"/>
                <w:szCs w:val="16"/>
                <w:color w:val="auto"/>
              </w:rPr>
              <w:t> </w:t>
            </w:r>
          </w:p>
        </w:tc>
        <w:tc>
          <w:tcPr>
            <w:tcW w:w="40" w:type="dxa"/>
            <w:vAlign w:val="bottom"/>
          </w:tcPr>
          <w:p>
            <w:pPr>
              <w:spacing w:after="0"/>
              <w:rPr>
                <w:sz w:val="2"/>
                <w:szCs w:val="2"/>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67272"/>
              </w:rPr>
              <w:t> </w:t>
            </w:r>
          </w:p>
        </w:tc>
        <w:tc>
          <w:tcPr>
            <w:tcW w:w="0" w:type="dxa"/>
            <w:vAlign w:val="bottom"/>
          </w:tcPr>
          <w:p>
            <w:pPr>
              <w:spacing w:after="0" w:line="20" w:lineRule="exact"/>
              <w:rPr>
                <w:sz w:val="1"/>
                <w:szCs w:val="1"/>
                <w:color w:val="auto"/>
              </w:rPr>
            </w:pPr>
          </w:p>
        </w:tc>
      </w:tr>
      <w:tr>
        <w:trPr>
          <w:trHeight w:val="180"/>
        </w:trPr>
        <w:tc>
          <w:tcPr>
            <w:tcW w:w="2520" w:type="dxa"/>
            <w:vAlign w:val="bottom"/>
            <w:vMerge w:val="continue"/>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0</wp:posOffset>
            </wp:positionV>
            <wp:extent cx="1623695" cy="2362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23695" cy="236220"/>
                    </a:xfrm>
                    <a:prstGeom prst="rect">
                      <a:avLst/>
                    </a:prstGeom>
                    <a:noFill/>
                  </pic:spPr>
                </pic:pic>
              </a:graphicData>
            </a:graphic>
          </wp:anchor>
        </w:drawing>
      </w:r>
    </w:p>
    <w:p>
      <w:pPr>
        <w:spacing w:after="0" w:line="323"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4950460</wp:posOffset>
            </wp:positionH>
            <wp:positionV relativeFrom="paragraph">
              <wp:posOffset>-97790</wp:posOffset>
            </wp:positionV>
            <wp:extent cx="22860" cy="6248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860" cy="624840"/>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COHU, INC.</w:t>
      </w:r>
    </w:p>
    <w:p>
      <w:pPr>
        <w:ind w:left="5280"/>
        <w:spacing w:after="0" w:line="180" w:lineRule="auto"/>
        <w:tabs>
          <w:tab w:leader="none" w:pos="7820" w:val="left"/>
        </w:tabs>
        <w:rPr>
          <w:sz w:val="20"/>
          <w:szCs w:val="20"/>
          <w:color w:val="auto"/>
        </w:rPr>
      </w:pPr>
      <w:r>
        <w:rPr>
          <w:rFonts w:ascii="Arial" w:cs="Arial" w:eastAsia="Arial" w:hAnsi="Arial"/>
          <w:sz w:val="20"/>
          <w:szCs w:val="20"/>
          <w:color w:val="auto"/>
          <w:vertAlign w:val="subscript"/>
        </w:rPr>
        <w:t> </w:t>
      </w:r>
      <w:r>
        <w:rPr>
          <w:sz w:val="20"/>
          <w:szCs w:val="20"/>
          <w:color w:val="auto"/>
        </w:rPr>
        <w:tab/>
      </w:r>
      <w:r>
        <w:rPr>
          <w:rFonts w:ascii="Times New Roman" w:cs="Times New Roman" w:eastAsia="Times New Roman" w:hAnsi="Times New Roman"/>
          <w:sz w:val="10"/>
          <w:szCs w:val="10"/>
          <w:color w:val="auto"/>
        </w:rPr>
        <w:t>12367 CROSTHWAITE CIRCLE</w:t>
      </w:r>
    </w:p>
    <w:p>
      <w:pPr>
        <w:spacing w:after="0" w:line="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POWAY, CA 92064</w:t>
      </w:r>
    </w:p>
    <w:p>
      <w:pPr>
        <w:spacing w:after="0" w:line="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FAX (858) 848-8185</w:t>
      </w:r>
    </w:p>
    <w:p>
      <w:pPr>
        <w:spacing w:after="0" w:line="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PHONE (858) 858-8100</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Cohu Announces Closing of Private Upsized Offering</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$287,500,000 of 1.50% Convertible Senior Notes Due 2031</w:t>
      </w:r>
    </w:p>
    <w:p>
      <w:pPr>
        <w:spacing w:after="0" w:line="346" w:lineRule="exact"/>
        <w:rPr>
          <w:sz w:val="20"/>
          <w:szCs w:val="20"/>
          <w:color w:val="auto"/>
        </w:rPr>
      </w:pPr>
    </w:p>
    <w:p>
      <w:pPr>
        <w:ind w:left="580" w:hanging="286"/>
        <w:spacing w:after="0"/>
        <w:tabs>
          <w:tab w:leader="none" w:pos="5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Strengthens balance sheet to fuel long-term growth at an attractive rate</w:t>
      </w:r>
    </w:p>
    <w:p>
      <w:pPr>
        <w:spacing w:after="0" w:line="16"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Structured efficiently with approximately five-year maturity and $27.1758 effective conversion price per share</w:t>
      </w:r>
    </w:p>
    <w:p>
      <w:pPr>
        <w:spacing w:after="0" w:line="15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POWAY, Calif., September 29, 2025 - </w:t>
      </w:r>
      <w:r>
        <w:rPr>
          <w:rFonts w:ascii="Times New Roman" w:cs="Times New Roman" w:eastAsia="Times New Roman" w:hAnsi="Times New Roman"/>
          <w:sz w:val="16"/>
          <w:szCs w:val="16"/>
          <w:color w:val="auto"/>
        </w:rPr>
        <w:t>Cohu, Inc. (NASDAQ: COHU) (“Cohu” or the “Company,” “we” or “our”), a global supplier of equipment and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optimizing semiconductor manufacturing yield and productivity, today announced the closing of $287,500,000 aggregate principal amount of 1.50% Convertible Senior Notes due 2031 (the “notes”), including the exercise in full of the option granted to the initial purchasers to purchase up to $27,500,000 aggregate principal amount of notes.</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Cohu President and CEO, Luis A. Müller, said: "We are excited to have successfully completed our convertible bond offering, which enhances our strategic flexibility and supports our growth initiatives. In addition, by entering into a capped call transaction, we are taking steps to limit potential shareholder dilution, reflecting our ongoing commitment to maximizing value for our investors."</w:t>
      </w:r>
    </w:p>
    <w:p>
      <w:pPr>
        <w:spacing w:after="0" w:line="15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offering of the notes was structured with a 1.50% interest rate, an approximately five-year maturity and an initial conversion price of approximately $27.1758 per share, representing an initial conversion premium of approximately 32.50% above the closing price of $20.51 per share of Cohu’s common stock on September 24, 2025.</w:t>
      </w:r>
    </w:p>
    <w:p>
      <w:pPr>
        <w:spacing w:after="0" w:line="15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In connection with the offering of the notes, Cohu entered into capped call transactions, which increase the effective conversion price of the notes to a 100% premium above the closing price of Cohu’s common stock on September 24, 2025. The capped call transactions are expected to reduce dilution or offset any cash payments Cohu is required to make in excess of the principal amount of converted notes, as the case may be, upon a conversion of the notes up to a stock price of $41.02 per share of Cohu’s common stock, subject to adjustment under the terms of the capped call transactions.</w:t>
      </w:r>
    </w:p>
    <w:p>
      <w:pPr>
        <w:spacing w:after="0" w:line="15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Upon conversion, Cohu will satisfy its conversion obligations by paying cash up to the aggregate principal amount of the notes to be converted and paying and/or delivering, as the case may be, cash, shares of its common stock or a combination of cash and shares of its common stock, in respect of the remainder, if any, of its conversion obligation in excess of the aggregate principal amount of the notes being converted.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DLA Piper LLP (US) and ICR Capital LLC served as legal counsel and financial advisor to the Company,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About Cohu</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 (NASDAQ: COHU) is a global technology leader supplying test, automation, inspection and metrology products and services to the semiconductor industry.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Cohu’s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670750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Certain statements contained in this release may be considered forward-looking statements within the meaning of Section 27A of the Securities Act of 1933, as amended, and Section 21E of the Securities Exchange Act of 1934, as amended. One can identify these forward-looking statements by the use of the words “expect,” “anticipate,” “plan,” “may,” “will,” “estimate,” “feeling” or other similar expressions and include all statements with regard to the anticipated effects of the offering and the capped call transactions.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more information, 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Cohu,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Jeffrey D. Jones - Investor Relations</w:t>
      </w:r>
    </w:p>
    <w:p>
      <w:pPr>
        <w:spacing w:after="0"/>
        <w:rPr>
          <w:sz w:val="20"/>
          <w:szCs w:val="20"/>
          <w:color w:val="auto"/>
        </w:rPr>
      </w:pPr>
      <w:r>
        <w:rPr>
          <w:rFonts w:ascii="Times New Roman" w:cs="Times New Roman" w:eastAsia="Times New Roman" w:hAnsi="Times New Roman"/>
          <w:sz w:val="16"/>
          <w:szCs w:val="16"/>
          <w:color w:val="auto"/>
        </w:rPr>
        <w:t>858-848-8106</w:t>
      </w:r>
    </w:p>
    <w:p>
      <w:pPr>
        <w:sectPr>
          <w:pgSz w:w="11900" w:h="16840" w:orient="portrait"/>
          <w:cols w:equalWidth="0" w:num="1">
            <w:col w:w="10580"/>
          </w:cols>
          <w:pgMar w:left="660" w:top="961" w:right="660" w:bottom="1440" w:gutter="0" w:footer="0" w:header="0"/>
        </w:sectPr>
      </w:pPr>
    </w:p>
    <w:bookmarkStart w:id="166" w:name="page167"/>
    <w:bookmarkEnd w:id="16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1)"/>
      <w:numFmt w:val="lowerLetter"/>
      <w:start w:val="1"/>
    </w:lvl>
  </w:abstractNum>
  <w:abstractNum w:abstractNumId="2">
    <w:nsid w:val="A0382C5"/>
    <w:multiLevelType w:val="hybridMultilevel"/>
    <w:lvl w:ilvl="0">
      <w:lvlJc w:val="left"/>
      <w:lvlText w:val="(%1)"/>
      <w:numFmt w:val="lowerLetter"/>
      <w:start w:val="1"/>
    </w:lvl>
  </w:abstractNum>
  <w:abstractNum w:abstractNumId="3">
    <w:nsid w:val="8F2B15E"/>
    <w:multiLevelType w:val="hybridMultilevel"/>
    <w:lvl w:ilvl="0">
      <w:lvlJc w:val="left"/>
      <w:lvlText w:val="(%1)"/>
      <w:numFmt w:val="lowerLetter"/>
      <w:start w:val="1"/>
    </w:lvl>
  </w:abstractNum>
  <w:abstractNum w:abstractNumId="4">
    <w:nsid w:val="1A32234B"/>
    <w:multiLevelType w:val="hybridMultilevel"/>
    <w:lvl w:ilvl="0">
      <w:lvlJc w:val="left"/>
      <w:lvlText w:val="(%1)"/>
      <w:numFmt w:val="lowerLetter"/>
      <w:start w:val="1"/>
    </w:lvl>
  </w:abstractNum>
  <w:abstractNum w:abstractNumId="5">
    <w:nsid w:val="3B0FD379"/>
    <w:multiLevelType w:val="hybridMultilevel"/>
    <w:lvl w:ilvl="0">
      <w:lvlJc w:val="left"/>
      <w:lvlText w:val="(%1)"/>
      <w:numFmt w:val="lowerLetter"/>
      <w:start w:val="2"/>
    </w:lvl>
    <w:lvl w:ilvl="1">
      <w:lvlJc w:val="left"/>
      <w:lvlText w:val="(%2)"/>
      <w:numFmt w:val="lowerRoman"/>
      <w:start w:val="1"/>
    </w:lvl>
  </w:abstractNum>
  <w:abstractNum w:abstractNumId="6">
    <w:nsid w:val="68EB2F63"/>
    <w:multiLevelType w:val="hybridMultilevel"/>
    <w:lvl w:ilvl="0">
      <w:lvlJc w:val="left"/>
      <w:lvlText w:val="%1"/>
      <w:numFmt w:val="lowerRoman"/>
      <w:start w:val="1"/>
    </w:lvl>
    <w:lvl w:ilvl="1">
      <w:lvlJc w:val="left"/>
      <w:lvlText w:val="(%2)"/>
      <w:numFmt w:val="lowerRoman"/>
      <w:start w:val="4"/>
    </w:lvl>
  </w:abstractNum>
  <w:abstractNum w:abstractNumId="7">
    <w:nsid w:val="4962813B"/>
    <w:multiLevelType w:val="hybridMultilevel"/>
    <w:lvl w:ilvl="0">
      <w:lvlJc w:val="left"/>
      <w:lvlText w:val="(%1)"/>
      <w:numFmt w:val="lowerRoman"/>
      <w:start w:val="2"/>
    </w:lvl>
    <w:lvl w:ilvl="1">
      <w:lvlJc w:val="left"/>
      <w:lvlText w:val="%2"/>
      <w:numFmt w:val="lowerRoman"/>
      <w:start w:val="1"/>
    </w:lvl>
  </w:abstractNum>
  <w:abstractNum w:abstractNumId="8">
    <w:nsid w:val="60B6DF70"/>
    <w:multiLevelType w:val="hybridMultilevel"/>
    <w:lvl w:ilvl="0">
      <w:lvlJc w:val="left"/>
      <w:lvlText w:val="(%1)"/>
      <w:numFmt w:val="lowerLetter"/>
      <w:start w:val="1"/>
    </w:lvl>
  </w:abstractNum>
  <w:abstractNum w:abstractNumId="9">
    <w:nsid w:val="6A5EE64"/>
    <w:multiLevelType w:val="hybridMultilevel"/>
    <w:lvl w:ilvl="0">
      <w:lvlJc w:val="left"/>
      <w:lvlText w:val="(%1)"/>
      <w:numFmt w:val="lowerLetter"/>
      <w:start w:val="2"/>
    </w:lvl>
  </w:abstractNum>
  <w:abstractNum w:abstractNumId="10">
    <w:nsid w:val="14330624"/>
    <w:multiLevelType w:val="hybridMultilevel"/>
    <w:lvl w:ilvl="0">
      <w:lvlJc w:val="left"/>
      <w:lvlText w:val="(%1)"/>
      <w:numFmt w:val="lowerLetter"/>
      <w:start w:val="3"/>
    </w:lvl>
  </w:abstractNum>
  <w:abstractNum w:abstractNumId="11">
    <w:nsid w:val="7FFFCA11"/>
    <w:multiLevelType w:val="hybridMultilevel"/>
    <w:lvl w:ilvl="0">
      <w:lvlJc w:val="left"/>
      <w:lvlText w:val="(%1)"/>
      <w:numFmt w:val="decimal"/>
      <w:start w:val="1"/>
    </w:lvl>
    <w:lvl w:ilvl="1">
      <w:lvlJc w:val="left"/>
      <w:lvlText w:val="(%2)"/>
      <w:numFmt w:val="upperLetter"/>
      <w:start w:val="1"/>
    </w:lvl>
  </w:abstractNum>
  <w:abstractNum w:abstractNumId="12">
    <w:nsid w:val="1A27709E"/>
    <w:multiLevelType w:val="hybridMultilevel"/>
    <w:lvl w:ilvl="0">
      <w:lvlJc w:val="left"/>
      <w:lvlText w:val="(%1)"/>
      <w:numFmt w:val="upperLetter"/>
      <w:start w:val="2"/>
    </w:lvl>
  </w:abstractNum>
  <w:abstractNum w:abstractNumId="13">
    <w:nsid w:val="71EA1109"/>
    <w:multiLevelType w:val="hybridMultilevel"/>
    <w:lvl w:ilvl="0">
      <w:lvlJc w:val="left"/>
      <w:lvlText w:val="(%1)"/>
      <w:numFmt w:val="lowerRoman"/>
      <w:start w:val="2"/>
    </w:lvl>
  </w:abstractNum>
  <w:abstractNum w:abstractNumId="14">
    <w:nsid w:val="100F59DC"/>
    <w:multiLevelType w:val="hybridMultilevel"/>
    <w:lvl w:ilvl="0">
      <w:lvlJc w:val="left"/>
      <w:lvlText w:val="(%1)"/>
      <w:numFmt w:val="lowerLetter"/>
      <w:start w:val="4"/>
    </w:lvl>
  </w:abstractNum>
  <w:abstractNum w:abstractNumId="15">
    <w:nsid w:val="7FB7E0AA"/>
    <w:multiLevelType w:val="hybridMultilevel"/>
    <w:lvl w:ilvl="0">
      <w:lvlJc w:val="left"/>
      <w:lvlText w:val="(%1)"/>
      <w:numFmt w:val="decimal"/>
      <w:start w:val="1"/>
    </w:lvl>
    <w:lvl w:ilvl="1">
      <w:lvlJc w:val="left"/>
      <w:lvlText w:val="(%2)"/>
      <w:numFmt w:val="upperLetter"/>
      <w:start w:val="1"/>
    </w:lvl>
  </w:abstractNum>
  <w:abstractNum w:abstractNumId="16">
    <w:nsid w:val="6EB5BD4"/>
    <w:multiLevelType w:val="hybridMultilevel"/>
    <w:lvl w:ilvl="0">
      <w:lvlJc w:val="left"/>
      <w:lvlText w:val="(%1)"/>
      <w:numFmt w:val="upperLetter"/>
      <w:start w:val="4"/>
    </w:lvl>
  </w:abstractNum>
  <w:abstractNum w:abstractNumId="17">
    <w:nsid w:val="6F6DD9AC"/>
    <w:multiLevelType w:val="hybridMultilevel"/>
    <w:lvl w:ilvl="0">
      <w:lvlJc w:val="left"/>
      <w:lvlText w:val="(%1)"/>
      <w:numFmt w:val="lowerLetter"/>
      <w:start w:val="5"/>
    </w:lvl>
  </w:abstractNum>
  <w:abstractNum w:abstractNumId="18">
    <w:nsid w:val="94211F2"/>
    <w:multiLevelType w:val="hybridMultilevel"/>
    <w:lvl w:ilvl="0">
      <w:lvlJc w:val="left"/>
      <w:lvlText w:val="(%1)"/>
      <w:numFmt w:val="lowerRoman"/>
      <w:start w:val="1"/>
    </w:lvl>
  </w:abstractNum>
  <w:abstractNum w:abstractNumId="19">
    <w:nsid w:val="885E1B"/>
    <w:multiLevelType w:val="hybridMultilevel"/>
    <w:lvl w:ilvl="0">
      <w:lvlJc w:val="left"/>
      <w:lvlText w:val="(%1)"/>
      <w:numFmt w:val="lowerRoman"/>
      <w:start w:val="2"/>
    </w:lvl>
  </w:abstractNum>
  <w:abstractNum w:abstractNumId="20">
    <w:nsid w:val="76272110"/>
    <w:multiLevelType w:val="hybridMultilevel"/>
    <w:lvl w:ilvl="0">
      <w:lvlJc w:val="left"/>
      <w:lvlText w:val="(%1)"/>
      <w:numFmt w:val="lowerLetter"/>
      <w:start w:val="2"/>
    </w:lvl>
  </w:abstractNum>
  <w:abstractNum w:abstractNumId="21">
    <w:nsid w:val="4C04A8AF"/>
    <w:multiLevelType w:val="hybridMultilevel"/>
    <w:lvl w:ilvl="0">
      <w:lvlJc w:val="left"/>
      <w:lvlText w:val="(%1)"/>
      <w:numFmt w:val="lowerLetter"/>
      <w:start w:val="1"/>
    </w:lvl>
  </w:abstractNum>
  <w:abstractNum w:abstractNumId="22">
    <w:nsid w:val="1716703B"/>
    <w:multiLevelType w:val="hybridMultilevel"/>
    <w:lvl w:ilvl="0">
      <w:lvlJc w:val="left"/>
      <w:lvlText w:val="(%1)"/>
      <w:numFmt w:val="lowerLetter"/>
      <w:start w:val="3"/>
    </w:lvl>
  </w:abstractNum>
  <w:abstractNum w:abstractNumId="23">
    <w:nsid w:val="14E17E33"/>
    <w:multiLevelType w:val="hybridMultilevel"/>
    <w:lvl w:ilvl="0">
      <w:lvlJc w:val="left"/>
      <w:lvlText w:val="(%1)"/>
      <w:numFmt w:val="lowerLetter"/>
      <w:start w:val="4"/>
    </w:lvl>
  </w:abstractNum>
  <w:abstractNum w:abstractNumId="24">
    <w:nsid w:val="3222E7CD"/>
    <w:multiLevelType w:val="hybridMultilevel"/>
    <w:lvl w:ilvl="0">
      <w:lvlJc w:val="left"/>
      <w:lvlText w:val="(%1)"/>
      <w:numFmt w:val="lowerLetter"/>
      <w:start w:val="1"/>
    </w:lvl>
  </w:abstractNum>
  <w:abstractNum w:abstractNumId="25">
    <w:nsid w:val="74DE0EE3"/>
    <w:multiLevelType w:val="hybridMultilevel"/>
    <w:lvl w:ilvl="0">
      <w:lvlJc w:val="left"/>
      <w:lvlText w:val="(%1)"/>
      <w:numFmt w:val="lowerLetter"/>
      <w:start w:val="2"/>
    </w:lvl>
  </w:abstractNum>
  <w:abstractNum w:abstractNumId="26">
    <w:nsid w:val="68EBC550"/>
    <w:multiLevelType w:val="hybridMultilevel"/>
    <w:lvl w:ilvl="0">
      <w:lvlJc w:val="left"/>
      <w:lvlText w:val="(%1)"/>
      <w:numFmt w:val="lowerRoman"/>
      <w:start w:val="1"/>
    </w:lvl>
  </w:abstractNum>
  <w:abstractNum w:abstractNumId="27">
    <w:nsid w:val="2DF6D648"/>
    <w:multiLevelType w:val="hybridMultilevel"/>
    <w:lvl w:ilvl="0">
      <w:lvlJc w:val="left"/>
      <w:lvlText w:val="(%1)"/>
      <w:numFmt w:val="lowerLetter"/>
      <w:start w:val="1"/>
    </w:lvl>
  </w:abstractNum>
  <w:abstractNum w:abstractNumId="28">
    <w:nsid w:val="46B7D447"/>
    <w:multiLevelType w:val="hybridMultilevel"/>
    <w:lvl w:ilvl="0">
      <w:lvlJc w:val="left"/>
      <w:lvlText w:val="(%1)"/>
      <w:numFmt w:val="lowerLetter"/>
      <w:start w:val="3"/>
    </w:lvl>
  </w:abstractNum>
  <w:abstractNum w:abstractNumId="29">
    <w:nsid w:val="4A2AC315"/>
    <w:multiLevelType w:val="hybridMultilevel"/>
    <w:lvl w:ilvl="0">
      <w:lvlJc w:val="left"/>
      <w:lvlText w:val="(%1)"/>
      <w:numFmt w:val="lowerLetter"/>
      <w:start w:val="1"/>
    </w:lvl>
    <w:lvl w:ilvl="1">
      <w:lvlJc w:val="left"/>
      <w:lvlText w:val="(%2)"/>
      <w:numFmt w:val="lowerLetter"/>
      <w:start w:val="9"/>
    </w:lvl>
  </w:abstractNum>
  <w:abstractNum w:abstractNumId="30">
    <w:nsid w:val="39EE015C"/>
    <w:multiLevelType w:val="hybridMultilevel"/>
    <w:lvl w:ilvl="0">
      <w:lvlJc w:val="left"/>
      <w:lvlText w:val="%1"/>
      <w:numFmt w:val="lowerLetter"/>
      <w:start w:val="1"/>
    </w:lvl>
    <w:lvl w:ilvl="1">
      <w:lvlJc w:val="left"/>
      <w:lvlText w:val="(%2)"/>
      <w:numFmt w:val="lowerLetter"/>
      <w:start w:val="35"/>
    </w:lvl>
  </w:abstractNum>
  <w:abstractNum w:abstractNumId="31">
    <w:nsid w:val="57FC4FBB"/>
    <w:multiLevelType w:val="hybridMultilevel"/>
    <w:lvl w:ilvl="0">
      <w:lvlJc w:val="left"/>
      <w:lvlText w:val="(%1)"/>
      <w:numFmt w:val="lowerLetter"/>
      <w:start w:val="2"/>
    </w:lvl>
    <w:lvl w:ilvl="1">
      <w:lvlJc w:val="left"/>
      <w:lvlText w:val="%2"/>
      <w:numFmt w:val="lowerLetter"/>
      <w:start w:val="1"/>
    </w:lvl>
  </w:abstractNum>
  <w:abstractNum w:abstractNumId="32">
    <w:nsid w:val="CC1016F"/>
    <w:multiLevelType w:val="hybridMultilevel"/>
    <w:lvl w:ilvl="0">
      <w:lvlJc w:val="left"/>
      <w:lvlText w:val="(%1)"/>
      <w:numFmt w:val="lowerLetter"/>
      <w:start w:val="1"/>
    </w:lvl>
  </w:abstractNum>
  <w:abstractNum w:abstractNumId="33">
    <w:nsid w:val="43F18422"/>
    <w:multiLevelType w:val="hybridMultilevel"/>
    <w:lvl w:ilvl="0">
      <w:lvlJc w:val="left"/>
      <w:lvlText w:val="(%1)"/>
      <w:numFmt w:val="lowerLetter"/>
      <w:start w:val="8"/>
    </w:lvl>
  </w:abstractNum>
  <w:abstractNum w:abstractNumId="34">
    <w:nsid w:val="60EF0119"/>
    <w:multiLevelType w:val="hybridMultilevel"/>
    <w:lvl w:ilvl="0">
      <w:lvlJc w:val="left"/>
      <w:lvlText w:val="(%1)"/>
      <w:numFmt w:val="lowerLetter"/>
      <w:start w:val="1"/>
    </w:lvl>
    <w:lvl w:ilvl="1">
      <w:lvlJc w:val="left"/>
      <w:lvlText w:val="(%2)"/>
      <w:numFmt w:val="lowerLetter"/>
      <w:start w:val="9"/>
    </w:lvl>
  </w:abstractNum>
  <w:abstractNum w:abstractNumId="35">
    <w:nsid w:val="26F324BA"/>
    <w:multiLevelType w:val="hybridMultilevel"/>
    <w:lvl w:ilvl="0">
      <w:lvlJc w:val="left"/>
      <w:lvlText w:val="(%1)"/>
      <w:numFmt w:val="lowerRoman"/>
      <w:start w:val="2"/>
    </w:lvl>
  </w:abstractNum>
  <w:abstractNum w:abstractNumId="36">
    <w:nsid w:val="7F01579B"/>
    <w:multiLevelType w:val="hybridMultilevel"/>
    <w:lvl w:ilvl="0">
      <w:lvlJc w:val="left"/>
      <w:lvlText w:val="(%1)"/>
      <w:numFmt w:val="lowerLetter"/>
      <w:start w:val="2"/>
    </w:lvl>
  </w:abstractNum>
  <w:abstractNum w:abstractNumId="37">
    <w:nsid w:val="49DA307D"/>
    <w:multiLevelType w:val="hybridMultilevel"/>
    <w:lvl w:ilvl="0">
      <w:lvlJc w:val="left"/>
      <w:lvlText w:val="(%1)"/>
      <w:numFmt w:val="lowerLetter"/>
      <w:start w:val="1"/>
    </w:lvl>
  </w:abstractNum>
  <w:abstractNum w:abstractNumId="38">
    <w:nsid w:val="7055A5F5"/>
    <w:multiLevelType w:val="hybridMultilevel"/>
    <w:lvl w:ilvl="0">
      <w:lvlJc w:val="left"/>
      <w:lvlText w:val="(%1)"/>
      <w:numFmt w:val="lowerLetter"/>
      <w:start w:val="2"/>
    </w:lvl>
  </w:abstractNum>
  <w:abstractNum w:abstractNumId="39">
    <w:nsid w:val="5FB8370B"/>
    <w:multiLevelType w:val="hybridMultilevel"/>
    <w:lvl w:ilvl="0">
      <w:lvlJc w:val="left"/>
      <w:lvlText w:val="(%1)"/>
      <w:numFmt w:val="lowerLetter"/>
      <w:start w:val="1"/>
    </w:lvl>
  </w:abstractNum>
  <w:abstractNum w:abstractNumId="40">
    <w:nsid w:val="50801EE1"/>
    <w:multiLevelType w:val="hybridMultilevel"/>
    <w:lvl w:ilvl="0">
      <w:lvlJc w:val="left"/>
      <w:lvlText w:val="(%1)"/>
      <w:numFmt w:val="lowerLetter"/>
      <w:start w:val="1"/>
    </w:lvl>
  </w:abstractNum>
  <w:abstractNum w:abstractNumId="41">
    <w:nsid w:val="488AC1A"/>
    <w:multiLevelType w:val="hybridMultilevel"/>
    <w:lvl w:ilvl="0">
      <w:lvlJc w:val="left"/>
      <w:lvlText w:val="(%1)"/>
      <w:numFmt w:val="lowerLetter"/>
      <w:start w:val="1"/>
    </w:lvl>
  </w:abstractNum>
  <w:abstractNum w:abstractNumId="42">
    <w:nsid w:val="5FB8011C"/>
    <w:multiLevelType w:val="hybridMultilevel"/>
    <w:lvl w:ilvl="0">
      <w:lvlJc w:val="left"/>
      <w:lvlText w:val="(%1)"/>
      <w:numFmt w:val="lowerLetter"/>
      <w:start w:val="2"/>
    </w:lvl>
  </w:abstractNum>
  <w:abstractNum w:abstractNumId="43">
    <w:nsid w:val="6AA78F7F"/>
    <w:multiLevelType w:val="hybridMultilevel"/>
    <w:lvl w:ilvl="0">
      <w:lvlJc w:val="left"/>
      <w:lvlText w:val="(%1)"/>
      <w:numFmt w:val="lowerLetter"/>
      <w:start w:val="1"/>
    </w:lvl>
  </w:abstractNum>
  <w:abstractNum w:abstractNumId="44">
    <w:nsid w:val="7672BD23"/>
    <w:multiLevelType w:val="hybridMultilevel"/>
    <w:lvl w:ilvl="0">
      <w:lvlJc w:val="left"/>
      <w:lvlText w:val="(%1)"/>
      <w:numFmt w:val="lowerLetter"/>
      <w:start w:val="2"/>
    </w:lvl>
    <w:lvl w:ilvl="1">
      <w:lvlJc w:val="left"/>
      <w:lvlText w:val="(%2)"/>
      <w:numFmt w:val="lowerLetter"/>
      <w:start w:val="9"/>
    </w:lvl>
  </w:abstractNum>
  <w:abstractNum w:abstractNumId="45">
    <w:nsid w:val="6FC75AF8"/>
    <w:multiLevelType w:val="hybridMultilevel"/>
    <w:lvl w:ilvl="0">
      <w:lvlJc w:val="left"/>
      <w:lvlText w:val="(%1)"/>
      <w:numFmt w:val="upperLetter"/>
      <w:start w:val="1"/>
    </w:lvl>
  </w:abstractNum>
  <w:abstractNum w:abstractNumId="46">
    <w:nsid w:val="6A5F7029"/>
    <w:multiLevelType w:val="hybridMultilevel"/>
    <w:lvl w:ilvl="0">
      <w:lvlJc w:val="left"/>
      <w:lvlText w:val="(%1)"/>
      <w:numFmt w:val="upperLetter"/>
      <w:start w:val="2"/>
    </w:lvl>
  </w:abstractNum>
  <w:abstractNum w:abstractNumId="47">
    <w:nsid w:val="7D5E18F8"/>
    <w:multiLevelType w:val="hybridMultilevel"/>
    <w:lvl w:ilvl="0">
      <w:lvlJc w:val="left"/>
      <w:lvlText w:val="(%1)"/>
      <w:numFmt w:val="lowerRoman"/>
      <w:start w:val="2"/>
    </w:lvl>
    <w:lvl w:ilvl="1">
      <w:lvlJc w:val="left"/>
      <w:lvlText w:val="(%2)"/>
      <w:numFmt w:val="lowerRoman"/>
      <w:start w:val="2"/>
    </w:lvl>
  </w:abstractNum>
  <w:abstractNum w:abstractNumId="48">
    <w:nsid w:val="5F3534A4"/>
    <w:multiLevelType w:val="hybridMultilevel"/>
    <w:lvl w:ilvl="0">
      <w:lvlJc w:val="left"/>
      <w:lvlText w:val="(%1)"/>
      <w:numFmt w:val="lowerRoman"/>
      <w:start w:val="3"/>
    </w:lvl>
  </w:abstractNum>
  <w:abstractNum w:abstractNumId="49">
    <w:nsid w:val="73A1821B"/>
    <w:multiLevelType w:val="hybridMultilevel"/>
    <w:lvl w:ilvl="0">
      <w:lvlJc w:val="left"/>
      <w:lvlText w:val="(%1)"/>
      <w:numFmt w:val="lowerLetter"/>
      <w:start w:val="1"/>
    </w:lvl>
    <w:lvl w:ilvl="1">
      <w:lvlJc w:val="left"/>
      <w:lvlText w:val="(%2)"/>
      <w:numFmt w:val="lowerRoman"/>
      <w:start w:val="1"/>
    </w:lvl>
  </w:abstractNum>
  <w:abstractNum w:abstractNumId="50">
    <w:nsid w:val="7DE67713"/>
    <w:multiLevelType w:val="hybridMultilevel"/>
    <w:lvl w:ilvl="0">
      <w:lvlJc w:val="left"/>
      <w:lvlText w:val="(%1)"/>
      <w:numFmt w:val="lowerRoman"/>
      <w:start w:val="4"/>
    </w:lvl>
  </w:abstractNum>
  <w:abstractNum w:abstractNumId="51">
    <w:nsid w:val="555C55B5"/>
    <w:multiLevelType w:val="hybridMultilevel"/>
    <w:lvl w:ilvl="0">
      <w:lvlJc w:val="left"/>
      <w:lvlText w:val="(%1)"/>
      <w:numFmt w:val="lowerRoman"/>
      <w:start w:val="5"/>
    </w:lvl>
    <w:lvl w:ilvl="1">
      <w:lvlJc w:val="left"/>
      <w:lvlText w:val="(%2)"/>
      <w:numFmt w:val="upperLetter"/>
      <w:start w:val="1"/>
    </w:lvl>
  </w:abstractNum>
  <w:abstractNum w:abstractNumId="52">
    <w:nsid w:val="3FA62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3">
    <w:nsid w:val="14FCE74E"/>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54">
    <w:nsid w:val="6A3DD3E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71C91298"/>
    <w:multiLevelType w:val="hybridMultilevel"/>
    <w:lvl w:ilvl="0">
      <w:lvlJc w:val="left"/>
      <w:lvlText w:val="(%1)"/>
      <w:numFmt w:val="lowerLetter"/>
      <w:start w:val="3"/>
    </w:lvl>
  </w:abstractNum>
  <w:abstractNum w:abstractNumId="56">
    <w:nsid w:val="9DAF632"/>
    <w:multiLevelType w:val="hybridMultilevel"/>
    <w:lvl w:ilvl="0">
      <w:lvlJc w:val="left"/>
      <w:lvlText w:val="(%1)"/>
      <w:numFmt w:val="lowerLetter"/>
      <w:start w:val="4"/>
    </w:lvl>
  </w:abstractNum>
  <w:abstractNum w:abstractNumId="57">
    <w:nsid w:val="53299938"/>
    <w:multiLevelType w:val="hybridMultilevel"/>
    <w:lvl w:ilvl="0">
      <w:lvlJc w:val="left"/>
      <w:lvlText w:val="(%1)"/>
      <w:numFmt w:val="lowerLetter"/>
      <w:start w:val="8"/>
    </w:lvl>
  </w:abstractNum>
  <w:abstractNum w:abstractNumId="58">
    <w:nsid w:val="1FBFE8E0"/>
    <w:multiLevelType w:val="hybridMultilevel"/>
    <w:lvl w:ilvl="0">
      <w:lvlJc w:val="left"/>
      <w:lvlText w:val="(%1)"/>
      <w:numFmt w:val="lowerLetter"/>
      <w:start w:val="1"/>
    </w:lvl>
  </w:abstractNum>
  <w:abstractNum w:abstractNumId="59">
    <w:nsid w:val="5092CA79"/>
    <w:multiLevelType w:val="hybridMultilevel"/>
    <w:lvl w:ilvl="0">
      <w:lvlJc w:val="left"/>
      <w:lvlText w:val="(%1)"/>
      <w:numFmt w:val="lowerLetter"/>
      <w:start w:val="3"/>
    </w:lvl>
  </w:abstractNum>
  <w:abstractNum w:abstractNumId="60">
    <w:nsid w:val="1D545C4D"/>
    <w:multiLevelType w:val="hybridMultilevel"/>
    <w:lvl w:ilvl="0">
      <w:lvlJc w:val="left"/>
      <w:lvlText w:val="(%1)"/>
      <w:numFmt w:val="lowerRoman"/>
      <w:start w:val="1"/>
    </w:lvl>
  </w:abstractNum>
  <w:abstractNum w:abstractNumId="61">
    <w:nsid w:val="59ADEA3D"/>
    <w:multiLevelType w:val="hybridMultilevel"/>
    <w:lvl w:ilvl="0">
      <w:lvlJc w:val="left"/>
      <w:lvlText w:val="(%1)"/>
      <w:numFmt w:val="lowerRoman"/>
      <w:start w:val="2"/>
    </w:lvl>
  </w:abstractNum>
  <w:abstractNum w:abstractNumId="62">
    <w:nsid w:val="288F1A34"/>
    <w:multiLevelType w:val="hybridMultilevel"/>
    <w:lvl w:ilvl="0">
      <w:lvlJc w:val="left"/>
      <w:lvlText w:val="(%1)"/>
      <w:numFmt w:val="lowerLetter"/>
      <w:start w:val="6"/>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lowerLetter"/>
      <w:start w:val="2"/>
    </w:lvl>
  </w:abstractNum>
  <w:abstractNum w:abstractNumId="65">
    <w:nsid w:val="97E1B4E"/>
    <w:multiLevelType w:val="hybridMultilevel"/>
    <w:lvl w:ilvl="0">
      <w:lvlJc w:val="left"/>
      <w:lvlText w:val="X"/>
      <w:numFmt w:val="bullet"/>
      <w:start w:val="1"/>
    </w:lvl>
  </w:abstractNum>
  <w:abstractNum w:abstractNumId="66">
    <w:nsid w:val="51088277"/>
    <w:multiLevelType w:val="hybridMultilevel"/>
    <w:lvl w:ilvl="0">
      <w:lvlJc w:val="left"/>
      <w:lvlText w:val="Y"/>
      <w:numFmt w:val="bullet"/>
      <w:start w:val="1"/>
    </w:lvl>
  </w:abstractNum>
  <w:abstractNum w:abstractNumId="67">
    <w:nsid w:val="1CA0C5FA"/>
    <w:multiLevelType w:val="hybridMultilevel"/>
    <w:lvl w:ilvl="0">
      <w:lvlJc w:val="left"/>
      <w:lvlText w:val="(%1)"/>
      <w:numFmt w:val="lowerLetter"/>
      <w:start w:val="3"/>
    </w:lvl>
  </w:abstractNum>
  <w:abstractNum w:abstractNumId="68">
    <w:nsid w:val="53584BCB"/>
    <w:multiLevelType w:val="hybridMultilevel"/>
    <w:lvl w:ilvl="0">
      <w:lvlJc w:val="left"/>
      <w:lvlText w:val="(%1)"/>
      <w:numFmt w:val="upperLetter"/>
      <w:start w:val="1"/>
    </w:lvl>
  </w:abstractNum>
  <w:abstractNum w:abstractNumId="69">
    <w:nsid w:val="415E286C"/>
    <w:multiLevelType w:val="hybridMultilevel"/>
    <w:lvl w:ilvl="0">
      <w:lvlJc w:val="left"/>
      <w:lvlText w:val="(%1)"/>
      <w:numFmt w:val="lowerLetter"/>
      <w:start w:val="4"/>
    </w:lvl>
  </w:abstractNum>
  <w:abstractNum w:abstractNumId="70">
    <w:nsid w:val="7C58FD05"/>
    <w:multiLevelType w:val="hybridMultilevel"/>
    <w:lvl w:ilvl="0">
      <w:lvlJc w:val="left"/>
      <w:lvlText w:val="C"/>
      <w:numFmt w:val="bullet"/>
      <w:start w:val="1"/>
    </w:lvl>
  </w:abstractNum>
  <w:abstractNum w:abstractNumId="71">
    <w:nsid w:val="23D86AAC"/>
    <w:multiLevelType w:val="hybridMultilevel"/>
    <w:lvl w:ilvl="0">
      <w:lvlJc w:val="left"/>
      <w:lvlText w:val="(%1)"/>
      <w:numFmt w:val="lowerLetter"/>
      <w:start w:val="5"/>
    </w:lvl>
  </w:abstractNum>
  <w:abstractNum w:abstractNumId="72">
    <w:nsid w:val="45E6D486"/>
    <w:multiLevelType w:val="hybridMultilevel"/>
    <w:lvl w:ilvl="0">
      <w:lvlJc w:val="left"/>
      <w:lvlText w:val="(%1)"/>
      <w:numFmt w:val="lowerLetter"/>
      <w:start w:val="6"/>
    </w:lvl>
    <w:lvl w:ilvl="1">
      <w:lvlJc w:val="left"/>
      <w:lvlText w:val="(%2)"/>
      <w:numFmt w:val="lowerRoman"/>
      <w:start w:val="1"/>
    </w:lvl>
  </w:abstractNum>
  <w:abstractNum w:abstractNumId="73">
    <w:nsid w:val="5C10FE21"/>
    <w:multiLevelType w:val="hybridMultilevel"/>
    <w:lvl w:ilvl="0">
      <w:lvlJc w:val="left"/>
      <w:lvlText w:val="%1"/>
      <w:numFmt w:val="lowerLetter"/>
      <w:start w:val="1"/>
    </w:lvl>
    <w:lvl w:ilvl="1">
      <w:lvlJc w:val="left"/>
      <w:lvlText w:val="(%2)"/>
      <w:numFmt w:val="lowerRoman"/>
      <w:start w:val="3"/>
    </w:lvl>
  </w:abstractNum>
  <w:abstractNum w:abstractNumId="74">
    <w:nsid w:val="E7FFA2B"/>
    <w:multiLevelType w:val="hybridMultilevel"/>
    <w:lvl w:ilvl="0">
      <w:lvlJc w:val="left"/>
      <w:lvlText w:val="(%1)"/>
      <w:numFmt w:val="lowerLetter"/>
      <w:start w:val="9"/>
    </w:lvl>
    <w:lvl w:ilvl="1">
      <w:lvlJc w:val="left"/>
      <w:lvlText w:val="%2"/>
      <w:numFmt w:val="lowerRoman"/>
      <w:start w:val="1"/>
    </w:lvl>
  </w:abstractNum>
  <w:abstractNum w:abstractNumId="75">
    <w:nsid w:val="3C5991AA"/>
    <w:multiLevelType w:val="hybridMultilevel"/>
    <w:lvl w:ilvl="0">
      <w:lvlJc w:val="left"/>
      <w:lvlText w:val="(%1)"/>
      <w:numFmt w:val="lowerLetter"/>
      <w:start w:val="12"/>
    </w:lvl>
  </w:abstractNum>
  <w:abstractNum w:abstractNumId="76">
    <w:nsid w:val="4BD8591A"/>
    <w:multiLevelType w:val="hybridMultilevel"/>
    <w:lvl w:ilvl="0">
      <w:lvlJc w:val="left"/>
      <w:lvlText w:val="(%1)"/>
      <w:numFmt w:val="lowerLetter"/>
      <w:start w:val="1"/>
    </w:lvl>
    <w:lvl w:ilvl="1">
      <w:lvlJc w:val="left"/>
      <w:lvlText w:val="(%2)"/>
      <w:numFmt w:val="lowerRoman"/>
      <w:start w:val="1"/>
    </w:lvl>
  </w:abstractNum>
  <w:abstractNum w:abstractNumId="77">
    <w:nsid w:val="78DF6A55"/>
    <w:multiLevelType w:val="hybridMultilevel"/>
    <w:lvl w:ilvl="0">
      <w:lvlJc w:val="left"/>
      <w:lvlText w:val="(%1)"/>
      <w:numFmt w:val="lowerLetter"/>
      <w:start w:val="2"/>
    </w:lvl>
  </w:abstractNum>
  <w:abstractNum w:abstractNumId="78">
    <w:nsid w:val="39B7AAA2"/>
    <w:multiLevelType w:val="hybridMultilevel"/>
    <w:lvl w:ilvl="0">
      <w:lvlJc w:val="left"/>
      <w:lvlText w:val="(%1)"/>
      <w:numFmt w:val="lowerLetter"/>
      <w:start w:val="3"/>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1)"/>
      <w:numFmt w:val="lowerLetter"/>
      <w:start w:val="1"/>
    </w:lvl>
  </w:abstractNum>
  <w:abstractNum w:abstractNumId="81">
    <w:nsid w:val="379E21B5"/>
    <w:multiLevelType w:val="hybridMultilevel"/>
    <w:lvl w:ilvl="0">
      <w:lvlJc w:val="left"/>
      <w:lvlText w:val="(%1)"/>
      <w:numFmt w:val="lowerLetter"/>
      <w:start w:val="1"/>
    </w:lvl>
  </w:abstractNum>
  <w:abstractNum w:abstractNumId="82">
    <w:nsid w:val="69E373"/>
    <w:multiLevelType w:val="hybridMultilevel"/>
    <w:lvl w:ilvl="0">
      <w:lvlJc w:val="left"/>
      <w:lvlText w:val="(%1)"/>
      <w:numFmt w:val="lowerLetter"/>
      <w:start w:val="1"/>
    </w:lvl>
    <w:lvl w:ilvl="1">
      <w:lvlJc w:val="left"/>
      <w:lvlText w:val="(%2)"/>
      <w:numFmt w:val="lowerRoman"/>
      <w:start w:val="1"/>
    </w:lvl>
  </w:abstractNum>
  <w:abstractNum w:abstractNumId="83">
    <w:nsid w:val="2C27173B"/>
    <w:multiLevelType w:val="hybridMultilevel"/>
    <w:lvl w:ilvl="0">
      <w:lvlJc w:val="left"/>
      <w:lvlText w:val="(%1)"/>
      <w:numFmt w:val="lowerRoman"/>
      <w:start w:val="1"/>
    </w:lvl>
  </w:abstractNum>
  <w:abstractNum w:abstractNumId="84">
    <w:nsid w:val="4C9B0904"/>
    <w:multiLevelType w:val="hybridMultilevel"/>
    <w:lvl w:ilvl="0">
      <w:lvlJc w:val="left"/>
      <w:lvlText w:val="(%1)"/>
      <w:numFmt w:val="lowerLetter"/>
      <w:start w:val="3"/>
    </w:lvl>
    <w:lvl w:ilvl="1">
      <w:lvlJc w:val="left"/>
      <w:lvlText w:val="(%2)"/>
      <w:numFmt w:val="lowerRoman"/>
      <w:start w:val="1"/>
    </w:lvl>
  </w:abstractNum>
  <w:abstractNum w:abstractNumId="85">
    <w:nsid w:val="6AA7B75C"/>
    <w:multiLevelType w:val="hybridMultilevel"/>
    <w:lvl w:ilvl="0">
      <w:lvlJc w:val="left"/>
      <w:lvlText w:val="(%1)"/>
      <w:numFmt w:val="lowerLetter"/>
      <w:start w:val="4"/>
    </w:lvl>
  </w:abstractNum>
  <w:abstractNum w:abstractNumId="86">
    <w:nsid w:val="1DF029D3"/>
    <w:multiLevelType w:val="hybridMultilevel"/>
    <w:lvl w:ilvl="0">
      <w:lvlJc w:val="left"/>
      <w:lvlText w:val="(%1)"/>
      <w:numFmt w:val="lowerRoman"/>
      <w:start w:val="1"/>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lowerLetter"/>
      <w:start w:val="2"/>
    </w:lvl>
  </w:abstractNum>
  <w:abstractNum w:abstractNumId="89">
    <w:nsid w:val="3DB012B3"/>
    <w:multiLevelType w:val="hybridMultilevel"/>
    <w:lvl w:ilvl="0">
      <w:lvlJc w:val="left"/>
      <w:lvlText w:val="(%1)"/>
      <w:numFmt w:val="lowerLetter"/>
      <w:start w:val="1"/>
    </w:lvl>
  </w:abstractNum>
  <w:abstractNum w:abstractNumId="90">
    <w:nsid w:val="2708C9AF"/>
    <w:multiLevelType w:val="hybridMultilevel"/>
    <w:lvl w:ilvl="0">
      <w:lvlJc w:val="left"/>
      <w:lvlText w:val="(%1)"/>
      <w:numFmt w:val="lowerLetter"/>
      <w:start w:val="1"/>
    </w:lvl>
    <w:lvl w:ilvl="1">
      <w:lvlJc w:val="left"/>
      <w:lvlText w:val="(%2)"/>
      <w:numFmt w:val="lowerRoman"/>
      <w:start w:val="1"/>
    </w:lvl>
  </w:abstractNum>
  <w:abstractNum w:abstractNumId="91">
    <w:nsid w:val="5B25ACE2"/>
    <w:multiLevelType w:val="hybridMultilevel"/>
    <w:lvl w:ilvl="0">
      <w:lvlJc w:val="left"/>
      <w:lvlText w:val="(%1)"/>
      <w:numFmt w:val="lowerRoman"/>
      <w:start w:val="4"/>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decimal"/>
      <w:start w:val="1"/>
    </w:lvl>
    <w:lvl w:ilvl="1">
      <w:lvlJc w:val="left"/>
      <w:lvlText w:val="(%2)"/>
      <w:numFmt w:val="upperLetter"/>
      <w:start w:val="1"/>
    </w:lvl>
  </w:abstractNum>
  <w:abstractNum w:abstractNumId="94">
    <w:nsid w:val="53B0A9E"/>
    <w:multiLevelType w:val="hybridMultilevel"/>
    <w:lvl w:ilvl="0">
      <w:lvlJc w:val="left"/>
      <w:lvlText w:val="(%1)"/>
      <w:numFmt w:val="upperLetter"/>
      <w:start w:val="2"/>
    </w:lvl>
  </w:abstractNum>
  <w:abstractNum w:abstractNumId="95">
    <w:nsid w:val="34FD6B4F"/>
    <w:multiLevelType w:val="hybridMultilevel"/>
    <w:lvl w:ilvl="0">
      <w:lvlJc w:val="left"/>
      <w:lvlText w:val="1"/>
      <w:numFmt w:val="bullet"/>
      <w:start w:val="1"/>
    </w:lvl>
  </w:abstractNum>
  <w:abstractNum w:abstractNumId="96">
    <w:nsid w:val="5915FF32"/>
    <w:multiLevelType w:val="hybridMultilevel"/>
    <w:lvl w:ilvl="0">
      <w:lvlJc w:val="left"/>
      <w:lvlText w:val="2"/>
      <w:numFmt w:val="bullet"/>
      <w:start w:val="1"/>
    </w:lvl>
  </w:abstractNum>
  <w:abstractNum w:abstractNumId="97">
    <w:nsid w:val="56438D15"/>
    <w:multiLevelType w:val="hybridMultilevel"/>
    <w:lvl w:ilvl="0">
      <w:lvlJc w:val="left"/>
      <w:lvlText w:val="7"/>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1"/>
      <w:numFmt w:val="bullet"/>
      <w:start w:val="1"/>
    </w:lvl>
  </w:abstractNum>
  <w:abstractNum w:abstractNumId="100">
    <w:nsid w:val="17A1B582"/>
    <w:multiLevelType w:val="hybridMultilevel"/>
    <w:lvl w:ilvl="0">
      <w:lvlJc w:val="left"/>
      <w:lvlText w:val="%1."/>
      <w:numFmt w:val="decimal"/>
      <w:start w:val="1"/>
    </w:lvl>
  </w:abstractNum>
  <w:abstractNum w:abstractNumId="101">
    <w:nsid w:val="4DF72E4E"/>
    <w:multiLevelType w:val="hybridMultilevel"/>
    <w:lvl w:ilvl="0">
      <w:lvlJc w:val="left"/>
      <w:lvlText w:val="%1."/>
      <w:numFmt w:val="decimal"/>
      <w:start w:val="2"/>
    </w:lvl>
  </w:abstractNum>
  <w:abstractNum w:abstractNumId="102">
    <w:nsid w:val="5046B5A9"/>
    <w:multiLevelType w:val="hybridMultilevel"/>
    <w:lvl w:ilvl="0">
      <w:lvlJc w:val="left"/>
      <w:lvlText w:val="%1"/>
      <w:numFmt w:val="decimal"/>
      <w:start w:val="14"/>
    </w:lvl>
  </w:abstractNum>
  <w:abstractNum w:abstractNumId="103">
    <w:nsid w:val="5D888A08"/>
    <w:multiLevelType w:val="hybridMultilevel"/>
    <w:lvl w:ilvl="0">
      <w:lvlJc w:val="left"/>
      <w:lvlText w:val="%1"/>
      <w:numFmt w:val="decimal"/>
      <w:start w:val="21"/>
    </w:lvl>
  </w:abstractNum>
  <w:abstractNum w:abstractNumId="104">
    <w:nsid w:val="2A082C70"/>
    <w:multiLevelType w:val="hybridMultilevel"/>
    <w:lvl w:ilvl="0">
      <w:lvlJc w:val="left"/>
      <w:lvlText w:val="%1"/>
      <w:numFmt w:val="decimal"/>
      <w:start w:val="24"/>
    </w:lvl>
  </w:abstractNum>
  <w:abstractNum w:abstractNumId="105">
    <w:nsid w:val="5EC6AFD4"/>
    <w:multiLevelType w:val="hybridMultilevel"/>
    <w:lvl w:ilvl="0">
      <w:lvlJc w:val="left"/>
      <w:lvlText w:val="(%1)"/>
      <w:numFmt w:val="lowerRoman"/>
      <w:start w:val="4"/>
    </w:lvl>
  </w:abstractNum>
  <w:abstractNum w:abstractNumId="106">
    <w:nsid w:val="19E21BB2"/>
    <w:multiLevelType w:val="hybridMultilevel"/>
    <w:lvl w:ilvl="0">
      <w:lvlJc w:val="left"/>
      <w:lvlText w:val="%1"/>
      <w:numFmt w:val="decimal"/>
      <w:start w:val="26"/>
    </w:lvl>
  </w:abstractNum>
  <w:abstractNum w:abstractNumId="107">
    <w:nsid w:val="75E0858A"/>
    <w:multiLevelType w:val="hybridMultilevel"/>
    <w:lvl w:ilvl="0">
      <w:lvlJc w:val="left"/>
      <w:lvlText w:val="%1"/>
      <w:numFmt w:val="decimal"/>
      <w:start w:val="29"/>
    </w:lvl>
  </w:abstractNum>
  <w:abstractNum w:abstractNumId="108">
    <w:nsid w:val="57A61A29"/>
    <w:multiLevelType w:val="hybridMultilevel"/>
    <w:lvl w:ilvl="0">
      <w:lvlJc w:val="left"/>
      <w:lvlText w:val="%1"/>
      <w:numFmt w:val="decimal"/>
      <w:start w:val="31"/>
    </w:lvl>
  </w:abstractNum>
  <w:abstractNum w:abstractNumId="109">
    <w:nsid w:val="5399C654"/>
    <w:multiLevelType w:val="hybridMultilevel"/>
    <w:lvl w:ilvl="0">
      <w:lvlJc w:val="left"/>
      <w:lvlText w:val="%1"/>
      <w:numFmt w:val="decimal"/>
      <w:start w:val="33"/>
    </w:lvl>
  </w:abstractNum>
  <w:abstractNum w:abstractNumId="110">
    <w:nsid w:val="20EE1348"/>
    <w:multiLevelType w:val="hybridMultilevel"/>
    <w:lvl w:ilvl="0">
      <w:lvlJc w:val="left"/>
      <w:lvlText w:val="%1"/>
      <w:numFmt w:val="decimal"/>
      <w:start w:val="37"/>
    </w:lvl>
  </w:abstractNum>
  <w:abstractNum w:abstractNumId="111">
    <w:nsid w:val="4427069A"/>
    <w:multiLevelType w:val="hybridMultilevel"/>
    <w:lvl w:ilvl="0">
      <w:lvlJc w:val="left"/>
      <w:lvlText w:val="%1."/>
      <w:numFmt w:val="decimal"/>
      <w:start w:val="4"/>
    </w:lvl>
  </w:abstractNum>
  <w:abstractNum w:abstractNumId="112">
    <w:nsid w:val="B37E80A"/>
    <w:multiLevelType w:val="hybridMultilevel"/>
    <w:lvl w:ilvl="0">
      <w:lvlJc w:val="left"/>
      <w:lvlText w:val="%1."/>
      <w:numFmt w:val="decimal"/>
      <w:start w:val="5"/>
    </w:lvl>
    <w:lvl w:ilvl="1">
      <w:lvlJc w:val="left"/>
      <w:lvlText w:val="(%2)"/>
      <w:numFmt w:val="lowerLetter"/>
      <w:start w:val="1"/>
    </w:lvl>
  </w:abstractNum>
  <w:abstractNum w:abstractNumId="113">
    <w:nsid w:val="2157F6BC"/>
    <w:multiLevelType w:val="hybridMultilevel"/>
    <w:lvl w:ilvl="0">
      <w:lvlJc w:val="left"/>
      <w:lvlText w:val="%1"/>
      <w:numFmt w:val="decimal"/>
      <w:start w:val="41"/>
    </w:lvl>
  </w:abstractNum>
  <w:abstractNum w:abstractNumId="114">
    <w:nsid w:val="704E1DD5"/>
    <w:multiLevelType w:val="hybridMultilevel"/>
    <w:lvl w:ilvl="0">
      <w:lvlJc w:val="left"/>
      <w:lvlText w:val="%1."/>
      <w:numFmt w:val="decimal"/>
      <w:start w:val="6"/>
    </w:lvl>
    <w:lvl w:ilvl="1">
      <w:lvlJc w:val="left"/>
      <w:lvlText w:val="(%2)"/>
      <w:numFmt w:val="lowerLetter"/>
      <w:start w:val="1"/>
    </w:lvl>
  </w:abstractNum>
  <w:abstractNum w:abstractNumId="115">
    <w:nsid w:val="57D2F10E"/>
    <w:multiLevelType w:val="hybridMultilevel"/>
    <w:lvl w:ilvl="0">
      <w:lvlJc w:val="left"/>
      <w:lvlText w:val="%1."/>
      <w:numFmt w:val="decimal"/>
      <w:start w:val="8"/>
    </w:lvl>
    <w:lvl w:ilvl="1">
      <w:lvlJc w:val="left"/>
      <w:lvlText w:val="(%2)"/>
      <w:numFmt w:val="lowerLetter"/>
      <w:start w:val="1"/>
    </w:lvl>
  </w:abstractNum>
  <w:abstractNum w:abstractNumId="116">
    <w:nsid w:val="BFFAE18"/>
    <w:multiLevelType w:val="hybridMultilevel"/>
    <w:lvl w:ilvl="0">
      <w:lvlJc w:val="left"/>
      <w:lvlText w:val="%1"/>
      <w:numFmt w:val="decimal"/>
      <w:start w:val="42"/>
    </w:lvl>
  </w:abstractNum>
  <w:abstractNum w:abstractNumId="117">
    <w:nsid w:val="E3E47A8"/>
    <w:multiLevelType w:val="hybridMultilevel"/>
    <w:lvl w:ilvl="0">
      <w:lvlJc w:val="left"/>
      <w:lvlText w:val="(%1)"/>
      <w:numFmt w:val="lowerLetter"/>
      <w:start w:val="2"/>
    </w:lvl>
  </w:abstractNum>
  <w:abstractNum w:abstractNumId="118">
    <w:nsid w:val="2E48F044"/>
    <w:multiLevelType w:val="hybridMultilevel"/>
    <w:lvl w:ilvl="0">
      <w:lvlJc w:val="left"/>
      <w:lvlText w:val="%1"/>
      <w:numFmt w:val="decimal"/>
      <w:start w:val="1"/>
    </w:lvl>
    <w:lvl w:ilvl="1">
      <w:lvlJc w:val="left"/>
      <w:lvlText w:val="(%2)"/>
      <w:numFmt w:val="lowerLetter"/>
      <w:start w:val="11"/>
    </w:lvl>
  </w:abstractNum>
  <w:abstractNum w:abstractNumId="119">
    <w:nsid w:val="49D0FEAC"/>
    <w:multiLevelType w:val="hybridMultilevel"/>
    <w:lvl w:ilvl="0">
      <w:lvlJc w:val="left"/>
      <w:lvlText w:val="%1."/>
      <w:numFmt w:val="decimal"/>
      <w:start w:val="9"/>
    </w:lvl>
    <w:lvl w:ilvl="1">
      <w:lvlJc w:val="left"/>
      <w:lvlText w:val="(%2)"/>
      <w:numFmt w:val="lowerLetter"/>
      <w:start w:val="1"/>
    </w:lvl>
  </w:abstractNum>
  <w:abstractNum w:abstractNumId="120">
    <w:nsid w:val="4BEE5A5B"/>
    <w:multiLevelType w:val="hybridMultilevel"/>
    <w:lvl w:ilvl="0">
      <w:lvlJc w:val="left"/>
      <w:lvlText w:val="%1"/>
      <w:numFmt w:val="decimal"/>
      <w:start w:val="43"/>
    </w:lvl>
  </w:abstractNum>
  <w:abstractNum w:abstractNumId="121">
    <w:nsid w:val="5551B9F3"/>
    <w:multiLevelType w:val="hybridMultilevel"/>
    <w:lvl w:ilvl="0">
      <w:lvlJc w:val="left"/>
      <w:lvlText w:val="(%1)"/>
      <w:numFmt w:val="lowerLetter"/>
      <w:start w:val="2"/>
    </w:lvl>
  </w:abstractNum>
  <w:abstractNum w:abstractNumId="122">
    <w:nsid w:val="24F6AB8E"/>
    <w:multiLevelType w:val="hybridMultilevel"/>
    <w:lvl w:ilvl="0">
      <w:lvlJc w:val="left"/>
      <w:lvlText w:val="%1"/>
      <w:numFmt w:val="decimal"/>
      <w:start w:val="44"/>
    </w:lvl>
  </w:abstractNum>
  <w:abstractNum w:abstractNumId="123">
    <w:nsid w:val="634C574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4">
    <w:nsid w:val="24E99DD7"/>
    <w:multiLevelType w:val="hybridMultilevel"/>
    <w:lvl w:ilvl="0">
      <w:lvlJc w:val="left"/>
      <w:lvlText w:val="%1"/>
      <w:numFmt w:val="lowerRoman"/>
      <w:start w:val="1"/>
    </w:lvl>
    <w:lvl w:ilvl="1">
      <w:lvlJc w:val="left"/>
      <w:lvlText w:val="(%2)"/>
      <w:numFmt w:val="upperLetter"/>
      <w:start w:val="6"/>
    </w:lvl>
  </w:abstractNum>
  <w:abstractNum w:abstractNumId="125">
    <w:nsid w:val="2A31B62D"/>
    <w:multiLevelType w:val="hybridMultilevel"/>
    <w:lvl w:ilvl="0">
      <w:lvlJc w:val="left"/>
      <w:lvlText w:val="(%1)"/>
      <w:numFmt w:val="lowerRoman"/>
      <w:start w:val="2"/>
    </w:lvl>
    <w:lvl w:ilvl="1">
      <w:lvlJc w:val="left"/>
      <w:lvlText w:val="%2"/>
      <w:numFmt w:val="upperLetter"/>
      <w:start w:val="1"/>
    </w:lvl>
  </w:abstractNum>
  <w:abstractNum w:abstractNumId="126">
    <w:nsid w:val="1849C29B"/>
    <w:multiLevelType w:val="hybridMultilevel"/>
    <w:lvl w:ilvl="0">
      <w:lvlJc w:val="left"/>
      <w:lvlText w:val="(%1)"/>
      <w:numFmt w:val="lowerRoman"/>
      <w:start w:val="3"/>
    </w:lvl>
  </w:abstractNum>
  <w:abstractNum w:abstractNumId="127">
    <w:nsid w:val="7DFF9D0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8">
    <w:nsid w:val="754342"/>
    <w:multiLevelType w:val="hybridMultilevel"/>
    <w:lvl w:ilvl="0">
      <w:lvlJc w:val="left"/>
      <w:lvlText w:val="%1"/>
      <w:numFmt w:val="decimal"/>
      <w:start w:val="46"/>
    </w:lvl>
  </w:abstractNum>
  <w:abstractNum w:abstractNumId="129">
    <w:nsid w:val="69E7F3E5"/>
    <w:multiLevelType w:val="hybridMultilevel"/>
    <w:lvl w:ilvl="0">
      <w:lvlJc w:val="left"/>
      <w:lvlText w:val="(%1)"/>
      <w:numFmt w:val="upperLetter"/>
      <w:start w:val="2"/>
    </w:lvl>
  </w:abstractNum>
  <w:abstractNum w:abstractNumId="130">
    <w:nsid w:val="2A6DE806"/>
    <w:multiLevelType w:val="hybridMultilevel"/>
    <w:lvl w:ilvl="0">
      <w:lvlJc w:val="left"/>
      <w:lvlText w:val="%1"/>
      <w:numFmt w:val="decimal"/>
      <w:start w:val="47"/>
    </w:lvl>
  </w:abstractNum>
  <w:abstractNum w:abstractNumId="131">
    <w:nsid w:val="1816F8C4"/>
    <w:multiLevelType w:val="hybridMultilevel"/>
    <w:lvl w:ilvl="0">
      <w:lvlJc w:val="left"/>
      <w:lvlText w:val="%1"/>
      <w:numFmt w:val="lowerRoman"/>
      <w:start w:val="1"/>
    </w:lvl>
    <w:lvl w:ilvl="1">
      <w:lvlJc w:val="left"/>
      <w:lvlText w:val="(%2)"/>
      <w:numFmt w:val="upperLetter"/>
      <w:start w:val="4"/>
    </w:lvl>
  </w:abstractNum>
  <w:abstractNum w:abstractNumId="132">
    <w:nsid w:val="37DF2233"/>
    <w:multiLevelType w:val="hybridMultilevel"/>
    <w:lvl w:ilvl="0">
      <w:lvlJc w:val="left"/>
      <w:lvlText w:val="(%1)"/>
      <w:numFmt w:val="lowerRoman"/>
      <w:start w:val="2"/>
    </w:lvl>
    <w:lvl w:ilvl="1">
      <w:lvlJc w:val="left"/>
      <w:lvlText w:val="%2"/>
      <w:numFmt w:val="upperLetter"/>
      <w:start w:val="1"/>
    </w:lvl>
  </w:abstractNum>
  <w:abstractNum w:abstractNumId="133">
    <w:nsid w:val="7AB49DAF"/>
    <w:multiLevelType w:val="hybridMultilevel"/>
    <w:lvl w:ilvl="0">
      <w:lvlJc w:val="left"/>
      <w:lvlText w:val="%1"/>
      <w:numFmt w:val="decimal"/>
      <w:start w:val="51"/>
    </w:lvl>
  </w:abstractNum>
  <w:abstractNum w:abstractNumId="134">
    <w:nsid w:val="759F82CD"/>
    <w:multiLevelType w:val="hybridMultilevel"/>
    <w:lvl w:ilvl="0">
      <w:lvlJc w:val="left"/>
      <w:lvlText w:val="(%1)"/>
      <w:numFmt w:val="lowerRoman"/>
      <w:start w:val="4"/>
    </w:lvl>
  </w:abstractNum>
  <w:abstractNum w:abstractNumId="135">
    <w:nsid w:val="61E74EA3"/>
    <w:multiLevelType w:val="hybridMultilevel"/>
    <w:lvl w:ilvl="0">
      <w:lvlJc w:val="left"/>
      <w:lvlText w:val="%1"/>
      <w:numFmt w:val="decimal"/>
      <w:start w:val="53"/>
    </w:lvl>
  </w:abstractNum>
  <w:abstractNum w:abstractNumId="136">
    <w:nsid w:val="597B4D84"/>
    <w:multiLevelType w:val="hybridMultilevel"/>
    <w:lvl w:ilvl="0">
      <w:lvlJc w:val="left"/>
      <w:lvlText w:val="(%1)"/>
      <w:numFmt w:val="lowerRoman"/>
      <w:start w:val="2"/>
    </w:lvl>
  </w:abstractNum>
  <w:abstractNum w:abstractNumId="137">
    <w:nsid w:val="F819E7F"/>
    <w:multiLevelType w:val="hybridMultilevel"/>
    <w:lvl w:ilvl="0">
      <w:lvlJc w:val="left"/>
      <w:lvlText w:val="%1"/>
      <w:numFmt w:val="decimal"/>
      <w:start w:val="59"/>
    </w:lvl>
  </w:abstractNum>
  <w:abstractNum w:abstractNumId="138">
    <w:nsid w:val="57C7D42D"/>
    <w:multiLevelType w:val="hybridMultilevel"/>
    <w:lvl w:ilvl="0">
      <w:lvlJc w:val="left"/>
      <w:lvlText w:val="(%1)"/>
      <w:numFmt w:val="lowerLetter"/>
      <w:start w:val="10"/>
    </w:lvl>
    <w:lvl w:ilvl="1">
      <w:lvlJc w:val="left"/>
      <w:lvlText w:val="(%2)"/>
      <w:numFmt w:val="lowerRoman"/>
      <w:start w:val="1"/>
    </w:lvl>
  </w:abstractNum>
  <w:abstractNum w:abstractNumId="139">
    <w:nsid w:val="312167AD"/>
    <w:multiLevelType w:val="hybridMultilevel"/>
    <w:lvl w:ilvl="0">
      <w:lvlJc w:val="left"/>
      <w:lvlText w:val="(%1)"/>
      <w:numFmt w:val="lowerLetter"/>
      <w:start w:val="13"/>
    </w:lvl>
    <w:lvl w:ilvl="1">
      <w:lvlJc w:val="left"/>
      <w:lvlText w:val="(%2)"/>
      <w:numFmt w:val="lowerRoman"/>
      <w:start w:val="1"/>
    </w:lvl>
  </w:abstractNum>
  <w:abstractNum w:abstractNumId="140">
    <w:nsid w:val="631B64D4"/>
    <w:multiLevelType w:val="hybridMultilevel"/>
    <w:lvl w:ilvl="0">
      <w:lvlJc w:val="left"/>
      <w:lvlText w:val="(%1)"/>
      <w:numFmt w:val="lowerRoman"/>
      <w:start w:val="3"/>
    </w:lvl>
  </w:abstractNum>
  <w:abstractNum w:abstractNumId="141">
    <w:nsid w:val="78B5E776"/>
    <w:multiLevelType w:val="hybridMultilevel"/>
    <w:lvl w:ilvl="0">
      <w:lvlJc w:val="left"/>
      <w:lvlText w:val="(%1)"/>
      <w:numFmt w:val="lowerLetter"/>
      <w:start w:val="15"/>
    </w:lvl>
  </w:abstractNum>
  <w:abstractNum w:abstractNumId="142">
    <w:nsid w:val="75486E47"/>
    <w:multiLevelType w:val="hybridMultilevel"/>
    <w:lvl w:ilvl="0">
      <w:lvlJc w:val="left"/>
      <w:lvlText w:val="(%1)"/>
      <w:numFmt w:val="lowerRoman"/>
      <w:start w:val="1"/>
    </w:lvl>
  </w:abstractNum>
  <w:abstractNum w:abstractNumId="143">
    <w:nsid w:val="6E534CDE"/>
    <w:multiLevelType w:val="hybridMultilevel"/>
    <w:lvl w:ilvl="0">
      <w:lvlJc w:val="left"/>
      <w:lvlText w:val="%1"/>
      <w:numFmt w:val="lowerLetter"/>
      <w:start w:val="1"/>
    </w:lvl>
    <w:lvl w:ilvl="1">
      <w:lvlJc w:val="left"/>
      <w:lvlText w:val="(%2)"/>
      <w:numFmt w:val="lowerLetter"/>
      <w:start w:val="35"/>
    </w:lvl>
  </w:abstractNum>
  <w:abstractNum w:abstractNumId="144">
    <w:nsid w:val="1A0DDE32"/>
    <w:multiLevelType w:val="hybridMultilevel"/>
    <w:lvl w:ilvl="0">
      <w:lvlJc w:val="left"/>
      <w:lvlText w:val="(%1)"/>
      <w:numFmt w:val="lowerLetter"/>
      <w:start w:val="20"/>
    </w:lvl>
    <w:lvl w:ilvl="1">
      <w:lvlJc w:val="left"/>
      <w:lvlText w:val="%2"/>
      <w:numFmt w:val="lowerLetter"/>
      <w:start w:val="1"/>
    </w:lvl>
  </w:abstractNum>
  <w:abstractNum w:abstractNumId="145">
    <w:nsid w:val="65968C1C"/>
    <w:multiLevelType w:val="hybridMultilevel"/>
    <w:lvl w:ilvl="0">
      <w:lvlJc w:val="left"/>
      <w:lvlText w:val="%1"/>
      <w:numFmt w:val="decimal"/>
      <w:start w:val="64"/>
    </w:lvl>
  </w:abstractNum>
  <w:abstractNum w:abstractNumId="146">
    <w:nsid w:val="46263DEC"/>
    <w:multiLevelType w:val="hybridMultilevel"/>
    <w:lvl w:ilvl="0">
      <w:lvlJc w:val="left"/>
      <w:lvlText w:val="(%1)"/>
      <w:numFmt w:val="lowerLetter"/>
      <w:start w:val="24"/>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147">
    <w:nsid w:val="260D8C4A"/>
    <w:multiLevelType w:val="hybridMultilevel"/>
    <w:lvl w:ilvl="0">
      <w:lvlJc w:val="left"/>
      <w:lvlText w:val="%1"/>
      <w:numFmt w:val="decimal"/>
      <w:start w:val="66"/>
    </w:lvl>
  </w:abstractNum>
  <w:abstractNum w:abstractNumId="148">
    <w:nsid w:val="73D4D3C4"/>
    <w:multiLevelType w:val="hybridMultilevel"/>
    <w:lvl w:ilvl="0">
      <w:lvlJc w:val="left"/>
      <w:lvlText w:val="%1"/>
      <w:numFmt w:val="lowerLetter"/>
      <w:start w:val="1"/>
    </w:lvl>
    <w:lvl w:ilvl="1">
      <w:lvlJc w:val="left"/>
      <w:lvlText w:val="(%2)"/>
      <w:numFmt w:val="lowerRoman"/>
      <w:start w:val="3"/>
    </w:lvl>
  </w:abstractNum>
  <w:abstractNum w:abstractNumId="149">
    <w:nsid w:val="746F2E30"/>
    <w:multiLevelType w:val="hybridMultilevel"/>
    <w:lvl w:ilvl="0">
      <w:lvlJc w:val="left"/>
      <w:lvlText w:val="(%1)"/>
      <w:numFmt w:val="lowerLetter"/>
      <w:start w:val="27"/>
    </w:lvl>
    <w:lvl w:ilvl="1">
      <w:lvlJc w:val="left"/>
      <w:lvlText w:val="%2"/>
      <w:numFmt w:val="lowerRoman"/>
      <w:start w:val="1"/>
    </w:lvl>
  </w:abstractNum>
  <w:abstractNum w:abstractNumId="150">
    <w:nsid w:val="6FDE8AF6"/>
    <w:multiLevelType w:val="hybridMultilevel"/>
    <w:lvl w:ilvl="0">
      <w:lvlJc w:val="left"/>
      <w:lvlText w:val="%1"/>
      <w:numFmt w:val="decimal"/>
      <w:start w:val="68"/>
    </w:lvl>
  </w:abstractNum>
  <w:abstractNum w:abstractNumId="151">
    <w:nsid w:val="3FC32E20"/>
    <w:multiLevelType w:val="hybridMultilevel"/>
    <w:lvl w:ilvl="0">
      <w:lvlJc w:val="left"/>
      <w:lvlText w:val="●"/>
      <w:numFmt w:val="bullet"/>
      <w:start w:val="1"/>
    </w:lvl>
  </w:abstractNum>
  <w:abstractNum w:abstractNumId="152">
    <w:nsid w:val="49C0E8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2025-09-30T11:02:12Z</dcterms:created>
  <dcterms:modified xsi:type="dcterms:W3CDTF">2025-09-30T11:02:12Z</dcterms:modified>
</cp:coreProperties>
</file>