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cohu20250923_8k.htm"/>
      <w:bookmarkStart w:id="1" w:name="kscohu20250923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3995"/>
        <w:gridCol w:w="60"/>
        <w:gridCol w:w="1640"/>
      </w:tblGrid>
      <w:tr>
        <w:trPr/>
        <w:tc>
          <w:tcPr>
            <w:tcW w:w="39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23,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caps w:val="false"/>
          <w:smallCaps w:val="false"/>
          <w:sz w:val="48"/>
        </w:rPr>
        <w:t>Cohu, Inc.</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9585" w:type="dxa"/>
        <w:jc w:val="left"/>
        <w:tblInd w:w="0" w:type="dxa"/>
        <w:tblLayout w:type="fixed"/>
        <w:tblCellMar>
          <w:top w:w="0" w:type="dxa"/>
          <w:left w:w="0" w:type="dxa"/>
          <w:bottom w:w="0" w:type="dxa"/>
          <w:right w:w="0" w:type="dxa"/>
        </w:tblCellMar>
      </w:tblPr>
      <w:tblGrid>
        <w:gridCol w:w="3665"/>
        <w:gridCol w:w="60"/>
        <w:gridCol w:w="4265"/>
        <w:gridCol w:w="60"/>
        <w:gridCol w:w="153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36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42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001-04298</w:t>
            </w:r>
          </w:p>
        </w:tc>
        <w:tc>
          <w:tcPr>
            <w:tcW w:w="60" w:type="dxa"/>
            <w:tcBorders/>
            <w:vAlign w:val="center"/>
          </w:tcPr>
          <w:p>
            <w:pPr>
              <w:pStyle w:val="TableContents"/>
              <w:bidi w:val="0"/>
              <w:spacing w:before="0" w:after="283"/>
              <w:jc w:val="left"/>
              <w:rPr/>
            </w:pPr>
            <w:r>
              <w:rPr/>
              <w:t> </w:t>
            </w:r>
          </w:p>
        </w:tc>
        <w:tc>
          <w:tcPr>
            <w:tcW w:w="15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95-1934119</w:t>
            </w:r>
          </w:p>
        </w:tc>
      </w:tr>
      <w:tr>
        <w:trPr/>
        <w:tc>
          <w:tcPr>
            <w:tcW w:w="3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tc>
      </w:tr>
      <w:tr>
        <w:trPr/>
        <w:tc>
          <w:tcPr>
            <w:tcW w:w="3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36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12367 Crosthwaite Circle, Poway, California</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92064</w:t>
            </w:r>
          </w:p>
        </w:tc>
      </w:tr>
      <w:tr>
        <w:trPr/>
        <w:tc>
          <w:tcPr>
            <w:tcW w:w="36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(Zip Code)</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Registrant’s telephone number, including area code:</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858-848-8100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br/>
        <w:t>☐ 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br/>
        <w:t>☐ 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20" w:type="dxa"/>
        <w:jc w:val="left"/>
        <w:tblInd w:w="0" w:type="dxa"/>
        <w:tblLayout w:type="fixed"/>
        <w:tblCellMar>
          <w:top w:w="0" w:type="dxa"/>
          <w:left w:w="0" w:type="dxa"/>
          <w:bottom w:w="0" w:type="dxa"/>
          <w:right w:w="0" w:type="dxa"/>
        </w:tblCellMar>
      </w:tblPr>
      <w:tblGrid>
        <w:gridCol w:w="2630"/>
        <w:gridCol w:w="1535"/>
        <w:gridCol w:w="3155"/>
      </w:tblGrid>
      <w:tr>
        <w:trPr/>
        <w:tc>
          <w:tcPr>
            <w:tcW w:w="2630"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Title of Each Class</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Trading Symbol(s)</w:t>
            </w:r>
          </w:p>
        </w:tc>
        <w:tc>
          <w:tcPr>
            <w:tcW w:w="315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Name of exchange on which registered</w:t>
            </w:r>
          </w:p>
        </w:tc>
      </w:tr>
      <w:tr>
        <w:trPr/>
        <w:tc>
          <w:tcPr>
            <w:tcW w:w="26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$1.00 par value</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w:t>
            </w:r>
          </w:p>
        </w:tc>
        <w:tc>
          <w:tcPr>
            <w:tcW w:w="31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Private Offering of Convertible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23, 2025, Cohu, Inc. (“Cohu” or the “Company”) issued a press release announcing that it intends to offer, subject to market and other conditions, $200,000,000 aggregate principal amount of Convertible Senior Notes due 2031 (the “Notes”) in a private offering to persons reasonably believed to be qualified institutional buyers pursuant to Rule 144A under the Securities Act of 1933, as amended. Cohu also expects to grant to the initial purchasers of the Notes an option to purchase up to an additional $30,000,000 aggregate principal amount of the Notes, for settlement by (and including) October 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Capped Call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offering, Cohu expects to enter into privately negotiated capped call transactions with one or more of the initial purchasers of the Notes or their respective affiliates and/or other financial institutions (the “option counterparties”). The capped call transactions will cover, subject to anti-dilution adjustments substantially similar to those applicable to the Notes, the number of shares of Cohu’s common stock initially underlying the Notes. The capped call transactions are generally expected to reduce the potential dilution to Cohu’s common stock upon any conversion of the Notes and/or offset any potential cash payments Cohu is required to make in excess of the principal amount of converted Notes, as the case may be, with such reduction and/or offset subject to a cap. If the initial purchasers exercise their option to purchase additional notes, Cohu expects to enter into additional capped call transactions with the option counterparties.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establishing their initial hedges of the capped call transactions, Cohu expects the option counterparties or their respective affiliates to enter into various derivative transactions with respect to Cohu’s common stock and/or purchase shares of Cohu’s common stock concurrently with or shortly after the pricing of the Notes, including with, or from, as the case may be, certain investors in the Notes. This activity could increase (or reduce the size of any decrease in) the market price of Cohu’s common stock or the Notes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option counterparties or their respective affiliates may modify their hedge positions by entering into or unwinding various derivatives with respect to Cohu’s common stock and/or purchasing or selling Cohu’s common stock or other securities of Cohu in secondary market transactions following the pricing of the Notes and prior to the maturity of the Notes (and are likely to do so during the observation period related to a conversion of the Notes, in connection with any fundamental change repurchase or redemption of the Notes and, to the extent Cohu unwinds a corresponding portion of the capped call transactions, following any other repurchase of the Notes). This activity could also cause or avoid an increase or a decrease in the market price of Cohu’s common stock or the Notes, which could affect a noteholder’s ability to convert the Notes and, to the extent the activity occurs during any observation period related to a conversion of Notes, it could affect the amount and value of the consideration that noteholders will receive upon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statements contained in this Current Report on Form 8-K may be considered “forward-looking statements” within the meaning of Section 27A of the Securities Act of 1933, as amended, and Section 21E of the Securities Exchange Act of 1934, as amended. One can identify these forward-looking statements by the use of the words “expect,” “anticipate,” “plan,” “may,” “will,” “estimate,” “feeling” or other similar expressions and include all statements with regard to the pricing, completion, timing and size of the proposed offering, the intended use of proceeds, the completion of the capped call transactions on the anticipated terms or at all, the terms of the Notes being offered, and the anticipated effects of entering into the capped call transactions. Statements that are not historical facts are forward-looking statements. Forward-looking statements are based on current beliefs and assumptions that are subject to risks and uncertainties and are not guarantees of future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and other risks and uncertainties are discussed more fully in Cohu’s filings with the Securities and Exchange Commission (the “SEC”), including Cohu’s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50"/>
        <w:gridCol w:w="648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Exhibit</w:t>
            </w:r>
          </w:p>
        </w:tc>
        <w:tc>
          <w:tcPr>
            <w:tcW w:w="6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Description</w:t>
            </w:r>
          </w:p>
        </w:tc>
      </w:tr>
      <w:tr>
        <w:trPr/>
        <w:tc>
          <w:tcPr>
            <w:tcW w:w="6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99.1</w:t>
            </w:r>
          </w:p>
        </w:tc>
        <w:tc>
          <w:tcPr>
            <w:tcW w:w="6485" w:type="dxa"/>
            <w:tcBorders/>
            <w:vAlign w:val="center"/>
          </w:tcPr>
          <w:p>
            <w:pPr>
              <w:pStyle w:val="TableContents"/>
              <w:bidi w:val="0"/>
              <w:spacing w:before="0" w:after="0"/>
              <w:ind w:left="0" w:right="0" w:hanging="0"/>
              <w:jc w:val="left"/>
              <w:rPr/>
            </w:pPr>
            <w:hyperlink w:anchor="ex_863653.htm">
              <w:r>
                <w:rPr>
                  <w:rStyle w:val="InternetLink"/>
                  <w:rFonts w:ascii="Times New Roman;Times;serif" w:hAnsi="Times New Roman;Times;serif"/>
                  <w:caps w:val="false"/>
                  <w:smallCaps w:val="false"/>
                  <w:sz w:val="20"/>
                </w:rPr>
                <w:t>Press Release of Cohu, Inc., dated September 23, 2025</w:t>
              </w:r>
            </w:hyperlink>
          </w:p>
        </w:tc>
      </w:tr>
      <w:tr>
        <w:trPr/>
        <w:tc>
          <w:tcPr>
            <w:tcW w:w="6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1640"/>
        <w:gridCol w:w="320"/>
        <w:gridCol w:w="4265"/>
      </w:tblGrid>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0"/>
              <w:ind w:left="20" w:right="0" w:hanging="0"/>
              <w:jc w:val="left"/>
              <w:rPr>
                <w:rFonts w:ascii="Times New Roman" w:hAnsi="Times New Roman"/>
                <w:b/>
                <w:caps w:val="false"/>
                <w:smallCaps w:val="false"/>
                <w:sz w:val="20"/>
              </w:rPr>
            </w:pPr>
            <w:r>
              <w:rPr>
                <w:rFonts w:ascii="Times New Roman" w:hAnsi="Times New Roman"/>
                <w:b/>
                <w:caps w:val="false"/>
                <w:smallCaps w:val="false"/>
                <w:sz w:val="20"/>
              </w:rPr>
              <w:t>Cohu, Inc.</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September 23,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265" w:type="dxa"/>
            <w:tcBorders>
              <w:bottom w:val="single" w:sz="2" w:space="0" w:color="000000"/>
            </w:tcBorders>
            <w:tcMar>
              <w:bottom w:w="28" w:type="dxa"/>
            </w:tcMar>
            <w:vAlign w:val="center"/>
          </w:tcPr>
          <w:p>
            <w:pPr>
              <w:pStyle w:val="TableContents"/>
              <w:bidi w:val="0"/>
              <w:spacing w:before="0" w:after="0"/>
              <w:ind w:left="0" w:right="0" w:hanging="40"/>
              <w:jc w:val="left"/>
              <w:rPr>
                <w:rFonts w:ascii="Times New Roman" w:hAnsi="Times New Roman"/>
                <w:caps w:val="false"/>
                <w:smallCaps w:val="false"/>
                <w:sz w:val="20"/>
              </w:rPr>
            </w:pPr>
            <w:r>
              <w:rPr>
                <w:rFonts w:ascii="Times New Roman" w:hAnsi="Times New Roman"/>
                <w:caps w:val="false"/>
                <w:smallCaps w:val="false"/>
                <w:sz w:val="20"/>
              </w:rPr>
              <w:t>/s/ Jeffrey D. Jones</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Jeffrey D. Jones</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Senior VP Finance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863653.htm"/>
      <w:bookmarkStart w:id="3" w:name="ksex_863653"/>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25" w:type="dxa"/>
        <w:jc w:val="left"/>
        <w:tblInd w:w="0" w:type="dxa"/>
        <w:tblLayout w:type="fixed"/>
        <w:tblCellMar>
          <w:top w:w="0" w:type="dxa"/>
          <w:left w:w="0" w:type="dxa"/>
          <w:bottom w:w="0" w:type="dxa"/>
          <w:right w:w="28" w:type="dxa"/>
        </w:tblCellMar>
      </w:tblPr>
      <w:tblGrid>
        <w:gridCol w:w="172"/>
        <w:gridCol w:w="3053"/>
      </w:tblGrid>
      <w:tr>
        <w:trPr/>
        <w:tc>
          <w:tcPr>
            <w:tcW w:w="172" w:type="dxa"/>
            <w:tcBorders>
              <w:right w:val="single" w:sz="18"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053" w:type="dxa"/>
            <w:tcBorders/>
            <w:tcMar>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3225" w:type="dxa"/>
            <w:gridSpan w:val="2"/>
            <w:tcBorders/>
            <w:tcMar>
              <w:right w:w="0" w:type="dxa"/>
            </w:tcMar>
            <w:vAlign w:val="center"/>
          </w:tcPr>
          <w:p>
            <w:pPr>
              <w:pStyle w:val="TableContents"/>
              <w:bidi w:val="0"/>
              <w:spacing w:before="0" w:after="0"/>
              <w:jc w:val="center"/>
              <w:rPr/>
            </w:pPr>
            <w:r>
              <w:rPr/>
              <w:drawing>
                <wp:inline distT="0" distB="0" distL="0" distR="0">
                  <wp:extent cx="2028825"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295275"/>
                          </a:xfrm>
                          <a:prstGeom prst="rect">
                            <a:avLst/>
                          </a:prstGeom>
                        </pic:spPr>
                      </pic:pic>
                    </a:graphicData>
                  </a:graphic>
                </wp:inline>
              </w:drawing>
            </w:r>
          </w:p>
        </w:tc>
      </w:tr>
      <w:tr>
        <w:trPr/>
        <w:tc>
          <w:tcPr>
            <w:tcW w:w="172" w:type="dxa"/>
            <w:tcBorders>
              <w:right w:val="single" w:sz="18"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053" w:type="dxa"/>
            <w:tcBorders/>
            <w:tcMar>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COHU, INC.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12367 CROSTHWAITE CIRCLE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POWAY, CA 92064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FAX (858) 848-8185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PHONE (858) 858-8100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 xml:space="preserve">Cohu Announces Offering of </w:t>
      </w:r>
      <w:r>
        <w:rPr>
          <w:rFonts w:ascii="Times New Roman" w:hAnsi="Times New Roman"/>
          <w:caps w:val="false"/>
          <w:smallCaps w:val="false"/>
          <w:sz w:val="24"/>
        </w:rPr>
        <w:br/>
      </w:r>
      <w:r>
        <w:rPr>
          <w:rFonts w:ascii="Times New Roman" w:hAnsi="Times New Roman"/>
          <w:b/>
          <w:caps w:val="false"/>
          <w:smallCaps w:val="false"/>
          <w:sz w:val="24"/>
        </w:rPr>
        <w:t>Convertible Senior Notes</w:t>
      </w:r>
    </w:p>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60"/>
        <w:gridCol w:w="170"/>
        <w:gridCol w:w="6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40"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Opportunistic capital raise with proceeds used to enhance strategic flexibility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 portion of the proceeds to be used to purchase capped calls intended to offset any share dilution until at least a targeted 100% premium to the last reported sale price of Cohu</w:t>
            </w:r>
            <w:r>
              <w:rPr>
                <w:rFonts w:ascii="Times New Roman" w:hAnsi="Times New Roman"/>
                <w:caps w:val="false"/>
                <w:smallCaps w:val="false"/>
                <w:sz w:val="20"/>
              </w:rPr>
              <w:t>’</w:t>
            </w:r>
            <w:r>
              <w:rPr>
                <w:rFonts w:ascii="Times New Roman" w:hAnsi="Times New Roman"/>
                <w:i/>
                <w:caps w:val="false"/>
                <w:smallCaps w:val="false"/>
                <w:sz w:val="20"/>
              </w:rPr>
              <w:t>s common stock on the date of pricing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POWAY, Calif., September 23, 2025 - </w:t>
      </w:r>
      <w:r>
        <w:rPr>
          <w:rFonts w:ascii="Times New Roman" w:hAnsi="Times New Roman"/>
          <w:caps w:val="false"/>
          <w:smallCaps w:val="false"/>
          <w:sz w:val="20"/>
        </w:rPr>
        <w:t>Cohu, Inc. (NASDAQ: COHU) (“Cohu” or the “Company,” “we” or “our”), a global supplier of equipment and services optimizing semiconductor manufacturing yield and productivity, today announced that it intends to offer, subject to market and other conditions, $200.0 million aggregate principal amount of convertible senior notes due 2031 (the “Notes”) in a private offering to persons reasonably believed to be qualified institutional buyers pursuant to Rule 144A under the Securities Act of 1933, as amended (the “Securities Act”). Cohu also expects to grant to the initial purchasers of the Notes an option to purchase up to an additional $30.0 million aggregate principal amount of the Notes, for settlement by (and including) October 3,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Notes will be Cohu’s senior unsecured obligations. The Notes will mature on January 15, 2031, unless earlier converted, redeemed or repurchased. Prior to October 15, 2030, the Notes will be convertible only upon satisfaction of certain conditions and during certain periods, and, thereafter, the Notes will be convertible at any time until the close of business on the second scheduled trading day immediately preceding the maturity date. Upon conversion, Cohu will satisfy its conversion obligations by paying cash up to the aggregate principal amount of the Notes to be converted and paying and/or delivering, as the case may be, cash, shares of its common stock or a combination of cash and shares of its common stock, in respect of the remainder, if any, of its conversion obligation in excess of the aggregate principal amount of the Notes being converted. The interest rate, the initial conversion rate and the other terms of the Notes will be determined upon pricing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Cohu intends to use the net proceeds from this offering (i) to pay the cost of the capped call transactions described below and (ii)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option expected to be granted to the initial purchasers to purchase additional Notes is exercised, Cohu intends to use a portion of the net proceeds from the sale of such additional Notes to enter into additional capped call transactions and any remaining net proceeds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Capped Call Transactions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offering, Cohu expects to enter into privately negotiated capped call transactions with one or more of the initial purchasers of the Notes or their respective affiliates and/or other financial institutions (the “option counterparties”). The capped call transactions will cover, subject to anti-dilution adjustments substantially similar to those applicable to the Notes, the number of shares of Cohu’s common stock initially underlying the Notes. The capped call transactions are generally expected to reduce the potential dilution to Cohu’s common stock upon any conversion of the Notes and/or offset any potential cash payments Cohu is required to make in excess of the principal amount of converted Notes, as the case may be, with such reduction and/or offset subject to a cap. If the initial purchasers exercise their option to purchase additional notes, Cohu expects to enter into additional capped call transactions with the option counterparties.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establishing their initial hedges of the capped call transactions, Cohu expects the option counterparties or their respective affiliates to enter into various derivative transactions with respect to Cohu’s common stock and/or purchase shares of Cohu’s common stock concurrently with or shortly after the pricing of the Notes, including with, or from, as the case may be, certain investors in the Notes. This activity could increase (or reduce the size of any decrease in) the market price of Cohu’s common stock or the Notes at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option counterparties or their respective affiliates may modify their hedge positions by entering into or unwinding various derivatives with respect to Cohu’s common stock and/or purchasing or selling Cohu’s common stock or other securities of Cohu in secondary market transactions following the pricing of the Notes and prior to the maturity of the Notes (and are likely to do so during the observation period related to a conversion of the Notes, in connection with any fundamental change repurchase or redemption of the Notes and, to the extent Cohu unwinds a corresponding portion of the capped call transactions, following any other repurchase of the Notes). This activity could also cause or avoid an increase or a decrease in the market price of Cohu’s common stock or the Notes, which could affect a noteholder’s ability to convert the Notes and, to the extent the activity occurs during any observation period related to a conversion of Notes, it could affect the amount and value of the consideration that noteholders will receive upon conversion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Notes will be offered to persons reasonably believed to be qualified institutional buyers pursuant to Rule 144A under the Securities Act. The offer and sale of the Notes and any shares of Cohu’s common stock issuable upon conversion of the Notes have not been registered under the Securities Act, or any state securities law, and the Notes and any such shares may not be offered or sold absent registration under, or pursuant to an exemption from, or in a transaction not subject to, the Securities Act and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does not constitute an offer to sell or a solicitation of an offer to buy any securities, including the Notes or any shares of Cohu’s common stock, nor shall there be any offer, solicitation or sale of any Notes or any such shares of Cohu’s common stock in any jurisdiction in which such offer, solicitation or sale would be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About Cohu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Cohu (NASDAQ: COHU) is a global technology leader supplying test, automation, inspection and metrology products and services to the semiconductor industry. Cohu’s differentiated and broad product portfolio enables optimized yield and productivity, accelerating customers’ manufacturing time-to-market.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statements contained in this release may be considered forward-looking statements within the meaning of Section 27A of the Securities Act of 1933, as amended, and Section 21E of the Securities Exchange Act of 1934, as amended. One can identify these forward-looking statements by the use of the words “expect,” “anticipate,” “plan,” “may,” “will,” “estimate,” “feeling” or other similar expressions and include all statements with regard to the pricing, completion, timing and size of the proposed offering, the intended use of proceeds, the completion of the capped call transactions on the anticipated terms or at all, and the terms of the Notes being offered and the anticipated effects of entering into the capped call transactions.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Actual results and future business conditions could differ materially from those contained in any forward-looking statement as a result of various factors, including, without limitation: new product investments and product enhancements which may not be commercially successful; the semiconductor industry is seasonal, cyclical, volatile and unpredictable; recent erosion in mobile, automotive and industrial market sales; our ability to manage and deliver high quality products and services; failure of sole source contract manufacturer or our ability to manage third-party raw material, component and/or service providers; ongoing inflationary pressures on material and operational costs coupled with rising interest rates; economic recession; the semiconductor industry is intensely competitive, subject to rapid technological changes, and experiences consolidation of key customers for semiconductor test equipment; a limited number of customers account for a substantial percentage of net sales; significant exports to foreign countries with economic and political instability and competition from a number of Asia-based manufacturers; our relationships with customers may deteriorate; loss of key personnel; risks of using artificial intelligence within Cohu’s product developments and business; reliance on foreign locations and geopolitical instability in such locations critical to Cohu and its customers; natural disasters, war and climate-related changes, including related economic impacts; levels of debt; access to sufficient capital on reasonable or favorable terms; foreign operations and related currency fluctuations; required or desired accounting charges and the cost or effectiveness of accounting controls; instability of financial institutions where we maintain cash deposits and potential loss of uninsured cash deposits; significant goodwill and other intangibles as percentage of our total assets; increasingly restrictive trade and export regulations impacting our ability to sell products, specifically within China; risks associated with acquisitions, investments and divestitures such as integration and synergies; constraints related to corporate governance structures; share repurchases and related impacts; financial or operating results that are below forecast or credit rating changes impacting our stock price or financing ability; law/regulatory changes and including environmental or tax law changes; significant volatility in our stock price; the risk of cybersecurity breaches; enforcing or defending intellectual property claims or other litigation.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more information,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Inc. </w:t>
        <w:br/>
        <w:t>Jeffrey D. Jones - Investor Relations </w:t>
        <w:br/>
        <w:t>858-848-8106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2791</Words>
  <Characters>15484</Characters>
  <CharactersWithSpaces>18319</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