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BILODEAU STEVEN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05/16/2025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10,257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70,056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on the earlier to occur of (i) the one-year anniversary of the date of grant or (ii) the next Cohu, Inc. Annual Meeting of Stockholders (assuming continued service on the Board of Directors).</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10,257 Restricted Stock Units (RSUs) and 30,201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05/20/2025</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82964"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2025-05-20T12:42:39Z</dcterms:created>
  <dcterms:modified xsi:type="dcterms:W3CDTF">2025-05-20T12:42:39Z</dcterms:modified>
</cp:coreProperties>
</file>