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Ilgenfritz Klaus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POWAY</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15,166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60,852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22,750</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83,602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998</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7"/>
              </w:rPr>
              <w:t>82,604</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three equal annual installments beginning March 11, 2026 (assuming continued employment).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vest only after the achievement of specified performance goals (total shareholder return). Provided such goals are achieved and subject to continued employment through the vesting date, vesting is scheduled to occur in full on the third anniversary of the date of the grant (March 11, 2028).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71,836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03/18/2025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573"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2025-03-18T17:52:19Z</dcterms:created>
  <dcterms:modified xsi:type="dcterms:W3CDTF">2025-03-18T17:52:19Z</dcterms:modified>
</cp:coreProperties>
</file>