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Muller Luis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jc w:val="center"/>
              <w:ind w:right="7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w w:val="99"/>
              </w:rPr>
              <w:t>POWAY</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82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03/11/2025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7"/>
              </w:rPr>
              <w:t>97,067</w:t>
            </w:r>
            <w:r>
              <w:rPr>
                <w:rFonts w:ascii="Times New Roman" w:cs="Times New Roman" w:eastAsia="Times New Roman" w:hAnsi="Times New Roman"/>
                <w:sz w:val="22"/>
                <w:szCs w:val="22"/>
                <w:color w:val="008000"/>
                <w:w w:val="97"/>
                <w:vertAlign w:val="superscript"/>
              </w:rPr>
              <w:t>(1)</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807,149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Stock Units</w:t>
            </w:r>
          </w:p>
        </w:tc>
        <w:tc>
          <w:tcPr>
            <w:tcW w:w="182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03/11/2025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96"/>
              </w:rPr>
              <w:t>145,601</w:t>
            </w:r>
            <w:r>
              <w:rPr>
                <w:rFonts w:ascii="Times New Roman" w:cs="Times New Roman" w:eastAsia="Times New Roman" w:hAnsi="Times New Roman"/>
                <w:sz w:val="22"/>
                <w:szCs w:val="22"/>
                <w:color w:val="008000"/>
                <w:w w:val="96"/>
                <w:vertAlign w:val="superscript"/>
              </w:rPr>
              <w:t>(2)</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952,750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8,946</w:t>
            </w:r>
            <w:r>
              <w:rPr>
                <w:rFonts w:ascii="Times New Roman" w:cs="Times New Roman" w:eastAsia="Times New Roman" w:hAnsi="Times New Roman"/>
                <w:sz w:val="22"/>
                <w:szCs w:val="22"/>
                <w:color w:val="008000"/>
                <w:w w:val="93"/>
                <w:vertAlign w:val="superscript"/>
              </w:rPr>
              <w:t>(3)</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w w:val="96"/>
              </w:rPr>
              <w:t>943,804</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in three equal annual installments beginning March 11, 2026 (assuming continued employment).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(also referred to as RSUs) that will be converted on a one-for-one basis into shares of Cohu, Inc. Common Stock upon vesting. These performance stock units will vest only after the achievement of specified performance goals (total shareholder return). Provided such goals are achieved and subject to continued employment through the vesting date, vesting is scheduled to occur in full on the third anniversary of the date of the grant (March 11, 2028). The number of shares shown is the target award level. The actual number of shares that may vest ranges from 0% to 200% of the target amount, depending on achievement of specified performance goals.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were automatically withheld upon vesting of Restricted Stock Units (RSUs) to cover tax obligations in a transaction exempt under Rule 16(b)-3.</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538,221 RSUs (excluding the impact of shares that will be withheld to cover tax obligations) previously reported that in the future will be converted on a one-for-one basis into shares of Cohu, Inc. Common Stock immediately upon the vesting dates (assuming continued employment and achievement of specified performance goals).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03/13/2025</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9513"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2025-03-13T19:39:12Z</dcterms:created>
  <dcterms:modified xsi:type="dcterms:W3CDTF">2025-03-13T19:39:12Z</dcterms:modified>
</cp:coreProperties>
</file>