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BOHRSON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Sr VP &amp; Chief Customer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9"/>
              </w:rPr>
              <w:t>POWAY</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92064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7"/>
              </w:rPr>
              <w:t>03/10/2025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38"/>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16.88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128,739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03/11/2025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33,367</w:t>
            </w:r>
            <w:r>
              <w:rPr>
                <w:rFonts w:ascii="Times New Roman" w:cs="Times New Roman" w:eastAsia="Times New Roman" w:hAnsi="Times New Roman"/>
                <w:sz w:val="22"/>
                <w:szCs w:val="22"/>
                <w:color w:val="008000"/>
                <w:w w:val="97"/>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162,106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03/11/2025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22,244</w:t>
            </w:r>
            <w:r>
              <w:rPr>
                <w:rFonts w:ascii="Times New Roman" w:cs="Times New Roman" w:eastAsia="Times New Roman" w:hAnsi="Times New Roman"/>
                <w:sz w:val="22"/>
                <w:szCs w:val="22"/>
                <w:color w:val="008000"/>
                <w:w w:val="97"/>
                <w:vertAlign w:val="superscript"/>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184,350</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05-17-2024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at an exact execution price of $16.88.</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vest only after the achievement of specified performance goals (total shareholder return). Provided such goals are achieved and subject to continued employment through the vesting date, vesting is scheduled to occur in full on the third anniversary of the date of the grant (March 11, 2028).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three equal annual installments beginning March 11, 2026 (assuming continued employment).</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130,357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03/12/2025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1398"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2025-03-12T14:56:36Z</dcterms:created>
  <dcterms:modified xsi:type="dcterms:W3CDTF">2025-03-12T14:56:36Z</dcterms:modified>
</cp:coreProperties>
</file>