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cohu20250224_8k.htm"/>
      <w:bookmarkStart w:id="1" w:name="kscohu20250224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3995"/>
        <w:gridCol w:w="1505"/>
      </w:tblGrid>
      <w:tr>
        <w:trPr/>
        <w:tc>
          <w:tcPr>
            <w:tcW w:w="3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of Report (Date of Earliest Event Reported):</w:t>
            </w:r>
          </w:p>
        </w:tc>
        <w:tc>
          <w:tcPr>
            <w:tcW w:w="1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24,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caps w:val="false"/>
          <w:smallCaps w:val="false"/>
          <w:sz w:val="48"/>
        </w:rPr>
        <w:t>Cohu, Inc.</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170" w:type="dxa"/>
        <w:jc w:val="left"/>
        <w:tblInd w:w="0" w:type="dxa"/>
        <w:tblLayout w:type="fixed"/>
        <w:tblCellMar>
          <w:top w:w="0" w:type="dxa"/>
          <w:left w:w="0" w:type="dxa"/>
          <w:bottom w:w="0" w:type="dxa"/>
          <w:right w:w="0" w:type="dxa"/>
        </w:tblCellMar>
      </w:tblPr>
      <w:tblGrid>
        <w:gridCol w:w="4265"/>
        <w:gridCol w:w="1385"/>
        <w:gridCol w:w="1520"/>
      </w:tblGrid>
      <w:tr>
        <w:trPr/>
        <w:tc>
          <w:tcPr>
            <w:tcW w:w="4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13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001-04298</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95-1934119</w:t>
            </w:r>
          </w:p>
        </w:tc>
      </w:tr>
      <w:tr>
        <w:trPr/>
        <w:tc>
          <w:tcPr>
            <w:tcW w:w="4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w:t>
              <w:br/>
              <w:t>(State or other jurisdiction</w:t>
            </w:r>
          </w:p>
        </w:tc>
        <w:tc>
          <w:tcPr>
            <w:tcW w:w="13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w:t>
              <w:br/>
              <w:t>(Commission</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w:t>
              <w:br/>
              <w:t>(I.R.S. Employer</w:t>
            </w:r>
          </w:p>
        </w:tc>
      </w:tr>
      <w:tr>
        <w:trPr/>
        <w:tc>
          <w:tcPr>
            <w:tcW w:w="4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13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r>
        <w:trPr/>
        <w:tc>
          <w:tcPr>
            <w:tcW w:w="426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38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52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4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12367 Crosthwaite Circle, Poway, California</w:t>
            </w:r>
          </w:p>
        </w:tc>
        <w:tc>
          <w:tcPr>
            <w:tcW w:w="138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92064</w:t>
            </w:r>
          </w:p>
        </w:tc>
      </w:tr>
      <w:tr>
        <w:trPr/>
        <w:tc>
          <w:tcPr>
            <w:tcW w:w="4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_________________________________</w:t>
              <w:br/>
              <w:t>(Address of principal executive offices)</w:t>
            </w:r>
          </w:p>
        </w:tc>
        <w:tc>
          <w:tcPr>
            <w:tcW w:w="138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br/>
              <w:t>(Zip Code)</w:t>
            </w:r>
          </w:p>
        </w:tc>
      </w:tr>
      <w:tr>
        <w:trPr/>
        <w:tc>
          <w:tcPr>
            <w:tcW w:w="426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38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5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4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c>
          <w:tcPr>
            <w:tcW w:w="138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858-848-8100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50" w:type="dxa"/>
        <w:jc w:val="left"/>
        <w:tblInd w:w="0" w:type="dxa"/>
        <w:tblLayout w:type="fixed"/>
        <w:tblCellMar>
          <w:top w:w="0" w:type="dxa"/>
          <w:left w:w="0" w:type="dxa"/>
          <w:bottom w:w="0" w:type="dxa"/>
          <w:right w:w="0" w:type="dxa"/>
        </w:tblCellMar>
      </w:tblPr>
      <w:tblGrid>
        <w:gridCol w:w="2645"/>
        <w:gridCol w:w="1535"/>
        <w:gridCol w:w="3170"/>
      </w:tblGrid>
      <w:tr>
        <w:trPr/>
        <w:tc>
          <w:tcPr>
            <w:tcW w:w="264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Title of Each Class</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Trading Symbol(s)</w:t>
            </w:r>
          </w:p>
        </w:tc>
        <w:tc>
          <w:tcPr>
            <w:tcW w:w="317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Name of exchange on which registered</w:t>
            </w:r>
          </w:p>
        </w:tc>
      </w:tr>
      <w:tr>
        <w:trPr/>
        <w:tc>
          <w:tcPr>
            <w:tcW w:w="264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$1.00 par value</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COHU</w:t>
            </w:r>
          </w:p>
        </w:tc>
        <w:tc>
          <w:tcPr>
            <w:tcW w:w="317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90"/>
        <w:gridCol w:w="9050"/>
      </w:tblGrid>
      <w:tr>
        <w:trPr/>
        <w:tc>
          <w:tcPr>
            <w:tcW w:w="29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90" w:type="dxa"/>
            <w:tcBorders/>
            <w:vAlign w:val="center"/>
          </w:tcPr>
          <w:p>
            <w:pPr>
              <w:pStyle w:val="TableContents"/>
              <w:bidi w:val="0"/>
              <w:spacing w:before="0" w:after="0"/>
              <w:ind w:left="0" w:right="0" w:hanging="0"/>
              <w:jc w:val="left"/>
              <w:rPr/>
            </w:pPr>
            <w:r>
              <w:rPr/>
              <w:t xml:space="preserve">☐ </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90" w:type="dxa"/>
            <w:tcBorders/>
            <w:vAlign w:val="center"/>
          </w:tcPr>
          <w:p>
            <w:pPr>
              <w:pStyle w:val="TableContents"/>
              <w:bidi w:val="0"/>
              <w:spacing w:before="0" w:after="0"/>
              <w:ind w:left="0" w:right="0" w:hanging="0"/>
              <w:jc w:val="left"/>
              <w:rPr/>
            </w:pPr>
            <w:r>
              <w:rPr/>
              <w:t xml:space="preserve">☐ </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90" w:type="dxa"/>
            <w:tcBorders/>
            <w:vAlign w:val="center"/>
          </w:tcPr>
          <w:p>
            <w:pPr>
              <w:pStyle w:val="TableContents"/>
              <w:bidi w:val="0"/>
              <w:spacing w:before="0" w:after="0"/>
              <w:ind w:left="0" w:right="0" w:hanging="0"/>
              <w:jc w:val="left"/>
              <w:rPr/>
            </w:pPr>
            <w:r>
              <w:rPr/>
              <w:t xml:space="preserve">☐ </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7.01.</w:t>
      </w:r>
      <w:r>
        <w:rPr>
          <w:rFonts w:ascii="Times New Roman" w:hAnsi="Times New Roman"/>
          <w:caps w:val="false"/>
          <w:smallCaps w:val="false"/>
          <w:sz w:val="20"/>
        </w:rPr>
        <w:t> </w:t>
      </w:r>
      <w:r>
        <w:rPr>
          <w:rFonts w:ascii="Times New Roman" w:hAnsi="Times New Roman"/>
          <w:b/>
          <w:caps w:val="false"/>
          <w:smallCaps w:val="false"/>
          <w:sz w:val="20"/>
        </w:rPr>
        <w:t>Regulation FD</w:t>
      </w:r>
      <w:r>
        <w:rPr>
          <w:rFonts w:ascii="Times New Roman" w:hAnsi="Times New Roman"/>
          <w:caps w:val="false"/>
          <w:smallCaps w:val="false"/>
          <w:sz w:val="20"/>
        </w:rPr>
        <w:t> </w:t>
      </w:r>
      <w:r>
        <w:rPr>
          <w:rFonts w:ascii="Times New Roman" w:hAnsi="Times New Roman"/>
          <w:b/>
          <w:caps w:val="false"/>
          <w:smallCaps w:val="false"/>
          <w:sz w:val="20"/>
        </w:rPr>
        <w:t>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February 20, 2025, Cohu, Inc. (the “Company”) filed its Annual Report on Form 10-K with the Securities Exchange Commission (“SEC”) which disclosed that on February 19, 2025, the Company approved and began executing a strategic restructuring program designed to reposition its organization and improve its cost structure (“2025 Restructuring Program”). As part of the 2025 Restructuring Program the Company plans on consolidating certain operations that are currently based in La Chaux-de-Fonds, Switzerland, and in Kolbermoor, Germany, respectively, into other lower cost locations owned by the Company. As part of the 2025 Restructuring Program, the Company also anticipates making headcount reductions in the U.S. and throughout Asia. Relating to the operations consolidation actions, the Company notified certain impacted employees of the corresponding reduction in force program at those locations which will require negotiation with the microtechnology and Swiss watch trade union and the German labor organization which represent certain of the employees at their respective locations. The 2025 Restructuring Program will reduce headcount, enable the Company to optimize the facilities of its operations, as well as transition certain manufacturing to other lower cost regions. The 2025 Restructuring Program is being implemented as part of a comprehensive review of the Company’s operations with the goal of reducing costs during the extended downturn in the semiconductor test and inspection equipment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As a result of the activities described above, the Company expects to recognize total pretax charges, consisting primarily of severance and other termination benefits, in the range of $6.1 million to $7.2 million, that are within the scope of ASC 420, </w:t>
      </w:r>
      <w:r>
        <w:rPr>
          <w:rFonts w:ascii="Times New Roman" w:hAnsi="Times New Roman"/>
          <w:i/>
          <w:caps w:val="false"/>
          <w:smallCaps w:val="false"/>
          <w:sz w:val="20"/>
        </w:rPr>
        <w:t>Exit or Disposal Cost Obligations,</w:t>
      </w:r>
      <w:r>
        <w:rPr>
          <w:rFonts w:ascii="Times New Roman" w:hAnsi="Times New Roman"/>
          <w:caps w:val="false"/>
          <w:smallCaps w:val="false"/>
          <w:sz w:val="20"/>
        </w:rPr>
        <w:t xml:space="preserve"> and will be paid predominantly in cash. These charges will be recognized throughout fiscal 2025 and all costs will be incurred by the Company’s Semiconductor Test &amp; Inspection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plans to make available in the investor relations section of its website (www.cohu.com) a presentation which includes an overview of the 2025 Restructuring Program. The Company expects to use the presentation in connection with future investor presentations. The Company does not have, and expressly disclaims, any obligation to release publicly any updates or any changes in its expectations or any change in events, conditions, or circumstances on which any forward-looking statement in the presentation is based. A copy of the presentation is attached as Exhibit 99.1 to this report, and the information set forth therein is incorporated herein by reference and constitutes a part of this report. These materials should be read together with the information included in the Company’s other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this Item 7.01 (including Exhibit 99.1 hereto) shall not be deemed “filed” for the purposes of Section 18 of the Securities Exchange Act of 1934, as amended (the “Exchange Act”), or otherwise subject to the liabilities of that section. Furthermore, the information contained in the presentation attached to this report as Exhibit 99.1 shall not be deemed to be incorporated by reference in the filings of the registrant under the Securities Act of 1933, as amended, or the Exchange Act, regardless of any general incorporation language in such filing. The information included in this Current Report on Form 8-K under this Item 7.01 (including Exhibit 99.1 hereto) will not be deemed an admission as to the materiality of any information required to be disclosed solely to satisfy the requirements of Regulation FD.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intends to use its website, www.cohu.com, as a means of disclosing material information and to comply with its disclosure obligations under Regulation FD. Such disclosures will be included in the Investor Relations portion of the Company’s website. Accordingly, investors should monitor such portions of the Company’s website, in addition to following its press releases, and filings made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9.01 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Exhibit listed below is being furnished with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 - 99.1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ex_781762.htm">
        <w:r>
          <w:rPr>
            <w:rStyle w:val="InternetLink"/>
            <w:rFonts w:ascii="Times New Roman" w:hAnsi="Times New Roman"/>
            <w:caps w:val="false"/>
            <w:smallCaps w:val="false"/>
            <w:sz w:val="20"/>
          </w:rPr>
          <w:t>Investor Presentation - Restructuring Summary of Cohu, Inc., dated February 24, 2025</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 - 104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375" w:type="dxa"/>
        <w:jc w:val="left"/>
        <w:tblInd w:w="0" w:type="dxa"/>
        <w:tblLayout w:type="fixed"/>
        <w:tblCellMar>
          <w:top w:w="0" w:type="dxa"/>
          <w:left w:w="0" w:type="dxa"/>
          <w:bottom w:w="0" w:type="dxa"/>
          <w:right w:w="0" w:type="dxa"/>
        </w:tblCellMar>
      </w:tblPr>
      <w:tblGrid>
        <w:gridCol w:w="1505"/>
        <w:gridCol w:w="395"/>
        <w:gridCol w:w="4475"/>
      </w:tblGrid>
      <w:tr>
        <w:trPr/>
        <w:tc>
          <w:tcPr>
            <w:tcW w:w="150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870" w:type="dxa"/>
            <w:gridSpan w:val="2"/>
            <w:tcBorders/>
            <w:vAlign w:val="center"/>
          </w:tcPr>
          <w:p>
            <w:pPr>
              <w:pStyle w:val="TableContents"/>
              <w:bidi w:val="0"/>
              <w:spacing w:before="0" w:after="0"/>
              <w:ind w:left="20" w:right="0" w:hanging="0"/>
              <w:jc w:val="left"/>
              <w:rPr>
                <w:caps w:val="false"/>
                <w:smallCaps w:val="false"/>
              </w:rPr>
            </w:pPr>
            <w:r>
              <w:rPr>
                <w:caps w:val="false"/>
                <w:smallCaps w:val="false"/>
              </w:rPr>
              <w:t> </w:t>
            </w:r>
            <w:r>
              <w:rPr>
                <w:rFonts w:ascii="Times New Roman" w:hAnsi="Times New Roman"/>
                <w:caps w:val="false"/>
                <w:smallCaps w:val="false"/>
                <w:sz w:val="20"/>
              </w:rPr>
              <w:t>Cohu, Inc.</w:t>
            </w:r>
          </w:p>
        </w:tc>
      </w:tr>
      <w:tr>
        <w:trPr/>
        <w:tc>
          <w:tcPr>
            <w:tcW w:w="150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24, 2025</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i/>
                <w:caps w:val="false"/>
                <w:smallCaps w:val="false"/>
                <w:sz w:val="20"/>
              </w:rPr>
              <w:t xml:space="preserve">By: </w:t>
            </w:r>
          </w:p>
        </w:tc>
        <w:tc>
          <w:tcPr>
            <w:tcW w:w="4475" w:type="dxa"/>
            <w:tcBorders/>
            <w:vAlign w:val="center"/>
          </w:tcPr>
          <w:p>
            <w:pPr>
              <w:pStyle w:val="TableContents"/>
              <w:bidi w:val="0"/>
              <w:spacing w:before="0" w:after="0"/>
              <w:ind w:left="200" w:right="0" w:hanging="0"/>
              <w:jc w:val="left"/>
              <w:rPr>
                <w:rFonts w:ascii="Times New Roman" w:hAnsi="Times New Roman"/>
                <w:i/>
                <w:caps w:val="false"/>
                <w:smallCaps w:val="false"/>
                <w:sz w:val="20"/>
              </w:rPr>
            </w:pPr>
            <w:r>
              <w:rPr>
                <w:rFonts w:ascii="Times New Roman" w:hAnsi="Times New Roman"/>
                <w:i/>
                <w:caps w:val="false"/>
                <w:smallCaps w:val="false"/>
                <w:sz w:val="20"/>
              </w:rPr>
              <w:t>/s/ Jeffrey D. Jones</w:t>
            </w:r>
          </w:p>
        </w:tc>
      </w:tr>
      <w:tr>
        <w:trPr/>
        <w:tc>
          <w:tcPr>
            <w:tcW w:w="150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7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i/>
                <w:caps w:val="false"/>
                <w:smallCaps w:val="false"/>
                <w:sz w:val="20"/>
              </w:rPr>
              <w:t xml:space="preserve">Name: Jeffrey D. Jones </w:t>
            </w:r>
          </w:p>
        </w:tc>
      </w:tr>
      <w:tr>
        <w:trPr/>
        <w:tc>
          <w:tcPr>
            <w:tcW w:w="150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7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i/>
                <w:caps w:val="false"/>
                <w:smallCaps w:val="false"/>
                <w:sz w:val="20"/>
              </w:rPr>
              <w:t xml:space="preserve">Title: Senior VP Finance and Chief Financial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980"/>
        <w:gridCol w:w="60"/>
        <w:gridCol w:w="7610"/>
      </w:tblGrid>
      <w:tr>
        <w:trPr/>
        <w:tc>
          <w:tcPr>
            <w:tcW w:w="9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610" w:type="dxa"/>
            <w:tcBorders/>
            <w:vAlign w:val="center"/>
          </w:tcPr>
          <w:p>
            <w:pPr>
              <w:pStyle w:val="TableContents"/>
              <w:bidi w:val="0"/>
              <w:spacing w:before="0" w:after="0"/>
              <w:ind w:left="6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Description </w:t>
            </w:r>
          </w:p>
        </w:tc>
      </w:tr>
      <w:tr>
        <w:trPr/>
        <w:tc>
          <w:tcPr>
            <w:tcW w:w="9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61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Investor Presentation - Restructuring Summary of Cohu, Inc., dated February 24, 2025</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781762.htm"/>
      <w:bookmarkStart w:id="3" w:name="ksex_781762"/>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center"/>
        <w:rPr/>
      </w:pPr>
      <w:r>
        <w:rPr/>
        <w:t> </w:t>
      </w:r>
      <w:r>
        <w:rPr/>
        <w:drawing>
          <wp:inline distT="0" distB="0" distL="0" distR="0">
            <wp:extent cx="7143750" cy="4010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0" cy="4010025"/>
                    </a:xfrm>
                    <a:prstGeom prst="rect">
                      <a:avLst/>
                    </a:prstGeom>
                  </pic:spPr>
                </pic:pic>
              </a:graphicData>
            </a:graphic>
          </wp:inline>
        </w:drawing>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143750" cy="4010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43750" cy="4010025"/>
                    </a:xfrm>
                    <a:prstGeom prst="rect">
                      <a:avLst/>
                    </a:prstGeom>
                  </pic:spPr>
                </pic:pic>
              </a:graphicData>
            </a:graphic>
          </wp:inline>
        </w:drawing>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143750" cy="4010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4010025"/>
                    </a:xfrm>
                    <a:prstGeom prst="rect">
                      <a:avLst/>
                    </a:prstGeom>
                  </pic:spPr>
                </pic:pic>
              </a:graphicData>
            </a:graphic>
          </wp:inline>
        </w:drawing>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jc w:val="center"/>
        <w:rPr/>
      </w:pPr>
      <w:r>
        <w:rPr/>
        <w:drawing>
          <wp:inline distT="0" distB="0" distL="0" distR="0">
            <wp:extent cx="7143750" cy="4010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143750" cy="401002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1055</Words>
  <Characters>5936</Characters>
  <CharactersWithSpaces>7017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