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9"/>
        <w:spacing w:after="0" w:line="234" w:lineRule="auto"/>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12" w:lineRule="exact"/>
        <w:rPr>
          <w:sz w:val="24"/>
          <w:szCs w:val="24"/>
          <w:color w:val="auto"/>
        </w:rPr>
      </w:pPr>
    </w:p>
    <w:p>
      <w:pPr>
        <w:ind w:left="660" w:hanging="490"/>
        <w:spacing w:after="0"/>
        <w:tabs>
          <w:tab w:leader="none" w:pos="66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29" w:lineRule="exact"/>
        <w:rPr>
          <w:rFonts w:ascii="MS PGothic" w:cs="MS PGothic" w:eastAsia="MS PGothic" w:hAnsi="MS PGothic"/>
          <w:sz w:val="20"/>
          <w:szCs w:val="20"/>
          <w:color w:val="auto"/>
          <w:highlight w:val="black"/>
        </w:rPr>
      </w:pPr>
    </w:p>
    <w:p>
      <w:pPr>
        <w:ind w:left="34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For the quarterly period ended September 28, 2024</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216" w:lineRule="exact"/>
        <w:rPr>
          <w:sz w:val="24"/>
          <w:szCs w:val="24"/>
          <w:color w:val="auto"/>
        </w:rPr>
      </w:pPr>
    </w:p>
    <w:p>
      <w:pPr>
        <w:ind w:left="660" w:hanging="490"/>
        <w:spacing w:after="0"/>
        <w:tabs>
          <w:tab w:leader="none" w:pos="66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transition period from to</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Commission file number 001-04298</w:t>
      </w:r>
    </w:p>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COHU,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6"/>
        </w:trPr>
        <w:tc>
          <w:tcPr>
            <w:tcW w:w="472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88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720" w:type="dxa"/>
            <w:vAlign w:val="bottom"/>
          </w:tcPr>
          <w:p>
            <w:pPr>
              <w:jc w:val="center"/>
              <w:ind w:right="12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880" w:type="dxa"/>
            <w:vAlign w:val="bottom"/>
          </w:tcPr>
          <w:p>
            <w:pPr>
              <w:spacing w:after="0"/>
              <w:rPr>
                <w:sz w:val="20"/>
                <w:szCs w:val="20"/>
                <w:color w:val="auto"/>
              </w:rPr>
            </w:pPr>
          </w:p>
        </w:tc>
      </w:tr>
      <w:tr>
        <w:trPr>
          <w:trHeight w:val="412"/>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12367 Crosthwaite Circle, Poway, California</w:t>
            </w:r>
          </w:p>
        </w:tc>
        <w:tc>
          <w:tcPr>
            <w:tcW w:w="38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92064-6817</w:t>
            </w:r>
          </w:p>
        </w:tc>
      </w:tr>
      <w:tr>
        <w:trPr>
          <w:trHeight w:val="236"/>
        </w:trPr>
        <w:tc>
          <w:tcPr>
            <w:tcW w:w="4720" w:type="dxa"/>
            <w:vAlign w:val="bottom"/>
          </w:tcPr>
          <w:p>
            <w:pPr>
              <w:jc w:val="center"/>
              <w:ind w:right="12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88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(858) 848-8100</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298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37"/>
        </w:trPr>
        <w:tc>
          <w:tcPr>
            <w:tcW w:w="34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COHU</w:t>
            </w:r>
          </w:p>
        </w:tc>
        <w:tc>
          <w:tcPr>
            <w:tcW w:w="58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ind w:right="-19"/>
        <w:spacing w:after="0" w:line="207" w:lineRule="exact"/>
        <w:tabs>
          <w:tab w:leader="none" w:pos="240" w:val="left"/>
          <w:tab w:leader="none" w:pos="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171" w:lineRule="exact"/>
        <w:rPr>
          <w:sz w:val="24"/>
          <w:szCs w:val="24"/>
          <w:color w:val="auto"/>
        </w:rPr>
      </w:pPr>
    </w:p>
    <w:p>
      <w:pPr>
        <w:jc w:val="center"/>
        <w:ind w:right="-3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22, 2024, the Registrant had 46,613,736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SEPTEMBER 28, 2024</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1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420" w:type="dxa"/>
            <w:vAlign w:val="bottom"/>
            <w:gridSpan w:val="14"/>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September 28, 2024 (unaudited) and December 30, 2023</w:t>
            </w:r>
          </w:p>
        </w:tc>
        <w:tc>
          <w:tcPr>
            <w:tcW w:w="1960" w:type="dxa"/>
            <w:vAlign w:val="bottom"/>
            <w:gridSpan w:val="4"/>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 Three and Nine Months Ended September 28, 2024 and</w:t>
            </w:r>
          </w:p>
        </w:tc>
        <w:tc>
          <w:tcPr>
            <w:tcW w:w="44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2023</w:t>
            </w:r>
          </w:p>
        </w:tc>
        <w:tc>
          <w:tcPr>
            <w:tcW w:w="7560" w:type="dxa"/>
            <w:vAlign w:val="bottom"/>
            <w:gridSpan w:val="15"/>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(unaudited) Three and Nine Months Ended September</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28, 2024 and September 30, 2023</w:t>
            </w:r>
          </w:p>
        </w:tc>
        <w:tc>
          <w:tcPr>
            <w:tcW w:w="6600" w:type="dxa"/>
            <w:vAlign w:val="bottom"/>
            <w:gridSpan w:val="9"/>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 Three and Nine Months Ended September 28, 2024</w:t>
            </w: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and September 30, 2023</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Nine Months Ended September 28, 2024 and September 30,</w:t>
            </w: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240" w:type="dxa"/>
            <w:vAlign w:val="bottom"/>
            <w:gridSpan w:val="6"/>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80" w:type="dxa"/>
            <w:vAlign w:val="bottom"/>
            <w:gridSpan w:val="5"/>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660" w:type="dxa"/>
            <w:vAlign w:val="bottom"/>
            <w:gridSpan w:val="7"/>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Controls and Procedures</w:t>
            </w:r>
          </w:p>
        </w:tc>
      </w:tr>
      <w:tr>
        <w:trPr>
          <w:trHeight w:val="412"/>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380" w:type="dxa"/>
            <w:vAlign w:val="bottom"/>
            <w:gridSpan w:val="2"/>
          </w:tcPr>
          <w:p>
            <w:pPr>
              <w:spacing w:after="0"/>
              <w:rPr>
                <w:sz w:val="24"/>
                <w:szCs w:val="24"/>
                <w:color w:val="auto"/>
              </w:rPr>
            </w:pPr>
          </w:p>
        </w:tc>
        <w:tc>
          <w:tcPr>
            <w:tcW w:w="14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320" w:type="dxa"/>
            <w:vAlign w:val="bottom"/>
            <w:tcBorders>
              <w:top w:val="single" w:sz="8" w:color="0000EE"/>
            </w:tcBorders>
            <w:gridSpan w:val="5"/>
          </w:tcPr>
          <w:p>
            <w:pPr>
              <w:spacing w:after="0"/>
              <w:rPr>
                <w:sz w:val="24"/>
                <w:szCs w:val="24"/>
                <w:color w:val="auto"/>
              </w:rPr>
            </w:pPr>
          </w:p>
        </w:tc>
        <w:tc>
          <w:tcPr>
            <w:tcW w:w="7260" w:type="dxa"/>
            <w:vAlign w:val="bottom"/>
            <w:gridSpan w:val="11"/>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7700" w:type="dxa"/>
            <w:vAlign w:val="bottom"/>
            <w:gridSpan w:val="17"/>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680" w:type="dxa"/>
            <w:vAlign w:val="bottom"/>
            <w:gridSpan w:val="8"/>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6700" w:type="dxa"/>
            <w:vAlign w:val="bottom"/>
            <w:gridSpan w:val="10"/>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260" w:type="dxa"/>
            <w:vAlign w:val="bottom"/>
            <w:gridSpan w:val="11"/>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7720" w:type="dxa"/>
            <w:vAlign w:val="bottom"/>
            <w:gridSpan w:val="18"/>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Page Number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3</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4</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5</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6</w:t>
      </w:r>
    </w:p>
    <w:p>
      <w:pPr>
        <w:spacing w:after="0" w:line="200" w:lineRule="exact"/>
        <w:rPr>
          <w:sz w:val="20"/>
          <w:szCs w:val="20"/>
          <w:color w:val="auto"/>
        </w:rPr>
      </w:pP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7</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0000EE"/>
        </w:rPr>
        <w:t>8</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28</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38</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41</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42</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42</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42</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43</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EE"/>
        </w:rPr>
        <w:t>44</w:t>
      </w:r>
    </w:p>
    <w:p>
      <w:pPr>
        <w:sectPr>
          <w:pgSz w:w="11900" w:h="16838" w:orient="portrait"/>
          <w:cols w:equalWidth="0" w:num="2">
            <w:col w:w="9940" w:space="220"/>
            <w:col w:w="1040"/>
          </w:cols>
          <w:pgMar w:left="320" w:top="121" w:right="3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28,</w:t>
            </w: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7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 *</w:t>
            </w:r>
          </w:p>
        </w:tc>
        <w:tc>
          <w:tcPr>
            <w:tcW w:w="120" w:type="dxa"/>
            <w:vAlign w:val="bottom"/>
          </w:tcPr>
          <w:p>
            <w:pPr>
              <w:spacing w:after="0"/>
              <w:rPr>
                <w:sz w:val="20"/>
                <w:szCs w:val="20"/>
                <w:color w:val="auto"/>
              </w:rPr>
            </w:pPr>
          </w:p>
        </w:tc>
      </w:tr>
      <w:tr>
        <w:trPr>
          <w:trHeight w:val="209"/>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189,262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245,524</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79,976</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90,174</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91,937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124,624</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155,793</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17,696</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2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20" w:type="dxa"/>
            <w:vAlign w:val="bottom"/>
          </w:tcPr>
          <w:p>
            <w:pPr>
              <w:spacing w:after="0"/>
              <w:rPr>
                <w:sz w:val="18"/>
                <w:szCs w:val="18"/>
                <w:color w:val="auto"/>
              </w:rPr>
            </w:pPr>
          </w:p>
        </w:tc>
      </w:tr>
      <w:tr>
        <w:trPr>
          <w:trHeight w:val="210"/>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638,818</w:t>
            </w:r>
          </w:p>
        </w:tc>
      </w:tr>
      <w:tr>
        <w:trPr>
          <w:trHeight w:val="216"/>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76,666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69,085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242,867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241,658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151,770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33,668</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32,243</w:t>
            </w:r>
          </w:p>
        </w:tc>
      </w:tr>
      <w:tr>
        <w:trPr>
          <w:trHeight w:val="216"/>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1,032,346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23,445</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33,600</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advances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4,748</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24,333</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31,897</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4,653</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4,024</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23,229</w:t>
            </w:r>
          </w:p>
        </w:tc>
        <w:tc>
          <w:tcPr>
            <w:tcW w:w="22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20" w:type="dxa"/>
            <w:vAlign w:val="bottom"/>
          </w:tcPr>
          <w:p>
            <w:pPr>
              <w:spacing w:after="0"/>
              <w:rPr>
                <w:sz w:val="18"/>
                <w:szCs w:val="18"/>
                <w:color w:val="auto"/>
              </w:rPr>
            </w:pPr>
          </w:p>
        </w:tc>
      </w:tr>
      <w:tr>
        <w:trPr>
          <w:trHeight w:val="210"/>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84,975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103,421</w:t>
            </w:r>
          </w:p>
        </w:tc>
      </w:tr>
      <w:tr>
        <w:trPr>
          <w:trHeight w:val="216"/>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34,303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21,620</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23,154</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10,732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10,802</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8,262</w:t>
            </w:r>
          </w:p>
        </w:tc>
      </w:tr>
      <w:tr>
        <w:trPr>
          <w:trHeight w:val="216"/>
        </w:trPr>
        <w:tc>
          <w:tcPr>
            <w:tcW w:w="7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$1 par value; 90,000 shares authorized, 49,507 shares issued and outstanding in 2024</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49,429 shares in 2023</w:t>
            </w:r>
          </w:p>
        </w:tc>
        <w:tc>
          <w:tcPr>
            <w:tcW w:w="16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49,507</w:t>
            </w: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49,429</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690,424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686,146</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2,893 shares in 2024 and 2,253 shares in 2023</w:t>
            </w:r>
          </w:p>
        </w:tc>
        <w:tc>
          <w:tcPr>
            <w:tcW w:w="16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(87,888)</w:t>
            </w: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(69,184)</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318,558</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(37,603)</w:t>
            </w: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(34,779)</w:t>
            </w:r>
          </w:p>
        </w:tc>
      </w:tr>
      <w:tr>
        <w:trPr>
          <w:trHeight w:val="210"/>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884,538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1,032,346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Derived from December 30, 2023 audited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25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7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28,</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95,342</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499,096</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Cost of sales </w:t>
            </w:r>
            <w:r>
              <w:rPr>
                <w:rFonts w:ascii="Times New Roman" w:cs="Times New Roman" w:eastAsia="Times New Roman" w:hAnsi="Times New Roman"/>
                <w:sz w:val="25"/>
                <w:szCs w:val="25"/>
                <w:color w:val="auto"/>
                <w:vertAlign w:val="superscript"/>
              </w:rPr>
              <w:t>(1)</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261,638</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20,324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66,454</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99,403</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9,791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26,617</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r>
      <w:tr>
        <w:trPr>
          <w:trHeight w:val="20"/>
        </w:trPr>
        <w:tc>
          <w:tcPr>
            <w:tcW w:w="128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111,111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456,158</w:t>
            </w: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42,938</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8,657</w:t>
            </w:r>
          </w:p>
        </w:tc>
      </w:tr>
      <w:tr>
        <w:trPr>
          <w:trHeight w:val="216"/>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loss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46,313</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16,129</w:t>
            </w: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(18,056)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30,184</w:t>
            </w:r>
          </w:p>
        </w:tc>
      </w:tr>
      <w:tr>
        <w:trPr>
          <w:trHeight w:val="197"/>
        </w:trPr>
        <w:tc>
          <w:tcPr>
            <w:tcW w:w="1280" w:type="dxa"/>
            <w:vAlign w:val="bottom"/>
            <w:tcBorders>
              <w:top w:val="single" w:sz="8" w:color="CCEEFF"/>
            </w:tcBorders>
          </w:tcPr>
          <w:p>
            <w:pPr>
              <w:spacing w:after="0"/>
              <w:rPr>
                <w:sz w:val="17"/>
                <w:szCs w:val="17"/>
                <w:color w:val="auto"/>
              </w:rPr>
            </w:pPr>
          </w:p>
        </w:tc>
        <w:tc>
          <w:tcPr>
            <w:tcW w:w="2380" w:type="dxa"/>
            <w:vAlign w:val="bottom"/>
            <w:tcBorders>
              <w:top w:val="single" w:sz="8" w:color="CCEEFF"/>
            </w:tcBorders>
          </w:tcPr>
          <w:p>
            <w:pPr>
              <w:spacing w:after="0"/>
              <w:rPr>
                <w:sz w:val="17"/>
                <w:szCs w:val="17"/>
                <w:color w:val="auto"/>
              </w:rPr>
            </w:pPr>
          </w:p>
        </w:tc>
        <w:tc>
          <w:tcPr>
            <w:tcW w:w="2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6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580" w:type="dxa"/>
            <w:vAlign w:val="bottom"/>
            <w:gridSpan w:val="2"/>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0.63</w:t>
            </w:r>
          </w:p>
        </w:tc>
      </w:tr>
      <w:tr>
        <w:trPr>
          <w:trHeight w:val="196"/>
        </w:trPr>
        <w:tc>
          <w:tcPr>
            <w:tcW w:w="1280" w:type="dxa"/>
            <w:vAlign w:val="bottom"/>
            <w:tcBorders>
              <w:top w:val="single" w:sz="8" w:color="CCEEFF"/>
            </w:tcBorders>
          </w:tcPr>
          <w:p>
            <w:pPr>
              <w:spacing w:after="0"/>
              <w:rPr>
                <w:sz w:val="17"/>
                <w:szCs w:val="17"/>
                <w:color w:val="auto"/>
              </w:rPr>
            </w:pPr>
          </w:p>
        </w:tc>
        <w:tc>
          <w:tcPr>
            <w:tcW w:w="4700" w:type="dxa"/>
            <w:vAlign w:val="bottom"/>
            <w:tcBorders>
              <w:top w:val="single" w:sz="8" w:color="CCEEFF"/>
            </w:tcBorders>
            <w:gridSpan w:val="2"/>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47,525</w:t>
            </w:r>
          </w:p>
        </w:tc>
      </w:tr>
      <w:tr>
        <w:trPr>
          <w:trHeight w:val="20"/>
        </w:trPr>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66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46,815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48,107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46,971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48,102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$7,518 and $6,948 for the three months ended September 28, 2024 and September 30, 2023, respectively, and $22,526 and $20,941 for the nine months ended September 28, 2024 and September 30,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18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60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(in thousands)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28,</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September 28,</w:t>
            </w:r>
          </w:p>
        </w:tc>
        <w:tc>
          <w:tcPr>
            <w:tcW w:w="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(48,460)</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30,184</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(7,377)</w:t>
            </w:r>
          </w:p>
        </w:tc>
      </w:tr>
      <w:tr>
        <w:trPr>
          <w:trHeight w:val="216"/>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128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(6,953)</w:t>
            </w: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(6,491)</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(51,284)</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23,231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Accumulated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Common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7"/>
              </w:rPr>
              <w:t>other</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28, 2024</w:t>
            </w:r>
          </w:p>
        </w:tc>
        <w:tc>
          <w:tcPr>
            <w:tcW w:w="28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Paid-in</w:t>
            </w:r>
          </w:p>
        </w:tc>
        <w:tc>
          <w:tcPr>
            <w:tcW w:w="2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Retained</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comprehensive</w:t>
            </w:r>
          </w:p>
        </w:tc>
        <w:tc>
          <w:tcPr>
            <w:tcW w:w="22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Treasury</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8"/>
              </w:rPr>
              <w:t>1 par value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earnings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6"/>
              </w:rPr>
              <w:t>loss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stock</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29, 2024</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49,507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685,522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288,154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896,210</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(18,056)</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(18,056)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cumulative translation adjustment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9,476</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9,476</w:t>
            </w:r>
          </w:p>
        </w:tc>
        <w:tc>
          <w:tcPr>
            <w:tcW w:w="0" w:type="dxa"/>
            <w:vAlign w:val="bottom"/>
          </w:tcPr>
          <w:p>
            <w:pPr>
              <w:spacing w:after="0"/>
              <w:rPr>
                <w:sz w:val="1"/>
                <w:szCs w:val="1"/>
                <w:color w:val="auto"/>
              </w:rPr>
            </w:pPr>
          </w:p>
        </w:tc>
      </w:tr>
      <w:tr>
        <w:trPr>
          <w:trHeight w:val="189"/>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related to postretirement benefits, net of</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unrealized gains and losses on investments,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for restricted stock units vested</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2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(8,123)</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5,248</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28, 2024</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49,507</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690,424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270,098</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(87,888)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884,538</w:t>
            </w:r>
          </w:p>
        </w:tc>
        <w:tc>
          <w:tcPr>
            <w:tcW w:w="0" w:type="dxa"/>
            <w:vAlign w:val="bottom"/>
          </w:tcPr>
          <w:p>
            <w:pPr>
              <w:spacing w:after="0"/>
              <w:rPr>
                <w:sz w:val="1"/>
                <w:szCs w:val="1"/>
                <w:color w:val="auto"/>
              </w:rPr>
            </w:pPr>
          </w:p>
        </w:tc>
      </w:tr>
      <w:tr>
        <w:trPr>
          <w:trHeight w:val="20"/>
        </w:trPr>
        <w:tc>
          <w:tcPr>
            <w:tcW w:w="3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28, 2024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30, 2023</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49,429</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686,146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318,558</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(69,184)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950,170</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(48,460)</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(48,460)</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cumulative translation adjustment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(2,947)</w:t>
            </w:r>
          </w:p>
        </w:tc>
        <w:tc>
          <w:tcPr>
            <w:tcW w:w="0" w:type="dxa"/>
            <w:vAlign w:val="bottom"/>
          </w:tcPr>
          <w:p>
            <w:pPr>
              <w:spacing w:after="0"/>
              <w:rPr>
                <w:sz w:val="1"/>
                <w:szCs w:val="1"/>
                <w:color w:val="auto"/>
              </w:rPr>
            </w:pPr>
          </w:p>
        </w:tc>
      </w:tr>
      <w:tr>
        <w:trPr>
          <w:trHeight w:val="189"/>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related to postretirement benefits, net of</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unrealized gains and losses on investments,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under ESPP</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1,924</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restricted stock units vested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(13,045)</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13,045</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2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(4,662)</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(27,147)</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(27,147)</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15,459</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28, 2024</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49,507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690,424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270,098</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884,538</w:t>
            </w:r>
          </w:p>
        </w:tc>
        <w:tc>
          <w:tcPr>
            <w:tcW w:w="0" w:type="dxa"/>
            <w:vAlign w:val="bottom"/>
          </w:tcPr>
          <w:p>
            <w:pPr>
              <w:spacing w:after="0"/>
              <w:rPr>
                <w:sz w:val="1"/>
                <w:szCs w:val="1"/>
                <w:color w:val="auto"/>
              </w:rPr>
            </w:pPr>
          </w:p>
        </w:tc>
      </w:tr>
      <w:tr>
        <w:trPr>
          <w:trHeight w:val="396"/>
        </w:trPr>
        <w:tc>
          <w:tcPr>
            <w:tcW w:w="3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1, 2023</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49,350</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676,309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316,671</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(52,378)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953,393</w:t>
            </w:r>
          </w:p>
        </w:tc>
        <w:tc>
          <w:tcPr>
            <w:tcW w:w="0" w:type="dxa"/>
            <w:vAlign w:val="bottom"/>
          </w:tcPr>
          <w:p>
            <w:pPr>
              <w:spacing w:after="0"/>
              <w:rPr>
                <w:sz w:val="1"/>
                <w:szCs w:val="1"/>
                <w:color w:val="auto"/>
              </w:rPr>
            </w:pPr>
          </w:p>
        </w:tc>
      </w:tr>
      <w:tr>
        <w:trPr>
          <w:trHeight w:val="202"/>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3,915</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3,915</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cumulative translation adjustment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(10,436)</w:t>
            </w:r>
          </w:p>
        </w:tc>
        <w:tc>
          <w:tcPr>
            <w:tcW w:w="0" w:type="dxa"/>
            <w:vAlign w:val="bottom"/>
          </w:tcPr>
          <w:p>
            <w:pPr>
              <w:spacing w:after="0"/>
              <w:rPr>
                <w:sz w:val="1"/>
                <w:szCs w:val="1"/>
                <w:color w:val="auto"/>
              </w:rPr>
            </w:pPr>
          </w:p>
        </w:tc>
      </w:tr>
      <w:tr>
        <w:trPr>
          <w:trHeight w:val="189"/>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related to postretirement benefits, net of</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unrealized gains and losses on investments,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for restricted stock units vested</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(858)</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858</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2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(4,674)</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4,334</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49,350</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679,734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320,586</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(56,469)</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946,236</w:t>
            </w:r>
          </w:p>
        </w:tc>
        <w:tc>
          <w:tcPr>
            <w:tcW w:w="0" w:type="dxa"/>
            <w:vAlign w:val="bottom"/>
          </w:tcPr>
          <w:p>
            <w:pPr>
              <w:spacing w:after="0"/>
              <w:rPr>
                <w:sz w:val="1"/>
                <w:szCs w:val="1"/>
                <w:color w:val="auto"/>
              </w:rPr>
            </w:pPr>
          </w:p>
        </w:tc>
      </w:tr>
      <w:tr>
        <w:trPr>
          <w:trHeight w:val="20"/>
        </w:trPr>
        <w:tc>
          <w:tcPr>
            <w:tcW w:w="3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49,276</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687,218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290,402</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928,841</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30,184</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30,184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cumulative translation adjustment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(7,377)</w:t>
            </w:r>
          </w:p>
        </w:tc>
        <w:tc>
          <w:tcPr>
            <w:tcW w:w="0" w:type="dxa"/>
            <w:vAlign w:val="bottom"/>
          </w:tcPr>
          <w:p>
            <w:pPr>
              <w:spacing w:after="0"/>
              <w:rPr>
                <w:sz w:val="1"/>
                <w:szCs w:val="1"/>
                <w:color w:val="auto"/>
              </w:rPr>
            </w:pPr>
          </w:p>
        </w:tc>
      </w:tr>
      <w:tr>
        <w:trPr>
          <w:trHeight w:val="189"/>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related to postretirement benefits, net of</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unrealized gains and losses on investments,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of tax</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under ESPP</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1,837</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for restricted stock units vested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(20,083)</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20,076</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and retirement of stock</w:t>
            </w:r>
          </w:p>
        </w:tc>
        <w:tc>
          <w:tcPr>
            <w:tcW w:w="2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(1,918)</w:t>
            </w:r>
          </w:p>
        </w:tc>
        <w:tc>
          <w:tcPr>
            <w:tcW w:w="24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(7,648)</w:t>
            </w:r>
          </w:p>
        </w:tc>
        <w:tc>
          <w:tcPr>
            <w:tcW w:w="2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(9,566)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(10,854)</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12,680</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49,350</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679,734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320,586</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(56,469)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September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(48,460)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accretion on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from sale of property, plant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36,634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inventory related charges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accrued retiree medical benefits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other accrued liabilities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charge related to equity investment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excluding effects from acquisitions: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advances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(17,534)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(3,898)</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(10,424)</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(5,972)</w:t>
            </w:r>
          </w:p>
        </w:tc>
      </w:tr>
      <w:tr>
        <w:trPr>
          <w:trHeight w:val="210"/>
        </w:trPr>
        <w:tc>
          <w:tcPr>
            <w:tcW w:w="800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 excluding effects from acquisitions: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123,863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sale of property, plant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for purchase of MCT, net of cash received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(26,331)</w:t>
            </w:r>
          </w:p>
        </w:tc>
      </w:tr>
      <w:tr>
        <w:trPr>
          <w:trHeight w:val="210"/>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current and long-term finance lease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(37,467)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(56,007)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189,262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293,386</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capitalized as property, plant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purchases included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08"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30" w:lineRule="exact"/>
        <w:rPr>
          <w:sz w:val="20"/>
          <w:szCs w:val="20"/>
          <w:color w:val="auto"/>
        </w:rPr>
      </w:pPr>
    </w:p>
    <w:p>
      <w:pPr>
        <w:ind w:left="500" w:right="7360" w:hanging="492"/>
        <w:spacing w:after="0" w:line="503" w:lineRule="auto"/>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50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The condensed consolidated balance sheet at December 30, 2023, has been derived from our audited financial statements at that date. The interim condensed consolidated financial statements as of September 28, 2024, (also referred to as “the third quarter of fiscal 2024” and “the first nine months of fiscal 2024”) and September 30, 2023, (also referred to as “the third quarter of fiscal 2023” and “the first nine months of fiscal 2023”) are unaudited. However, in management’s opinion, these financial statements reflect all adjustments (consisting only of normal, recurring items) necessary to provide a fair presentation of our financial position, results of operations and cash flows for the periods presented. Both the three- and nine-month periods ended September 28, 2024 and September 30, 2023 were comprised of 13 and 39 weeks, respectively.</w:t>
      </w:r>
    </w:p>
    <w:p>
      <w:pPr>
        <w:spacing w:after="0" w:line="188" w:lineRule="exact"/>
        <w:rPr>
          <w:rFonts w:ascii="Times New Roman" w:cs="Times New Roman" w:eastAsia="Times New Roman" w:hAnsi="Times New Roman"/>
          <w:sz w:val="18"/>
          <w:szCs w:val="18"/>
          <w:b w:val="1"/>
          <w:bCs w:val="1"/>
          <w:color w:val="auto"/>
        </w:rPr>
      </w:pPr>
    </w:p>
    <w:p>
      <w:pPr>
        <w:ind w:left="50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interim results are not necessarily indicative of the results that should be expected for the full year. The condensed consolidated financial statements presented herein reflect estimates and assumptions made by management at September 28, 2024 and for the three- and nine-month periods ended September 28, 2024. For a better understanding of Cohu, Inc. and our financial statements, we recommend reading these interim condensed consolidated financial statements in conjunction with our audited financial statements for the year ended December 30, 2023, which are included in our 2023 Annual Report on Form 10-K, filed with the U.S. Securities and Exchange Commission (“SEC”). In the following notes to our interim condensed consolidated financial statements, Cohu, Inc., is referred to as “Cohu”, “we”, “our” and “us”.</w:t>
      </w:r>
    </w:p>
    <w:p>
      <w:pPr>
        <w:spacing w:after="0" w:line="18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significant intercompany transactions and balances have been eliminated in consolidation.</w:t>
      </w:r>
    </w:p>
    <w:p>
      <w:pPr>
        <w:spacing w:after="0" w:line="2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rFonts w:ascii="Times New Roman" w:cs="Times New Roman" w:eastAsia="Times New Roman" w:hAnsi="Times New Roman"/>
          <w:sz w:val="18"/>
          <w:szCs w:val="18"/>
          <w:b w:val="1"/>
          <w:bCs w:val="1"/>
          <w:color w:val="auto"/>
        </w:rPr>
      </w:pPr>
    </w:p>
    <w:p>
      <w:pPr>
        <w:ind w:left="52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61" w:lineRule="exact"/>
        <w:rPr>
          <w:rFonts w:ascii="Times New Roman" w:cs="Times New Roman" w:eastAsia="Times New Roman" w:hAnsi="Times New Roman"/>
          <w:sz w:val="18"/>
          <w:szCs w:val="18"/>
          <w:b w:val="1"/>
          <w:bCs w:val="1"/>
          <w:color w:val="auto"/>
        </w:rPr>
      </w:pPr>
    </w:p>
    <w:p>
      <w:pPr>
        <w:ind w:left="520"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trade accounts receivable are presented net of an allowance for credit losses, which is determined in accordance with the guidance provided by Accounting Standards Codification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(“ASC 326”). At both September 28, 2024 and December 30, 2023, our allowance for credit losses was $0.3 million. Our customers include semiconductor manufacturers and semiconductor test subcontractors throughout many areas of the world. While we believe that our allowance for credit losses is adequate and represents our best estimate at September 28, 2024, we will continue to monitor customer liquidity and other economic conditions, which may result in changes to our estimates regarding expected credit losses.</w:t>
      </w:r>
    </w:p>
    <w:p>
      <w:pPr>
        <w:spacing w:after="0" w:line="21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by category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41223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41223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25"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28,</w:t>
            </w:r>
          </w:p>
        </w:tc>
        <w:tc>
          <w:tcPr>
            <w:tcW w:w="1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95,961</w:t>
            </w: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103,118</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25,572</w:t>
            </w: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26,820</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22,592</w:t>
            </w: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25,855</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155,793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680" w:space="720"/>
            <w:col w:w="38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8" w:lineRule="exact"/>
        <w:rPr>
          <w:sz w:val="20"/>
          <w:szCs w:val="20"/>
          <w:color w:val="auto"/>
        </w:rPr>
      </w:pPr>
    </w:p>
    <w:p>
      <w:pPr>
        <w:ind w:left="520" w:right="20"/>
        <w:spacing w:after="0" w:line="231" w:lineRule="exact"/>
        <w:rPr>
          <w:sz w:val="20"/>
          <w:szCs w:val="20"/>
          <w:color w:val="auto"/>
        </w:rPr>
      </w:pPr>
      <w:r>
        <w:rPr>
          <w:rFonts w:ascii="Times New Roman" w:cs="Times New Roman" w:eastAsia="Times New Roman" w:hAnsi="Times New Roman"/>
          <w:sz w:val="18"/>
          <w:szCs w:val="18"/>
          <w:color w:val="auto"/>
        </w:rPr>
        <w:t>Depreciation and amortization of property, plant and equipment, both owned and under financing lease, is calculated principally on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September 28,</w:t>
            </w: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30,</w:t>
            </w:r>
          </w:p>
        </w:tc>
      </w:tr>
      <w:tr>
        <w:trPr>
          <w:trHeight w:val="234"/>
        </w:trPr>
        <w:tc>
          <w:tcPr>
            <w:tcW w:w="6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39,677</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108,831</w:t>
            </w:r>
          </w:p>
        </w:tc>
      </w:tr>
      <w:tr>
        <w:trPr>
          <w:trHeight w:val="20"/>
        </w:trPr>
        <w:tc>
          <w:tcPr>
            <w:tcW w:w="67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155,809</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(85,899)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(86,724)</w:t>
            </w:r>
          </w:p>
        </w:tc>
      </w:tr>
      <w:tr>
        <w:trPr>
          <w:trHeight w:val="20"/>
        </w:trPr>
        <w:tc>
          <w:tcPr>
            <w:tcW w:w="67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69,085</w:t>
            </w:r>
          </w:p>
        </w:tc>
      </w:tr>
      <w:tr>
        <w:trPr>
          <w:trHeight w:val="20"/>
        </w:trPr>
        <w:tc>
          <w:tcPr>
            <w:tcW w:w="6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Cloud-based Enterprise Resource Planning Implementation Costs</w:t>
      </w:r>
    </w:p>
    <w:p>
      <w:pPr>
        <w:spacing w:after="0" w:line="229"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 xml:space="preserve">We have capitalized certain costs associated with the implementation of our cloud-based Enterprise Resource Planning (“ERP”) system 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(“ASC 350”). Capitalized costs include only external direct costs of materials and services consumed in developing the system and interest costs incurred, when material, while developing the system.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unamortized capitalized cloud computing implementation costs totaled $10.0 million and $12.2 million at September 28, 2024, and December</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30, 2023, respectively. These amounts are recorded within other current assets and other assets in our condensed consolidated balance sheets.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Implementation costs are amortized using the straight-line method over seven years and we recorded amortization expense of $0.7 million and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$2.1 million during the three and nine months ended September 28, 2024, respectively, and amortization expense of $0.7 million and $2.1 million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2023, respectively.</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color w:val="auto"/>
        </w:rPr>
        <w:t xml:space="preserve">We apply the provisions of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Goodwill, Intangible Assets and Other Long-Lived Assets</w:t>
      </w:r>
    </w:p>
    <w:p>
      <w:pPr>
        <w:spacing w:after="0" w:line="229" w:lineRule="exact"/>
        <w:rPr>
          <w:sz w:val="20"/>
          <w:szCs w:val="20"/>
          <w:color w:val="auto"/>
        </w:rPr>
      </w:pPr>
    </w:p>
    <w:p>
      <w:pPr>
        <w:ind w:left="500"/>
        <w:spacing w:after="0" w:line="253" w:lineRule="auto"/>
        <w:rPr>
          <w:sz w:val="20"/>
          <w:szCs w:val="20"/>
          <w:color w:val="auto"/>
        </w:rPr>
      </w:pPr>
      <w:r>
        <w:rPr>
          <w:rFonts w:ascii="Times New Roman" w:cs="Times New Roman" w:eastAsia="Times New Roman" w:hAnsi="Times New Roman"/>
          <w:sz w:val="18"/>
          <w:szCs w:val="18"/>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estimated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ind w:left="520" w:right="200"/>
        <w:spacing w:after="0" w:line="256" w:lineRule="auto"/>
        <w:rPr>
          <w:sz w:val="20"/>
          <w:szCs w:val="20"/>
          <w:color w:val="auto"/>
        </w:rPr>
      </w:pPr>
      <w:r>
        <w:rPr>
          <w:rFonts w:ascii="Times New Roman" w:cs="Times New Roman" w:eastAsia="Times New Roman" w:hAnsi="Times New Roman"/>
          <w:sz w:val="18"/>
          <w:szCs w:val="18"/>
          <w:color w:val="auto"/>
        </w:rPr>
        <w:t>We conduct our annual impairment test as of October 1 each year and have determined there was no impairment as of October 1, 2023, as we determined that the estimated fair values of our reporting units and indefinite-lived intangible assets exceeded their carrying values on that date. Other events and changes in circumstances may also require goodwill to be tested for impairment between annual measurement dates. As of September 28, 2024, we do not believe there were indicators of impairment requiring an interim test. In the event we determine that an interim goodwill impairment review is required in a future period, the review may result in an impairment charge, which would have a negative impact on our results of operations.</w:t>
      </w:r>
    </w:p>
    <w:p>
      <w:pPr>
        <w:spacing w:after="0" w:line="187" w:lineRule="exact"/>
        <w:rPr>
          <w:sz w:val="20"/>
          <w:szCs w:val="20"/>
          <w:color w:val="auto"/>
        </w:rPr>
      </w:pPr>
    </w:p>
    <w:p>
      <w:pPr>
        <w:ind w:left="500" w:right="160"/>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first nine months of fiscal 2024 and 2023, no events or conditions occurred suggesting an impairment in our long-lived assets.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18"/>
          <w:szCs w:val="18"/>
          <w:color w:val="auto"/>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relative standalone selling price and recognized on a straight-line basis over the contract period. Costs associated with our extended warranty contracts are expensed as incurred.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7" w:lineRule="exact"/>
        <w:rPr>
          <w:sz w:val="20"/>
          <w:szCs w:val="20"/>
          <w:color w:val="auto"/>
        </w:rPr>
      </w:pPr>
    </w:p>
    <w:p>
      <w:pPr>
        <w:ind w:left="500" w:right="140"/>
        <w:spacing w:after="0" w:line="255" w:lineRule="auto"/>
        <w:rPr>
          <w:sz w:val="20"/>
          <w:szCs w:val="20"/>
          <w:color w:val="auto"/>
        </w:rPr>
      </w:pPr>
      <w:r>
        <w:rPr>
          <w:rFonts w:ascii="Times New Roman" w:cs="Times New Roman" w:eastAsia="Times New Roman" w:hAnsi="Times New Roman"/>
          <w:sz w:val="18"/>
          <w:szCs w:val="18"/>
          <w:color w:val="auto"/>
        </w:rPr>
        <w:t xml:space="preserve">We record restructuring activities including costs for one-time termination benefits in accordance with ASC Topic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timing of recognition for severance costs accounted for under ASC 420 depends on whether employees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These costs are recognized when management has committed to a restructuring plan and the severance costs are probable and estimable. See Note 4, “Restructuring Charges” for additional information.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18"/>
          <w:szCs w:val="18"/>
          <w:color w:val="auto"/>
        </w:rPr>
        <w:t>We defer costs related to the issuance of debt. Debt issuance costs directly related to our Term Loan Credit Facility were presented within noncurrent liabilities as a reduction of long-term debt in our condensed consolidated balance sheets. The amortization of such costs was recognized as interest expense using the effective interest method over the term of the respective debt issue. Amortization related to deferred debt issuance costs and original discount costs was $32,000 and $0.1 million for the three and nine months ended September 30, 2023, respectively. On February 9, 2024, we repaid the remaining outstanding amounts owed under our Term Loan Credit Facility and recognized the remaining capitalized debt issuance costs. See Note 3, “Borrowings and Credit Agreements” for additional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Remeasurement and Currency Translation</w:t>
      </w:r>
    </w:p>
    <w:p>
      <w:pPr>
        <w:spacing w:after="0" w:line="229" w:lineRule="exact"/>
        <w:rPr>
          <w:sz w:val="20"/>
          <w:szCs w:val="20"/>
          <w:color w:val="auto"/>
        </w:rPr>
      </w:pPr>
    </w:p>
    <w:p>
      <w:pPr>
        <w:ind w:left="500" w:right="100"/>
        <w:spacing w:after="0" w:line="254" w:lineRule="auto"/>
        <w:rPr>
          <w:sz w:val="20"/>
          <w:szCs w:val="20"/>
          <w:color w:val="auto"/>
        </w:rPr>
      </w:pPr>
      <w:r>
        <w:rPr>
          <w:rFonts w:ascii="Times New Roman" w:cs="Times New Roman" w:eastAsia="Times New Roman" w:hAnsi="Times New Roman"/>
          <w:sz w:val="18"/>
          <w:szCs w:val="18"/>
          <w:color w:val="auto"/>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and nine months ended September 28, 2024, we recognized foreign exchange losses, net of the impact of foreign exchange derivative contracts, of $1.6 million and $2.5 million, respectively, in our condensed consolidated statements of operations. During the three and nine months ended September 30, 2023, we recognized foreign exchange losses, net of the impact of foreign exchange derivative contracts, of $1.2 million and $2.3 million, respectively, in our condensed consolidated statements of operations.</w:t>
      </w:r>
    </w:p>
    <w:p>
      <w:pPr>
        <w:spacing w:after="0" w:line="192" w:lineRule="exact"/>
        <w:rPr>
          <w:sz w:val="20"/>
          <w:szCs w:val="20"/>
          <w:color w:val="auto"/>
        </w:rPr>
      </w:pPr>
    </w:p>
    <w:p>
      <w:pPr>
        <w:ind w:left="500" w:right="60"/>
        <w:spacing w:after="0" w:line="261" w:lineRule="auto"/>
        <w:rPr>
          <w:sz w:val="20"/>
          <w:szCs w:val="20"/>
          <w:color w:val="auto"/>
        </w:rPr>
      </w:pPr>
      <w:r>
        <w:rPr>
          <w:rFonts w:ascii="Times New Roman" w:cs="Times New Roman" w:eastAsia="Times New Roman" w:hAnsi="Times New Roman"/>
          <w:sz w:val="18"/>
          <w:szCs w:val="18"/>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Foreign Exchange Derivative Contracts</w:t>
      </w:r>
    </w:p>
    <w:p>
      <w:pPr>
        <w:spacing w:after="0" w:line="229"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in a hedging relationship and apply hedge accounting. All derivative instruments are recognized at fair value on our condensed consolidated balance sheets and all changes in fair value are recognized in net earnings or stockholders’ equity through accumulated other comprehensive loss (AOCI).</w:t>
      </w:r>
    </w:p>
    <w:p>
      <w:pPr>
        <w:spacing w:after="0" w:line="187"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7, “Derivative Financial Instruments” for additional information.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measure and recognize all share-based compensation under the fair value method.</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Reported share-based compensation is classified, in our condensed consolidated financial statements,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00" w:type="dxa"/>
            <w:vAlign w:val="bottom"/>
          </w:tcPr>
          <w:p>
            <w:pPr>
              <w:spacing w:after="0"/>
              <w:rPr>
                <w:sz w:val="19"/>
                <w:szCs w:val="19"/>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spacing w:after="0"/>
              <w:rPr>
                <w:sz w:val="19"/>
                <w:szCs w:val="19"/>
                <w:color w:val="auto"/>
              </w:rPr>
            </w:pPr>
          </w:p>
        </w:tc>
      </w:tr>
      <w:tr>
        <w:trPr>
          <w:trHeight w:val="234"/>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3,262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9,527</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4,334</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15,459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(2,883)</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5,260</w:t>
            </w: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4,289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15,682</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9,797</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9"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Basic income (loss) per common share is computed by dividing net income by the weighted-average number of common 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For the three and nine months ended September 30, 2023, awards to issue approximately 186,000 and 206,000 potentially issuable shares of common stock were excluded from the computation, respectively. All shares repurchased and held as treasury stock are reflected as a reduction to our basic weighted average shares outstanding based on the trade date of the share repurchase.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denominators used in computing basic and diluted income per share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8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Three Months Ended</w:t>
            </w:r>
          </w:p>
        </w:tc>
        <w:tc>
          <w:tcPr>
            <w:tcW w:w="27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9"/>
        </w:trPr>
        <w:tc>
          <w:tcPr>
            <w:tcW w:w="456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46,815</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47,615</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46,971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47,525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0"/>
        </w:trPr>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46,815</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48,107</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46,971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48,102</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520" w:right="160"/>
        <w:spacing w:after="0" w:line="266" w:lineRule="auto"/>
        <w:rPr>
          <w:sz w:val="20"/>
          <w:szCs w:val="20"/>
          <w:color w:val="auto"/>
        </w:rPr>
      </w:pPr>
      <w:r>
        <w:rPr>
          <w:rFonts w:ascii="Times New Roman" w:cs="Times New Roman" w:eastAsia="Times New Roman" w:hAnsi="Times New Roman"/>
          <w:sz w:val="18"/>
          <w:szCs w:val="18"/>
          <w:color w:val="auto"/>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spacing w:after="0" w:line="176"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 xml:space="preserve">Operating lease ROU assets and operating lease liabilities are recognized based on the present value of the future minimum lease payments over the lease term at January 1, 2019, the adoption date of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80"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89"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spacing w:after="0" w:line="176" w:lineRule="exact"/>
        <w:rPr>
          <w:sz w:val="20"/>
          <w:szCs w:val="20"/>
          <w:color w:val="auto"/>
        </w:rPr>
      </w:pPr>
    </w:p>
    <w:p>
      <w:pPr>
        <w:jc w:val="both"/>
        <w:ind w:left="520" w:right="540"/>
        <w:spacing w:after="0" w:line="266" w:lineRule="auto"/>
        <w:rPr>
          <w:sz w:val="20"/>
          <w:szCs w:val="20"/>
          <w:color w:val="auto"/>
        </w:rPr>
      </w:pPr>
      <w:r>
        <w:rPr>
          <w:rFonts w:ascii="Times New Roman" w:cs="Times New Roman" w:eastAsia="Times New Roman" w:hAnsi="Times New Roman"/>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500" w:right="100"/>
        <w:spacing w:after="0" w:line="261" w:lineRule="auto"/>
        <w:rPr>
          <w:sz w:val="20"/>
          <w:szCs w:val="20"/>
          <w:color w:val="auto"/>
        </w:rPr>
      </w:pPr>
      <w:r>
        <w:rPr>
          <w:rFonts w:ascii="Times New Roman" w:cs="Times New Roman" w:eastAsia="Times New Roman" w:hAnsi="Times New Roman"/>
          <w:sz w:val="18"/>
          <w:szCs w:val="18"/>
          <w:color w:val="auto"/>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ind w:left="520" w:right="200"/>
        <w:spacing w:after="0" w:line="258"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83" w:lineRule="exact"/>
        <w:rPr>
          <w:sz w:val="20"/>
          <w:szCs w:val="20"/>
          <w:color w:val="auto"/>
        </w:rPr>
      </w:pPr>
    </w:p>
    <w:p>
      <w:pPr>
        <w:ind w:left="500" w:right="20"/>
        <w:spacing w:after="0" w:line="266" w:lineRule="auto"/>
        <w:rPr>
          <w:sz w:val="20"/>
          <w:szCs w:val="20"/>
          <w:color w:val="auto"/>
        </w:rPr>
      </w:pPr>
      <w:r>
        <w:rPr>
          <w:rFonts w:ascii="Times New Roman" w:cs="Times New Roman" w:eastAsia="Times New Roman" w:hAnsi="Times New Roman"/>
          <w:sz w:val="18"/>
          <w:szCs w:val="18"/>
          <w:color w:val="auto"/>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Unsatisfied performance obligations primarily represent contracts for products with future delivery dates. At September 28, 2024, we had</w:t>
      </w:r>
    </w:p>
    <w:p>
      <w:pPr>
        <w:spacing w:after="0" w:line="27" w:lineRule="exact"/>
        <w:rPr>
          <w:sz w:val="20"/>
          <w:szCs w:val="20"/>
          <w:color w:val="auto"/>
        </w:rPr>
      </w:pPr>
    </w:p>
    <w:p>
      <w:pPr>
        <w:ind w:left="500" w:right="120"/>
        <w:spacing w:after="0" w:line="255" w:lineRule="auto"/>
        <w:rPr>
          <w:sz w:val="20"/>
          <w:szCs w:val="20"/>
          <w:color w:val="auto"/>
        </w:rPr>
      </w:pPr>
      <w:r>
        <w:rPr>
          <w:rFonts w:ascii="Times New Roman" w:cs="Times New Roman" w:eastAsia="Times New Roman" w:hAnsi="Times New Roman"/>
          <w:sz w:val="18"/>
          <w:szCs w:val="18"/>
          <w:color w:val="auto"/>
        </w:rPr>
        <w:t xml:space="preserve">$5.8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have opted to not disclose unsatisfied performance obligations for contracts with original expected durations of less than one year.</w:t>
      </w:r>
    </w:p>
    <w:p>
      <w:pPr>
        <w:spacing w:after="0" w:line="186"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 and not as a separate performance obligation.</w:t>
      </w:r>
    </w:p>
    <w:p>
      <w:pPr>
        <w:spacing w:after="0" w:line="176" w:lineRule="exact"/>
        <w:rPr>
          <w:sz w:val="20"/>
          <w:szCs w:val="20"/>
          <w:color w:val="auto"/>
        </w:rPr>
      </w:pPr>
    </w:p>
    <w:p>
      <w:pPr>
        <w:ind w:left="500" w:right="20"/>
        <w:spacing w:after="0" w:line="254" w:lineRule="auto"/>
        <w:rPr>
          <w:sz w:val="20"/>
          <w:szCs w:val="20"/>
          <w:color w:val="auto"/>
        </w:rPr>
      </w:pPr>
      <w:r>
        <w:rPr>
          <w:rFonts w:ascii="Times New Roman" w:cs="Times New Roman" w:eastAsia="Times New Roman" w:hAnsi="Times New Roman"/>
          <w:sz w:val="18"/>
          <w:szCs w:val="18"/>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92"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62" w:lineRule="exact"/>
        <w:rPr>
          <w:sz w:val="20"/>
          <w:szCs w:val="20"/>
          <w:color w:val="auto"/>
        </w:rPr>
      </w:pPr>
    </w:p>
    <w:p>
      <w:pPr>
        <w:ind w:left="500" w:right="140"/>
        <w:spacing w:after="0" w:line="261" w:lineRule="auto"/>
        <w:rPr>
          <w:sz w:val="20"/>
          <w:szCs w:val="20"/>
          <w:color w:val="auto"/>
        </w:rPr>
      </w:pPr>
      <w:r>
        <w:rPr>
          <w:rFonts w:ascii="Times New Roman" w:cs="Times New Roman" w:eastAsia="Times New Roman" w:hAnsi="Times New Roman"/>
          <w:sz w:val="18"/>
          <w:szCs w:val="18"/>
          <w:color w:val="auto"/>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spacing w:after="0" w:line="180" w:lineRule="exact"/>
        <w:rPr>
          <w:sz w:val="20"/>
          <w:szCs w:val="20"/>
          <w:color w:val="auto"/>
        </w:rPr>
      </w:pPr>
    </w:p>
    <w:p>
      <w:pPr>
        <w:ind w:left="500" w:right="220"/>
        <w:spacing w:after="0" w:line="255" w:lineRule="auto"/>
        <w:rPr>
          <w:sz w:val="20"/>
          <w:szCs w:val="20"/>
          <w:color w:val="auto"/>
        </w:rPr>
      </w:pPr>
      <w:r>
        <w:rPr>
          <w:rFonts w:ascii="Times New Roman" w:cs="Times New Roman" w:eastAsia="Times New Roman" w:hAnsi="Times New Roman"/>
          <w:sz w:val="18"/>
          <w:szCs w:val="18"/>
          <w:color w:val="auto"/>
        </w:rPr>
        <w:t>On shipments where sales are not recognized, gross profit is generally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September 28, 2024, we had deferred revenue totaling approximately $9.4 million, current deferred profit of $4.1 million and deferred profit expected to be recognized after one year included in noncurrent other accrued liabilities of $4.4 million. At December 30, 2023, we had deferred revenue totaling approximately $8.8 million, current deferred profit of $3.6 million and deferred profit expected to be recognized after one year included in noncurrent other accrued liabilities of $4.9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xml:space="preserve">Net sales by type are as follows </w:t>
            </w: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Net Sales</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0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4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31,102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73,173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103,685</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263,469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Non-systems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203,972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235,627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95,342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150,804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307,657</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499,096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Revenue by geographic area based upon product shipment destination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28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Net Sales</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48,327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58,097</w:t>
            </w: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19,689</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69,193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12,223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78,703</w:t>
            </w: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38,387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19,983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77,132</w:t>
            </w:r>
          </w:p>
        </w:tc>
        <w:tc>
          <w:tcPr>
            <w:tcW w:w="0" w:type="dxa"/>
            <w:vAlign w:val="bottom"/>
          </w:tcPr>
          <w:p>
            <w:pPr>
              <w:spacing w:after="0"/>
              <w:rPr>
                <w:sz w:val="1"/>
                <w:szCs w:val="1"/>
                <w:color w:val="auto"/>
              </w:rPr>
            </w:pPr>
          </w:p>
        </w:tc>
      </w:tr>
      <w:tr>
        <w:trPr>
          <w:trHeight w:val="216"/>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177,584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307,657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499,096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A small number of customers historically have been responsible for a significant portion of our net sales. Significant customer concentration information is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5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6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5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28,</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30,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28,</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 individually accounting for more than 10% of net sales</w:t>
            </w:r>
          </w:p>
        </w:tc>
        <w:tc>
          <w:tcPr>
            <w:tcW w:w="11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one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two</w:t>
            </w:r>
          </w:p>
        </w:tc>
        <w:tc>
          <w:tcPr>
            <w:tcW w:w="14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one</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single customer represented more than 10% of consolidated net sales.</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Our accumulated other comprehensive loss balance totaled approximately $37.6 million and $34.8 million at September 28, 2024 and December 30, 2023,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first nine months of fiscal 2024 and 2023 were not significant.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Retiree Medical Benefits</w:t>
      </w:r>
    </w:p>
    <w:p>
      <w:pPr>
        <w:spacing w:after="0" w:line="22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first nine months of fiscal 2024 and 2023 was not significant.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520" w:right="4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This ASU is effective for fiscal years beginning after December 15, 2023 and interim disclosures are required for periods within fiscal years beginning after December 15, 2024. Retrospective application is required, and early adoption is permitted. We anticipate the primary change will be the inclusion of additional disclosures related to our single reportable segment.</w:t>
      </w:r>
    </w:p>
    <w:p>
      <w:pPr>
        <w:spacing w:after="0" w:line="18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enhancements and further transparency to certain income tax disclosures, most notably the tax rate reconciliation and income taxes paid. This ASU is effective for fiscal years beginning after December 15, 2024, may be applied prospectively or retrospectively, and allows for early adoption. We are currently evaluating the impact of the adoption of this standard.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right="40"/>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U.S. Securities and Exchange Commission issued its final climate disclosure rules, </w:t>
      </w:r>
      <w:r>
        <w:rPr>
          <w:rFonts w:ascii="Times New Roman" w:cs="Times New Roman" w:eastAsia="Times New Roman" w:hAnsi="Times New Roman"/>
          <w:sz w:val="18"/>
          <w:szCs w:val="18"/>
          <w:i w:val="1"/>
          <w:iCs w:val="1"/>
          <w:color w:val="auto"/>
        </w:rPr>
        <w:t>The Enhancement and Standardization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Climate-Related Disclosures for Investors</w:t>
      </w:r>
      <w:r>
        <w:rPr>
          <w:rFonts w:ascii="Times New Roman" w:cs="Times New Roman" w:eastAsia="Times New Roman" w:hAnsi="Times New Roman"/>
          <w:sz w:val="18"/>
          <w:szCs w:val="18"/>
          <w:color w:val="auto"/>
        </w:rPr>
        <w:t>, which require all registrants to provide certain climate-related information in their registration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annual reports. The rules require disclosure of, among other things, material climate-related risks, activities to mitigate or adapt to such risks, governance and oversight of such risks, material climate targets and goals, and Scope 1 and/or Scope 2 greenhouse gas emissions, on a phased-in basis, when those emissions are material. In addition, the final rules require certain disclosures in the notes to the financial statements, including the effects of severe weather events and other natural conditions. The rules are effective for us on a phased-in timeline starting in fiscal 2025; however, in April 2024, the SEC issued an order to voluntarily stay its final climate rules pending the completion of judicial review thereof by the U.S. Court of Appeals for the Eighth Circuit. We are currently evaluating the impact of the rules on our consolidated financial statements.</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Goodwill and Purchased Intangible Assets</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EQT</w:t>
      </w:r>
    </w:p>
    <w:p>
      <w:pPr>
        <w:spacing w:after="0" w:line="227" w:lineRule="exact"/>
        <w:rPr>
          <w:rFonts w:ascii="Times New Roman" w:cs="Times New Roman" w:eastAsia="Times New Roman" w:hAnsi="Times New Roman"/>
          <w:sz w:val="18"/>
          <w:szCs w:val="18"/>
          <w:b w:val="1"/>
          <w:bCs w:val="1"/>
          <w:color w:val="auto"/>
        </w:rPr>
      </w:pPr>
    </w:p>
    <w:p>
      <w:pPr>
        <w:ind w:left="5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 2023, we completed the acquisition of Equiptest Engineering Pte. Ltd. (“EQT”), a provider of semiconductor test contactors and other consumables. (“the EQT Acquisition”). EQT is a Singapore-based company with its principal manufacturing site located there. EQT provides test interface products including high performance thermal, MEMS, Infrared, Coaxial and Kelvin Contactors that expand our interface products in mid-to high-power contactors. The EQT Acquisition was a cash-free debt-free transaction and was subject to a working capital adjustment for the difference between the actual and estimated net working capital. We made a cash payment of SGD 66.0 million ($48.3 million) on October 2, 2023, and set up a retention sum liability for potential adjustments to working capital, future tax or insurance claims in the amount of SGD 2.2 million ($1.6 million) resulting in an initial purchase price of SGD 68.3 million ($49.9 million). The working capital adjustment was finalized in January 2024 and an additional cash payment was made to EQT owners of SGD 0.8 million (approximately $0.6 million) resulting in a purchase price of SGD 68.8 million ($50.3 million). The retention liability for remaining tax, insurance and other claims as of September 28, 2024, was SGD</w:t>
      </w:r>
    </w:p>
    <w:p>
      <w:pPr>
        <w:spacing w:after="0" w:line="6" w:lineRule="exact"/>
        <w:rPr>
          <w:rFonts w:ascii="Times New Roman" w:cs="Times New Roman" w:eastAsia="Times New Roman" w:hAnsi="Times New Roman"/>
          <w:sz w:val="18"/>
          <w:szCs w:val="18"/>
          <w:b w:val="1"/>
          <w:bCs w:val="1"/>
          <w:color w:val="auto"/>
        </w:rPr>
      </w:pPr>
    </w:p>
    <w:p>
      <w:pPr>
        <w:ind w:left="520" w:right="1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 million ($0.8 million) and is accrued in long term other liabilities on our condensed consolidated balance sheet. The EQT Acquisition has been accounted for in conformity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(“ASC 805”).</w:t>
      </w:r>
    </w:p>
    <w:p>
      <w:pPr>
        <w:spacing w:after="0" w:line="181" w:lineRule="exact"/>
        <w:rPr>
          <w:sz w:val="20"/>
          <w:szCs w:val="20"/>
          <w:color w:val="auto"/>
        </w:rPr>
      </w:pPr>
    </w:p>
    <w:p>
      <w:pPr>
        <w:jc w:val="both"/>
        <w:ind w:left="520" w:right="60"/>
        <w:spacing w:after="0" w:line="266" w:lineRule="auto"/>
        <w:rPr>
          <w:sz w:val="20"/>
          <w:szCs w:val="20"/>
          <w:color w:val="auto"/>
        </w:rPr>
      </w:pPr>
      <w:r>
        <w:rPr>
          <w:rFonts w:ascii="Times New Roman" w:cs="Times New Roman" w:eastAsia="Times New Roman" w:hAnsi="Times New Roman"/>
          <w:sz w:val="18"/>
          <w:szCs w:val="18"/>
          <w:color w:val="auto"/>
        </w:rPr>
        <w:t>The acquired assets and liabilities of EQT were recorded at their respective fair values including an amount for goodwill representing the difference between the consideration paid and the fair value of the identifiable net assets. The purchase price allocation was finalized during the second quarter of 2024. The table below summarizes the assets acquired and liabilities assumed as of October 2,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40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10,135</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3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60,550</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(10,203)</w:t>
            </w:r>
          </w:p>
        </w:tc>
        <w:tc>
          <w:tcPr>
            <w:tcW w:w="160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3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allocation of intangible assets subject to amortization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Estimated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34"/>
        </w:trPr>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Pr>
          <w:p>
            <w:pPr>
              <w:spacing w:after="0"/>
              <w:rPr>
                <w:sz w:val="20"/>
                <w:szCs w:val="20"/>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34,500</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76" w:lineRule="exact"/>
        <w:rPr>
          <w:sz w:val="20"/>
          <w:szCs w:val="20"/>
          <w:color w:val="auto"/>
        </w:rPr>
      </w:pPr>
    </w:p>
    <w:p>
      <w:pPr>
        <w:ind w:left="520" w:right="120"/>
        <w:spacing w:after="0" w:line="254" w:lineRule="auto"/>
        <w:rPr>
          <w:sz w:val="20"/>
          <w:szCs w:val="20"/>
          <w:color w:val="auto"/>
        </w:rPr>
      </w:pPr>
      <w:r>
        <w:rPr>
          <w:rFonts w:ascii="Times New Roman" w:cs="Times New Roman" w:eastAsia="Times New Roman" w:hAnsi="Times New Roman"/>
          <w:sz w:val="18"/>
          <w:szCs w:val="18"/>
          <w:color w:val="auto"/>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EQT’s product line. The revenue estimates used to value the developed technology were based on estimates of relevant market sizes and growth factors, expected trends in technology and the nature and expected timing of new product introductions by EQT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2"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80"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The value assigned to backlog acquired was estimated based upon the contractual nature of the backlog as of October 2, 2023, using the multi-period excess earnings method under the income approach to discount back to present value the cash flows attributable to the backlog at a discount rate commensurate with the expected risks of the backlog cash flows.</w:t>
      </w:r>
    </w:p>
    <w:p>
      <w:pPr>
        <w:spacing w:after="0" w:line="176"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The value assigned to trademarks and trade names acquired was determined by using the relief from royalty method under the income approach, which included assumptions related to revenue growth rates, royalty rates, and discount rates.</w:t>
      </w:r>
    </w:p>
    <w:p>
      <w:pPr>
        <w:spacing w:after="0" w:line="162" w:lineRule="exact"/>
        <w:rPr>
          <w:sz w:val="20"/>
          <w:szCs w:val="20"/>
          <w:color w:val="auto"/>
        </w:rPr>
      </w:pPr>
    </w:p>
    <w:p>
      <w:pPr>
        <w:ind w:left="520" w:right="760"/>
        <w:spacing w:after="0" w:line="282" w:lineRule="auto"/>
        <w:rPr>
          <w:sz w:val="20"/>
          <w:szCs w:val="20"/>
          <w:color w:val="auto"/>
        </w:rPr>
      </w:pPr>
      <w:r>
        <w:rPr>
          <w:rFonts w:ascii="Times New Roman" w:cs="Times New Roman" w:eastAsia="Times New Roman" w:hAnsi="Times New Roman"/>
          <w:sz w:val="18"/>
          <w:szCs w:val="18"/>
          <w:color w:val="auto"/>
        </w:rPr>
        <w:t>EQT’s results of operations have been included starting October 2, 2023. The impact of EQT on our condensed consolidated statements of operations and comprehensive income (loss) was not 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227"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Changes in the carrying value of goodwill during the year ended December 30, 2023, and the nine-month period ended September 28,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213,539</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24,132</w:t>
            </w:r>
          </w:p>
        </w:tc>
      </w:tr>
      <w:tr>
        <w:trPr>
          <w:trHeight w:val="216"/>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241,658</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28, 2024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242,867</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520" w:type="dxa"/>
        <w:tblCellMar>
          <w:top w:w="0" w:type="dxa"/>
          <w:left w:w="0" w:type="dxa"/>
          <w:bottom w:w="0" w:type="dxa"/>
          <w:right w:w="0" w:type="dxa"/>
        </w:tblCellMar>
      </w:tblPr>
      <w:tr>
        <w:trPr>
          <w:trHeight w:val="236"/>
        </w:trPr>
        <w:tc>
          <w:tcPr>
            <w:tcW w:w="6320" w:type="dxa"/>
            <w:vAlign w:val="bottom"/>
            <w:gridSpan w:val="7"/>
          </w:tcPr>
          <w:p>
            <w:pPr>
              <w:jc w:val="right"/>
              <w:ind w:right="410"/>
              <w:spacing w:after="0"/>
              <w:rPr>
                <w:sz w:val="20"/>
                <w:szCs w:val="20"/>
                <w:color w:val="auto"/>
              </w:rPr>
            </w:pPr>
            <w:r>
              <w:rPr>
                <w:rFonts w:ascii="Times New Roman" w:cs="Times New Roman" w:eastAsia="Times New Roman" w:hAnsi="Times New Roman"/>
                <w:sz w:val="18"/>
                <w:szCs w:val="18"/>
                <w:color w:val="auto"/>
                <w:w w:val="99"/>
              </w:rPr>
              <w:t>Purchased intangible assets subject to amortization are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28, 2024</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December 30, 2023</w:t>
            </w:r>
          </w:p>
        </w:tc>
      </w:tr>
      <w:tr>
        <w:trPr>
          <w:trHeight w:val="191"/>
        </w:trPr>
        <w:tc>
          <w:tcPr>
            <w:tcW w:w="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Remaining</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Accum.</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w:t>
            </w:r>
          </w:p>
        </w:tc>
      </w:tr>
      <w:tr>
        <w:trPr>
          <w:trHeight w:val="234"/>
        </w:trPr>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Amort.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Period (years)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Amort.</w:t>
            </w:r>
          </w:p>
        </w:tc>
        <w:tc>
          <w:tcPr>
            <w:tcW w:w="10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233,623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137,168</w:t>
            </w:r>
          </w:p>
        </w:tc>
      </w:tr>
      <w:tr>
        <w:trPr>
          <w:trHeight w:val="216"/>
        </w:trPr>
        <w:tc>
          <w:tcPr>
            <w:tcW w:w="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74,001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73,759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28,932</w:t>
            </w:r>
          </w:p>
        </w:tc>
      </w:tr>
      <w:tr>
        <w:trPr>
          <w:trHeight w:val="216"/>
        </w:trPr>
        <w:tc>
          <w:tcPr>
            <w:tcW w:w="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21,643</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21,569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11,231</w:t>
            </w:r>
          </w:p>
        </w:tc>
      </w:tr>
      <w:tr>
        <w:trPr>
          <w:trHeight w:val="216"/>
        </w:trPr>
        <w:tc>
          <w:tcPr>
            <w:tcW w:w="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14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330,586</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207,962</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329,301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177,531</w:t>
            </w:r>
          </w:p>
        </w:tc>
      </w:tr>
      <w:tr>
        <w:trPr>
          <w:trHeight w:val="20"/>
        </w:trPr>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values of purchased intangible assets presented above are a result of the impact of fluctuations in currency exchange rates.</w:t>
      </w:r>
    </w:p>
    <w:p>
      <w:pPr>
        <w:spacing w:after="0" w:line="225"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was approximately $9.8 million in the third quarter of fiscal 2024 and $29.3 million in the first nine months of fiscal 2024. Amortization expense related to intangible assets was approximately $8.9 million in the third quarter of fiscal 2023 and $26.6 million in the first nine months of fiscal 2023.</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and Credit Agreements</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our borrowings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28,</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Term Loan under Credit Agreement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Bank Term Loans-Kita</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Loan- Cohu GmbH</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7,182</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10,520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40,876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financing fees and discount</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7" w:lineRule="exact"/>
        <w:rPr>
          <w:sz w:val="20"/>
          <w:szCs w:val="20"/>
          <w:color w:val="auto"/>
        </w:rPr>
      </w:pPr>
    </w:p>
    <w:p>
      <w:pPr>
        <w:ind w:left="520" w:right="80"/>
        <w:spacing w:after="0" w:line="254"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condensed consolidated balance sheets.</w:t>
      </w:r>
    </w:p>
    <w:p>
      <w:pPr>
        <w:spacing w:after="0" w:line="188"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 During the first nine months of 2023, we repurchased $34.1 million in principal of our Term Loan Credit Facility for $34.1 million in cash. This resulted in a loss of $0.4 million reflected in other expense in our condensed consolidated statement of operations and a $0.4 million reduction in debt discounts and deferred financing costs in our condensed consolidated balance sheets.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7"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at rates ranging from 0.05% to 0.69%, and expire at various dates through 2034. At September 28, 2024, the outstanding loan balance was $1.9 million and $0.2 million of the outstanding balance is presented as current installments of long-term debt in our condensed consolidated balance sheets. At December 30, 2023, the outstanding loan balance was $2.1 million and $0.2 million of the outstanding balance is presented as current installments of long-term debt in our condensed consolidated balance sheets. The fair value of the debt approximates the carrying value at September 28, 2024.</w:t>
      </w:r>
    </w:p>
    <w:p>
      <w:pPr>
        <w:spacing w:after="0" w:line="187"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The term loans are denominated in Japanese Yen and, as a result, amounts disclosed herein will fluctuate because of changes in currency exchange rates.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0"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3"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At September 28, 2024, total outstanding borrowings under the Loan Facilities was $7.2 million with $1.0 million of the total outstanding balance being presented as current installments of long-term debt in our condensed consolidated balance sheets. At December 30, 2023, total outstanding borrowings under the Loan Facilities was $7.7 million with $1.0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September 28,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7" w:lineRule="exact"/>
        <w:rPr>
          <w:sz w:val="20"/>
          <w:szCs w:val="20"/>
          <w:color w:val="auto"/>
        </w:rPr>
      </w:pPr>
    </w:p>
    <w:p>
      <w:pPr>
        <w:ind w:left="520" w:right="40"/>
        <w:spacing w:after="0" w:line="281" w:lineRule="auto"/>
        <w:rPr>
          <w:sz w:val="20"/>
          <w:szCs w:val="20"/>
          <w:color w:val="auto"/>
        </w:rPr>
      </w:pPr>
      <w:r>
        <w:rPr>
          <w:rFonts w:ascii="Times New Roman" w:cs="Times New Roman" w:eastAsia="Times New Roman" w:hAnsi="Times New Roman"/>
          <w:sz w:val="17"/>
          <w:szCs w:val="17"/>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200 million Japanese Yen was drawn as of September 28, 2024. At September 28, 2024, total borrowings outstanding under the revolving lines of credit were $1.4 million. As these credit facility agreements renew monthly, they have been included in short-term borrowings in our condensed consolidated balance sheets.</w:t>
      </w:r>
    </w:p>
    <w:p>
      <w:pPr>
        <w:spacing w:after="0" w:line="164"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2"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Our wholly owned subsidiary in Switzerland has one available line of credit which provides borrowings of up to a total of 2.0 million Swiss Francs, a portion of which is reserved for tax guarantees. At September 28, 2024 and December 30, 2023 no amounts were outstanding under this line of credit.</w:t>
      </w:r>
    </w:p>
    <w:p>
      <w:pPr>
        <w:spacing w:after="0" w:line="200" w:lineRule="exact"/>
        <w:rPr>
          <w:sz w:val="20"/>
          <w:szCs w:val="20"/>
          <w:color w:val="auto"/>
        </w:rPr>
      </w:pPr>
    </w:p>
    <w:p>
      <w:pPr>
        <w:spacing w:after="0" w:line="215" w:lineRule="exact"/>
        <w:rPr>
          <w:sz w:val="20"/>
          <w:szCs w:val="20"/>
          <w:color w:val="auto"/>
        </w:rPr>
      </w:pPr>
    </w:p>
    <w:p>
      <w:pPr>
        <w:ind w:left="520" w:right="8820" w:hanging="512"/>
        <w:spacing w:after="0" w:line="532" w:lineRule="auto"/>
        <w:tabs>
          <w:tab w:leader="none" w:pos="50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i w:val="1"/>
          <w:iCs w:val="1"/>
          <w:u w:val="single" w:color="auto"/>
          <w:color w:val="auto"/>
        </w:rPr>
        <w:t>MCT Integration Program</w:t>
      </w:r>
    </w:p>
    <w:p>
      <w:pPr>
        <w:spacing w:after="0" w:line="1" w:lineRule="exact"/>
        <w:rPr>
          <w:rFonts w:ascii="Times New Roman" w:cs="Times New Roman" w:eastAsia="Times New Roman" w:hAnsi="Times New Roman"/>
          <w:sz w:val="17"/>
          <w:szCs w:val="17"/>
          <w:b w:val="1"/>
          <w:bCs w:val="1"/>
          <w:color w:val="auto"/>
        </w:rPr>
      </w:pPr>
    </w:p>
    <w:p>
      <w:pPr>
        <w:ind w:left="5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first quarter of 2023, in connection with the acquisition of MCT Worldwide, LLC (“MCT”), we began a strategic restructuring and integration program (“MCT Integration Program”). As part of the MCT Integration Program, we consolidated MCT’s Penang, Malaysia manufacturing operations into Cohu’s Malacca, Malaysia manufacturing operations by the end of 2023. Relating to the facility consolidation actions, we notified certain impacted employees of a reduction in force program. The facility consolidation and reduction in force programs were implemented as part of a comprehensive review of our operations and were intended to reduce our operating cost structure and capitalize on acquisition synergies. As of September 28, 2024, restructuring activities associated with the MCT Integration Program were materially complete.</w:t>
      </w:r>
    </w:p>
    <w:p>
      <w:pPr>
        <w:spacing w:after="0" w:line="187" w:lineRule="exact"/>
        <w:rPr>
          <w:rFonts w:ascii="Times New Roman" w:cs="Times New Roman" w:eastAsia="Times New Roman" w:hAnsi="Times New Roman"/>
          <w:sz w:val="17"/>
          <w:szCs w:val="17"/>
          <w:b w:val="1"/>
          <w:bCs w:val="1"/>
          <w:color w:val="auto"/>
        </w:rPr>
      </w:pPr>
    </w:p>
    <w:p>
      <w:pPr>
        <w:ind w:left="520" w:right="1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 result of the activities described above, we recognized total pretax charges of $0.7 million and $2.0 million during the three and nine months ended September 30, 2023, respectively, that are within the scope of ASC 420. Total pretax charges for the three and nine months ended September 28, 2024 were not material.</w:t>
      </w:r>
    </w:p>
    <w:p>
      <w:pPr>
        <w:spacing w:after="0" w:line="175" w:lineRule="exact"/>
        <w:rPr>
          <w:rFonts w:ascii="Times New Roman" w:cs="Times New Roman" w:eastAsia="Times New Roman" w:hAnsi="Times New Roman"/>
          <w:sz w:val="17"/>
          <w:szCs w:val="17"/>
          <w:b w:val="1"/>
          <w:bCs w:val="1"/>
          <w:color w:val="auto"/>
        </w:rPr>
      </w:pPr>
    </w:p>
    <w:p>
      <w:pPr>
        <w:ind w:left="500" w:right="1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following table summarizes the activity within the restructuring related accounts for the MCT Integration Program during the first nine months ended September 30,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4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Severance and</w:t>
            </w:r>
          </w:p>
        </w:tc>
        <w:tc>
          <w:tcPr>
            <w:tcW w:w="24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Other Exit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Other Payroll</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6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(1,594)</w:t>
            </w:r>
          </w:p>
        </w:tc>
      </w:tr>
      <w:tr>
        <w:trPr>
          <w:trHeight w:val="20"/>
        </w:trPr>
        <w:tc>
          <w:tcPr>
            <w:tcW w:w="4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r>
      <w:tr>
        <w:trPr>
          <w:trHeight w:val="20"/>
        </w:trPr>
        <w:tc>
          <w:tcPr>
            <w:tcW w:w="4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229" w:lineRule="exact"/>
        <w:rPr>
          <w:rFonts w:ascii="Times New Roman" w:cs="Times New Roman" w:eastAsia="Times New Roman" w:hAnsi="Times New Roman"/>
          <w:sz w:val="18"/>
          <w:szCs w:val="18"/>
          <w:b w:val="1"/>
          <w:bCs w:val="1"/>
          <w:color w:val="auto"/>
        </w:rPr>
      </w:pPr>
    </w:p>
    <w:p>
      <w:pPr>
        <w:ind w:left="50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79" w:lineRule="exact"/>
        <w:rPr>
          <w:rFonts w:ascii="Times New Roman" w:cs="Times New Roman" w:eastAsia="Times New Roman" w:hAnsi="Times New Roman"/>
          <w:sz w:val="18"/>
          <w:szCs w:val="18"/>
          <w:b w:val="1"/>
          <w:bCs w:val="1"/>
          <w:color w:val="auto"/>
        </w:rPr>
      </w:pPr>
    </w:p>
    <w:p>
      <w:pPr>
        <w:ind w:left="500" w:right="1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income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September 28, 2024</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7"/>
              </w:rPr>
              <w:t xml:space="preserve">Losses </w:t>
            </w:r>
            <w:r>
              <w:rPr>
                <w:rFonts w:ascii="Times New Roman" w:cs="Times New Roman" w:eastAsia="Times New Roman" w:hAnsi="Times New Roman"/>
                <w:sz w:val="27"/>
                <w:szCs w:val="27"/>
                <w:color w:val="auto"/>
                <w:w w:val="97"/>
                <w:vertAlign w:val="superscript"/>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09"/>
        </w:trPr>
        <w:tc>
          <w:tcPr>
            <w:tcW w:w="45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50,457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79,735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79,976</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4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December 30, 2023</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4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7"/>
              </w:rPr>
              <w:t xml:space="preserve">Losses </w:t>
            </w:r>
            <w:r>
              <w:rPr>
                <w:rFonts w:ascii="Times New Roman" w:cs="Times New Roman" w:eastAsia="Times New Roman" w:hAnsi="Times New Roman"/>
                <w:sz w:val="27"/>
                <w:szCs w:val="27"/>
                <w:color w:val="auto"/>
                <w:w w:val="97"/>
                <w:vertAlign w:val="superscript"/>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45,105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4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90,174</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980" w:right="180" w:hanging="324"/>
        <w:spacing w:after="0" w:line="255"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28, 2024, the cost and fair value of investments with loss positions were both approximately $11.5 million. As of December 30, 2023, the cost and fair value of investments with loss positions was approximately $38.5 million and $38.4 million, respectively. We evaluated the nature of these investments, credit worthiness of the issuer and the duration of these impairments to determine if a credit loss exists. We have the ability and intent to hold these investments to maturity.</w:t>
      </w:r>
    </w:p>
    <w:p>
      <w:pPr>
        <w:spacing w:after="0" w:line="2" w:lineRule="exact"/>
        <w:rPr>
          <w:rFonts w:ascii="Times New Roman" w:cs="Times New Roman" w:eastAsia="Times New Roman" w:hAnsi="Times New Roman"/>
          <w:sz w:val="18"/>
          <w:szCs w:val="18"/>
          <w:color w:val="auto"/>
        </w:rPr>
      </w:pPr>
    </w:p>
    <w:p>
      <w:pPr>
        <w:ind w:left="980" w:right="200" w:hanging="324"/>
        <w:spacing w:after="0" w:line="26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include investments in financial and other corporate institutions. No single issuer represents a significant portion of the total corporate 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-841375</wp:posOffset>
            </wp:positionV>
            <wp:extent cx="6720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Effective maturities of short-term investments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September 28, 2024</w:t>
            </w:r>
          </w:p>
        </w:tc>
        <w:tc>
          <w:tcPr>
            <w:tcW w:w="140" w:type="dxa"/>
            <w:vAlign w:val="bottom"/>
          </w:tcPr>
          <w:p>
            <w:pPr>
              <w:spacing w:after="0"/>
              <w:rPr>
                <w:sz w:val="20"/>
                <w:szCs w:val="20"/>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December 30, 2023</w:t>
            </w:r>
          </w:p>
        </w:tc>
      </w:tr>
      <w:tr>
        <w:trPr>
          <w:trHeight w:val="191"/>
        </w:trPr>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57,887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13,268</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31,546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0"/>
        </w:trPr>
        <w:tc>
          <w:tcPr>
            <w:tcW w:w="5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90,174</w:t>
            </w: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ind w:left="520" w:right="6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financial instruments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gridSpan w:val="12"/>
          </w:tcPr>
          <w:p>
            <w:pPr>
              <w:jc w:val="right"/>
              <w:ind w:right="780"/>
              <w:spacing w:after="0"/>
              <w:rPr>
                <w:sz w:val="20"/>
                <w:szCs w:val="20"/>
                <w:color w:val="auto"/>
              </w:rPr>
            </w:pPr>
            <w:r>
              <w:rPr>
                <w:rFonts w:ascii="Times New Roman" w:cs="Times New Roman" w:eastAsia="Times New Roman" w:hAnsi="Times New Roman"/>
                <w:sz w:val="18"/>
                <w:szCs w:val="18"/>
                <w:color w:val="auto"/>
              </w:rPr>
              <w:t>Fair value measurements at September 28, 2024 using:</w:t>
            </w:r>
          </w:p>
        </w:tc>
      </w:tr>
      <w:tr>
        <w:trPr>
          <w:trHeight w:val="191"/>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w w:val="97"/>
              </w:rPr>
              <w:t>Total Estimated</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135,158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135,158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70,113</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70,113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16,873</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2,837</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135,158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269,238</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color w:val="auto"/>
              </w:rPr>
              <w:t>Fair value measurements at December 30, 2023 using:</w:t>
            </w:r>
          </w:p>
        </w:tc>
      </w:tr>
      <w:tr>
        <w:trPr>
          <w:trHeight w:val="191"/>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w w:val="97"/>
              </w:rPr>
              <w:t>Total Estimated</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157,697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81,115</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81,115</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20,349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8,024</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157,697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335,698</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Benefit Plans</w:t>
      </w:r>
    </w:p>
    <w:p>
      <w:pPr>
        <w:spacing w:after="0" w:line="229" w:lineRule="exact"/>
        <w:rPr>
          <w:rFonts w:ascii="Times New Roman" w:cs="Times New Roman" w:eastAsia="Times New Roman" w:hAnsi="Times New Roman"/>
          <w:sz w:val="18"/>
          <w:szCs w:val="18"/>
          <w:b w:val="1"/>
          <w:bCs w:val="1"/>
          <w:color w:val="auto"/>
        </w:rPr>
      </w:pPr>
    </w:p>
    <w:p>
      <w:pPr>
        <w:ind w:left="52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2005 Equity Incentive Plan (“2005 Plan”) and the Cohu, Inc. 1997 Employee Stock Purchase Plan (“ESPP”) are broad-based, long-term 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September 28, 2024, there were 2,943,504 shares available for future equity grants under the 2005 Plan and 721,973 shares available for purchase under the ESPP.</w:t>
      </w:r>
    </w:p>
    <w:p>
      <w:pPr>
        <w:spacing w:after="0" w:line="18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ind w:left="52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2005 Plan have a maximum contractual term of ten years. In the first nine months of fiscal 2024, we did not grant any stock options and as of September 28, 2024, no stock options were exercisable and outstanding.</w:t>
      </w:r>
    </w:p>
    <w:p>
      <w:pPr>
        <w:spacing w:after="0" w:line="17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rFonts w:ascii="Times New Roman" w:cs="Times New Roman" w:eastAsia="Times New Roman" w:hAnsi="Times New Roman"/>
          <w:sz w:val="18"/>
          <w:szCs w:val="18"/>
          <w:b w:val="1"/>
          <w:bCs w:val="1"/>
          <w:color w:val="auto"/>
        </w:rPr>
      </w:pPr>
    </w:p>
    <w:p>
      <w:pPr>
        <w:ind w:left="5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will be issued on the date the RSUs vest net of the minimum statutory tax withholding requirements to be paid by us on behalf of our employees. As a result, the actual number of shares issued will be fewer than the number of RSUs outstanding on September 28, 2024.</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In the first nine months of fiscal 2024, we awarded 411,192 RSUs and issued 362,374 shares of our common stock on vesting of previously granted awards and 39,908 RSUs were forfeited. On September 28, 2024, we had 892,918 RSUs outstanding with an aggregate intrinsic value of approximately $23.2 million and the weighted average remaining vesting period was approximately 1.2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left="520" w:right="220"/>
        <w:spacing w:after="0" w:line="256" w:lineRule="auto"/>
        <w:rPr>
          <w:sz w:val="20"/>
          <w:szCs w:val="20"/>
          <w:color w:val="auto"/>
        </w:rPr>
      </w:pPr>
      <w:r>
        <w:rPr>
          <w:rFonts w:ascii="Times New Roman" w:cs="Times New Roman" w:eastAsia="Times New Roman" w:hAnsi="Times New Roman"/>
          <w:sz w:val="18"/>
          <w:szCs w:val="18"/>
          <w:color w:val="auto"/>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Russell 2000 Index (RUT) for the performance period. PSUs granted vest 100% on the third anniversary of their grant, assuming achievement of the applicable performance criteria.</w:t>
      </w:r>
    </w:p>
    <w:p>
      <w:pPr>
        <w:spacing w:after="0" w:line="187"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We estimate the fair value of the PSUs using a Monte Carlo simulation model on the date of grant. Compensation expense is recognized over the requisite service period. To the extent applicable performance conditions are satisfied, shares of our common stock are issued on the date the PSUs vest net of the minimum statutory tax withholding requirements to be paid by us on behalf of our employees. As a result, the actual number of shares issued will be fewer than the actual number of PSUs outstanding on September 28, 2024.</w:t>
      </w:r>
    </w:p>
    <w:p>
      <w:pPr>
        <w:spacing w:after="0" w:line="180"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In the first nine months of fiscal 2024, we awarded 202,521 PSUs, we issued 62,680 shares of our common stock on vesting of previously granted awards and 8,881 shares were forfeited. On September 28, 2024, we had 538,982 PSUs outstanding with an aggregate intrinsic value of approximately $14.0 million and the weighted average remaining vesting period was approximately 1.5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500" w:right="80"/>
        <w:spacing w:after="0" w:line="258" w:lineRule="auto"/>
        <w:rPr>
          <w:sz w:val="20"/>
          <w:szCs w:val="20"/>
          <w:color w:val="auto"/>
        </w:rPr>
      </w:pPr>
      <w:r>
        <w:rPr>
          <w:rFonts w:ascii="Times New Roman" w:cs="Times New Roman" w:eastAsia="Times New Roman" w:hAnsi="Times New Roman"/>
          <w:sz w:val="18"/>
          <w:szCs w:val="18"/>
          <w:color w:val="auto"/>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nine months of fiscal 2024, 77,696 shares of our common stock were sold to our employees under the ESPP.</w:t>
      </w:r>
    </w:p>
    <w:p>
      <w:pPr>
        <w:spacing w:after="0" w:line="200" w:lineRule="exact"/>
        <w:rPr>
          <w:sz w:val="20"/>
          <w:szCs w:val="20"/>
          <w:color w:val="auto"/>
        </w:rPr>
      </w:pPr>
    </w:p>
    <w:p>
      <w:pPr>
        <w:spacing w:after="0" w:line="222" w:lineRule="exact"/>
        <w:rPr>
          <w:sz w:val="20"/>
          <w:szCs w:val="20"/>
          <w:color w:val="auto"/>
        </w:rPr>
      </w:pPr>
    </w:p>
    <w:p>
      <w:pPr>
        <w:ind w:left="520" w:right="8080" w:hanging="512"/>
        <w:spacing w:after="0" w:line="532" w:lineRule="auto"/>
        <w:tabs>
          <w:tab w:leader="none" w:pos="502"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 Financial Instruments </w:t>
      </w:r>
      <w:r>
        <w:rPr>
          <w:rFonts w:ascii="Times New Roman" w:cs="Times New Roman" w:eastAsia="Times New Roman" w:hAnsi="Times New Roman"/>
          <w:sz w:val="17"/>
          <w:szCs w:val="17"/>
          <w:i w:val="1"/>
          <w:iCs w:val="1"/>
          <w:u w:val="single" w:color="auto"/>
          <w:color w:val="auto"/>
        </w:rPr>
        <w:t>Economic (Non-Designated) Hedges</w:t>
      </w:r>
    </w:p>
    <w:p>
      <w:pPr>
        <w:spacing w:after="0" w:line="1" w:lineRule="exact"/>
        <w:rPr>
          <w:rFonts w:ascii="Times New Roman" w:cs="Times New Roman" w:eastAsia="Times New Roman" w:hAnsi="Times New Roman"/>
          <w:sz w:val="17"/>
          <w:szCs w:val="17"/>
          <w:b w:val="1"/>
          <w:bCs w:val="1"/>
          <w:color w:val="auto"/>
        </w:rPr>
      </w:pPr>
    </w:p>
    <w:p>
      <w:pPr>
        <w:ind w:left="520" w:right="1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location and amount of gains and losses related to non-designated derivative instruments in the condensed consolidated statements of operations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not designated</w:t>
            </w:r>
          </w:p>
        </w:tc>
        <w:tc>
          <w:tcPr>
            <w:tcW w:w="2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Location of gain (loss)</w:t>
            </w:r>
          </w:p>
        </w:tc>
        <w:tc>
          <w:tcPr>
            <w:tcW w:w="180" w:type="dxa"/>
            <w:vAlign w:val="bottom"/>
          </w:tcPr>
          <w:p>
            <w:pPr>
              <w:spacing w:after="0"/>
              <w:rPr>
                <w:sz w:val="20"/>
                <w:szCs w:val="20"/>
                <w:color w:val="auto"/>
              </w:rPr>
            </w:pPr>
          </w:p>
        </w:tc>
        <w:tc>
          <w:tcPr>
            <w:tcW w:w="26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0"/>
                <w:szCs w:val="20"/>
                <w:color w:val="auto"/>
              </w:rPr>
            </w:pPr>
          </w:p>
        </w:tc>
        <w:tc>
          <w:tcPr>
            <w:tcW w:w="2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1"/>
        </w:trPr>
        <w:tc>
          <w:tcPr>
            <w:tcW w:w="2700" w:type="dxa"/>
            <w:vAlign w:val="bottom"/>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Sep. 28,</w:t>
            </w: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Sep. 30,</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9"/>
              </w:rPr>
              <w:t>Sep. 28,</w:t>
            </w: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2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recognized on derivatives</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transaction gain (loss)   $</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(2,864)</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Hedges</w:t>
      </w:r>
    </w:p>
    <w:p>
      <w:pPr>
        <w:spacing w:after="0" w:line="227" w:lineRule="exact"/>
        <w:rPr>
          <w:sz w:val="20"/>
          <w:szCs w:val="20"/>
          <w:color w:val="auto"/>
        </w:rPr>
      </w:pPr>
    </w:p>
    <w:p>
      <w:pPr>
        <w:ind w:left="520" w:right="700"/>
        <w:spacing w:after="0" w:line="312" w:lineRule="auto"/>
        <w:rPr>
          <w:sz w:val="20"/>
          <w:szCs w:val="20"/>
          <w:color w:val="auto"/>
        </w:rPr>
      </w:pPr>
      <w:r>
        <w:rPr>
          <w:rFonts w:ascii="Times New Roman" w:cs="Times New Roman" w:eastAsia="Times New Roman" w:hAnsi="Times New Roman"/>
          <w:sz w:val="17"/>
          <w:szCs w:val="17"/>
          <w:color w:val="auto"/>
        </w:rPr>
        <w:t>In the third quarter of fiscal 2024 we began hedging foreign currency risk associated with net investment positions in certain of our foreign subsidiaries. To accomplish this, we enter into foreign currency forward contracts that are designated as hedges of our net investment.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location and amount of gains and losses from net investment hedges recorded in the foreign currency translation component of accumulated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AOCI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designated</w:t>
            </w:r>
          </w:p>
        </w:tc>
        <w:tc>
          <w:tcPr>
            <w:tcW w:w="2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Location of gain (loss)</w:t>
            </w:r>
          </w:p>
        </w:tc>
        <w:tc>
          <w:tcPr>
            <w:tcW w:w="180" w:type="dxa"/>
            <w:vAlign w:val="bottom"/>
          </w:tcPr>
          <w:p>
            <w:pPr>
              <w:spacing w:after="0"/>
              <w:rPr>
                <w:sz w:val="20"/>
                <w:szCs w:val="20"/>
                <w:color w:val="auto"/>
              </w:rPr>
            </w:pPr>
          </w:p>
        </w:tc>
        <w:tc>
          <w:tcPr>
            <w:tcW w:w="28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Three Months Ended</w:t>
            </w:r>
          </w:p>
        </w:tc>
        <w:tc>
          <w:tcPr>
            <w:tcW w:w="2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91"/>
        </w:trPr>
        <w:tc>
          <w:tcPr>
            <w:tcW w:w="2700" w:type="dxa"/>
            <w:vAlign w:val="bottom"/>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9"/>
              </w:rPr>
              <w:t>Sep. 28,</w:t>
            </w: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 30,</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9"/>
              </w:rPr>
              <w:t>Sep. 28,</w:t>
            </w:r>
          </w:p>
        </w:tc>
        <w:tc>
          <w:tcPr>
            <w:tcW w:w="1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Sep.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2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recognized on derivatives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AOCI</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(3,603)</w:t>
            </w:r>
          </w:p>
        </w:tc>
        <w:tc>
          <w:tcPr>
            <w:tcW w:w="15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N/A   $</w:t>
            </w:r>
          </w:p>
        </w:tc>
        <w:tc>
          <w:tcPr>
            <w:tcW w:w="1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(3,603)</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60"/>
        <w:spacing w:after="0" w:line="312" w:lineRule="auto"/>
        <w:rPr>
          <w:sz w:val="20"/>
          <w:szCs w:val="20"/>
          <w:color w:val="auto"/>
        </w:rPr>
      </w:pPr>
      <w:r>
        <w:rPr>
          <w:rFonts w:ascii="Times New Roman" w:cs="Times New Roman" w:eastAsia="Times New Roman" w:hAnsi="Times New Roman"/>
          <w:sz w:val="17"/>
          <w:szCs w:val="17"/>
          <w:color w:val="auto"/>
        </w:rPr>
        <w:t>Gains recognized in foreign transaction gain (loss), in the condensed consolidated statements of operations for the portion of the net investment hedges excluded from the assessment of hedge effectiveness was $0.4 million for both the three and nine-month periods ended September 28, 2024.</w:t>
      </w:r>
    </w:p>
    <w:p>
      <w:pPr>
        <w:spacing w:after="0" w:line="140"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Cash flows associated with the settlement of all our foreign currency forward contracts are reported in net cash provided by operating activities in our condensed consolidated statements of cash flows.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w:t>
      </w:r>
    </w:p>
    <w:p>
      <w:pPr>
        <w:spacing w:after="0" w:line="227"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The fair value of our foreign currency forward contracts was determined based on current foreign currency exchange rates and forward points. All our foreign currency forward contracts outstanding on September 28, 2024 will mature during the fourth quarter of fiscal 2024.</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about our foreign currency forward contracts outstanding as of September 28,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Currency</w:t>
            </w: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Contract Position</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Contract Amount</w:t>
            </w:r>
          </w:p>
        </w:tc>
        <w:tc>
          <w:tcPr>
            <w:tcW w:w="1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Contract Amount</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auto"/>
            </w:tcBorders>
            <w:vMerge w:val="continue"/>
          </w:tcPr>
          <w:p>
            <w:pPr>
              <w:spacing w:after="0"/>
              <w:rPr>
                <w:sz w:val="18"/>
                <w:szCs w:val="18"/>
                <w:color w:val="auto"/>
              </w:rPr>
            </w:pPr>
          </w:p>
        </w:tc>
        <w:tc>
          <w:tcPr>
            <w:tcW w:w="4040" w:type="dxa"/>
            <w:vAlign w:val="bottom"/>
            <w:tcBorders>
              <w:bottom w:val="single" w:sz="8" w:color="auto"/>
            </w:tcBorders>
            <w:vMerge w:val="continue"/>
          </w:tcPr>
          <w:p>
            <w:pPr>
              <w:spacing w:after="0"/>
              <w:rPr>
                <w:sz w:val="18"/>
                <w:szCs w:val="18"/>
                <w:color w:val="auto"/>
              </w:rPr>
            </w:pP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(Local Currency)</w:t>
            </w:r>
          </w:p>
        </w:tc>
        <w:tc>
          <w:tcPr>
            <w:tcW w:w="2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(U.S. Dollars)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Malaysian Ringgit</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South Korean Won</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2,635,400</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142,140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(56,164)</w:t>
            </w:r>
          </w:p>
        </w:tc>
        <w:tc>
          <w:tcPr>
            <w:tcW w:w="1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Franc</w:t>
            </w:r>
          </w:p>
        </w:tc>
        <w:tc>
          <w:tcPr>
            <w:tcW w:w="4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800"/>
        <w:spacing w:after="0" w:line="266" w:lineRule="auto"/>
        <w:rPr>
          <w:sz w:val="20"/>
          <w:szCs w:val="20"/>
          <w:color w:val="auto"/>
        </w:rPr>
      </w:pPr>
      <w:r>
        <w:rPr>
          <w:rFonts w:ascii="Times New Roman" w:cs="Times New Roman" w:eastAsia="Times New Roman" w:hAnsi="Times New Roman"/>
          <w:sz w:val="18"/>
          <w:szCs w:val="18"/>
          <w:color w:val="auto"/>
        </w:rPr>
        <w:t>Our foreign currency contracts are classified within Level 2 of the fair value hierarchy as they are valued using pricing models that utilize observable market inputs. The fair values of foreign currency contracts outstanding on September 28, 2024 and December 30, 2023 were immaterial.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27" w:lineRule="exact"/>
        <w:rPr>
          <w:rFonts w:ascii="Times New Roman" w:cs="Times New Roman" w:eastAsia="Times New Roman" w:hAnsi="Times New Roman"/>
          <w:sz w:val="18"/>
          <w:szCs w:val="18"/>
          <w:b w:val="1"/>
          <w:bCs w:val="1"/>
          <w:color w:val="auto"/>
        </w:rPr>
      </w:pPr>
    </w:p>
    <w:p>
      <w:pPr>
        <w:ind w:left="52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During the three months ended September 28, 2024, we repurchased 315,000 shares of our common stock for $8.1 million to be held as treasury stock. During the nine months ended September 28, 2024, we repurchased 915,504 shares of our common stock for $27.0 million to be held as treasury stock. During the three months ended September 30, 2023, we repurchased 133,100 shares of our common stock for $4.7 million to be held as treasury stock. During the nine months ended September 30, 2023, we repurchased 309,985 shares of our common stock for $10.9 million to be held as treasury stock. As of September 28, 2024, $31.4 million remained available for us to repurchase shares of our common stock under our share repurchase program.</w:t>
      </w:r>
    </w:p>
    <w:p>
      <w:pPr>
        <w:spacing w:after="0" w:line="200" w:lineRule="exact"/>
        <w:rPr>
          <w:rFonts w:ascii="Times New Roman" w:cs="Times New Roman" w:eastAsia="Times New Roman" w:hAnsi="Times New Roman"/>
          <w:sz w:val="18"/>
          <w:szCs w:val="18"/>
          <w:b w:val="1"/>
          <w:bCs w:val="1"/>
          <w:color w:val="auto"/>
        </w:rPr>
      </w:pPr>
    </w:p>
    <w:p>
      <w:pPr>
        <w:spacing w:after="0" w:line="220"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rFonts w:ascii="Times New Roman" w:cs="Times New Roman" w:eastAsia="Times New Roman" w:hAnsi="Times New Roman"/>
          <w:sz w:val="18"/>
          <w:szCs w:val="18"/>
          <w:b w:val="1"/>
          <w:bCs w:val="1"/>
          <w:color w:val="auto"/>
        </w:rPr>
      </w:pPr>
    </w:p>
    <w:p>
      <w:pPr>
        <w:ind w:left="52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account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spacing w:after="0" w:line="184" w:lineRule="exact"/>
        <w:rPr>
          <w:rFonts w:ascii="Times New Roman" w:cs="Times New Roman" w:eastAsia="Times New Roman" w:hAnsi="Times New Roman"/>
          <w:sz w:val="18"/>
          <w:szCs w:val="18"/>
          <w:b w:val="1"/>
          <w:bCs w:val="1"/>
          <w:color w:val="auto"/>
        </w:rPr>
      </w:pPr>
    </w:p>
    <w:p>
      <w:pPr>
        <w:ind w:left="52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California. We believe our financial statement accruals for income taxes are appropriate.</w:t>
      </w:r>
    </w:p>
    <w:p>
      <w:pPr>
        <w:spacing w:after="0" w:line="179" w:lineRule="exact"/>
        <w:rPr>
          <w:rFonts w:ascii="Times New Roman" w:cs="Times New Roman" w:eastAsia="Times New Roman" w:hAnsi="Times New Roman"/>
          <w:sz w:val="18"/>
          <w:szCs w:val="18"/>
          <w:b w:val="1"/>
          <w:bCs w:val="1"/>
          <w:color w:val="auto"/>
        </w:rPr>
      </w:pPr>
    </w:p>
    <w:p>
      <w:pPr>
        <w:ind w:left="52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3" w:lineRule="exact"/>
        <w:rPr>
          <w:rFonts w:ascii="Times New Roman" w:cs="Times New Roman" w:eastAsia="Times New Roman" w:hAnsi="Times New Roman"/>
          <w:sz w:val="18"/>
          <w:szCs w:val="18"/>
          <w:b w:val="1"/>
          <w:bCs w:val="1"/>
          <w:color w:val="auto"/>
        </w:rPr>
      </w:pPr>
    </w:p>
    <w:p>
      <w:pPr>
        <w:ind w:left="52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spacing w:after="0" w:line="175" w:lineRule="exact"/>
        <w:rPr>
          <w:rFonts w:ascii="Times New Roman" w:cs="Times New Roman" w:eastAsia="Times New Roman" w:hAnsi="Times New Roman"/>
          <w:sz w:val="18"/>
          <w:szCs w:val="18"/>
          <w:b w:val="1"/>
          <w:bCs w:val="1"/>
          <w:color w:val="auto"/>
        </w:rPr>
      </w:pPr>
    </w:p>
    <w:p>
      <w:pPr>
        <w:ind w:left="52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evidence available, including a lack of sustainable earnings and history of expiring unused NOLs, and tax credits, we continue to maintain our judgment that a previously recorded valuation allowance against substantially all net deferred tax assets in the United States is required. If a change in judgment regarding this valuation allowance were to occur in the future, we will record a potentially material deferred tax benefit, which could result in a favorable impact on the effective tax rate in that period.</w:t>
      </w:r>
    </w:p>
    <w:p>
      <w:pPr>
        <w:spacing w:after="0" w:line="180"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spacing w:after="0" w:line="179" w:lineRule="exact"/>
        <w:rPr>
          <w:rFonts w:ascii="Times New Roman" w:cs="Times New Roman" w:eastAsia="Times New Roman" w:hAnsi="Times New Roman"/>
          <w:sz w:val="18"/>
          <w:szCs w:val="18"/>
          <w:b w:val="1"/>
          <w:bCs w:val="1"/>
          <w:color w:val="auto"/>
        </w:rPr>
      </w:pPr>
    </w:p>
    <w:p>
      <w:pPr>
        <w:ind w:left="52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leases have remaining lease terms of 1 year to 33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spacing w:after="0" w:line="1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September 28,</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vMerge w:val="continue"/>
          </w:tcPr>
          <w:p>
            <w:pPr>
              <w:spacing w:after="0"/>
              <w:rPr>
                <w:sz w:val="20"/>
                <w:szCs w:val="20"/>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09"/>
        </w:trPr>
        <w:tc>
          <w:tcPr>
            <w:tcW w:w="2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3380" w:type="dxa"/>
            <w:vAlign w:val="bottom"/>
          </w:tcPr>
          <w:p>
            <w:pPr>
              <w:ind w:left="28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14,067</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16,778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assets</w:t>
            </w:r>
          </w:p>
        </w:tc>
        <w:tc>
          <w:tcPr>
            <w:tcW w:w="3380" w:type="dxa"/>
            <w:vAlign w:val="bottom"/>
            <w:shd w:val="clear" w:color="auto" w:fill="CCEEFF"/>
          </w:tcPr>
          <w:p>
            <w:pPr>
              <w:ind w:left="280"/>
              <w:spacing w:after="0" w:line="216" w:lineRule="exact"/>
              <w:rPr>
                <w:sz w:val="20"/>
                <w:szCs w:val="20"/>
                <w:color w:val="auto"/>
              </w:rPr>
            </w:pPr>
            <w:r>
              <w:rPr>
                <w:rFonts w:ascii="Times New Roman" w:cs="Times New Roman" w:eastAsia="Times New Roman" w:hAnsi="Times New Roman"/>
                <w:sz w:val="16"/>
                <w:szCs w:val="16"/>
                <w:color w:val="auto"/>
              </w:rPr>
              <w:t xml:space="preserve">Property, plant and equipment, net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assets</w:t>
            </w:r>
          </w:p>
        </w:tc>
        <w:tc>
          <w:tcPr>
            <w:tcW w:w="3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23,788</w:t>
            </w:r>
          </w:p>
        </w:tc>
        <w:tc>
          <w:tcPr>
            <w:tcW w:w="24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w:t>
            </w:r>
          </w:p>
        </w:tc>
        <w:tc>
          <w:tcPr>
            <w:tcW w:w="3380" w:type="dxa"/>
            <w:vAlign w:val="bottom"/>
            <w:shd w:val="clear" w:color="auto" w:fill="CCEEFF"/>
          </w:tcPr>
          <w:p>
            <w:pPr>
              <w:ind w:left="280"/>
              <w:spacing w:after="0" w:line="216" w:lineRule="exact"/>
              <w:rPr>
                <w:sz w:val="20"/>
                <w:szCs w:val="20"/>
                <w:color w:val="auto"/>
              </w:rPr>
            </w:pPr>
            <w:r>
              <w:rPr>
                <w:rFonts w:ascii="Times New Roman" w:cs="Times New Roman" w:eastAsia="Times New Roman" w:hAnsi="Times New Roman"/>
                <w:sz w:val="16"/>
                <w:szCs w:val="16"/>
                <w:color w:val="auto"/>
              </w:rPr>
              <w:t xml:space="preserve">Other accrued liabilities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4,976</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16"/>
        </w:trPr>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Finance</w:t>
            </w:r>
          </w:p>
        </w:tc>
        <w:tc>
          <w:tcPr>
            <w:tcW w:w="3380" w:type="dxa"/>
            <w:vAlign w:val="bottom"/>
          </w:tcPr>
          <w:p>
            <w:pPr>
              <w:ind w:left="280"/>
              <w:spacing w:after="0" w:line="216" w:lineRule="exact"/>
              <w:rPr>
                <w:sz w:val="20"/>
                <w:szCs w:val="20"/>
                <w:color w:val="auto"/>
              </w:rPr>
            </w:pPr>
            <w:r>
              <w:rPr>
                <w:rFonts w:ascii="Times New Roman" w:cs="Times New Roman" w:eastAsia="Times New Roman" w:hAnsi="Times New Roman"/>
                <w:sz w:val="16"/>
                <w:szCs w:val="16"/>
                <w:color w:val="auto"/>
              </w:rPr>
              <w:t xml:space="preserve">Other accrued liabilities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9,127</w:t>
            </w:r>
          </w:p>
        </w:tc>
        <w:tc>
          <w:tcPr>
            <w:tcW w:w="5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10,423</w:t>
            </w:r>
          </w:p>
        </w:tc>
        <w:tc>
          <w:tcPr>
            <w:tcW w:w="5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Finance</w:t>
            </w: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24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18,308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leases</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4"/>
        </w:trPr>
        <w:tc>
          <w:tcPr>
            <w:tcW w:w="2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leases</w:t>
            </w: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00" w:right="800" w:hanging="344"/>
        <w:spacing w:after="0" w:line="254"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assets are recorded net of accumulated amortization of $0.4 million and $0.3 million as of September 28, 2024, and December 30, 2023, respectively. During the first quarter of fiscal 2024, we executed an agreement to purchase our leased facility in Malaysia for MYR 41.8 million, with the expectation that the title would transfer during 2024. We treated this transaction as a lease modification, and changed the classification to a finance lease, reducing our operating lease assets and liabilities by $0.4 million and increasing our finance lease assets and current lease liabilities by $8.8 million and $7.9 million, respectively. Due to a seller-imposed delay in the completion of purchase of this facility to 2025, which occurred during the third quarter of fiscal 2024, the finance lease was modified resulting in the asset increasing to $9.5 million. At September 28, 2024, the finance lease liability increased $1.2 million to $9.1 million, as a result of fluctuations in foreign currency exchange rates.</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September 28,</w:t>
            </w:r>
          </w:p>
        </w:tc>
        <w:tc>
          <w:tcPr>
            <w:tcW w:w="22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28,</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1,642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4,710</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5,001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Variable lease expense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1,724</w:t>
            </w:r>
          </w:p>
        </w:tc>
        <w:tc>
          <w:tcPr>
            <w:tcW w:w="7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1,683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7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Sublease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45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2,214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6,703</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6,745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20"/>
          </w:cols>
          <w:pgMar w:left="320" w:top="121" w:right="459" w:bottom="1440" w:gutter="0" w:footer="0" w:header="0"/>
        </w:sect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on September 28, 2024, are as follows:</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Finance</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4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leases</w:t>
            </w: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leases</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5,771</w:t>
            </w:r>
          </w:p>
        </w:tc>
        <w:tc>
          <w:tcPr>
            <w:tcW w:w="3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9,133</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14,904</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2,995</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1,648</w:t>
            </w:r>
          </w:p>
        </w:tc>
        <w:tc>
          <w:tcPr>
            <w:tcW w:w="3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1,271</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5,514</w:t>
            </w:r>
          </w:p>
        </w:tc>
        <w:tc>
          <w:tcPr>
            <w:tcW w:w="3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5,514</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18,623</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9,213</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27,836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(3,224)</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(3,304)</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15,399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9,133</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24,532</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w w:val="99"/>
              </w:rPr>
              <w:t>Supplemental cash flow information related to leases was as follows:</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September 28,</w:t>
            </w: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46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4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4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3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assets acquired in MCT acquisition</w:t>
            </w: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assets acquired in MCT acquisition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52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520" w:right="9400" w:hanging="512"/>
        <w:spacing w:after="0" w:line="532" w:lineRule="auto"/>
        <w:tabs>
          <w:tab w:leader="none" w:pos="502"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Guarantees </w:t>
      </w:r>
      <w:r>
        <w:rPr>
          <w:rFonts w:ascii="Times New Roman" w:cs="Times New Roman" w:eastAsia="Times New Roman" w:hAnsi="Times New Roman"/>
          <w:sz w:val="17"/>
          <w:szCs w:val="17"/>
          <w:i w:val="1"/>
          <w:iCs w:val="1"/>
          <w:u w:val="single" w:color="auto"/>
          <w:color w:val="auto"/>
        </w:rPr>
        <w:t>Product Warranty</w:t>
      </w:r>
    </w:p>
    <w:p>
      <w:pPr>
        <w:spacing w:after="0" w:line="1" w:lineRule="exact"/>
        <w:rPr>
          <w:rFonts w:ascii="Times New Roman" w:cs="Times New Roman" w:eastAsia="Times New Roman" w:hAnsi="Times New Roman"/>
          <w:sz w:val="17"/>
          <w:szCs w:val="17"/>
          <w:b w:val="1"/>
          <w:bCs w:val="1"/>
          <w:color w:val="auto"/>
        </w:rPr>
      </w:pPr>
    </w:p>
    <w:p>
      <w:pPr>
        <w:jc w:val="both"/>
        <w:ind w:left="5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ectPr>
          <w:pgSz w:w="11900" w:h="16838" w:orient="portrait"/>
          <w:cols w:equalWidth="0" w:num="1">
            <w:col w:w="11080"/>
          </w:cols>
          <w:pgMar w:left="320" w:top="121" w:right="499" w:bottom="1440" w:gutter="0" w:footer="0" w:header="0"/>
        </w:sectPr>
      </w:pPr>
    </w:p>
    <w:p>
      <w:pPr>
        <w:spacing w:after="0" w:line="20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Changes in accrued warranty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Warranty expense accruals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Warranty payments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Liability acquired</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9"/>
        </w:trPr>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September 28,</w:t>
            </w:r>
          </w:p>
        </w:tc>
        <w:tc>
          <w:tcPr>
            <w:tcW w:w="80" w:type="dxa"/>
            <w:vAlign w:val="bottom"/>
          </w:tcPr>
          <w:p>
            <w:pPr>
              <w:spacing w:after="0"/>
              <w:rPr>
                <w:sz w:val="19"/>
                <w:szCs w:val="19"/>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28,</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0"/>
                <w:szCs w:val="20"/>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3,784</w:t>
            </w:r>
          </w:p>
        </w:tc>
        <w:tc>
          <w:tcPr>
            <w:tcW w:w="140" w:type="dxa"/>
            <w:vAlign w:val="bottom"/>
          </w:tcPr>
          <w:p>
            <w:pPr>
              <w:spacing w:after="0"/>
              <w:rPr>
                <w:sz w:val="16"/>
                <w:szCs w:val="16"/>
                <w:color w:val="auto"/>
              </w:rPr>
            </w:pPr>
          </w:p>
        </w:tc>
        <w:tc>
          <w:tcPr>
            <w:tcW w:w="340" w:type="dxa"/>
            <w:vAlign w:val="bottom"/>
            <w:gridSpan w:val="2"/>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5,534</w:t>
            </w:r>
          </w:p>
        </w:tc>
        <w:tc>
          <w:tcPr>
            <w:tcW w:w="180" w:type="dxa"/>
            <w:vAlign w:val="bottom"/>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5,017</w:t>
            </w: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6,214</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2,524</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5,229</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(1,956)</w:t>
            </w: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(6,424)</w:t>
            </w:r>
          </w:p>
        </w:tc>
      </w:tr>
      <w:tr>
        <w:trPr>
          <w:trHeight w:val="234"/>
        </w:trPr>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6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-719455</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-445135</wp:posOffset>
            </wp:positionV>
            <wp:extent cx="64122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-162560</wp:posOffset>
            </wp:positionV>
            <wp:extent cx="641223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480"/>
            <w:col w:w="5700"/>
          </w:cols>
          <w:pgMar w:left="320" w:top="121" w:right="499" w:bottom="1440" w:gutter="0" w:footer="0" w:header="0"/>
          <w:type w:val="continuous"/>
        </w:sectPr>
      </w:pPr>
    </w:p>
    <w:p>
      <w:pPr>
        <w:spacing w:after="0" w:line="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Accrued warranty amounts expected to be incurred after one year are included in noncurrent other accrued liabilities in the condensed consolidated balance sheet. These amounts totaled $0.2 million and $0.4 million at September 28, 2024, and December 30, 2023, respectively.</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current expectations. Such risks and uncertainties include those set forth in this Quarterly Report on Form 10-Q and our 2023 Annual Report on Form 10-K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forward-looking statements in this report speak only as of the time they are made, and do not necessarily reflect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Cohu is a leading supplier of test and inspection metrology automation systems, MEMS test modules, test contactors, thermal subsystems, data analytics software to optimize manufacturing yield and productivity, and automated test equipment (ATE) used by global semiconductor manufacturers and test subcontractors.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30, 2023, we completed the acquisition of MCT, a U.S.-based company. MCT provides automated solutions for the semiconductor industry and designs, manufactures, markets, services and distributes strip test handlers, film frame handlers and laser mark handlers. On October 2, 2023, we acquired EQT, a Singapore-based company. EQT is a provider of semiconductor test contactors and other test consumables. MCT and EQT are included in Cohu’s consolidated results of operations as of each date of acquisition.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2023 and into the first nine months of fiscal 2024, global macroeconomic and geopolitical factors impacted the semiconductor industry. In response to the higher cost of capital and slowing demand, and above targeted inventory levels, many chip companies have been cutting costs, reducing employee headcount, and pushing out capital expenditures for additional capacity. For the third quarter ended September 28, 2024, on a sequential, quarter-over-quarter basis, our consolidated net sales declined 9.0% to $95.3 million due to lower demand in automotive, industrial, and mobile applications, driven by these global economic conditions.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continue to focus on building a well-balanced and resilient business model, executing on customer design-wins and in developing innovative products.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new opportunities and remain optimistic about the long-term prospects for our business due to the increasing ubiquity of semiconductors, increasing semiconductor complexity, increasing quality demands from semiconductor customers, increasing test intensity, increasing focus on automation and Industry 4.0 initiatives, and continued proliferation of electronics in a variety of products across the automotive, mobile, industrial, computing, and consumer markets.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spacing w:after="0" w:line="1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that we believe are the most important to investors’ understanding of our financial results and condition and require complex management judgment include:</w:t>
      </w:r>
    </w:p>
    <w:p>
      <w:pPr>
        <w:spacing w:after="0" w:line="162" w:lineRule="exact"/>
        <w:rPr>
          <w:sz w:val="20"/>
          <w:szCs w:val="20"/>
          <w:color w:val="auto"/>
        </w:rPr>
      </w:pPr>
    </w:p>
    <w:p>
      <w:pPr>
        <w:ind w:left="500" w:hanging="317"/>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27"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inventory reserves, which impact gross margin or operating expenses;</w:t>
      </w:r>
    </w:p>
    <w:p>
      <w:pPr>
        <w:spacing w:after="0" w:line="9" w:lineRule="exact"/>
        <w:rPr>
          <w:rFonts w:ascii="Times New Roman" w:cs="Times New Roman" w:eastAsia="Times New Roman" w:hAnsi="Times New Roman"/>
          <w:sz w:val="18"/>
          <w:szCs w:val="18"/>
          <w:color w:val="auto"/>
        </w:rPr>
      </w:pPr>
    </w:p>
    <w:p>
      <w:pPr>
        <w:ind w:left="500" w:right="300" w:hanging="317"/>
        <w:spacing w:after="0" w:line="250"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p>
      <w:pPr>
        <w:ind w:left="500" w:right="240" w:hanging="317"/>
        <w:spacing w:after="0" w:line="260"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long-lived assets and goodwill and other intangible assets, which primarily impacts gross margin or operating expenses if we are required to record impairments of assets or accelerate their depreciation.</w:t>
      </w:r>
    </w:p>
    <w:p>
      <w:pPr>
        <w:spacing w:after="0" w:line="1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net sales are derived from the sale of products and services and are adjusted for estimated returns and allowances,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September 28, 2024, we had $5.8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estimated credit losses resulting from the inability of our customers to make required payments.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are required to be capitalized under IRC Section 174, net of related amortization, reserves and accruals that are not yet deductible for tax, and tax credit and net operating loss carryforwards.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We applied the provisions of ASC 280, which sets forth a management approach to segment reporting and establishes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THG, STG and ISG. Our THG, STG and ISG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Intangible Assets and Other Long-lived Assets: </w:t>
      </w:r>
      <w:r>
        <w:rPr>
          <w:rFonts w:ascii="Times New Roman" w:cs="Times New Roman" w:eastAsia="Times New Roman" w:hAnsi="Times New Roman"/>
          <w:sz w:val="18"/>
          <w:szCs w:val="18"/>
          <w:color w:val="auto"/>
        </w:rPr>
        <w:t>We evaluate goodwill for impairment annually and when an event occurs or circumstances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of goodwill,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 our annual impairment test as of October 1st of each year and have determined there was no impairment as of October 1, 2023, as we determined that the estimated fair values of our reporting units exceeded their carrying values on that date. Other events and changes in circumstances may also require goodwill to be tested for impairment between annual measurement dates. As of September 28, 2024, we do not believe there were indicators of impairment requiring an interim test. In the event we determine that an interim goodwill impairment review is required in a future period, the review may result in an impairment charge, which would have a negative impact on our results of operations.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fiscal 2024, no events or conditions occurred suggesting an impairment in our long-lived assets.</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Share-based compensation expense related to restricted stock unit awards is calculated based on the market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grant date, reduced by the present value of dividends expected to be paid on our common stock prior to vesting of the restricted stock unit. When granted,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Transactions Impacting Results of Operations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January 30, 2023, we completed the acquisition of MCT, and on October 2, 2023 we acquired EQT. MCT and EQT have been included in our condensed consolidated results of operations as of each date of acquisition.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9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color w:val="auto"/>
              </w:rPr>
              <w:t>Three Months Ended</w:t>
            </w:r>
          </w:p>
        </w:tc>
        <w:tc>
          <w:tcPr>
            <w:tcW w:w="2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0"/>
        </w:trPr>
        <w:tc>
          <w:tcPr>
            <w:tcW w:w="492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28,</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September 30,</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28,</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9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4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49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Fiscal 2024 Compared to Third Quarter of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consolidated net sales decreased 36.8% to $95.3 million in 2024, compared to $150.8 million in 2023 primarily due to the current global macroeconomic environment, which is driving lower demand for automotive, industrial, computing, and mobile applications. Consolidated net sales in the third quarter of fiscal 2024 include $3.0 million of net sales of EQT, which Cohu acquired on October 2,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and business volume which impacts the utilization of our manufacturing capacity. Our gross margin, as a percentage of net sales for the third fiscal quarter, was 46.8% in 2024 and 47.0% in 2023. During the third quarter of fiscal 2024, our gross margin declined slightly due to lower business volume impacting our ability to leverage fixed costs.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compute the majority of our excess and obsolete inventory reserve requirements using inventory usage forecasts. During the third quarter of fiscal 2024 and 2023, we recorded charges to cost of sales of $0.8 million and $1.0 million for excess and obsolete inventory, respectively. We believe our reserves for excess and obsolete inventory and lower of cost or net realizable value are adequate to cover known exposures as of September 28, 2024. Further reductions in customer forecasts, continued modifications to products, or our failure to meet specifications or other customer requirements, may result in additional charges to operations that could negatively impact our gross margin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R&amp;D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R&amp;D expense consists primarily of salaries and related costs of employees engaged in ongoing research, product design and development activities, costs of engineering materials and supplies and professional consulting expenses. R&amp;D expense was $20.3 million in fiscal 2024 and $21.5 million in fiscal 2023 representing 21.3% and 14.2% of net sales, respectively. During the third fiscal quarter of 2024 R&amp;D expenses decreased due to lower spending on material costs associated with new product development and lower incentive compensation due to current business conditions. Our R&amp;D costs in the third quarter of fiscal 2024 included $0.4 million of incremental costs from EQT.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SG&amp;A expense consists primarily of salaries and benefit costs of employees, commission expense for independent sales representatives, product promotion and costs of professional services. SG&amp;A expense was $30.3 million or 31.8% of net sales in fiscal 2024, compared to $32.4 million or 21.5% in fiscal 2023. The increase in SG&amp;A expense as a percentage of net sales is a result of lower sales in fiscal 2024. SG&amp;A expense during the third fiscal quarter of 2024 was down on a year-over-year basis due to lower incentive compensation due to current business conditions. SG&amp;A expense in the third quarter of fiscal 2024 also includes $0.5 million of one-time severance costs resulting from manufacturing transition related to the expansion of our factories in the Philippines and Malaysia and $0.7 million of incremental SG&amp;A costs from the operations of EQT. The third quarter of fiscal 2023 included $0.4 million of incremental SG&amp;A costs from the operations of MCT and $0.8 million of transaction related costs incurred specifically related to the acquisitions of MCT and EQT. No transaction costs were incurred in the third quarter of fiscal 2024.</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$9.8 million and $8.9 million in the third fiscal quarter of 2024 and 2023, respectively. The increase in expense recorded during the third quarter of fiscal 2024 resulted from the amortization of acquired intangible assets from the acquisition of EQT.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we began a strategic restructuring and integration program in connection with the acquisition of MCT. Restructuring costs incurred in the third quarter of fiscal 2023 related to the integration of MCT which was acquired on January 30, 2023 totaled $0.7 million. Amounts for restructuring recorded in the third quarter of fiscal 2024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 Item 1 of this Form 10-Q for additional information with respect to restructuring charges.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Interest expense was $0.1 million and $0.8 million in the third fiscal quarter of 2024 and 2023, respectively. On February 9, 2024, we repaid the remaining outstanding amounts owed under our Term Loan Credit Facility. The payoff of our Term Loan Credit Facility resulted in lower interest expense in the third quarter of fiscal 2024 compared to the prior year.</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Interest income was $2.6 million and $3.2 million in the third quarter of fiscal 2024 and 2023, respectively. The decrease in interest income year-over-year is a result of lower investment balances in the third quarter of fiscal 2024 resulting from the repayment of the Term Loan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third quarter 2024 ETR reflects the impact of certain foreign earnings taxed at rates higher than the U.S. statutory rate and an increase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primarily attributable to capitalized research and development costs and intangible assets.</w:t>
      </w:r>
    </w:p>
    <w:p>
      <w:pPr>
        <w:spacing w:after="0" w:line="207"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California. We believe our financial statement accruals for income taxes are appropriate.</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a result of the factors set forth above, our net loss was $18.1 million for the three months ended September 28, 2024. For the three months ended September 30, 2023, our net income was $3.9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Nine Months of Fiscal 2024 Compared to First Nine Months of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Our consolidated net sales decreased 38.4% to $307.7 million in 2024, compared to $499.1 million in 2023 due to the current global macroeconomic environment, which is driving lower demand for automotive, industrial, computing, and mobile applications. Consolidated net sales for the first nine months of fiscal 2024 include $11.7 million of net sales of EQT, which Cohu acquired on October 2, 2023.</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gross margin, as a percentage of net sales, decreased to 45.8% in 2024 from 47.5% in 2023 due to lower business volume impacting our ability to leverage fixed costs.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first nine months of fiscal 2024 and 2023 we recorded charges to cost of sales for excess and obsolete inventory of approximately $2.8 million and $4.0 million, respectively. We believe our reserves for excess and obsolete inventory and lower of cost or market concerns are adequate to cover known exposures as of September 28, 2024. Reductions in customer forecasts or continued modifications to products, or our failure to meet specifications or other customer requirements may result in additional charges to operations that could negatively impact our results of operations and gross margin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R&amp;D expense was $64.0 million or 20.8% of net sales in 2024, compared to $66.5 million or 13.3% in 2023. R&amp;D expense decreased during the first nine months of fiscal 2024 due to lower spending on material costs associated with new product development during the current year and lower incentive compensation due to current business conditions. The first nine months of fiscal 2024 included $1.3 million of incremental costs from EQT.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 Expense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SG&amp;A expense was $97.5 million or 31.7% of net sales in 2024, compared to $99.4 million or 19.9% in 2023. The increase in SG&amp;A expense as a percentage of net sales is a result of lower sales in the first nine months of fiscal 2024. SG&amp;A expense during the first nine months of fiscal 2024 was down on a year-over-year basis due to lower incentive compensation due to current business conditions. SG&amp;A expense during the first nine months of fiscal 2024 includes $3.4 million of one-time severance costs resulting from manufacturing transition related to the expansion of our factories in the Philippines and Malaysia, a $0.9 million impairment charge related to our investment in Fraes-und Technologiezentrum GmbH Frasdorf (“FTZ”), a company based in Germany that provides milling services to one of our wholly owned subsidiaries, $2.4 million of incremental SG&amp;A costs from the operations of EQT, and $0.2 million of transaction costs related to our acquisition of MCT and EQT. The first nine months of fiscal 2023 included $1.3 million of transaction related costs incurred specifically related to the acquisitions of MCT and EQT.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Amortization of acquisition-related intangible assets was $29.3 million and $26.6 million for the first nine months of 2024 and 2023, respectively. The increase in expense recorded during the first nine months of fiscal 2024 was a result of the amortization of acquired intangible assets from MCT and EQT.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recorded restructuring charges totaling $2.0 million in the first nine months of fiscal 2023. Amounts recorded related to restructuring in the first nine months of fiscal 2024 were not material. Costs incurred in the first nine months of fiscal 2024 and 2023 relate to the integration of MCT which was acquired on January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 Item 1 of this Form 10-Q for additional information with respect to restructuring charges.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Interest expense was $0.5 million and $2.6 million in the first nine months of 2024 and 2023, respectively. On February 9, 2024, we repaid the remaining outstanding amounts owed under our Term Loan Credit Facility. We accounted for the transaction as a debt extinguishment, which resulted in us recognizing a loss of $0.2 million to write-off all remaining debt discount and deferred financing costs. The payoff of our Term Loan Credit Facility has resulted in lower interest expense in fiscal 2024 compared to the prior year period.</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income was $7.7 million and $8.7 million in the first nine months of 2024 and 2023, respectively. The year-over-year decrease resulted from lower cash and investment balances in the first nine months of fiscal 2024 due to the repayment of the Term Loan Credit Facility.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ETR on income for the nine months ended September 28, 2024 reflects the impact of certain foreign earnings taxed at rates higher than the U.S. statutory rate and an increase in the U.S. valuation allowance attributable to capitalized research and development costs, offset by a reduction in unrecognized tax benefits in certain foreign tax jurisdictions.</w:t>
      </w:r>
    </w:p>
    <w:p>
      <w:pPr>
        <w:spacing w:after="0" w:line="176"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California. We believe our financial statement accruals for income taxes are appropriate.</w:t>
      </w:r>
    </w:p>
    <w:p>
      <w:pPr>
        <w:spacing w:after="0" w:line="1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accordance with the disclosure requirements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 There was a material reduction to our unrecognized tax benefits in certain foreign tax jurisdictions during the nine months ended September 28, 2024. There were no material changes to our unrecognized tax benefits and interest accrued related to unrecognized tax benefits during the nine months ended September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a result of the factors set forth above, our net loss was $48.5 million for the nine months ended September 28, 2024. For the nine months ended September 30, 2023, our net income was $30.2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business is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September 28, 2024, $125.1 million or 66.1%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28, 2024, our total indebtedness, net of discount and deferred financing costs, included $1.9 million outstanding under Kita’s term loans,</w:t>
      </w:r>
    </w:p>
    <w:p>
      <w:pPr>
        <w:spacing w:after="0" w:line="2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$7.2 million outstanding under Cohu GmbH’s construction loan and $1.4 million outstanding under Kita’s lines of credit. On February 9, 2024, we made a cash payment of $29.3 million to repay the remaining outstanding amounts owed under our Term Loan Credit Facility and we repurchased 915,504 shares of our outstanding common stock, to be held as treasury stock, for $27.0 million, during the first nine months of fiscal 2024.</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30,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Decrease</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269,238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335,698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(66,460)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457,479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535,397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Operating cash flows for the first nine months of fiscal 2024 consisted of our net loss, adjusted for non-cash expenses and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assets and liabilities. These adjustments include impairment charges, depreciation expense on property, plant and equipment, share-based compensation expense, amortization of intangible assets, deferred income taxes, amortization of cloud-based software implementation costs, impairment charge on equity investment, loss on extinguishment of debt, amortization of debt discounts and issuance costs and sales of property, plant and equipment. Our net cash provided by operating activities in the first nine months of fiscal 2024 totaled $4.5 million. Net cash provided by operating activities was impacted by changes in current assets and liabilities and included an increase in other current assets of $14.5 million and decreases in accounts receivable of $32.5 million, accounts payable of $10.8 million, accrued compensation, warranty and other liabilities of $9.0 million, inventory of $8.1 million and income taxes payable of $3.8 million. Other current assets, which includes prepaids and income taxes receivable, increased from prepayments of certain expenses that will be utilized throughout fiscal 2024 and the timing difference of accrual and receipt of income taxes. The decreases in accounts receivable and accounts payable were a result of the timing of cash collections on net sales recognized and payments made to suppliers during the first nine months of fiscal 2024. Accrued compensation, warranty and other liabilities decreased due to payments of incentive compensation related to the prior year that were paid in the first quarter of 2024 and lower accruals made during the current year period. Inventory decreased due to a reduction in purchases in response to current business conditions and the income taxes payable decrease was driven by payments.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Investing cash flows consist primarily of cash used for capital expenditures in support of our business, purchases of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acquisitions and proceeds from investment maturities, and asset disposals and business divestitures. Our net cash provided by investing activities in the first nine months of fiscal 2024 totaled $3.7 million. We generated $76.8 million from sales and maturities and used $65.6 million of cash for purchases of short-term investments in the first nine months of fiscal 2024. We invest our excess cash, in an attempt to seek the highest available return while preserving capital, in short-term investments since excess cash may be required for a business-related purpose. Additions to property, plant and equipment in the first nine months of fiscal 2024 of $7.6 million, which were made to support our operating and development activities and include amounts related to the expansion of our factories in the Philippines and Malaysia.</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cash flows consist primarily of net proceeds from the issuance of common stock under our stock option and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purchase plans and repayments of debt. We issue restricted stock units, including performance stock units, and maintain an employee stock purchase plan as components of our overall employee compensation. In the first nine months of fiscal 2024, cash used to settle the minimum statutory tax withholding requirements on behalf of our employees upon vesting of restricted and performance stock awards, net of proceeds from shares issued under our employee stock purchase plan, was $2.6 million. We made payments totaling $27.0 million in the first nine months of fiscal 2024 for shares of our common stock repurchased under our share repurchase program to be held as treasury stock. Repayments of debt during the first nine months of fiscal 2024 totaled $30.4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nine months ended September 28, 2024, we repurchased 915,504 shares of our common stock for $27.0 million to be held as treasury stock. As of September 28, 2024, $31.4 million remained available for us to repurchase shares of our common stock under our share repurchase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access to credit facilities and other borrowings provided by financial institutions to finance acquisitions, capital expenditures and our operations if needed. A summary of our borrowings and available credit is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condensed consolidated balance sheets.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 During the first nine months of fiscal 2023, we repurchased $34.1 million in principal of our Term Loan Credit Facility for $34.1 million in cash. This resulted in a loss of $0.4 million reflected in other expense in our condensed consolidated statement of operations and a corresponding $0.4 million reduction in debt discounts and deferred financing costs in our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at rates ranging from 0.05% to 0.69%, and expire at various dates through 2034. At September 28, 2024, the outstanding loan balance was $1.9 million and $0.2 million of the outstanding balance is presented as current installments of long-term debt in our condensed consolidated balance sheets. At December 30, 2023, the outstanding loan balance was $2.1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September 28, 2024, total outstanding borrowings under the Loan Facilities was $7.2 million with $1.0 million of the total outstanding balance being presented as current installments of long-term debt in our condensed consolidated balance sheets. At December 30, 2023, total outstanding borrowings under the Loan Facilities was $7.7 million with $1.0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September 28,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28,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200 million Japanese Yen is drawn. At September 28, 2024, total borrowings outstanding under the revolving lines of credit were $1.4 million. As these credit facility agreements renew monthly, they have been included in short-term borrowings in our condensed consolidated balance sheets.</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wholly owned subsidiary in Switzerland has one available line of credit which provides it with borrowings of up to a total of 2.0 million Swiss Francs, a portion of which is reserved for tax guarantees. At September 28, 2024 and December 30, 2023, no amounts were outstanding under this line of credit.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September 28, 2024, $0.5 million was outstanding under standby letters of credit and bank guarantees.</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Our significant contractual obligations consist of liabilities for debt, operating leases, unrecognized tax benefits, pensions, post-retirement benefits and warranties. On February 9, 2024, we made a cash payment of $29.3 million to repay the remaining outstanding amounts owed under our Term Loan Credit Facility. Aside from the repayment of the remaining outstanding principal of our Term Loan Credit Facility, there were no material changes to these obligations outside the ordinary course of business from those disclosed in our Annual Report on Form 10-K for the year ended December 30, 2023.</w:t>
      </w:r>
    </w:p>
    <w:p>
      <w:pPr>
        <w:spacing w:after="0" w:line="17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to contract manufacturers and suppliers: </w:t>
      </w:r>
      <w:r>
        <w:rPr>
          <w:rFonts w:ascii="Times New Roman" w:cs="Times New Roman" w:eastAsia="Times New Roman" w:hAnsi="Times New Roman"/>
          <w:sz w:val="18"/>
          <w:szCs w:val="18"/>
          <w:color w:val="auto"/>
        </w:rPr>
        <w:t>From time to time, we enter into commitments with our vendors and outsourcing partners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instruments to certain parties as required.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2024, $0.5 million was outstanding under standby letters of credit.</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Interest Rate Risk.</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September 28, 2024, our investment portfolio included short-term fixed-income investment securities with a fair value of approximately $80.0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September 28, 2024, the cost and fair value of investments we held with loss positions were both approximately $11.5 million. We evaluated the nature of these investments, credit worthiness of the issuer and the duration of these impairments to determine if a credit loss exists. We have the ability and intent to hold these investments to maturity.</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September 28, 2024, compared to December 30, 2023, our stockholders’ equity decreased by $2.9 million as a result of the foreign currency translation.</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September 28, 2024 would result in an approximate $30.1 million positive translation adjustment recorded in other comprehensive loss within stockholders’ equity. Conversely, a hypothetical 10% appreciation of the U.S. Dollar as compared to these currencies as of September 28, 2024 would result in an approximate $30.1 million negative translation adjustment recorded in other comprehensive income within stockholders’ equity.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right="280" w:firstLine="8"/>
        <w:spacing w:after="0" w:line="259" w:lineRule="auto"/>
        <w:tabs>
          <w:tab w:leader="none" w:pos="2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83" w:lineRule="exact"/>
        <w:rPr>
          <w:sz w:val="20"/>
          <w:szCs w:val="20"/>
          <w:color w:val="auto"/>
        </w:rPr>
      </w:pPr>
    </w:p>
    <w:p>
      <w:pPr>
        <w:ind w:right="220" w:firstLine="8"/>
        <w:spacing w:after="0" w:line="268" w:lineRule="auto"/>
        <w:tabs>
          <w:tab w:leader="none" w:pos="26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During the three months ended September 28, 2024, we did not make any changes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control over financial reporting that have materially affected, or are reasonably likely to materially affect, our internal control over financial reporting.</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above under Note 12 contained in the “Notes to Unaudited Condensed Consolidated Financial Statements” of this Form 10-Q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left="980" w:right="160"/>
        <w:spacing w:after="0" w:line="267" w:lineRule="auto"/>
        <w:rPr>
          <w:sz w:val="20"/>
          <w:szCs w:val="20"/>
          <w:color w:val="auto"/>
        </w:rPr>
      </w:pPr>
      <w:r>
        <w:rPr>
          <w:rFonts w:ascii="Times New Roman" w:cs="Times New Roman" w:eastAsia="Times New Roman" w:hAnsi="Times New Roman"/>
          <w:sz w:val="18"/>
          <w:szCs w:val="18"/>
          <w:i w:val="1"/>
          <w:iCs w:val="1"/>
          <w:color w:val="auto"/>
        </w:rPr>
        <w:t>The most significant risk factors applicable to Cohu are described in Part I, Item 1A (Risk Factors) of Cohu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Annual Report on Form 10-K for the fiscal year ended December 30, 2023 (our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2023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There have been no material changes to the risk factors previously disclosed in our 2023 Form 10-K.</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During the three months ended September 28, 2024, we repurchased 315,000 shares of our common stock for $8.1 million to be held as treasury stock. During the nine months ended September 28, 2024, we repurchased 915,504 shares of our common stock for $27.0 million to be held as treasury stock. During the three months ended September 30, 2023, we repurchased 133,100 shares of our common stock for $4.7 million to be held as treasury stock. During the nine months ended September 30, 2023, we repurchased 309,985 shares of our common stock for $10.9 million to be held as treasury stock. As of September 28, 2024, $31.4 million remained available for us to repurchase shares of our common stock under our share repurchase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third quarter of fiscal 2024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Maximum $</w:t>
            </w:r>
          </w:p>
        </w:tc>
      </w:tr>
      <w:tr>
        <w:trPr>
          <w:trHeight w:val="216"/>
        </w:trPr>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Weighted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 of Shares</w:t>
            </w:r>
          </w:p>
        </w:tc>
      </w:tr>
      <w:tr>
        <w:trPr>
          <w:trHeight w:val="216"/>
        </w:trPr>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 Part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That May Yet</w:t>
            </w:r>
          </w:p>
        </w:tc>
      </w:tr>
      <w:tr>
        <w:trPr>
          <w:trHeight w:val="216"/>
        </w:trPr>
        <w:tc>
          <w:tcPr>
            <w:tcW w:w="25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Total</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Publicly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Be</w:t>
            </w:r>
          </w:p>
        </w:tc>
      </w:tr>
      <w:tr>
        <w:trPr>
          <w:trHeight w:val="216"/>
        </w:trPr>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25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Price Paid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Purchase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Announced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34"/>
        </w:trPr>
        <w:tc>
          <w:tcPr>
            <w:tcW w:w="25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9"/>
              </w:rPr>
              <w:t>Per Share</w:t>
            </w:r>
            <w:r>
              <w:rPr>
                <w:rFonts w:ascii="Times New Roman" w:cs="Times New Roman" w:eastAsia="Times New Roman" w:hAnsi="Times New Roman"/>
                <w:sz w:val="27"/>
                <w:szCs w:val="27"/>
                <w:color w:val="auto"/>
                <w:w w:val="99"/>
                <w:vertAlign w:val="superscript"/>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1"/>
              <w:spacing w:after="0" w:line="235" w:lineRule="exact"/>
              <w:rPr>
                <w:sz w:val="20"/>
                <w:szCs w:val="20"/>
                <w:color w:val="auto"/>
              </w:rPr>
            </w:pPr>
            <w:r>
              <w:rPr>
                <w:rFonts w:ascii="Times New Roman" w:cs="Times New Roman" w:eastAsia="Times New Roman" w:hAnsi="Times New Roman"/>
                <w:sz w:val="17"/>
                <w:szCs w:val="17"/>
                <w:color w:val="auto"/>
                <w:w w:val="95"/>
              </w:rPr>
              <w:t>Cost</w:t>
            </w:r>
            <w:r>
              <w:rPr>
                <w:rFonts w:ascii="Times New Roman" w:cs="Times New Roman" w:eastAsia="Times New Roman" w:hAnsi="Times New Roman"/>
                <w:sz w:val="27"/>
                <w:szCs w:val="27"/>
                <w:color w:val="auto"/>
                <w:w w:val="95"/>
                <w:vertAlign w:val="superscript"/>
              </w:rPr>
              <w:t>(2)</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w w:val="99"/>
              </w:rPr>
              <w:t>Programs</w:t>
            </w:r>
            <w:r>
              <w:rPr>
                <w:rFonts w:ascii="Times New Roman" w:cs="Times New Roman" w:eastAsia="Times New Roman" w:hAnsi="Times New Roman"/>
                <w:sz w:val="27"/>
                <w:szCs w:val="27"/>
                <w:color w:val="auto"/>
                <w:w w:val="99"/>
                <w:vertAlign w:val="superscript"/>
              </w:rPr>
              <w:t>(3)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line="235" w:lineRule="exact"/>
              <w:rPr>
                <w:sz w:val="20"/>
                <w:szCs w:val="20"/>
                <w:color w:val="auto"/>
              </w:rPr>
            </w:pPr>
            <w:r>
              <w:rPr>
                <w:rFonts w:ascii="Times New Roman" w:cs="Times New Roman" w:eastAsia="Times New Roman" w:hAnsi="Times New Roman"/>
                <w:sz w:val="17"/>
                <w:szCs w:val="17"/>
                <w:color w:val="auto"/>
              </w:rPr>
              <w:t>The Programs</w:t>
            </w:r>
            <w:r>
              <w:rPr>
                <w:rFonts w:ascii="Times New Roman" w:cs="Times New Roman" w:eastAsia="Times New Roman" w:hAnsi="Times New Roman"/>
                <w:sz w:val="27"/>
                <w:szCs w:val="27"/>
                <w:color w:val="auto"/>
                <w:vertAlign w:val="superscript"/>
              </w:rPr>
              <w:t>(3)</w:t>
            </w:r>
          </w:p>
        </w:tc>
        <w:tc>
          <w:tcPr>
            <w:tcW w:w="100" w:type="dxa"/>
            <w:vAlign w:val="bottom"/>
          </w:tcPr>
          <w:p>
            <w:pPr>
              <w:spacing w:after="0"/>
              <w:rPr>
                <w:sz w:val="20"/>
                <w:szCs w:val="20"/>
                <w:color w:val="auto"/>
              </w:rPr>
            </w:pPr>
          </w:p>
        </w:tc>
      </w:tr>
      <w:tr>
        <w:trPr>
          <w:trHeight w:val="210"/>
        </w:trPr>
        <w:tc>
          <w:tcPr>
            <w:tcW w:w="3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(In thousands except price per share amounts)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 30 - Jul 27,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39,430</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Jul 28 - Aug 24,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33,342</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 25 - Sep 28,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31,362</w:t>
            </w:r>
          </w:p>
        </w:tc>
      </w:tr>
      <w:tr>
        <w:trPr>
          <w:trHeight w:val="20"/>
        </w:trPr>
        <w:tc>
          <w:tcPr>
            <w:tcW w:w="25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price paid per share of common stock does not include the cost of commissions.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purchase cost includes the cost of commissions.</w:t>
      </w:r>
    </w:p>
    <w:p>
      <w:pPr>
        <w:spacing w:after="0" w:line="9" w:lineRule="exact"/>
        <w:rPr>
          <w:rFonts w:ascii="Times New Roman" w:cs="Times New Roman" w:eastAsia="Times New Roman" w:hAnsi="Times New Roman"/>
          <w:sz w:val="18"/>
          <w:szCs w:val="18"/>
          <w:color w:val="auto"/>
        </w:rPr>
      </w:pPr>
    </w:p>
    <w:p>
      <w:pPr>
        <w:ind w:left="300" w:right="1740" w:hanging="292"/>
        <w:spacing w:after="0" w:line="251"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This share repurchase program is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p>
      <w:pPr>
        <w:sectPr>
          <w:pgSz w:w="11900" w:h="16838" w:orient="portrait"/>
          <w:cols w:equalWidth="0" w:num="1">
            <w:col w:w="11220"/>
          </w:cols>
          <w:pgMar w:left="320" w:top="121" w:right="359"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three months ended September 28, 2024, none of our directors or executive officers adopted, modified or terminated a Rule 10b5-1 trading arrangement or a non-Rule 10b5-1 trading arrangement (each term as defined in Item 408 of Regulation S-K).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Certificate of Incorporation of Cohu, Inc., incorporated herein by reference to Exhibit 3.1 from the Cohu, Inc. Form</w:t>
              </w:r>
            </w:hyperlink>
          </w:p>
        </w:tc>
      </w:tr>
      <w:tr>
        <w:trPr>
          <w:trHeight w:val="196"/>
        </w:trPr>
        <w:tc>
          <w:tcPr>
            <w:tcW w:w="1140" w:type="dxa"/>
            <w:vAlign w:val="bottom"/>
          </w:tcPr>
          <w:p>
            <w:pPr>
              <w:spacing w:after="0"/>
              <w:rPr>
                <w:sz w:val="17"/>
                <w:szCs w:val="17"/>
                <w:color w:val="auto"/>
              </w:rPr>
            </w:pPr>
          </w:p>
        </w:tc>
        <w:tc>
          <w:tcPr>
            <w:tcW w:w="5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8-K filed with the Securities and Exchange Commission on June 6, 2024</w:t>
              </w:r>
            </w:hyperlink>
          </w:p>
        </w:tc>
        <w:tc>
          <w:tcPr>
            <w:tcW w:w="4800" w:type="dxa"/>
            <w:vAlign w:val="bottom"/>
            <w:gridSpan w:val="4"/>
          </w:tcPr>
          <w:p>
            <w:pPr>
              <w:spacing w:after="0"/>
              <w:rPr>
                <w:sz w:val="17"/>
                <w:szCs w:val="17"/>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302(a) of the Sarbanes-Oxley Act of 2002</w:t>
            </w:r>
          </w:p>
        </w:tc>
        <w:tc>
          <w:tcPr>
            <w:tcW w:w="4620" w:type="dxa"/>
            <w:vAlign w:val="bottom"/>
            <w:gridSpan w:val="3"/>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302(a) of the Sarbanes-Oxley Act of 2002</w:t>
            </w:r>
          </w:p>
        </w:tc>
        <w:tc>
          <w:tcPr>
            <w:tcW w:w="4620" w:type="dxa"/>
            <w:vAlign w:val="bottom"/>
            <w:gridSpan w:val="3"/>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1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40" w:right="3500" w:hanging="5532"/>
        <w:spacing w:after="0" w:line="532" w:lineRule="auto"/>
        <w:tabs>
          <w:tab w:leader="none" w:pos="11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41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COHU, INC.</w:t>
            </w:r>
          </w:p>
        </w:tc>
      </w:tr>
      <w:tr>
        <w:trPr>
          <w:trHeight w:val="228"/>
        </w:trPr>
        <w:tc>
          <w:tcPr>
            <w:tcW w:w="5300" w:type="dxa"/>
            <w:vAlign w:val="bottom"/>
          </w:tcPr>
          <w:p>
            <w:pPr>
              <w:spacing w:after="0"/>
              <w:rPr>
                <w:sz w:val="19"/>
                <w:szCs w:val="19"/>
                <w:color w:val="auto"/>
              </w:rPr>
            </w:pPr>
          </w:p>
        </w:tc>
        <w:tc>
          <w:tcPr>
            <w:tcW w:w="33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(Registrant)</w:t>
            </w:r>
          </w:p>
        </w:tc>
        <w:tc>
          <w:tcPr>
            <w:tcW w:w="760" w:type="dxa"/>
            <w:vAlign w:val="bottom"/>
          </w:tcPr>
          <w:p>
            <w:pPr>
              <w:spacing w:after="0"/>
              <w:rPr>
                <w:sz w:val="19"/>
                <w:szCs w:val="19"/>
                <w:color w:val="auto"/>
              </w:rPr>
            </w:pPr>
          </w:p>
        </w:tc>
      </w:tr>
      <w:tr>
        <w:trPr>
          <w:trHeight w:val="6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2024</w:t>
            </w: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Luis A. Müller</w:t>
            </w:r>
          </w:p>
        </w:tc>
      </w:tr>
      <w:tr>
        <w:trPr>
          <w:trHeight w:val="191"/>
        </w:trPr>
        <w:tc>
          <w:tcPr>
            <w:tcW w:w="530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Luis A. Müller</w:t>
            </w:r>
          </w:p>
        </w:tc>
        <w:tc>
          <w:tcPr>
            <w:tcW w:w="760" w:type="dxa"/>
            <w:vAlign w:val="bottom"/>
          </w:tcPr>
          <w:p>
            <w:pPr>
              <w:spacing w:after="0"/>
              <w:rPr>
                <w:sz w:val="16"/>
                <w:szCs w:val="16"/>
                <w:color w:val="auto"/>
              </w:rPr>
            </w:pPr>
          </w:p>
        </w:tc>
      </w:tr>
      <w:tr>
        <w:trPr>
          <w:trHeight w:val="234"/>
        </w:trPr>
        <w:tc>
          <w:tcPr>
            <w:tcW w:w="5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64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2024</w:t>
            </w: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Jeffrey D. Jones</w:t>
            </w:r>
          </w:p>
        </w:tc>
      </w:tr>
      <w:tr>
        <w:trPr>
          <w:trHeight w:val="191"/>
        </w:trPr>
        <w:tc>
          <w:tcPr>
            <w:tcW w:w="530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D. Jones</w:t>
            </w:r>
          </w:p>
        </w:tc>
        <w:tc>
          <w:tcPr>
            <w:tcW w:w="76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Finance &amp; Chief Financial Officer</w:t>
            </w:r>
          </w:p>
        </w:tc>
      </w:tr>
      <w:tr>
        <w:trPr>
          <w:trHeight w:val="234"/>
        </w:trPr>
        <w:tc>
          <w:tcPr>
            <w:tcW w:w="530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&amp; Accounting Officer)</w:t>
            </w:r>
          </w:p>
        </w:tc>
      </w:tr>
      <w:tr>
        <w:trPr>
          <w:trHeight w:val="432"/>
        </w:trPr>
        <w:tc>
          <w:tcPr>
            <w:tcW w:w="5300" w:type="dxa"/>
            <w:vAlign w:val="bottom"/>
          </w:tcPr>
          <w:p>
            <w:pPr>
              <w:spacing w:after="0"/>
              <w:rPr>
                <w:sz w:val="24"/>
                <w:szCs w:val="2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tcPr>
          <w:p>
            <w:pPr>
              <w:spacing w:after="0"/>
              <w:rPr>
                <w:sz w:val="24"/>
                <w:szCs w:val="24"/>
                <w:color w:val="auto"/>
              </w:rPr>
            </w:pPr>
          </w:p>
        </w:tc>
      </w:tr>
    </w:tbl>
    <w:p>
      <w:pPr>
        <w:sectPr>
          <w:pgSz w:w="11900" w:h="16838" w:orient="portrait"/>
          <w:cols w:equalWidth="0" w:num="1">
            <w:col w:w="10440"/>
          </w:cols>
          <w:pgMar w:left="320" w:top="121" w:right="11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60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1609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30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ind w:left="10360"/>
        <w:spacing w:after="0"/>
        <w:rPr>
          <w:sz w:val="20"/>
          <w:szCs w:val="20"/>
          <w:color w:val="auto"/>
        </w:rPr>
      </w:pPr>
      <w:r>
        <w:rPr>
          <w:rFonts w:ascii="Times New Roman" w:cs="Times New Roman" w:eastAsia="Times New Roman" w:hAnsi="Times New Roman"/>
          <w:sz w:val="17"/>
          <w:szCs w:val="17"/>
          <w:color w:val="auto"/>
        </w:rPr>
        <w:t>Exhibit 32.1</w:t>
      </w:r>
    </w:p>
    <w:p>
      <w:pPr>
        <w:spacing w:after="0" w:line="23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 (18 U.S.C. SECTION 1350)</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September 28, 2024 (the "Report"), I, Luis A. Müller, President and Chief Executive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614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7614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121" w:right="339" w:bottom="1440" w:gutter="0" w:footer="0" w:header="0"/>
        </w:sectPr>
      </w:pPr>
    </w:p>
    <w:bookmarkStart w:id="47" w:name="page48"/>
    <w:bookmarkEnd w:id="47"/>
    <w:p>
      <w:pPr>
        <w:ind w:left="10360"/>
        <w:spacing w:after="0"/>
        <w:rPr>
          <w:sz w:val="20"/>
          <w:szCs w:val="20"/>
          <w:color w:val="auto"/>
        </w:rPr>
      </w:pPr>
      <w:r>
        <w:rPr>
          <w:rFonts w:ascii="Times New Roman" w:cs="Times New Roman" w:eastAsia="Times New Roman" w:hAnsi="Times New Roman"/>
          <w:sz w:val="17"/>
          <w:szCs w:val="17"/>
          <w:color w:val="auto"/>
        </w:rPr>
        <w:t>Exhibit 32.2</w:t>
      </w:r>
    </w:p>
    <w:p>
      <w:pPr>
        <w:spacing w:after="0" w:line="23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 (18 U.S.C. SECTION 1350)</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September 28, 2024 (the "Report"), I, Jeffrey D. Jones, Vice President Finance &amp; Chief Financial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30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7" Type="http://schemas.openxmlformats.org/officeDocument/2006/relationships/hyperlink" Target="http://www.sec.gov/Archives/edgar/data/21535/000143774924019391/ex_6831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2024-11-01T05:22:17Z</dcterms:created>
  <dcterms:modified xsi:type="dcterms:W3CDTF">2024-11-01T05:22:17Z</dcterms:modified>
</cp:coreProperties>
</file>