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ind w:left="1020"/>
        <w:spacing w:after="0"/>
        <w:tabs>
          <w:tab w:leader="none" w:pos="77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October 31,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001-04298</w:t>
            </w:r>
          </w:p>
        </w:tc>
        <w:tc>
          <w:tcPr>
            <w:tcW w:w="39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95-1934119</w:t>
            </w:r>
          </w:p>
        </w:tc>
      </w:tr>
      <w:tr>
        <w:trPr>
          <w:trHeight w:val="191"/>
        </w:trPr>
        <w:tc>
          <w:tcPr>
            <w:tcW w:w="2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5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55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8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6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File Number)</w:t>
            </w:r>
          </w:p>
        </w:tc>
        <w:tc>
          <w:tcPr>
            <w:tcW w:w="16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4"/>
        </w:trPr>
        <w:tc>
          <w:tcPr>
            <w:tcW w:w="516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2160" w:type="dxa"/>
            <w:vAlign w:val="bottom"/>
          </w:tcPr>
          <w:p>
            <w:pPr>
              <w:spacing w:after="0"/>
              <w:rPr>
                <w:sz w:val="24"/>
                <w:szCs w:val="24"/>
                <w:color w:val="auto"/>
              </w:rPr>
            </w:pPr>
          </w:p>
        </w:tc>
        <w:tc>
          <w:tcPr>
            <w:tcW w:w="39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92064</w:t>
            </w:r>
          </w:p>
        </w:tc>
      </w:tr>
      <w:tr>
        <w:trPr>
          <w:trHeight w:val="234"/>
        </w:trPr>
        <w:tc>
          <w:tcPr>
            <w:tcW w:w="5160" w:type="dxa"/>
            <w:vAlign w:val="bottom"/>
            <w:gridSpan w:val="3"/>
          </w:tcPr>
          <w:p>
            <w:pPr>
              <w:jc w:val="center"/>
              <w:ind w:right="2220"/>
              <w:spacing w:after="0"/>
              <w:rPr>
                <w:sz w:val="20"/>
                <w:szCs w:val="20"/>
                <w:color w:val="auto"/>
              </w:rPr>
            </w:pPr>
            <w:r>
              <w:rPr>
                <w:rFonts w:ascii="Times New Roman" w:cs="Times New Roman" w:eastAsia="Times New Roman" w:hAnsi="Times New Roman"/>
                <w:sz w:val="18"/>
                <w:szCs w:val="18"/>
                <w:color w:val="auto"/>
              </w:rPr>
              <w:t>California</w:t>
            </w:r>
          </w:p>
        </w:tc>
        <w:tc>
          <w:tcPr>
            <w:tcW w:w="2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28"/>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20" w:type="dxa"/>
            <w:vAlign w:val="bottom"/>
            <w:gridSpan w:val="2"/>
          </w:tcPr>
          <w:p>
            <w:pPr>
              <w:spacing w:after="0"/>
              <w:rPr>
                <w:sz w:val="19"/>
                <w:szCs w:val="19"/>
                <w:color w:val="auto"/>
              </w:rPr>
            </w:pPr>
          </w:p>
        </w:tc>
        <w:tc>
          <w:tcPr>
            <w:tcW w:w="2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1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160" w:type="dxa"/>
            <w:vAlign w:val="bottom"/>
          </w:tcPr>
          <w:p>
            <w:pPr>
              <w:spacing w:after="0"/>
              <w:rPr>
                <w:sz w:val="24"/>
                <w:szCs w:val="24"/>
                <w:color w:val="auto"/>
              </w:rPr>
            </w:pPr>
          </w:p>
        </w:tc>
        <w:tc>
          <w:tcPr>
            <w:tcW w:w="39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858-848-8100</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COHU</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October 31, 2024, the Company issued a press release regarding its financial results for the third fiscal quarter ended September 28, 2024. The Company’s press release is attached as Exhibit 99.1 to this Current Report on Form 8-K and incorporated by reference herein.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Included within this current report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acquisition-related costs and associated professional fees, impairments, inventory step-up, depreciation of purchase accounting adjustments to property, plant and equipment, amortization of cloud-based software implementation costs (Adjusted EBITDA </w:t>
      </w:r>
      <w:r>
        <w:rPr>
          <w:rFonts w:ascii="Times New Roman" w:cs="Times New Roman" w:eastAsia="Times New Roman" w:hAnsi="Times New Roman"/>
          <w:sz w:val="17"/>
          <w:szCs w:val="17"/>
          <w:u w:val="single" w:color="auto"/>
          <w:color w:val="auto"/>
        </w:rPr>
        <w:t>only</w:t>
      </w:r>
      <w:r>
        <w:rPr>
          <w:rFonts w:ascii="Times New Roman" w:cs="Times New Roman" w:eastAsia="Times New Roman" w:hAnsi="Times New Roman"/>
          <w:sz w:val="17"/>
          <w:szCs w:val="17"/>
          <w:color w:val="auto"/>
        </w:rPr>
        <w:t xml:space="preserve">) and loss on extinguishment of debt (Adjusted EBITDA </w:t>
      </w:r>
      <w:r>
        <w:rPr>
          <w:rFonts w:ascii="Times New Roman" w:cs="Times New Roman" w:eastAsia="Times New Roman" w:hAnsi="Times New Roman"/>
          <w:sz w:val="17"/>
          <w:szCs w:val="17"/>
          <w:u w:val="single" w:color="auto"/>
          <w:color w:val="auto"/>
        </w:rPr>
        <w:t>only</w:t>
      </w:r>
      <w:r>
        <w:rPr>
          <w:rFonts w:ascii="Times New Roman" w:cs="Times New Roman" w:eastAsia="Times New Roman" w:hAnsi="Times New Roman"/>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new product introductions or customer adoptions and corresponding financial impacts; expectations related to our FY2024 outlook, including quarterly projections; effects of near-term growth opportunities and recurring software revenue on future business;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8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56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Third Quarter 2024 Earnings Release, dated October 31, 2024,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October 31, 2024</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76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4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76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7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Third Quarter 2024 Earnings Release, dated October 31, 2024, of Cohu, Inc.</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8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294005</wp:posOffset>
            </wp:positionV>
            <wp:extent cx="3120390" cy="1474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Third Quarter 2024 Results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revenue $95.3 million, approximately 67% recurring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46.8%; non-GAAP gross margin of 47.1%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Sequential order growth with recurring improving 8% quarter-over-quarter</w:t>
      </w:r>
    </w:p>
    <w:p>
      <w:pPr>
        <w:spacing w:after="0" w:line="2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POWAY, Calif., October 31, 2024 – Cohu, Inc. (NASDAQ: COHU), a global supplier of equipment and services optimizing semiconductor manufacturing yield and productivity, today reported fiscal 2024 third quarter net sales of $95.3 million and GAAP loss of $18.1 million or $0.39 per share. Net sales for the first nine months of 2024 were $307.7 million and GAAP loss was $48.5 million or $1.03 per share.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Cohu also reported non-GAAP results, with third quarter 2024 loss of $3.8 million or $0.08 per share and loss of $3.8 million or $0.08 per share for the first nine months of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0" w:type="dxa"/>
            <w:vAlign w:val="bottom"/>
          </w:tcPr>
          <w:p>
            <w:pPr>
              <w:spacing w:after="0"/>
              <w:rPr>
                <w:sz w:val="1"/>
                <w:szCs w:val="1"/>
                <w:color w:val="auto"/>
              </w:rPr>
            </w:pPr>
          </w:p>
        </w:tc>
      </w:tr>
      <w:tr>
        <w:trPr>
          <w:trHeight w:val="214"/>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4"/>
        </w:trPr>
        <w:tc>
          <w:tcPr>
            <w:tcW w:w="330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00" w:type="dxa"/>
            <w:vAlign w:val="bottom"/>
            <w:tcBorders>
              <w:lef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Non-GAAP Results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Pr>
          <w:p>
            <w:pPr>
              <w:spacing w:after="0"/>
              <w:rPr>
                <w:sz w:val="16"/>
                <w:szCs w:val="16"/>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0" w:type="dxa"/>
            <w:vAlign w:val="bottom"/>
          </w:tcPr>
          <w:p>
            <w:pPr>
              <w:spacing w:after="0"/>
              <w:rPr>
                <w:sz w:val="1"/>
                <w:szCs w:val="1"/>
                <w:color w:val="auto"/>
              </w:rPr>
            </w:pPr>
          </w:p>
        </w:tc>
      </w:tr>
      <w:tr>
        <w:trPr>
          <w:trHeight w:val="214"/>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3"/>
        </w:trPr>
        <w:tc>
          <w:tcPr>
            <w:tcW w:w="3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share</w:t>
            </w: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-1270000</wp:posOffset>
            </wp:positionV>
            <wp:extent cx="67551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cash and investments at the end of third quarter 2024 were $269.2 million. Cohu repurchased 315,000 shares of its common stock in the third quarter for an aggregate amount of approximately $8.1 million.</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continued to execute on our strategy to win customers on Cohu’s Diamondx tester, capturing design-wins in mixed signal applications, while also expanding our inspection metrology business with Neon and the new Krypton system,” said Cohu President and CEO Luis Müller. “We are focused on developing new products that are aligned to higher near-term growth opportunities in data centers and continuing to build our recurring software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fourth quarter 2024 sales to be in a range of $95 million +/- $7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third quarter 2024 results at 1:30 p.m. Pacific Time/4:30 p.m. Eastern Time on October 31, 2024.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https://edge.media-server.com/mmc/p/4pae8v3k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 xml:space="preserve">To participate via telephone and join the call live, please register in advance at </w:t>
      </w:r>
      <w:r>
        <w:rPr>
          <w:rFonts w:ascii="Times New Roman" w:cs="Times New Roman" w:eastAsia="Times New Roman" w:hAnsi="Times New Roman"/>
          <w:sz w:val="17"/>
          <w:szCs w:val="17"/>
          <w:u w:val="single" w:color="auto"/>
          <w:color w:val="auto"/>
        </w:rPr>
        <w:t>https://register.vevent.com/register/BI24f4649d559f4b5d9688d8da0a83a4e9</w:t>
      </w:r>
      <w:r>
        <w:rPr>
          <w:rFonts w:ascii="Times New Roman" w:cs="Times New Roman" w:eastAsia="Times New Roman" w:hAnsi="Times New Roman"/>
          <w:sz w:val="17"/>
          <w:szCs w:val="17"/>
          <w:color w:val="auto"/>
        </w:rPr>
        <w:t xml:space="preserve"> to receive the dial-in number along with a unique PIN number that can be used to access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acquisition-related costs and associated professional fees, impairments, inventory step-up, depreciation of purchase accounting adjustments to property, plant and equipment,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new product introductions or customer adoptions and corresponding financial impacts; expectations related to our FY2024 outlook, including quarterly projections; effects of near-term growth opportunities and recurring software revenue on future business;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w w:val="97"/>
              </w:rPr>
              <w:t xml:space="preserve">Three Months Ended </w:t>
            </w:r>
            <w:r>
              <w:rPr>
                <w:rFonts w:ascii="Times New Roman" w:cs="Times New Roman" w:eastAsia="Times New Roman" w:hAnsi="Times New Roman"/>
                <w:sz w:val="29"/>
                <w:szCs w:val="29"/>
                <w:color w:val="auto"/>
                <w:w w:val="97"/>
                <w:vertAlign w:val="superscript"/>
              </w:rPr>
              <w:t>(1) (2)</w:t>
            </w:r>
          </w:p>
        </w:tc>
        <w:tc>
          <w:tcPr>
            <w:tcW w:w="200" w:type="dxa"/>
            <w:vAlign w:val="bottom"/>
          </w:tcPr>
          <w:p>
            <w:pPr>
              <w:spacing w:after="0"/>
              <w:rPr>
                <w:sz w:val="24"/>
                <w:szCs w:val="24"/>
                <w:color w:val="auto"/>
              </w:rPr>
            </w:pPr>
          </w:p>
        </w:tc>
        <w:tc>
          <w:tcPr>
            <w:tcW w:w="24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w w:val="99"/>
              </w:rPr>
              <w:t xml:space="preserve">Nine Months Ended </w:t>
            </w:r>
            <w:r>
              <w:rPr>
                <w:rFonts w:ascii="Times New Roman" w:cs="Times New Roman" w:eastAsia="Times New Roman" w:hAnsi="Times New Roman"/>
                <w:sz w:val="29"/>
                <w:szCs w:val="29"/>
                <w:color w:val="auto"/>
                <w:w w:val="99"/>
                <w:vertAlign w:val="superscript"/>
              </w:rPr>
              <w:t>(1) (2)</w:t>
            </w:r>
          </w:p>
        </w:tc>
      </w:tr>
      <w:tr>
        <w:trPr>
          <w:trHeight w:val="216"/>
        </w:trPr>
        <w:tc>
          <w:tcPr>
            <w:tcW w:w="59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95,342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150,804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307,657</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499,096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79,909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166,829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261,638</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20,324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64,002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66,454</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30,297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32,416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99,403</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9,791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26,617</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2,046</w:t>
            </w:r>
          </w:p>
        </w:tc>
      </w:tr>
      <w:tr>
        <w:trPr>
          <w:trHeight w:val="20"/>
        </w:trPr>
        <w:tc>
          <w:tcPr>
            <w:tcW w:w="5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111,111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357,698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456,158</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(15,769)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(50,041)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42,938</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46,313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16,129</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(48,460)</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30,184</w:t>
            </w:r>
          </w:p>
        </w:tc>
      </w:tr>
      <w:tr>
        <w:trPr>
          <w:trHeight w:val="197"/>
        </w:trPr>
        <w:tc>
          <w:tcPr>
            <w:tcW w:w="5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(1.03)</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(0.39)</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(1.03)</w:t>
            </w:r>
          </w:p>
        </w:tc>
        <w:tc>
          <w:tcPr>
            <w:tcW w:w="32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0.63</w:t>
            </w:r>
          </w:p>
        </w:tc>
      </w:tr>
      <w:tr>
        <w:trPr>
          <w:trHeight w:val="196"/>
        </w:trPr>
        <w:tc>
          <w:tcPr>
            <w:tcW w:w="5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used in computing income (loss) per share: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46,815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47,615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47,525</w:t>
            </w: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46,815</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48,107</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46,971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48,102</w:t>
            </w:r>
          </w:p>
        </w:tc>
      </w:tr>
      <w:tr>
        <w:trPr>
          <w:trHeight w:val="34"/>
        </w:trPr>
        <w:tc>
          <w:tcPr>
            <w:tcW w:w="59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r>
    </w:tbl>
    <w:p>
      <w:pPr>
        <w:spacing w:after="0" w:line="252" w:lineRule="exact"/>
        <w:rPr>
          <w:sz w:val="20"/>
          <w:szCs w:val="20"/>
          <w:color w:val="auto"/>
        </w:rPr>
      </w:pPr>
    </w:p>
    <w:p>
      <w:pPr>
        <w:ind w:left="500" w:hanging="330"/>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nine-month periods ended September 28, 2024 and September 30, 2023 were both comprised of 13 weeks and 39 weeks, respectively.</w:t>
      </w:r>
    </w:p>
    <w:p>
      <w:pPr>
        <w:spacing w:after="0" w:line="47" w:lineRule="exact"/>
        <w:rPr>
          <w:rFonts w:ascii="Times New Roman" w:cs="Times New Roman" w:eastAsia="Times New Roman" w:hAnsi="Times New Roman"/>
          <w:sz w:val="17"/>
          <w:szCs w:val="17"/>
          <w:color w:val="auto"/>
        </w:rPr>
      </w:pPr>
    </w:p>
    <w:p>
      <w:pPr>
        <w:ind w:left="500" w:right="180" w:hanging="330"/>
        <w:spacing w:after="0" w:line="276"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30, 2023 the Company completed the acquisition of MCT Worldwide, LLC (“MCT”) and on October 2, 2023 the Company completed the acquisition of Equiptest Engineering Pte. Ltd. (“EQT”). The results of MCT’s and EQT’s operations have been included since those dates.</w:t>
      </w:r>
    </w:p>
    <w:p>
      <w:pPr>
        <w:ind w:left="500" w:right="100" w:hanging="330"/>
        <w:spacing w:after="0" w:line="26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nine-month periods ended September 28, 2024,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and investments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335,698</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91,937</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124,624</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155,793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37,154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542,454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638,818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76,666</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241,658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151,770</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14,067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33,668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1,032,346</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196"/>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84,975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103,421</w:t>
            </w: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34,303</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10,429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44,490</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49,283</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884,538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1,032,346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ind w:left="500" w:right="180" w:hanging="330"/>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2024, the Company made a cash payment of $29.3 million to repay the remaining outstanding amounts owed under our Term Loan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June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(15,769)</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(16,299)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7,402</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3,262</w:t>
            </w:r>
          </w:p>
        </w:tc>
      </w:tr>
      <w:tr>
        <w:trPr>
          <w:trHeight w:val="20"/>
        </w:trPr>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4,334</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8,857</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(h)</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(i)</w:t>
            </w: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22,150</w:t>
            </w:r>
          </w:p>
        </w:tc>
      </w:tr>
      <w:tr>
        <w:trPr>
          <w:trHeight w:val="196"/>
        </w:trPr>
        <w:tc>
          <w:tcPr>
            <w:tcW w:w="55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(18,056)</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(15,769)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3,915</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14,748</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(j)</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(1,754)</w:t>
            </w:r>
          </w:p>
        </w:tc>
      </w:tr>
      <w:tr>
        <w:trPr>
          <w:trHeight w:val="20"/>
        </w:trPr>
        <w:tc>
          <w:tcPr>
            <w:tcW w:w="55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(3,797)</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16,909</w:t>
            </w:r>
          </w:p>
        </w:tc>
      </w:tr>
      <w:tr>
        <w:trPr>
          <w:trHeight w:val="20"/>
        </w:trPr>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 - diluted (k)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the acquisitions of MCT and EQT.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(15.6)% and 4.9%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MCT.</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impairment of the Company’s investment in Fraes-und Technologiezentrum GmbH Frasdorf.</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depreciation of PP&amp;E step up charges related to the acquisitions.</w:t>
      </w:r>
    </w:p>
    <w:p>
      <w:pPr>
        <w:spacing w:after="0" w:line="36" w:lineRule="exact"/>
        <w:rPr>
          <w:rFonts w:ascii="Times New Roman" w:cs="Times New Roman" w:eastAsia="Times New Roman" w:hAnsi="Times New Roman"/>
          <w:sz w:val="18"/>
          <w:szCs w:val="18"/>
          <w:color w:val="auto"/>
        </w:rPr>
      </w:pPr>
    </w:p>
    <w:p>
      <w:pPr>
        <w:ind w:left="540" w:hanging="370"/>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0.3% and 14.7%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(50,041)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42,938</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2,534</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9,527</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12,680</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26,617</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step-up included in COS (g)</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(h)</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(i)</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(j)</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86,335</w:t>
            </w:r>
          </w:p>
        </w:tc>
      </w:tr>
      <w:tr>
        <w:trPr>
          <w:trHeight w:val="20"/>
        </w:trPr>
        <w:tc>
          <w:tcPr>
            <w:tcW w:w="7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30,184</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43,397</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(6,815)</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66,766</w:t>
            </w:r>
          </w:p>
        </w:tc>
      </w:tr>
      <w:tr>
        <w:trPr>
          <w:trHeight w:val="197"/>
        </w:trPr>
        <w:tc>
          <w:tcPr>
            <w:tcW w:w="78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(loss) per share - diluted (l)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r>
      <w:tr>
        <w:trPr>
          <w:trHeight w:val="54"/>
        </w:trPr>
        <w:tc>
          <w:tcPr>
            <w:tcW w:w="7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3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the acquisitions of MCT and EQT.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and 8.6%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MCT.</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impairment of the Company’s investment in Fraes-und Technologiezentrum GmbH Frasdorf.</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amortization of inventory step up charges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acquisitions.</w:t>
      </w:r>
    </w:p>
    <w:p>
      <w:pPr>
        <w:spacing w:after="0" w:line="36" w:lineRule="exact"/>
        <w:rPr>
          <w:rFonts w:ascii="Times New Roman" w:cs="Times New Roman" w:eastAsia="Times New Roman" w:hAnsi="Times New Roman"/>
          <w:sz w:val="18"/>
          <w:szCs w:val="18"/>
          <w:color w:val="auto"/>
        </w:rPr>
      </w:pPr>
    </w:p>
    <w:p>
      <w:pPr>
        <w:ind w:left="540" w:hanging="370"/>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and 17.3%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9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September 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June 29,</w:t>
            </w: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44,657</w:t>
            </w:r>
          </w:p>
        </w:tc>
        <w:tc>
          <w:tcPr>
            <w:tcW w:w="2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70,895</w:t>
            </w:r>
          </w:p>
        </w:tc>
      </w:tr>
      <w:tr>
        <w:trPr>
          <w:trHeight w:val="216"/>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2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71,100</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0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(18,056)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3,915</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4,721</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(2,333)</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9,748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8,857</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60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60" w:type="dxa"/>
            <w:vAlign w:val="bottom"/>
          </w:tcPr>
          <w:p>
            <w:pPr>
              <w:spacing w:after="0"/>
              <w:rPr>
                <w:sz w:val="18"/>
                <w:szCs w:val="18"/>
                <w:color w:val="auto"/>
              </w:rPr>
            </w:pPr>
          </w:p>
        </w:tc>
      </w:tr>
      <w:tr>
        <w:trPr>
          <w:trHeight w:val="24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24,955</w:t>
            </w:r>
          </w:p>
        </w:tc>
      </w:tr>
      <w:tr>
        <w:trPr>
          <w:trHeight w:val="197"/>
        </w:trPr>
        <w:tc>
          <w:tcPr>
            <w:tcW w:w="60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60,426</w:t>
            </w:r>
          </w:p>
        </w:tc>
        <w:tc>
          <w:tcPr>
            <w:tcW w:w="2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63,221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63,493</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(14,543)</w:t>
            </w:r>
          </w:p>
        </w:tc>
      </w:tr>
      <w:tr>
        <w:trPr>
          <w:trHeight w:val="20"/>
        </w:trPr>
        <w:tc>
          <w:tcPr>
            <w:tcW w:w="6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45,239</w:t>
            </w:r>
          </w:p>
        </w:tc>
        <w:tc>
          <w:tcPr>
            <w:tcW w:w="2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48,950</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
        </w:trPr>
        <w:tc>
          <w:tcPr>
            <w:tcW w:w="6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340" w:hanging="265"/>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amortization of $7,518, $7,486 and $6,948 for the three months ending September 28, 2024, June 29, 2024 and September 30, 2023, respectively.</w:t>
      </w:r>
    </w:p>
    <w:p>
      <w:pPr>
        <w:spacing w:after="0" w:line="26" w:lineRule="exact"/>
        <w:rPr>
          <w:rFonts w:ascii="Times New Roman" w:cs="Times New Roman" w:eastAsia="Times New Roman" w:hAnsi="Times New Roman"/>
          <w:sz w:val="16"/>
          <w:szCs w:val="16"/>
          <w:color w:val="auto"/>
        </w:rPr>
      </w:pPr>
    </w:p>
    <w:p>
      <w:pPr>
        <w:ind w:left="340" w:hanging="265"/>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capitalized implementation costs related to cloud-based software arrangements that are included within SG&amp;A.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237,458</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7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238,309</w:t>
            </w:r>
          </w:p>
        </w:tc>
      </w:tr>
      <w:tr>
        <w:trPr>
          <w:trHeight w:val="20"/>
        </w:trPr>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7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30,184</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2,817</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16,129</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(7,651)</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29,334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26,617</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10,204</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10,017</w:t>
            </w:r>
          </w:p>
        </w:tc>
      </w:tr>
      <w:tr>
        <w:trPr>
          <w:trHeight w:val="216"/>
        </w:trPr>
        <w:tc>
          <w:tcPr>
            <w:tcW w:w="77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16,743</w:t>
            </w:r>
          </w:p>
        </w:tc>
      </w:tr>
      <w:tr>
        <w:trPr>
          <w:trHeight w:val="20"/>
        </w:trPr>
        <w:tc>
          <w:tcPr>
            <w:tcW w:w="7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96,130</w:t>
            </w:r>
          </w:p>
        </w:tc>
      </w:tr>
      <w:tr>
        <w:trPr>
          <w:trHeight w:val="20"/>
        </w:trPr>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7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190,869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194,520</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(48,533)</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(42,546)</w:t>
            </w:r>
          </w:p>
        </w:tc>
      </w:tr>
      <w:tr>
        <w:trPr>
          <w:trHeight w:val="20"/>
        </w:trPr>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142,336</w:t>
            </w:r>
          </w:p>
        </w:tc>
        <w:tc>
          <w:tcPr>
            <w:tcW w:w="3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151,974</w:t>
            </w:r>
          </w:p>
        </w:tc>
      </w:tr>
      <w:tr>
        <w:trPr>
          <w:trHeight w:val="34"/>
        </w:trPr>
        <w:tc>
          <w:tcPr>
            <w:tcW w:w="778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 Excludes amortization of $22,526 and $20,941 for the nine months ending September 28, 2024 and September 30, 2023, respectively.</w:t>
      </w:r>
    </w:p>
    <w:p>
      <w:pPr>
        <w:sectPr>
          <w:pgSz w:w="11900" w:h="16838" w:orient="portrait"/>
          <w:cols w:equalWidth="0" w:num="1">
            <w:col w:w="11240"/>
          </w:cols>
          <w:pgMar w:left="320" w:top="576" w:right="33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(2) Represents amortization of capitalized implementation costs related to cloud-based software arrangements that are included within SG&amp;A.</w:t>
      </w:r>
    </w:p>
    <w:sectPr>
      <w:pgSz w:w="11900" w:h="16838" w:orient="portrait"/>
      <w:cols w:equalWidth="0" w:num="1">
        <w:col w:w="10059"/>
      </w:cols>
      <w:pgMar w:left="4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2024-10-31T15:25:12Z</dcterms:created>
  <dcterms:modified xsi:type="dcterms:W3CDTF">2024-10-31T15:25:12Z</dcterms:modified>
</cp:coreProperties>
</file>