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Mattes Andreas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June 5, 2024 grant date or (ii) the 2025 Cohu, Inc. Annual Meeting of Stockholders (assuming continued service to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6,727 Restricted Stock Units (RSUs) that in the future will be converted on a one-for-one basis into shares of Cohu, Inc. Common Stock immediately upon the vesting date (assuming continued service to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8706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2024-06-07T12:34:17Z</dcterms:created>
  <dcterms:modified xsi:type="dcterms:W3CDTF">2024-06-07T12:34:17Z</dcterms:modified>
</cp:coreProperties>
</file>