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BILODEAU STEVEN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30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12367 CROSTHWAITE CIRCLE</w:t>
            </w:r>
          </w:p>
        </w:tc>
        <w:tc>
          <w:tcPr>
            <w:tcW w:w="12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r>
        <w:trPr>
          <w:trHeight w:val="269"/>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POWAY</w:t>
            </w:r>
          </w:p>
        </w:tc>
        <w:tc>
          <w:tcPr>
            <w:tcW w:w="148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CA</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92064</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30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COHU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COHU</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00" w:type="dxa"/>
            <w:vAlign w:val="bottom"/>
            <w:tcBorders>
              <w:bottom w:val="single" w:sz="8" w:color="0000EE"/>
            </w:tcBorders>
          </w:tcPr>
          <w:p>
            <w:pPr>
              <w:spacing w:after="0"/>
              <w:rPr>
                <w:sz w:val="3"/>
                <w:szCs w:val="3"/>
                <w:color w:val="auto"/>
              </w:rPr>
            </w:pPr>
          </w:p>
        </w:tc>
        <w:tc>
          <w:tcPr>
            <w:tcW w:w="2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06/05/2024</w:t>
            </w:r>
          </w:p>
        </w:tc>
        <w:tc>
          <w:tcPr>
            <w:tcW w:w="2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Restricted Stock Units</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06/05/2024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4,918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59,799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Cohu, Inc. Common Stock upon vesting. The RSUs vest on the earlier to occur of (i) the one-year anniversary of the June 5, 2024 grant date or (ii) the 2025 Cohu, Inc. Annual Meeting of Stockholders (assuming continued service to the Board of Directors).</w:t>
      </w:r>
    </w:p>
    <w:p>
      <w:pPr>
        <w:spacing w:after="0" w:line="7"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4,918 Restricted Stock Units (RSUs) and 28,480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06/07/2024</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829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2024-06-07T12:18:32Z</dcterms:created>
  <dcterms:modified xsi:type="dcterms:W3CDTF">2024-06-07T12:18:32Z</dcterms:modified>
</cp:coreProperties>
</file>