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June 5, 2024</w:t>
            </w:r>
          </w:p>
        </w:tc>
      </w:tr>
      <w:tr>
        <w:trPr>
          <w:trHeight w:val="739"/>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3"/>
          </w:tcPr>
          <w:p>
            <w:pPr>
              <w:jc w:val="center"/>
              <w:ind w:right="1040"/>
              <w:spacing w:after="0"/>
              <w:rPr>
                <w:sz w:val="20"/>
                <w:szCs w:val="20"/>
                <w:color w:val="auto"/>
              </w:rPr>
            </w:pPr>
            <w:r>
              <w:rPr>
                <w:rFonts w:ascii="Times New Roman" w:cs="Times New Roman" w:eastAsia="Times New Roman" w:hAnsi="Times New Roman"/>
                <w:sz w:val="43"/>
                <w:szCs w:val="43"/>
                <w:color w:val="auto"/>
                <w:w w:val="99"/>
              </w:rPr>
              <w:t>Cohu, Inc.</w:t>
            </w: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6"/>
        </w:trPr>
        <w:tc>
          <w:tcPr>
            <w:tcW w:w="11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479"/>
        </w:trPr>
        <w:tc>
          <w:tcPr>
            <w:tcW w:w="1120" w:type="dxa"/>
            <w:vAlign w:val="bottom"/>
          </w:tcPr>
          <w:p>
            <w:pPr>
              <w:spacing w:after="0"/>
              <w:rPr>
                <w:sz w:val="24"/>
                <w:szCs w:val="24"/>
                <w:color w:val="auto"/>
              </w:rPr>
            </w:pPr>
          </w:p>
        </w:tc>
        <w:tc>
          <w:tcPr>
            <w:tcW w:w="6460" w:type="dxa"/>
            <w:vAlign w:val="bottom"/>
            <w:gridSpan w:val="6"/>
          </w:tcPr>
          <w:p>
            <w:pPr>
              <w:jc w:val="center"/>
              <w:ind w:left="24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35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rPr>
              <w:t>Delaware</w:t>
            </w:r>
          </w:p>
        </w:tc>
        <w:tc>
          <w:tcPr>
            <w:tcW w:w="21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001-04298</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95-1934119</w:t>
            </w:r>
          </w:p>
        </w:tc>
        <w:tc>
          <w:tcPr>
            <w:tcW w:w="1120" w:type="dxa"/>
            <w:vAlign w:val="bottom"/>
          </w:tcPr>
          <w:p>
            <w:pPr>
              <w:spacing w:after="0"/>
              <w:rPr>
                <w:sz w:val="24"/>
                <w:szCs w:val="24"/>
                <w:color w:val="auto"/>
              </w:rPr>
            </w:pPr>
          </w:p>
        </w:tc>
      </w:tr>
      <w:tr>
        <w:trPr>
          <w:trHeight w:val="191"/>
        </w:trPr>
        <w:tc>
          <w:tcPr>
            <w:tcW w:w="112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jc w:val="center"/>
              <w:ind w:right="112"/>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112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35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File Number)</w:t>
            </w:r>
          </w:p>
        </w:tc>
        <w:tc>
          <w:tcPr>
            <w:tcW w:w="36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1120" w:type="dxa"/>
            <w:vAlign w:val="bottom"/>
          </w:tcPr>
          <w:p>
            <w:pPr>
              <w:spacing w:after="0"/>
              <w:rPr>
                <w:sz w:val="24"/>
                <w:szCs w:val="24"/>
                <w:color w:val="auto"/>
              </w:rPr>
            </w:pPr>
          </w:p>
        </w:tc>
        <w:tc>
          <w:tcPr>
            <w:tcW w:w="35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92064</w:t>
            </w:r>
          </w:p>
        </w:tc>
        <w:tc>
          <w:tcPr>
            <w:tcW w:w="11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35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rPr>
              <w:t>California</w:t>
            </w: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760" w:type="dxa"/>
            <w:vAlign w:val="bottom"/>
            <w:gridSpan w:val="2"/>
          </w:tcPr>
          <w:p>
            <w:pPr>
              <w:spacing w:after="0"/>
              <w:rPr>
                <w:sz w:val="16"/>
                <w:szCs w:val="16"/>
                <w:color w:val="auto"/>
              </w:rPr>
            </w:pPr>
          </w:p>
        </w:tc>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rPr>
              <w:t>(Zip Code)</w:t>
            </w:r>
          </w:p>
        </w:tc>
        <w:tc>
          <w:tcPr>
            <w:tcW w:w="112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35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8"/>
              </w:rPr>
              <w:t>offices)</w:t>
            </w: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7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858-848-8100</w:t>
            </w:r>
          </w:p>
        </w:tc>
        <w:tc>
          <w:tcPr>
            <w:tcW w:w="11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gridSpan w:val="8"/>
          </w:tcPr>
          <w:p>
            <w:pPr>
              <w:spacing w:after="0"/>
              <w:rPr>
                <w:sz w:val="4"/>
                <w:szCs w:val="4"/>
                <w:color w:val="auto"/>
              </w:rPr>
            </w:pPr>
          </w:p>
        </w:tc>
      </w:tr>
      <w:tr>
        <w:trPr>
          <w:trHeight w:val="264"/>
        </w:trPr>
        <w:tc>
          <w:tcPr>
            <w:tcW w:w="1120" w:type="dxa"/>
            <w:vAlign w:val="bottom"/>
          </w:tcPr>
          <w:p>
            <w:pPr>
              <w:spacing w:after="0"/>
              <w:rPr>
                <w:sz w:val="22"/>
                <w:szCs w:val="22"/>
                <w:color w:val="auto"/>
              </w:rPr>
            </w:pPr>
          </w:p>
        </w:tc>
        <w:tc>
          <w:tcPr>
            <w:tcW w:w="10120" w:type="dxa"/>
            <w:vAlign w:val="bottom"/>
            <w:gridSpan w:val="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358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8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70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8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7"/>
              </w:rPr>
              <w:t>COHU</w:t>
            </w:r>
          </w:p>
        </w:tc>
        <w:tc>
          <w:tcPr>
            <w:tcW w:w="3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5, 2024, as described below, upon the recommendation of the Board of Directors (the “Board”) of Cohu, Inc. (the “Company”), the Company’s stockholders approved an amendment to the Company’s Amended and Restated Certificate of Incorporation to add a provision exculpating certain of the Company’s officers from liability in specific circumstances, as permitted by Delaware law (the “Amendment”). The Amendment is discussed in greater detail in the definitive Proxy Statement for the Company’s 2024 Annual Meeting, which was filed with the Securities and Exchange Commission on April 22, 2024. Accordingly, on June 5, 2024, the Company filed with the Secretary of State of the State of Delaware an Amended and Restated Certificate of Incorporation implementing the approved changes (the “Restated Certificate”), and the Restated Certificate was effective as of that date.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Certificate of Incorporation, a copy of which is filed as Exhibit 3.1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held its 2024 Annual Meeting of Stockholders on June 5, 2024. At the Annual Meeting, the Company’s stockholders cast their votes on four proposals, as set forth below. The Company had 47,085,873 shares outstanding on April 12, 2024, the record date, and 43,787,244 (93.0%) were represented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nominees for election as Class 2 directors to serve until the 2027 Annual Meeting of Stockholders, were elected based upon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22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 Caggia</w:t>
            </w:r>
          </w:p>
        </w:tc>
        <w:tc>
          <w:tcPr>
            <w:tcW w:w="2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37,225,405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3,594,374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38,642</w:t>
            </w:r>
          </w:p>
        </w:tc>
        <w:tc>
          <w:tcPr>
            <w:tcW w:w="306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2,928,823</w:t>
            </w:r>
          </w:p>
        </w:tc>
      </w:tr>
      <w:tr>
        <w:trPr>
          <w:trHeight w:val="216"/>
        </w:trPr>
        <w:tc>
          <w:tcPr>
            <w:tcW w:w="2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Yon Y. Jorden</w:t>
            </w:r>
          </w:p>
        </w:tc>
        <w:tc>
          <w:tcPr>
            <w:tcW w:w="2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40,016,127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803,882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38,412</w:t>
            </w:r>
          </w:p>
        </w:tc>
        <w:tc>
          <w:tcPr>
            <w:tcW w:w="306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2,928,823</w:t>
            </w:r>
          </w:p>
        </w:tc>
      </w:tr>
      <w:tr>
        <w:trPr>
          <w:trHeight w:val="216"/>
        </w:trPr>
        <w:tc>
          <w:tcPr>
            <w:tcW w:w="2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A. Müller</w:t>
            </w:r>
          </w:p>
        </w:tc>
        <w:tc>
          <w:tcPr>
            <w:tcW w:w="2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40,469,622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349,433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39,366</w:t>
            </w:r>
          </w:p>
        </w:tc>
        <w:tc>
          <w:tcPr>
            <w:tcW w:w="306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2,928,823</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remaining directors whose terms continue until 2025 are Steven J. Bilodeau, James A. Donahue and Andreas W. Mattes, and until 2026 are William E. Bendush, Karen M. Rapp and Nina L. Richardson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advisory vote on executive compensation of Named Executive Officers, as disclosed in the Proxy Statement, was approved. The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4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40,351,823</w:t>
            </w:r>
          </w:p>
        </w:tc>
        <w:tc>
          <w:tcPr>
            <w:tcW w:w="1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377,188</w:t>
            </w:r>
          </w:p>
        </w:tc>
        <w:tc>
          <w:tcPr>
            <w:tcW w:w="1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129,410</w:t>
            </w:r>
          </w:p>
        </w:tc>
        <w:tc>
          <w:tcPr>
            <w:tcW w:w="306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2,928,823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vote to approve the amendment to the Company’s Amended and Restated Certificate of Incorporation to limit the liability of certain officers as permitted by law. The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4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36,685,697</w:t>
            </w:r>
          </w:p>
        </w:tc>
        <w:tc>
          <w:tcPr>
            <w:tcW w:w="17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4,123,584</w:t>
            </w: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49,140</w:t>
            </w:r>
          </w:p>
        </w:tc>
        <w:tc>
          <w:tcPr>
            <w:tcW w:w="306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2,928,823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fiscal year 2024 was approved. The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740" w:type="dxa"/>
            <w:vAlign w:val="bottom"/>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4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41,614,016</w:t>
            </w:r>
          </w:p>
        </w:tc>
        <w:tc>
          <w:tcPr>
            <w:tcW w:w="1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2,118,486</w:t>
            </w:r>
          </w:p>
        </w:tc>
        <w:tc>
          <w:tcPr>
            <w:tcW w:w="4740" w:type="dxa"/>
            <w:vAlign w:val="bottom"/>
            <w:shd w:val="clear" w:color="auto" w:fill="CCEEFF"/>
          </w:tcPr>
          <w:p>
            <w:pPr>
              <w:jc w:val="right"/>
              <w:ind w:right="3590"/>
              <w:spacing w:after="0"/>
              <w:rPr>
                <w:sz w:val="20"/>
                <w:szCs w:val="20"/>
                <w:color w:val="auto"/>
              </w:rPr>
            </w:pPr>
            <w:r>
              <w:rPr>
                <w:rFonts w:ascii="Times New Roman" w:cs="Times New Roman" w:eastAsia="Times New Roman" w:hAnsi="Times New Roman"/>
                <w:sz w:val="18"/>
                <w:szCs w:val="18"/>
                <w:color w:val="auto"/>
              </w:rPr>
              <w:t>54,742</w:t>
            </w:r>
          </w:p>
        </w:tc>
      </w:tr>
      <w:tr>
        <w:trPr>
          <w:trHeight w:val="574"/>
        </w:trPr>
        <w:tc>
          <w:tcPr>
            <w:tcW w:w="4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38"/>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80" w:type="dxa"/>
            <w:vAlign w:val="bottom"/>
          </w:tcPr>
          <w:p>
            <w:pPr>
              <w:spacing w:after="0"/>
              <w:rPr>
                <w:sz w:val="20"/>
                <w:szCs w:val="20"/>
                <w:color w:val="auto"/>
              </w:rPr>
            </w:pPr>
          </w:p>
        </w:tc>
        <w:tc>
          <w:tcPr>
            <w:tcW w:w="8880" w:type="dxa"/>
            <w:vAlign w:val="bottom"/>
            <w:tcBorders>
              <w:bottom w:val="single" w:sz="8" w:color="auto"/>
            </w:tcBorders>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4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Restated Certificate of Incorporation of Cohu, Inc.</w:t>
            </w:r>
          </w:p>
        </w:tc>
        <w:tc>
          <w:tcPr>
            <w:tcW w:w="4500" w:type="dxa"/>
            <w:vAlign w:val="bottom"/>
          </w:tcPr>
          <w:p>
            <w:pPr>
              <w:spacing w:after="0"/>
              <w:rPr>
                <w:sz w:val="24"/>
                <w:szCs w:val="24"/>
                <w:color w:val="auto"/>
              </w:rPr>
            </w:pPr>
          </w:p>
        </w:tc>
      </w:tr>
      <w:tr>
        <w:trPr>
          <w:trHeight w:val="45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Cohu, Inc.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June 6, 2024</w:t>
            </w:r>
          </w:p>
        </w:tc>
        <w:tc>
          <w:tcPr>
            <w:tcW w:w="8020" w:type="dxa"/>
            <w:vAlign w:val="bottom"/>
            <w:gridSpan w:val="2"/>
          </w:tcPr>
          <w:p>
            <w:pPr>
              <w:ind w:left="2300"/>
              <w:spacing w:after="0"/>
              <w:rPr>
                <w:sz w:val="20"/>
                <w:szCs w:val="20"/>
                <w:color w:val="auto"/>
              </w:rPr>
            </w:pPr>
            <w:r>
              <w:rPr>
                <w:rFonts w:ascii="Times New Roman" w:cs="Times New Roman" w:eastAsia="Times New Roman" w:hAnsi="Times New Roman"/>
                <w:sz w:val="18"/>
                <w:szCs w:val="18"/>
                <w:i w:val="1"/>
                <w:iCs w:val="1"/>
                <w:color w:val="auto"/>
              </w:rPr>
              <w:t>By:   /s/ Jeffrey D. Jones</w:t>
            </w:r>
          </w:p>
        </w:tc>
      </w:tr>
      <w:tr>
        <w:trPr>
          <w:trHeight w:val="189"/>
        </w:trPr>
        <w:tc>
          <w:tcPr>
            <w:tcW w:w="3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 Jeffrey D. Jones</w:t>
            </w:r>
          </w:p>
        </w:tc>
      </w:tr>
      <w:tr>
        <w:trPr>
          <w:trHeight w:val="236"/>
        </w:trPr>
        <w:tc>
          <w:tcPr>
            <w:tcW w:w="3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Cohu, Inc., a corporation organized and existing under and by virtue of the provisions of the General Corporation Law of the State of Delaware (the “General Corporation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CERTIFY:</w:t>
      </w:r>
    </w:p>
    <w:p>
      <w:pPr>
        <w:spacing w:after="0" w:line="225" w:lineRule="exact"/>
        <w:rPr>
          <w:sz w:val="20"/>
          <w:szCs w:val="20"/>
          <w:color w:val="auto"/>
        </w:rPr>
      </w:pPr>
    </w:p>
    <w:p>
      <w:pPr>
        <w:ind w:right="20" w:firstLine="656"/>
        <w:spacing w:after="0" w:line="282"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Cohu, Inc., and that this corporation was originally incorporated pursuant to the General Corporation Law on January 2, 1957 under the name Cohu Electronics, Inc.</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this corporation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the Certificate of Incorporation of this corporation be amended and restated in its entirety to read as follows:</w:t>
      </w:r>
    </w:p>
    <w:p>
      <w:pPr>
        <w:spacing w:after="0" w:line="225"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color w:val="auto"/>
        </w:rPr>
        <w:t>ARTICLE FIRST:</w:t>
        <w:tab/>
        <w:t>The name of the corporation is COHU,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ARTICLE SECOND: The name and address of its registered agent is The Corporation Trust Company, 1209 Orange Street, Wilmington, Delaware, 19801, located in New Castle County.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ARTICLE THIRD: The purpose of the Corporation is to engage in any lawful act or activity for which corporations may be organized under the General Corporation Law of the State of Delaware, as from time to time amended.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ARTICLE FOURTH: The total number of shares of all classes of stock which the Corporation shall have authority to issue is 91,000,000 shares, of which 1,000,000 shares shall constitute Preferred Stock having a par value of $1.00 per share and 90,000,000 shares shall constitute Common Stock having a par value of $1.00 per share.</w:t>
      </w:r>
    </w:p>
    <w:p>
      <w:pPr>
        <w:spacing w:after="0" w:line="176" w:lineRule="exact"/>
        <w:rPr>
          <w:sz w:val="20"/>
          <w:szCs w:val="20"/>
          <w:color w:val="auto"/>
        </w:rPr>
      </w:pPr>
    </w:p>
    <w:p>
      <w:pPr>
        <w:jc w:val="both"/>
        <w:ind w:firstLine="656"/>
        <w:spacing w:after="0" w:line="254" w:lineRule="auto"/>
        <w:tabs>
          <w:tab w:leader="none" w:pos="10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liquidation or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firstLine="656"/>
        <w:spacing w:after="0" w:line="282" w:lineRule="auto"/>
        <w:tabs>
          <w:tab w:leader="none" w:pos="10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all of the rights of the Preferred Stock, dividends may be paid upon the Common Stock as and when declared by the Board of Directors out of funds legally available for payment of dividends.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18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ARTICLE FIFTH:</w:t>
        <w:tab/>
        <w:t>Reserved.</w:t>
      </w:r>
    </w:p>
    <w:p>
      <w:pPr>
        <w:spacing w:after="0" w:line="225"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18"/>
          <w:szCs w:val="18"/>
          <w:color w:val="auto"/>
        </w:rPr>
        <w:t>ARTICLE SIXTH:</w:t>
        <w:tab/>
        <w:t>Reserved.</w:t>
      </w:r>
    </w:p>
    <w:p>
      <w:pPr>
        <w:spacing w:after="0" w:line="225" w:lineRule="exact"/>
        <w:rPr>
          <w:sz w:val="20"/>
          <w:szCs w:val="20"/>
          <w:color w:val="auto"/>
        </w:rPr>
      </w:pPr>
    </w:p>
    <w:p>
      <w:pPr>
        <w:ind w:left="660"/>
        <w:spacing w:after="0"/>
        <w:tabs>
          <w:tab w:leader="none" w:pos="2480" w:val="left"/>
        </w:tabs>
        <w:rPr>
          <w:sz w:val="20"/>
          <w:szCs w:val="20"/>
          <w:color w:val="auto"/>
        </w:rPr>
      </w:pPr>
      <w:r>
        <w:rPr>
          <w:rFonts w:ascii="Times New Roman" w:cs="Times New Roman" w:eastAsia="Times New Roman" w:hAnsi="Times New Roman"/>
          <w:sz w:val="18"/>
          <w:szCs w:val="18"/>
          <w:color w:val="auto"/>
        </w:rPr>
        <w:t>ARTICLE SEVENTH:</w:t>
        <w:tab/>
        <w:t>Reserved.</w:t>
      </w:r>
    </w:p>
    <w:p>
      <w:pPr>
        <w:spacing w:after="0" w:line="225"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18"/>
          <w:szCs w:val="18"/>
          <w:color w:val="auto"/>
        </w:rPr>
        <w:t>ARTICLE EIGHTH:</w:t>
      </w:r>
      <w:r>
        <w:rPr>
          <w:sz w:val="20"/>
          <w:szCs w:val="20"/>
          <w:color w:val="auto"/>
        </w:rPr>
        <w:tab/>
      </w:r>
      <w:r>
        <w:rPr>
          <w:rFonts w:ascii="Times New Roman" w:cs="Times New Roman" w:eastAsia="Times New Roman" w:hAnsi="Times New Roman"/>
          <w:sz w:val="17"/>
          <w:szCs w:val="17"/>
          <w:color w:val="auto"/>
        </w:rPr>
        <w:t>The corporation is to have perpetual existence.</w:t>
      </w:r>
    </w:p>
    <w:p>
      <w:pPr>
        <w:spacing w:after="0" w:line="225"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8"/>
          <w:szCs w:val="18"/>
          <w:color w:val="auto"/>
        </w:rPr>
        <w:t>ARTICLE NINTH:</w:t>
        <w:tab/>
        <w:t>Reserved.</w:t>
      </w:r>
    </w:p>
    <w:p>
      <w:pPr>
        <w:spacing w:after="0" w:line="22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18"/>
          <w:szCs w:val="18"/>
          <w:color w:val="auto"/>
        </w:rPr>
        <w:t>ARTICLE TENTH:</w:t>
        <w:tab/>
        <w:t>In furtherance and not in limitation of the powers conferred by statute, the Board of Directors is expressly authorized: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make, alter or repeal the by laws of the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ARTICLE 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 laws of the corporation. Elections of directors need not be by ballot unless the by laws of the corporation shall so provide.</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ARTICLE 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ARTICLE 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ARTICLE 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ARTICLE 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ARTICLE SIXTEENTH: Action shall be taken by stockholders only at an annual or special meeting of stockholders, and stockholders may not act by written consent.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ARTICLE 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ARTICLE 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ARTICLE NINETEENTH: 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Delaware General Corporation Law (the “DGCL”) as presently in effect or as the same may hereafter be amended. 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ARTICLE TWENTIETH: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or for the benefit of the Company to the fullest extent permitted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firstLine="656"/>
        <w:spacing w:after="0" w:line="282" w:lineRule="auto"/>
        <w:tabs>
          <w:tab w:leader="none" w:pos="126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Certificate of Incorporation, which restates and integrates and further amends the provisions of the Corporation’s Certificate of Incorporation, has been duly adopted in accordance with Sections 242 and 245 of the General Corporation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This Amended and Restated Certificate of Incorporation has been executed by a duly authorized officer of the Corporation on June 5, 2024.</w:t>
      </w:r>
    </w:p>
    <w:p>
      <w:pPr>
        <w:sectPr>
          <w:pgSz w:w="11900" w:h="16838" w:orient="portrait"/>
          <w:cols w:equalWidth="0" w:num="1">
            <w:col w:w="10060"/>
          </w:cols>
          <w:pgMar w:left="980" w:top="580" w:right="8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Cohu, Inc.</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Tom Kampfer</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Tom Kampfer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  SVP Corporate Development, General</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060"/>
      </w:cols>
      <w:pgMar w:left="980" w:top="580"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2024-06-06T06:04:33Z</dcterms:created>
  <dcterms:modified xsi:type="dcterms:W3CDTF">2024-06-06T06:04:33Z</dcterms:modified>
</cp:coreProperties>
</file>