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0" w:lineRule="exact"/>
        <w:rPr>
          <w:sz w:val="24"/>
          <w:szCs w:val="24"/>
          <w:color w:val="auto"/>
        </w:rPr>
      </w:pPr>
    </w:p>
    <w:p>
      <w:pPr>
        <w:spacing w:after="0" w:line="21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0" w:lineRule="exact"/>
        <w:rPr>
          <w:sz w:val="24"/>
          <w:szCs w:val="24"/>
          <w:color w:val="auto"/>
        </w:rPr>
      </w:pPr>
    </w:p>
    <w:p>
      <w:pPr>
        <w:spacing w:after="0" w:line="219" w:lineRule="exact"/>
        <w:rPr>
          <w:sz w:val="24"/>
          <w:szCs w:val="24"/>
          <w:color w:val="auto"/>
        </w:rPr>
      </w:pPr>
    </w:p>
    <w:tbl>
      <w:tblPr>
        <w:tblLayout w:type="fixed"/>
        <w:tblInd w:w="120" w:type="dxa"/>
        <w:tblCellMar>
          <w:top w:w="0" w:type="dxa"/>
          <w:left w:w="0" w:type="dxa"/>
          <w:bottom w:w="0" w:type="dxa"/>
          <w:right w:w="0" w:type="dxa"/>
        </w:tblCellMar>
      </w:tblPr>
      <w:tr>
        <w:trPr>
          <w:trHeight w:val="218"/>
        </w:trPr>
        <w:tc>
          <w:tcPr>
            <w:tcW w:w="422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001-04298</w:t>
            </w:r>
          </w:p>
        </w:tc>
        <w:tc>
          <w:tcPr>
            <w:tcW w:w="262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95-1934119</w:t>
            </w:r>
          </w:p>
        </w:tc>
      </w:tr>
      <w:tr>
        <w:trPr>
          <w:trHeight w:val="216"/>
        </w:trPr>
        <w:tc>
          <w:tcPr>
            <w:tcW w:w="4220" w:type="dxa"/>
            <w:vAlign w:val="bottom"/>
          </w:tcPr>
          <w:p>
            <w:pPr>
              <w:jc w:val="center"/>
              <w:ind w:right="61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3060" w:type="dxa"/>
            <w:vAlign w:val="bottom"/>
          </w:tcPr>
          <w:p>
            <w:pPr>
              <w:jc w:val="center"/>
              <w:ind w:right="410"/>
              <w:spacing w:after="0"/>
              <w:rPr>
                <w:sz w:val="20"/>
                <w:szCs w:val="20"/>
                <w:color w:val="auto"/>
              </w:rPr>
            </w:pPr>
            <w:r>
              <w:rPr>
                <w:rFonts w:ascii="Times New Roman" w:cs="Times New Roman" w:eastAsia="Times New Roman" w:hAnsi="Times New Roman"/>
                <w:sz w:val="18"/>
                <w:szCs w:val="18"/>
                <w:i w:val="1"/>
                <w:iCs w:val="1"/>
                <w:color w:val="auto"/>
              </w:rPr>
              <w:t>(Commission</w:t>
            </w:r>
          </w:p>
        </w:tc>
        <w:tc>
          <w:tcPr>
            <w:tcW w:w="2620" w:type="dxa"/>
            <w:vAlign w:val="bottom"/>
          </w:tcPr>
          <w:p>
            <w:pPr>
              <w:jc w:val="center"/>
              <w:ind w:left="121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220" w:type="dxa"/>
            <w:vAlign w:val="bottom"/>
          </w:tcPr>
          <w:p>
            <w:pPr>
              <w:jc w:val="center"/>
              <w:ind w:right="63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060" w:type="dxa"/>
            <w:vAlign w:val="bottom"/>
          </w:tcPr>
          <w:p>
            <w:pPr>
              <w:jc w:val="center"/>
              <w:ind w:right="410"/>
              <w:spacing w:after="0"/>
              <w:rPr>
                <w:sz w:val="20"/>
                <w:szCs w:val="20"/>
                <w:color w:val="auto"/>
              </w:rPr>
            </w:pPr>
            <w:r>
              <w:rPr>
                <w:rFonts w:ascii="Times New Roman" w:cs="Times New Roman" w:eastAsia="Times New Roman" w:hAnsi="Times New Roman"/>
                <w:sz w:val="18"/>
                <w:szCs w:val="18"/>
                <w:i w:val="1"/>
                <w:iCs w:val="1"/>
                <w:color w:val="auto"/>
                <w:w w:val="98"/>
              </w:rPr>
              <w:t>File Number)</w:t>
            </w:r>
          </w:p>
        </w:tc>
        <w:tc>
          <w:tcPr>
            <w:tcW w:w="2620" w:type="dxa"/>
            <w:vAlign w:val="bottom"/>
          </w:tcPr>
          <w:p>
            <w:pPr>
              <w:jc w:val="center"/>
              <w:ind w:left="1210"/>
              <w:spacing w:after="0"/>
              <w:rPr>
                <w:sz w:val="20"/>
                <w:szCs w:val="20"/>
                <w:color w:val="auto"/>
              </w:rPr>
            </w:pPr>
            <w:r>
              <w:rPr>
                <w:rFonts w:ascii="Times New Roman" w:cs="Times New Roman" w:eastAsia="Times New Roman" w:hAnsi="Times New Roman"/>
                <w:sz w:val="18"/>
                <w:szCs w:val="18"/>
                <w:i w:val="1"/>
                <w:iCs w:val="1"/>
                <w:color w:val="auto"/>
                <w:w w:val="99"/>
              </w:rPr>
              <w:t>Identification No.)</w:t>
            </w:r>
          </w:p>
        </w:tc>
      </w:tr>
      <w:tr>
        <w:trPr>
          <w:trHeight w:val="628"/>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12367 Crosthwaite Circle, Poway, California</w:t>
            </w:r>
          </w:p>
        </w:tc>
        <w:tc>
          <w:tcPr>
            <w:tcW w:w="3060" w:type="dxa"/>
            <w:vAlign w:val="bottom"/>
          </w:tcPr>
          <w:p>
            <w:pPr>
              <w:spacing w:after="0"/>
              <w:rPr>
                <w:sz w:val="24"/>
                <w:szCs w:val="24"/>
                <w:color w:val="auto"/>
              </w:rPr>
            </w:pPr>
          </w:p>
        </w:tc>
        <w:tc>
          <w:tcPr>
            <w:tcW w:w="2620" w:type="dxa"/>
            <w:vAlign w:val="bottom"/>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92064-6817</w:t>
            </w:r>
          </w:p>
        </w:tc>
      </w:tr>
      <w:tr>
        <w:trPr>
          <w:trHeight w:val="236"/>
        </w:trPr>
        <w:tc>
          <w:tcPr>
            <w:tcW w:w="4220" w:type="dxa"/>
            <w:vAlign w:val="bottom"/>
          </w:tcPr>
          <w:p>
            <w:pPr>
              <w:jc w:val="center"/>
              <w:ind w:right="61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3060" w:type="dxa"/>
            <w:vAlign w:val="bottom"/>
          </w:tcPr>
          <w:p>
            <w:pPr>
              <w:spacing w:after="0"/>
              <w:rPr>
                <w:sz w:val="20"/>
                <w:szCs w:val="20"/>
                <w:color w:val="auto"/>
              </w:rPr>
            </w:pPr>
          </w:p>
        </w:tc>
        <w:tc>
          <w:tcPr>
            <w:tcW w:w="2620" w:type="dxa"/>
            <w:vAlign w:val="bottom"/>
          </w:tcPr>
          <w:p>
            <w:pPr>
              <w:jc w:val="center"/>
              <w:ind w:left="12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Jeffrey D. Jones (858) 848-8100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23"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378" w:lineRule="exact"/>
        <w:rPr>
          <w:sz w:val="24"/>
          <w:szCs w:val="24"/>
          <w:color w:val="auto"/>
        </w:rPr>
      </w:pPr>
    </w:p>
    <w:p>
      <w:pPr>
        <w:ind w:left="500" w:hanging="317"/>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29" w:lineRule="exact"/>
        <w:rPr>
          <w:sz w:val="20"/>
          <w:szCs w:val="20"/>
          <w:color w:val="auto"/>
        </w:rPr>
      </w:pPr>
    </w:p>
    <w:p>
      <w:pPr>
        <w:ind w:firstLine="576"/>
        <w:spacing w:after="0" w:line="282" w:lineRule="auto"/>
        <w:rPr>
          <w:sz w:val="20"/>
          <w:szCs w:val="20"/>
          <w:color w:val="auto"/>
        </w:rPr>
      </w:pPr>
      <w:r>
        <w:rPr>
          <w:rFonts w:ascii="Times New Roman" w:cs="Times New Roman" w:eastAsia="Times New Roman" w:hAnsi="Times New Roman"/>
          <w:sz w:val="18"/>
          <w:szCs w:val="18"/>
          <w:color w:val="auto"/>
        </w:rPr>
        <w:t>In accordance with Rule 13p-1 of the Securities Exchange Act of 1934, as amended, Cohu, Inc. hereby files this Specialized Disclosure Report on Form SD and the Conflict Minerals Report attached hereto as Exhibit 1.01.</w:t>
      </w:r>
    </w:p>
    <w:p>
      <w:pPr>
        <w:spacing w:after="0" w:line="162" w:lineRule="exact"/>
        <w:rPr>
          <w:sz w:val="20"/>
          <w:szCs w:val="20"/>
          <w:color w:val="auto"/>
        </w:rPr>
      </w:pPr>
    </w:p>
    <w:p>
      <w:pPr>
        <w:ind w:right="360" w:firstLine="576"/>
        <w:spacing w:after="0" w:line="282" w:lineRule="auto"/>
        <w:rPr>
          <w:sz w:val="20"/>
          <w:szCs w:val="20"/>
          <w:color w:val="auto"/>
        </w:rPr>
      </w:pPr>
      <w:r>
        <w:rPr>
          <w:rFonts w:ascii="Times New Roman" w:cs="Times New Roman" w:eastAsia="Times New Roman" w:hAnsi="Times New Roman"/>
          <w:sz w:val="18"/>
          <w:szCs w:val="18"/>
          <w:color w:val="auto"/>
        </w:rPr>
        <w:t xml:space="preserve">A copy of Cohu’s Conflict Minerals Report is also publicly available at: </w:t>
      </w:r>
      <w:r>
        <w:rPr>
          <w:rFonts w:ascii="Times New Roman" w:cs="Times New Roman" w:eastAsia="Times New Roman" w:hAnsi="Times New Roman"/>
          <w:sz w:val="18"/>
          <w:szCs w:val="18"/>
          <w:u w:val="single" w:color="auto"/>
          <w:color w:val="auto"/>
        </w:rPr>
        <w:t>www.cohu.com/corporate-responsibility</w:t>
      </w:r>
      <w:r>
        <w:rPr>
          <w:rFonts w:ascii="Times New Roman" w:cs="Times New Roman" w:eastAsia="Times New Roman" w:hAnsi="Times New Roman"/>
          <w:sz w:val="18"/>
          <w:szCs w:val="18"/>
          <w:color w:val="auto"/>
        </w:rPr>
        <w:t>. The content of any website referred to in this Form SD is included for general information only and is not incorporated by reference in this Form SD.</w:t>
      </w:r>
    </w:p>
    <w:p>
      <w:pPr>
        <w:spacing w:after="0" w:line="37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Item 1.01 and Item 3.01.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 and Report</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No. 1.01 - </w:t>
      </w:r>
      <w:r>
        <w:rPr>
          <w:rFonts w:ascii="Times New Roman" w:cs="Times New Roman" w:eastAsia="Times New Roman" w:hAnsi="Times New Roman"/>
          <w:sz w:val="18"/>
          <w:szCs w:val="18"/>
          <w:u w:val="single" w:color="auto"/>
          <w:color w:val="0000EE"/>
        </w:rPr>
        <w:t>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76" w:right="47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duly authorized undersigned.</w:t>
      </w:r>
    </w:p>
    <w:p>
      <w:pPr>
        <w:spacing w:after="0" w:line="3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19685</wp:posOffset>
            </wp:positionV>
            <wp:extent cx="1928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0" w:lineRule="exact"/>
        <w:rPr>
          <w:sz w:val="20"/>
          <w:szCs w:val="20"/>
          <w:color w:val="auto"/>
        </w:rPr>
      </w:pP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Jeffrey D. Jones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May 24, 2024</w:t>
            </w:r>
          </w:p>
        </w:tc>
        <w:tc>
          <w:tcPr>
            <w:tcW w:w="0" w:type="dxa"/>
            <w:vAlign w:val="bottom"/>
          </w:tcPr>
          <w:p>
            <w:pPr>
              <w:spacing w:after="0"/>
              <w:rPr>
                <w:sz w:val="1"/>
                <w:szCs w:val="1"/>
                <w:color w:val="auto"/>
              </w:rPr>
            </w:pPr>
          </w:p>
        </w:tc>
      </w:tr>
      <w:tr>
        <w:trPr>
          <w:trHeight w:val="21"/>
        </w:trPr>
        <w:tc>
          <w:tcPr>
            <w:tcW w:w="3040" w:type="dxa"/>
            <w:vAlign w:val="bottom"/>
            <w:tcBorders>
              <w:bottom w:val="single" w:sz="8" w:color="auto"/>
            </w:tcBorders>
          </w:tcPr>
          <w:p>
            <w:pPr>
              <w:spacing w:after="0" w:line="20" w:lineRule="exact"/>
              <w:rPr>
                <w:sz w:val="1"/>
                <w:szCs w:val="1"/>
                <w:color w:val="auto"/>
              </w:rPr>
            </w:pPr>
          </w:p>
        </w:tc>
        <w:tc>
          <w:tcPr>
            <w:tcW w:w="3140" w:type="dxa"/>
            <w:vAlign w:val="bottom"/>
            <w:vMerge w:val="restart"/>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(Date)</w:t>
            </w:r>
          </w:p>
        </w:tc>
        <w:tc>
          <w:tcPr>
            <w:tcW w:w="0" w:type="dxa"/>
            <w:vAlign w:val="bottom"/>
          </w:tcPr>
          <w:p>
            <w:pPr>
              <w:spacing w:after="0"/>
              <w:rPr>
                <w:sz w:val="1"/>
                <w:szCs w:val="1"/>
                <w:color w:val="auto"/>
              </w:rPr>
            </w:pPr>
          </w:p>
        </w:tc>
      </w:tr>
      <w:tr>
        <w:trPr>
          <w:trHeight w:val="191"/>
        </w:trPr>
        <w:tc>
          <w:tcPr>
            <w:tcW w:w="30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Jeffrey D. Jones</w:t>
            </w:r>
          </w:p>
        </w:tc>
        <w:tc>
          <w:tcPr>
            <w:tcW w:w="31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Finance &amp; Chief Financial Officer</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576" w:right="6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1.01 Conflict Minerals Report of Cohu, Inc.</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This report for the twelve months ended December 31, 2023, is presented to comply with Rule 13p-1 under the Securities Exchange Act of 1934 (the “Rule”). Cohu, Inc. (“Cohu”, “we”, “our”, “us” and the “Company”) is a global technology leader supplying test, interface, automation, inspection and metrology products, software and services to the semiconductor industry. On January 30, 2023, we completed the acquisition of MCT Worldwide, LLC (“MCT”), a U.S. based company with its principal manufacturing site in Penang, Malaysia. MCT provides automated solutions for the semiconductor industry and designs, manufactures, markets, services and distributes strip test handlers, film frame handlers and laser mark handlers. On October 2, 2023, we acquired Equiptest Engineering Pte. Ltd. (“EQT”), a Singapore-based company. EQT is a provider of semiconductor test contactors and other test consumables. Our due diligence with respect to Conflict Minerals for MCT and EQT covers inventory acquired and products manufactured from the date of their respective acquisition through December 31, 2023.</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Conflict Minerals Report contains forward-looking statements, which are based on our current expectations and involve numerous risks and uncertainties that may cause these forward-looking statements to be inaccurate. These statements include information regarding our goals for future improvements to our due diligence process and to mitigate the risk with the sourcing of conflict minerals. All forward-looking statements involve risk and uncertainty. Risks that may cause these forward-looking statements to be inaccurate include failure to carry out these plans in a timely manner or at all; lack of cooperation or progress by our suppliers, their respective suppliers and smelters; lack of progress by smelter or refiner validation programs for conflict minerals (including the possibility of inaccurate information, fraud and other irregularities); the risk that information reported to us by our suppliers from which we directly procure finished goods, components, materials and/or services for our products (direct suppliers), or industry information used by us, may be inaccurate or incomplete; or these plans may not be effective. In addition, you should also consider the important factors described in reports and documents that we file from time to time with the SEC, including the factors described under the sections titled “Risk Factors” in the Company’s most recently submitted Quarterly or Annual Reports. Except as required by law, we disclaim any obligation to update information contained in these forward-looking statements whether because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In 2010, the United States Congress enacted Section 1502 of the Dodd Frank Financial Reform Act (the “Act”), which, together with the Rule, requires certain companies to disclose their use of conflict minerals if those minerals are “necessary to the functionality or production of a product” manufactured by those companies. Under the Act, those minerals include tantalum, tin, tungsten, and gold (3TG) and herein are referred to as “Conflict Minerals.”</w:t>
      </w:r>
    </w:p>
    <w:p>
      <w:pPr>
        <w:spacing w:after="0" w:line="15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Congress enacted this legislation due to concerns that the exploitation and trade of Conflict Minerals by armed groups is helping to finance conflict in the Democratic Republic of Congo (“DRC”) region and surrounding areas (Angola, Burundi, Central Africa Republic, Republic of the Congo, Rwanda, South Sudan, Tanzania, Uganda, and Zambia, collectively, the “Covered Countries”) and is contributing to a humanitarian crisis.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Responsible Sourcing and Adherence to the Law</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Cohu is committed to sourcing components and materials from companies that share our corporate values regarding respect for human rights and integrity. Cohu corporate responsibility involves taking meaningful steps to ensure that the raw materials, components and sub-assemblies we receive from our supply chain are responsibly sourced. We will not support any vendor or other entity in our supply chain that extracts or transports materials, defined as Conflict Minerals, and uses the resulting financial or other resources to fund or support conflict in the DRC or any other country that could potentially contribute to human rights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 w:name="page5"/>
    <w:bookmarkEnd w:id="4"/>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Cohu has adopted and published policies on Conflict Minerals and Supplier Code of Conduct, which are publicly available on our website at </w:t>
      </w:r>
      <w:r>
        <w:rPr>
          <w:rFonts w:ascii="Times New Roman" w:cs="Times New Roman" w:eastAsia="Times New Roman" w:hAnsi="Times New Roman"/>
          <w:sz w:val="18"/>
          <w:szCs w:val="18"/>
          <w:u w:val="single" w:color="auto"/>
          <w:color w:val="auto"/>
        </w:rPr>
        <w:t>www.cohu.com/corporate-responsibility</w:t>
      </w:r>
      <w:r>
        <w:rPr>
          <w:rFonts w:ascii="Times New Roman" w:cs="Times New Roman" w:eastAsia="Times New Roman" w:hAnsi="Times New Roman"/>
          <w:sz w:val="18"/>
          <w:szCs w:val="18"/>
          <w:color w:val="auto"/>
        </w:rPr>
        <w:t>. Since the adoption of the Act and the Rule, we have worked to strengthen engagement with our suppliers through the fulfillment of the supplier code of conduct and by incorporating portions of the code of conduct into contracts with our suppliers. In summary, Cohu expects all vendors and suppliers to:</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materials from legitimate sources not involved in funding conflict in the DRC and surrounding areas.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 the use of Conflict Minerals which may directly or indirectly finance or benefit armed groups in the DRC or adjoining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that all Conflict Minerals purchased are conflict-free, based on personal knowledge and / or written guarantees provided by the supplier.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our due diligence process that Cohu has established to comply with the Act and the Rule.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 and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Cohu is a global technology leader supplying test, interface, automation, inspection and metrology products, software and services to the semiconductor industry. Cohu’s differentiated and broad product portfolio enables optimized yield and productivity, accelerating customers’ manufacturing time-to-market.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sell the following products:</w:t>
      </w:r>
    </w:p>
    <w:p>
      <w:pPr>
        <w:spacing w:after="0" w:line="22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Semiconductor Automated Test Equipment </w:t>
      </w:r>
      <w:r>
        <w:rPr>
          <w:rFonts w:ascii="Times New Roman" w:cs="Times New Roman" w:eastAsia="Times New Roman" w:hAnsi="Times New Roman"/>
          <w:sz w:val="18"/>
          <w:szCs w:val="18"/>
          <w:color w:val="auto"/>
        </w:rPr>
        <w:t>(“ATE”) is used both for wafer-level and device package testing. Our semiconductor ATE solutions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two platforms for the system on a chip (“SoC”) device market. The Diamondx tester offers high-density instrumentation for testing various semiconductors: microcontrollers, application specific standard products (“ASSP”), power management, radio frequency (RF), display drivers, sensors and other mixed signal devices. The PAx tester is a focused tester for RF Front End IC and Module applications.</w:t>
      </w:r>
    </w:p>
    <w:p>
      <w:pPr>
        <w:spacing w:after="0" w:line="18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Semiconductor Handlers </w:t>
      </w:r>
      <w:r>
        <w:rPr>
          <w:rFonts w:ascii="Times New Roman" w:cs="Times New Roman" w:eastAsia="Times New Roman" w:hAnsi="Times New Roman"/>
          <w:sz w:val="18"/>
          <w:szCs w:val="18"/>
          <w:color w:val="auto"/>
        </w:rPr>
        <w:t>are used in conjunction with semiconductor ATE to automate the testing of packaged semiconductor devices. Our handlers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a variety of package sizes and device types, including those used in automotive, mobility, industrial and computing applications, among others. We offer a broad range of test handlers, including pick-and-place, turret, gravity, strip, film frame, laser mark, micro-electromechanical system (MEMS) and thermal sub-systems. T-Core is our proprietary thermal technology for improving device under test temperature accuracy, enabling higher test yield, particularly for power dissipative devices such as microprocessors, graphic processor units, and high-performance semiconductors used in artificial intelligence data centers.</w:t>
      </w:r>
    </w:p>
    <w:p>
      <w:pPr>
        <w:spacing w:after="0" w:line="182" w:lineRule="exact"/>
        <w:rPr>
          <w:sz w:val="20"/>
          <w:szCs w:val="20"/>
          <w:color w:val="auto"/>
        </w:rPr>
      </w:pPr>
    </w:p>
    <w:p>
      <w:pPr>
        <w:ind w:right="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Interface Products </w:t>
      </w:r>
      <w:r>
        <w:rPr>
          <w:rFonts w:ascii="Times New Roman" w:cs="Times New Roman" w:eastAsia="Times New Roman" w:hAnsi="Times New Roman"/>
          <w:sz w:val="18"/>
          <w:szCs w:val="18"/>
          <w:color w:val="auto"/>
        </w:rPr>
        <w:t>are comprised of test contactors, probe heads and probe pins. Test contactors serve as the interface between the test handler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semiconductor device under test (such as digital semiconductor devices utilizing spring probe technology, power management and LED semiconductor devices utilizing cantilever technology) and RF semiconductor devices based on contacts designed to operate at high frequencies. With the recent acquisition of EQT, we expanded our interface products in mid- to high-power contactors. Test contactors and probe heads are specific to individual semiconductor device designs, need to be replaced frequently, and increase in size with the number of devices tested in parallel. Interface Products are included in our recurring revenues.</w:t>
      </w:r>
    </w:p>
    <w:p>
      <w:pPr>
        <w:spacing w:after="0" w:line="18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Inspection and Metrology </w:t>
      </w:r>
      <w:r>
        <w:rPr>
          <w:rFonts w:ascii="Times New Roman" w:cs="Times New Roman" w:eastAsia="Times New Roman" w:hAnsi="Times New Roman"/>
          <w:sz w:val="18"/>
          <w:szCs w:val="18"/>
          <w:color w:val="auto"/>
        </w:rPr>
        <w:t>are products that provide advanced vision capabilities. We offer a wide range of solutions for inspection of singulated molded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leaded and leadless devices, and post-singulated wafer-level chip scale packages (“WLCSP”) and bare dies. NV-Core is our unique vision technology, enabling advanced inspection and metrology, such as 3-dimensional topographic inspection, sidewall micro-crack detection, and infrared inspection for sub-surface defect detection.</w:t>
      </w:r>
    </w:p>
    <w:p>
      <w:pPr>
        <w:spacing w:after="0" w:line="180"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Spares and Kits </w:t>
      </w:r>
      <w:r>
        <w:rPr>
          <w:rFonts w:ascii="Times New Roman" w:cs="Times New Roman" w:eastAsia="Times New Roman" w:hAnsi="Times New Roman"/>
          <w:sz w:val="18"/>
          <w:szCs w:val="18"/>
          <w:color w:val="auto"/>
        </w:rPr>
        <w:t>are consumable, non-consumable and spare items that are used to maintain, sustain, or otherwise enable customers’ equipment to meet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availability and production requirements. We also design and manufacture a wide range of device dedication kits that enable handlers to process different semiconductor packages. Spares and Kits are included in our recurring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ind w:right="80"/>
        <w:spacing w:after="0" w:line="256" w:lineRule="auto"/>
        <w:rPr>
          <w:sz w:val="20"/>
          <w:szCs w:val="20"/>
          <w:color w:val="auto"/>
        </w:rPr>
      </w:pPr>
      <w:r>
        <w:rPr>
          <w:rFonts w:ascii="Times New Roman" w:cs="Times New Roman" w:eastAsia="Times New Roman" w:hAnsi="Times New Roman"/>
          <w:sz w:val="18"/>
          <w:szCs w:val="18"/>
          <w:color w:val="auto"/>
        </w:rPr>
        <w:t>Our products, as is common in the semiconductor and electronics industries, contain various metals including tantalum, tin, tungsten and gold, which originate in mines throughout the world. We have a complex globally dispersed supply chain typical of the semiconductor and electronics industries with multiple tiers of suppliers between Cohu and the actual mining of the Conflict Minerals used in our products. As a downstream company, we do not directly purchase these minerals, nor do we have any direct relationship with mines or smelters that process these minerals. Therefore, we must rely on the good faith efforts of our suppliers and component manufacturers, including sub-tier suppliers, to provide us with information on the origin of the materials contained in our products and product components.</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Act and the Rule, we are required to make certain inquires and perform certain due diligence with respect to any Conflict Minerals that are necessary to the functionality or production of a product manufactured or contracted to be manufactured by us or any of our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Process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current reporting period, we conducted a Reasonable Country of Origin Inquiry (“RCOI”) regarding sub-assemblies, parts and raw materials parts provided by our suppliers. Consistent with prior years, we utilized the due diligence framework advocated by the Organization for Economic Co-operation and Development (“OECD”), as tailored for downstream companies and among other actions, implemented the internal due diligence guidance of the OECD as it pertains to Conflict Minerals sourcing.</w:t>
      </w:r>
    </w:p>
    <w:p>
      <w:pPr>
        <w:spacing w:after="0" w:line="180" w:lineRule="exact"/>
        <w:rPr>
          <w:sz w:val="20"/>
          <w:szCs w:val="20"/>
          <w:color w:val="auto"/>
        </w:rPr>
      </w:pPr>
    </w:p>
    <w:p>
      <w:pPr>
        <w:ind w:left="660" w:right="24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#1: Establish and Maintain Strong Company Management Systems</w:t>
      </w:r>
      <w:r>
        <w:rPr>
          <w:rFonts w:ascii="Times New Roman" w:cs="Times New Roman" w:eastAsia="Times New Roman" w:hAnsi="Times New Roman"/>
          <w:sz w:val="18"/>
          <w:szCs w:val="18"/>
          <w:color w:val="auto"/>
        </w:rPr>
        <w:t>. We continued to employ an internal Conflict Minerals Compliance Team (“Team”) to support our supply chain due diligence. The Team includes members of our senior management and appropriate employees within our quality, supply chain, finance and operations departments. Our due diligence includes, but is not limited to, the following steps:</w:t>
      </w:r>
    </w:p>
    <w:p>
      <w:pPr>
        <w:spacing w:after="0" w:line="179" w:lineRule="exact"/>
        <w:rPr>
          <w:rFonts w:ascii="Times New Roman" w:cs="Times New Roman" w:eastAsia="Times New Roman" w:hAnsi="Times New Roman"/>
          <w:sz w:val="18"/>
          <w:szCs w:val="18"/>
          <w:color w:val="auto"/>
        </w:rPr>
      </w:pPr>
    </w:p>
    <w:p>
      <w:pPr>
        <w:ind w:left="660" w:hanging="328"/>
        <w:spacing w:after="0" w:line="289" w:lineRule="auto"/>
        <w:tabs>
          <w:tab w:leader="none" w:pos="6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OECD Step #2: Identify and Assess Risks In The Supply Chain</w:t>
      </w:r>
      <w:r>
        <w:rPr>
          <w:rFonts w:ascii="Times New Roman" w:cs="Times New Roman" w:eastAsia="Times New Roman" w:hAnsi="Times New Roman"/>
          <w:sz w:val="17"/>
          <w:szCs w:val="17"/>
          <w:color w:val="auto"/>
        </w:rPr>
        <w:t>. We evaluated our products to determine if they contain any Conflict Minerals that are necessary to the product’s functionality or production. After determining that certain of our products contained Conflict Minerals necessary to product functionality, we performed a review of our list of suppliers that provide us with those items identified as containing Conflict Minerals.</w:t>
      </w:r>
    </w:p>
    <w:p>
      <w:pPr>
        <w:spacing w:after="0" w:line="157" w:lineRule="exact"/>
        <w:rPr>
          <w:rFonts w:ascii="Times New Roman" w:cs="Times New Roman" w:eastAsia="Times New Roman" w:hAnsi="Times New Roman"/>
          <w:sz w:val="17"/>
          <w:szCs w:val="17"/>
          <w:color w:val="auto"/>
        </w:rPr>
      </w:pPr>
    </w:p>
    <w:p>
      <w:pPr>
        <w:ind w:left="660" w:right="4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#3: Design and Implement a Strategy To Respond To Identified Risks</w:t>
      </w:r>
      <w:r>
        <w:rPr>
          <w:rFonts w:ascii="Times New Roman" w:cs="Times New Roman" w:eastAsia="Times New Roman" w:hAnsi="Times New Roman"/>
          <w:sz w:val="18"/>
          <w:szCs w:val="18"/>
          <w:color w:val="auto"/>
        </w:rPr>
        <w:t>. The Team conducted a RCOI with our suppliers to determine whether in-scope Conflict Mineral content originated in the DRC or one of the Covered Countries. We utilized the Responsible Minerals Initiative (“RMI”) standardized supplier survey and its Conflict Minerals Reporting Template (“CMRT”) to gather information that would enable us to evaluate the source and chain of custody of the materials that suppliers provided.</w:t>
      </w:r>
    </w:p>
    <w:p>
      <w:pPr>
        <w:spacing w:after="0" w:line="179" w:lineRule="exact"/>
        <w:rPr>
          <w:rFonts w:ascii="Times New Roman" w:cs="Times New Roman" w:eastAsia="Times New Roman" w:hAnsi="Times New Roman"/>
          <w:sz w:val="18"/>
          <w:szCs w:val="18"/>
          <w:color w:val="auto"/>
        </w:rPr>
      </w:pPr>
    </w:p>
    <w:p>
      <w:pPr>
        <w:ind w:left="66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purpose of the CMRT is to determine the source of the identified Conflict Minerals to identify whether (i) Conflict Minerals sourced by our suppliers originated in the DRC; and (ii) smelters used by our suppliers (or our supplier’s suppliers) have been validated as compliant in accordance with the RMI’s Conflict Free Smelter Program (“CFSP”), including the country of origin, location of the mine or the smelter from which the materials were produced, or determine if the materials originated from scrap or recycled sources.</w:t>
      </w:r>
    </w:p>
    <w:p>
      <w:pPr>
        <w:spacing w:after="0" w:line="179" w:lineRule="exact"/>
        <w:rPr>
          <w:rFonts w:ascii="Times New Roman" w:cs="Times New Roman" w:eastAsia="Times New Roman" w:hAnsi="Times New Roman"/>
          <w:sz w:val="18"/>
          <w:szCs w:val="18"/>
          <w:color w:val="auto"/>
        </w:rPr>
      </w:pPr>
    </w:p>
    <w:p>
      <w:pPr>
        <w:ind w:left="66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Team categorized our suppliers into three types: manufacturing partners; component suppliers; and logistics and service providers. For the purposes of our current year RCOI, logistics and service providers were excluded as we concluded that they do not provide us with any materials within the scope of the Act and the Rule. Subsequently, as it relates to our manufacturing partners and components suppliers surveyed (collectively referred to as “in-scope suppliers”), our RCOI due diligence performed was conducted per guidelines fostered by the OCED and the Global e-Sustainability Initiative (“GeSI”) as follows:</w:t>
      </w:r>
    </w:p>
    <w:p>
      <w:pPr>
        <w:spacing w:after="0" w:line="183" w:lineRule="exact"/>
        <w:rPr>
          <w:sz w:val="20"/>
          <w:szCs w:val="20"/>
          <w:color w:val="auto"/>
        </w:rPr>
      </w:pPr>
    </w:p>
    <w:p>
      <w:pPr>
        <w:ind w:left="1060" w:right="100" w:hanging="323"/>
        <w:spacing w:after="0" w:line="261"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defined our supply chain due diligence scope of work to include our in-scope suppliers and we encouraged them to join RBA to further provide transparency evidencing their commitment to becoming conflict-free, and to engage with our industry’s effort to achieve the OCED mission of cultivating transparent mineral supply chains and sustainable corporate engagement in creating a responsible global minerals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 w:name="page7"/>
    <w:bookmarkEnd w:id="6"/>
    <w:p>
      <w:pPr>
        <w:ind w:left="1060" w:right="60" w:hanging="323"/>
        <w:spacing w:after="0" w:line="261" w:lineRule="auto"/>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utilization of the industry standard templates and tools aids us in establishing consistency and transparency throughout our supply chain. We employed iPoint-Systems (“iPoint”), a leading provider of software for environmental and social product compliance to collect CMRT’s posted by our suppliers. The Team validated, managed and aggregated the data reported within iPoint and reported the results to senior management.</w:t>
      </w:r>
    </w:p>
    <w:p>
      <w:pPr>
        <w:spacing w:after="0" w:line="179" w:lineRule="exact"/>
        <w:rPr>
          <w:rFonts w:ascii="Times New Roman" w:cs="Times New Roman" w:eastAsia="Times New Roman" w:hAnsi="Times New Roman"/>
          <w:sz w:val="18"/>
          <w:szCs w:val="18"/>
          <w:color w:val="auto"/>
        </w:rPr>
      </w:pPr>
    </w:p>
    <w:p>
      <w:pPr>
        <w:ind w:left="1060" w:right="580" w:hanging="323"/>
        <w:spacing w:after="0" w:line="266" w:lineRule="auto"/>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of our suppliers execute and post their CMRT’s on the online site documenting smelters and countries of origin for the conflict minerals contained in their products. Some suppliers forwarded their CMRT’s directly to us. We contacted suppliers whose responses contained incomplete or unclear information to request further clarification.</w:t>
      </w:r>
    </w:p>
    <w:p>
      <w:pPr>
        <w:spacing w:after="0" w:line="175" w:lineRule="exact"/>
        <w:rPr>
          <w:rFonts w:ascii="Times New Roman" w:cs="Times New Roman" w:eastAsia="Times New Roman" w:hAnsi="Times New Roman"/>
          <w:sz w:val="18"/>
          <w:szCs w:val="18"/>
          <w:color w:val="auto"/>
        </w:rPr>
      </w:pPr>
    </w:p>
    <w:p>
      <w:pPr>
        <w:ind w:left="1060" w:hanging="323"/>
        <w:spacing w:after="0" w:line="258" w:lineRule="auto"/>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cross referenced the smelter information provided by our suppliers against the RMI Standard Conflict Free Smelter list to validate our supplier conformance and results compiled for reference in Annex A. The RMI Standard Smelter List was developed for verification of those Smelters that are compliant in accordance with OECD guidance and have been subject to an independent third-party audit to assess whether a smelter entity employed RMI policies, practices, and procedures to source conflict free minerals. Some of these Smelters listed may still be actively in the process of gaining certification.</w:t>
      </w:r>
    </w:p>
    <w:p>
      <w:pPr>
        <w:spacing w:after="0" w:line="183" w:lineRule="exact"/>
        <w:rPr>
          <w:rFonts w:ascii="Times New Roman" w:cs="Times New Roman" w:eastAsia="Times New Roman" w:hAnsi="Times New Roman"/>
          <w:sz w:val="18"/>
          <w:szCs w:val="18"/>
          <w:color w:val="auto"/>
        </w:rPr>
      </w:pPr>
    </w:p>
    <w:p>
      <w:pPr>
        <w:ind w:left="1060" w:right="40" w:hanging="323"/>
        <w:spacing w:after="0" w:line="282" w:lineRule="auto"/>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risk mitigation strategies with suppliers we identified to be out of conformity with our conflict minerals policy and supplier code of conduct by working with them to bring them into compliance.</w:t>
      </w:r>
    </w:p>
    <w:p>
      <w:pPr>
        <w:spacing w:after="0" w:line="161"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#4: Carry Out Independent Third-Party Audits of Smelters/Refiner’s Due Diligence Practices.</w:t>
      </w:r>
      <w:r>
        <w:rPr>
          <w:rFonts w:ascii="Times New Roman" w:cs="Times New Roman" w:eastAsia="Times New Roman" w:hAnsi="Times New Roman"/>
          <w:sz w:val="18"/>
          <w:szCs w:val="18"/>
          <w:color w:val="auto"/>
        </w:rPr>
        <w:t xml:space="preserve"> There are inherent limitations in our due diligence process. Cohu is an indirect purchaser of Conflict Minerals and our due diligence measures provide reasonable, not absolute, assurance regarding the source and chain of custody of the Conflict Minerals we utilize. As we do not have a direct relationship with smelters and refineries, we rely on the efforts of our suppliers to provide us with up-to-date and accurate smelter and refinery sourcing information. In turn, our suppliers seek similar information within their own supply chains to identify the original sources of Conflict Minerals and such sources of information may produce inaccurate or incomplete information.</w:t>
      </w:r>
    </w:p>
    <w:p>
      <w:pPr>
        <w:spacing w:after="0" w:line="187" w:lineRule="exact"/>
        <w:rPr>
          <w:rFonts w:ascii="Times New Roman" w:cs="Times New Roman" w:eastAsia="Times New Roman" w:hAnsi="Times New Roman"/>
          <w:sz w:val="18"/>
          <w:szCs w:val="18"/>
          <w:color w:val="auto"/>
        </w:rPr>
      </w:pPr>
    </w:p>
    <w:p>
      <w:pPr>
        <w:ind w:left="66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Cohu utilizes certain small businesses, both domestic and international, within our supply chain. We have been informed that some of these suppliers have difficulty performing due diligence at their level of the supply chain. In addition, certain responding suppliers provided information that was incomplete. We were unable to obtain verifiable smelter data from such suppliers as a result. Non-responding suppliers failing to report produce a gap in smelter source determination for certain commodities.</w:t>
      </w:r>
    </w:p>
    <w:p>
      <w:pPr>
        <w:spacing w:after="0" w:line="179" w:lineRule="exact"/>
        <w:rPr>
          <w:rFonts w:ascii="Times New Roman" w:cs="Times New Roman" w:eastAsia="Times New Roman" w:hAnsi="Times New Roman"/>
          <w:sz w:val="18"/>
          <w:szCs w:val="18"/>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work with our suppliers on continuous improvement and strive to attain greater year over year reporting effectiveness. During the current year, we successfully achieved a 98.3% response rate of in-scope suppliers surveyed.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OECD Step #5: Report Annually on Supply Chain Due Diligence.</w:t>
      </w:r>
      <w:r>
        <w:rPr>
          <w:rFonts w:ascii="Times New Roman" w:cs="Times New Roman" w:eastAsia="Times New Roman" w:hAnsi="Times New Roman"/>
          <w:sz w:val="18"/>
          <w:szCs w:val="18"/>
          <w:color w:val="auto"/>
        </w:rPr>
        <w:t xml:space="preserve"> We report annually by making this Conflict Minerals Report publicly available on our website at </w:t>
      </w:r>
      <w:r>
        <w:rPr>
          <w:rFonts w:ascii="Times New Roman" w:cs="Times New Roman" w:eastAsia="Times New Roman" w:hAnsi="Times New Roman"/>
          <w:sz w:val="18"/>
          <w:szCs w:val="18"/>
          <w:u w:val="single" w:color="auto"/>
          <w:color w:val="auto"/>
        </w:rPr>
        <w:t>www.cohu.com/corporate-responsibility</w:t>
      </w:r>
      <w:r>
        <w:rPr>
          <w:rFonts w:ascii="Times New Roman" w:cs="Times New Roman" w:eastAsia="Times New Roman" w:hAnsi="Times New Roman"/>
          <w:sz w:val="18"/>
          <w:szCs w:val="18"/>
          <w:color w:val="auto"/>
        </w:rPr>
        <w:t>, and through its filing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Identified 3TG Sourcing Information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Based on our due diligence process and the information received from our suppliers, the facilities presented in Annex A were identified by our suppliers as the smelters and refiners of the tin, tantalum, tungsten and gold present in and necessary to the functionality of our products manufactured in the twelve months ended December 31, 2023. The information from our suppliers is still evolving and the smelter list presented in Annex A is based on our good faith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RCOI Results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Based on the results of our due diligence efforts as described herein, we do not have sufficient information to conclusively determine the countries of origin of the Conflict Minerals in our products or whether the minerals in our products are from recycled or scrap sources, however, we have not identified any instances of sourcing that directly or indirectly supported conflict in the Covered Countries. Therefore, we are not declaring any of our products as DRC Conflict Free for the current reporting period and, accordingly, are not required to obtain an independent private sector audit of our 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Future Steps towards Conflict Mineral Compliance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Cohu will continue to exercise due diligence to identify risk of sourcing Conflict Minerals originating from Covered Countries. Moving forward, we intend to take the following steps with respect to our due diligence process to further mitigate the risk that Conflict Minerals in our products are sourced from the DRC or a Covered Country:</w:t>
      </w:r>
    </w:p>
    <w:p>
      <w:pPr>
        <w:spacing w:after="0" w:line="176" w:lineRule="exact"/>
        <w:rPr>
          <w:sz w:val="20"/>
          <w:szCs w:val="20"/>
          <w:color w:val="auto"/>
        </w:rPr>
      </w:pPr>
    </w:p>
    <w:p>
      <w:pPr>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invest in our strong management systems which include our global team of professionals from across our organization. Supply Chain, Quality and managers throughout our organization will continue to enforce our established policies with regard to the sourcing of Conflict Minerals, conduct due diligence and report the result of their efforts to senior management.</w:t>
      </w:r>
    </w:p>
    <w:p>
      <w:pPr>
        <w:spacing w:after="0" w:line="17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continue to incorporate Conflict Minerals compliance requirements into our supplier contracts, supplier performance review and retention process and require that all new suppliers agree to provide us with their Conflict Minerals compliance status during the supplier on-boarding and qualification process.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identify Conflict Minerals associated with new product launches.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encourage our suppliers to purchase materials from smelters listed in the Conflict Free Smelter List.</w:t>
      </w:r>
    </w:p>
    <w:p>
      <w:pPr>
        <w:spacing w:after="0" w:line="225"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Conflict Minerals originating in the DRC are identified, after providing the opportunity to change, we expect to disengage from any suppliers found to be persisting in supplying us with Conflict Minerals from sources that support conflict in the DRC or any adjoining country. We intend to continue supporting, promoting and relying on industry initiatives, such as the RBA, GeSI and RMI, to validate that the sources of the minerals used in our products are not contributing to human rights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Annex A. Smelter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information that was provided by our suppliers and otherwise obtained through the due diligence process, we believe that, to the extent reasonably determinable, the facilities that were used to process the Conflict Minerals contained in our products include the smelters and refiners listed below.</w:t>
      </w:r>
    </w:p>
    <w:p>
      <w:pPr>
        <w:spacing w:after="0" w:line="38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28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Standard Smelter Name</w:t>
            </w:r>
          </w:p>
        </w:tc>
        <w:tc>
          <w:tcPr>
            <w:tcW w:w="28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Smelter Facility Country</w:t>
            </w:r>
          </w:p>
        </w:tc>
        <w:tc>
          <w:tcPr>
            <w:tcW w:w="27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Smelter Identification</w:t>
            </w: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8853 S.p.A.</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CID002763</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ABC Refinery Pty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AUSTRALIA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CID002920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CID002708</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CID000015</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Agosi AG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CID000035</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CID000019</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Aktyubinsk Copper Company TOO</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KAZAKHSTAN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CID000028</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CID002560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Albino Mountinho Lda.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PORTUGAL</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CID002760</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Alexy Metals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CID003500</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Almalyk Mining and Metallurgical</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UZBEKISTAN</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CID000041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Complex (AMMC)</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w w:val="99"/>
              </w:rPr>
              <w:t>AngloGold Ashanti Corrego do Sitio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CID000058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Mineracao</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Argor-Heraeus 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CID000077</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Asahi Pretec Corp.</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CID000082</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CANADA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CID000924</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Asahi Refining USA Inc.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CID000920</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Asaka Riken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CID000090</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Atasay Kuyumculuk Sanayi Ve</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TURKEY</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CID000103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Ticaret A.S.</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AU Traders and Refiners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SOUTH AFRICA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CID002850</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Augmont Enterprises Private</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CID003461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Limited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Aurubis AG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CID000113</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Baiyin Nonferrous Metals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CID000120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Corporation (BNMC)</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Bangalore Refinery</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CID002863</w:t>
            </w: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8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Bangko Sentral ng Pilipinas (Central</w:t>
            </w:r>
          </w:p>
        </w:tc>
        <w:tc>
          <w:tcPr>
            <w:tcW w:w="28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PHILIPPINES</w:t>
            </w:r>
          </w:p>
        </w:tc>
        <w:tc>
          <w:tcPr>
            <w:tcW w:w="27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CID000128</w:t>
            </w:r>
          </w:p>
        </w:tc>
      </w:tr>
      <w:tr>
        <w:trPr>
          <w:trHeight w:val="251"/>
        </w:trPr>
        <w:tc>
          <w:tcPr>
            <w:tcW w:w="2880" w:type="dxa"/>
            <w:vAlign w:val="bottom"/>
            <w:tcBorders>
              <w:left w:val="single" w:sz="8" w:color="auto"/>
              <w:bottom w:val="single" w:sz="8" w:color="auto"/>
              <w:right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Bank of the Philippines)</w:t>
            </w:r>
          </w:p>
        </w:tc>
        <w:tc>
          <w:tcPr>
            <w:tcW w:w="284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Bauer Walser AG</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CID000141</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Boliden Ronnskar</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SWEDEN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CID000157</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 Hafner GmbH + Co. KG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CID000176</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 Metales Procesados Industriales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COLOMBIA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CID003421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SAS</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Caridad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MEXICO</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CID000180</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CCR Refinery - Glencore Canada</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CANADA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CID000185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Corporation</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Cendres + Metaux 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CID000189</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CGR Metalloys Pvt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CID003382</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Changsanjiao elc.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CID000208</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Chimet S.p.A.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CID000233</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Chugai Mining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CID000264</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Coimpa Industrial LTDA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CID004010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Daejin Indus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CID000328</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Daye Non-Ferrous Metals Mining</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CID000343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Degussa Sonne / Mond Goldhandel</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CID002867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GmbH</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CID003348</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DODUCO Contacts and Refining</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CID000362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GmbH</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Dongwu Gold Group</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CID003663</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Dowa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CID000401</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DSC (Do Sung Corporation)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CID000359</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Eco-System Recycling Co., Ltd.</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CID000425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East Plant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Eco-System Recycling Co., Ltd.</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CID003424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North Plant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Eco-System Recycling Co., Ltd.</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CID003425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West Plant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Elemetal Refining, LLC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CID001322</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Emerald Jewel Industry India</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CID003487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Limited (Unit 1)</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Emerald Jewel Industry India</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CID003488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Limited (Unit 2)</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Emerald Jewel Industry India</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CID003489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Limited (Unit 3)</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Emerald Jewel Industry India</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CID003490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Limited (Unit 4)</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Emirates Gold DMCC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CID002561</w:t>
            </w: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Faggi Enrico S.p.A.</w:t>
            </w:r>
          </w:p>
        </w:tc>
        <w:tc>
          <w:tcPr>
            <w:tcW w:w="28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CID002355</w:t>
            </w: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Feinhütte Halsbrücke GmbH</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CID000465</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ZIMBABWE</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CID002515</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Fujairah Gold FZC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CID002584</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Geib Refining Corporation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CID002459</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CID002852</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Gold by Gold Colombia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COLOMBIA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CID003641</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Gold Coast Refinery</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GHANA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CID003186</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Gold Refinery of Zijin Mining</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CID002243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Group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Great Wall Precious Metals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CID001909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 of CBPM</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CID002312</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Guoda Safina High-Tech</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CID000651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Environmental Refinery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Hang Seng Technology</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CID000670</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Hangzhou Fuchunjiang Smelting</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CID000671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Heimerle + Meule GmbH</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CID000694</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Henan Yuguang Gold &amp; Lead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spacing w:after="0"/>
              <w:rPr>
                <w:sz w:val="16"/>
                <w:szCs w:val="16"/>
                <w:color w:val="auto"/>
              </w:rPr>
            </w:pP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CID000711</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Heraeus Ltd. Hong Kong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HONG KONG</w:t>
            </w:r>
          </w:p>
        </w:tc>
        <w:tc>
          <w:tcPr>
            <w:tcW w:w="2700" w:type="dxa"/>
            <w:vAlign w:val="bottom"/>
            <w:tcBorders>
              <w:bottom w:val="single" w:sz="8" w:color="auto"/>
              <w:right w:val="single" w:sz="8" w:color="auto"/>
            </w:tcBorders>
          </w:tcPr>
          <w:p>
            <w:pPr>
              <w:spacing w:after="0"/>
              <w:rPr>
                <w:sz w:val="18"/>
                <w:szCs w:val="18"/>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CID000707</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CID000767</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Hunan Guiyang yinxing Nonferrous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CID000773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Smelting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HwaSeong CJ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CID000778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BELGIUM</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CID002587</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Inner Mongolia Qiankun Gold and</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CID000801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Silver Refinery Share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International Precious Metal</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CID002562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Refiners</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CID000807</w:t>
            </w: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Istanbul Gold Refinery</w:t>
            </w:r>
          </w:p>
        </w:tc>
        <w:tc>
          <w:tcPr>
            <w:tcW w:w="28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TURKEY</w:t>
            </w:r>
          </w:p>
        </w:tc>
        <w:tc>
          <w:tcPr>
            <w:tcW w:w="27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CID000814</w:t>
            </w: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Italpreziosi</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CID002765</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JALAN &amp; Company</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CID002893</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Japan Mint</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CID000823</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Jiangxi Copper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CID000855</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Jinlong Copper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CID000909</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JSC Ekaterinburg Non-Ferrous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CID000927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Metal Processing Plant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JX Nippon Mining &amp; Metals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CID000937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K.A. Rasmussen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NORWAY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CID003497</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Kaloti Precious Metals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CID002563</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Kazakhmys Smelting LLC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KAZAKHSTAN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CID000956</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Kazzinc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KAZAKHSTAN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CID000957</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CID000969</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KGHM Polska Miedz Spolka</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POLAND</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CID002511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Akcyjna</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Kojima Chemicals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CID000981</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Korea Metal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CID000988</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Korea Zinc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CID002605</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Kundan Care Products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CID003463</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Kyrgyzaltyn JSC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KYRGYZSTAN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CID001029</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SAUDI ARABIA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CID001032</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Lingbao Gold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CID001056</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Lingbao Jinyuan Tonghui Refinery</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CID001058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L'Orfebre 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ANDORRA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CID002762</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LS MnM Inc.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CID001078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 Metal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CID000689</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w w:val="99"/>
              </w:rPr>
              <w:t>Luoyang Zijin Yinhui Gold Refinery</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CID001093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Marsam Metals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CID002606</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Materion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CID001113</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Matsuda Sangyo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CID001119</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MD Overseas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CID003548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SOUTH AFRICA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CID003575</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Metallix Refining Inc.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CID003557</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Metalor Technologies (Hong Kong)</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CID001149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8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Metalor Technologies (Singapore)</w:t>
            </w:r>
          </w:p>
        </w:tc>
        <w:tc>
          <w:tcPr>
            <w:tcW w:w="28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SINGAPORE</w:t>
            </w:r>
          </w:p>
        </w:tc>
        <w:tc>
          <w:tcPr>
            <w:tcW w:w="27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CID001152</w:t>
            </w:r>
          </w:p>
        </w:tc>
      </w:tr>
      <w:tr>
        <w:trPr>
          <w:trHeight w:val="251"/>
        </w:trPr>
        <w:tc>
          <w:tcPr>
            <w:tcW w:w="2880" w:type="dxa"/>
            <w:vAlign w:val="bottom"/>
            <w:tcBorders>
              <w:left w:val="single" w:sz="8" w:color="auto"/>
              <w:bottom w:val="single" w:sz="8" w:color="auto"/>
              <w:right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Pte., Ltd.</w:t>
            </w:r>
          </w:p>
        </w:tc>
        <w:tc>
          <w:tcPr>
            <w:tcW w:w="284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Metalor Technologies (Suzhou) Ltd.</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CID001147</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Metalor Technologies 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CID001153</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CID001157</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Metalurgica Met-Mex Penoles S.A.</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MEXICO</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CID001161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 C.V.</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CID001188</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Mitsui Mining and Smelting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CID001193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MKS PAMP 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CID001352</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MMTC-PAMP India Pvt.,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CID002509</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Modeltech Sdn Bhd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MALAYSIA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CID002857</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Morris and Watson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NEW ZEALAND</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CID002282</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Morris and Watson Gold Coast</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AUSTRALIA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CID002866</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Nadir Metal Rafineri San. Ve Tic.</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TURKEY</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CID001220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Navoi Mining and Metallurgical</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UZBEKISTAN</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CID001236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Combinat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NH Recytech Company</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CID003189</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Nihon Material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CID001259</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Ogussa Osterreichische Gold- und</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AUSTRIA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CID002779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Silber-Scheideanstalt GmbH</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Ohura Precious Metal Industry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CID001325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OJSC Kolyma Refinery</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CID001328</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Pease &amp; Curren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CID002872</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Penglai Penggang Gold Industry</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CID001362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Planta Recuperadora de Metales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CHILE</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CID002919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SpA</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CID001397</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PX Precinox 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CID001498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QG Refining, LLC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CID003324</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Rand Refinery (Pty)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SOUTH AFRICA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CID001512</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CID000522</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REMONDIS PMR B.V.</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NETHERLANDS</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CID002582</w:t>
            </w: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Republic Metals Corporation</w:t>
            </w:r>
          </w:p>
        </w:tc>
        <w:tc>
          <w:tcPr>
            <w:tcW w:w="28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CID002510</w:t>
            </w: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Royal Canadian Mint</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CANADA</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CID001534</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SAAMP</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FRANCE</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CID002761</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Sabin Metal Corp.</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CID001546</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Safimet S.p.A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CID002973</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SAFINA A.S.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CZECHIA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CID002290</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Sai Refinery</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CID002853</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Sam Precious Metals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ARAB EMIRATES</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CID003666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Samduck Precious Metals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CID001555</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Samwon Metals Corp.</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CID001562</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Sancus ZFS (L’Orfebre, 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COLOMBIA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CID003529</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SAXONIA Edelmetalle GmbH</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CID002777</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Schone Edelmetaal B.V.</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NETHERLANDS</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CID001573</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Sellem Industries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MAURITANIA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CID003540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SPAIN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CID001585</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CID001916</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Shandong Humon Smelting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CID002525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Shandong penglai gold smelter</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CID001616</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Shandong Tiancheng Biological</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CID001619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Gold Industrial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Shandong Zhaojin Gold &amp; Silver</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CID001622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Refinery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CID002750</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Shenzhen Zhonghenglong Real</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CID002527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Industry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CID002588</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w w:val="99"/>
              </w:rPr>
              <w:t>Sichuan Tianze Precious Metals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CID001736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CID002516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So Accurate Group, Inc.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CID001754</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Solar Applied Materials Technology</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CID001761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Corp.</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Sovereign Metals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CID003383</w:t>
            </w: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8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State Research Institute Center for</w:t>
            </w:r>
          </w:p>
        </w:tc>
        <w:tc>
          <w:tcPr>
            <w:tcW w:w="28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LITHUANIA</w:t>
            </w:r>
          </w:p>
        </w:tc>
        <w:tc>
          <w:tcPr>
            <w:tcW w:w="27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CID003153</w:t>
            </w:r>
          </w:p>
        </w:tc>
      </w:tr>
      <w:tr>
        <w:trPr>
          <w:trHeight w:val="251"/>
        </w:trPr>
        <w:tc>
          <w:tcPr>
            <w:tcW w:w="2880" w:type="dxa"/>
            <w:vAlign w:val="bottom"/>
            <w:tcBorders>
              <w:left w:val="single" w:sz="8" w:color="auto"/>
              <w:bottom w:val="single" w:sz="8" w:color="auto"/>
              <w:right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Physical Sciences and Technology</w:t>
            </w:r>
          </w:p>
        </w:tc>
        <w:tc>
          <w:tcPr>
            <w:tcW w:w="284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Sumitomo Metal Mining Co., Ltd.</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CID001798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SungEel HiMetal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CID002918</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CID001810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T.C.A S.p.A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ITALY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CID002580</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Tai Perng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UNKNOWN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CID001840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TAIWAN TOTAI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CID001857</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CID001875</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Tokuriki Honten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CID001938</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Tongling Nonferrous Metals Group</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CID001947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TOO Tau-Ken-Altyn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KAZAKHSTAN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CID002615</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Torecom</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CID001955</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TSK Pretech</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CID003195</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Umicore Brasil Ltda.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CID001977</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THAILAND</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CID002314</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Umicore S.A. Business Unit</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BELGIUM</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CID001980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Precious Metals Refining</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United Precious Metal Refining, Inc.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CID001993</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Universal Precious Metals Refining</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ZAMBIA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CID002854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Zambia</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Valcambi 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SWITZERLAND</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CID002003</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Value Trading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BELGIUM</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CID003617</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Viagra Di precious metals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CID002009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(Zhaoyuan)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WEEEREFINING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FRANCE</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CID003615</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Western Australian Mint (T/a The</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AUSTRALIA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CID002030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Perth Mint)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WIELAND Edelmetalle GmbH</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CID002778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Wuzhong Group</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CID002063</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Xiamen JInbo Metal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CID002076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Yamakin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CID002100</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Yamato Denki Ind.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spacing w:after="0"/>
              <w:rPr>
                <w:sz w:val="18"/>
                <w:szCs w:val="18"/>
                <w:color w:val="auto"/>
              </w:rPr>
            </w:pP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Yokohama Metal Co., Ltd.</w:t>
            </w:r>
          </w:p>
        </w:tc>
        <w:tc>
          <w:tcPr>
            <w:tcW w:w="28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CID002129</w:t>
            </w: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Yunnan Copper Industry Co., Ltd.</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CID000197</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Zhaojun Maifu</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CID002201</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Zhe Jiang Guang Yuan Noble Metal</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CID002205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Smelting Factory</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Zhongkuang Gold Industry Co.,LTD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CID002214</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Zhongshan Hyper-Toxic Substance</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CID002219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Monopolized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Zhongyuan Gold Smelter of</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CID002224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Zhongjin Gold Corporation</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5D Production OU</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ESTONIA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CID003926</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AMG Brasil</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CID001076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Asaka Riken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CID000092</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Avon Specialty Metals Ltd.</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UNITED KINGDOM OF GREAT</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CID002705</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BRITAIN AND NORTHERN</w:t>
            </w:r>
          </w:p>
        </w:tc>
        <w:tc>
          <w:tcPr>
            <w:tcW w:w="2700" w:type="dxa"/>
            <w:vAlign w:val="bottom"/>
            <w:tcBorders>
              <w:right w:val="single" w:sz="8" w:color="auto"/>
            </w:tcBorders>
          </w:tcPr>
          <w:p>
            <w:pPr>
              <w:spacing w:after="0"/>
              <w:rPr>
                <w:sz w:val="18"/>
                <w:szCs w:val="18"/>
                <w:color w:val="auto"/>
              </w:rPr>
            </w:pP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IRELAND</w:t>
            </w: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Changsha South Tantalum Niobium</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CID000211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CP Metals Inc.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CID003402</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 Block Metals, LLC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CID002504</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Duoluoshan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CID000410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E.S.R. Electronics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CID002590</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Exotech Inc.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CID000456</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CID000460</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CID002505</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CID002558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Global Advanced Metals Boyertown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CID002557</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Guangdong Rising Rare Metals-EO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CID000291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Materials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Guizhou Zhenhua Xinyun</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CID002501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Technology Ltd., Kaili branch</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8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Hengyang King Xing Lifeng New</w:t>
            </w:r>
          </w:p>
        </w:tc>
        <w:tc>
          <w:tcPr>
            <w:tcW w:w="28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CID002492</w:t>
            </w:r>
          </w:p>
        </w:tc>
      </w:tr>
      <w:tr>
        <w:trPr>
          <w:trHeight w:val="251"/>
        </w:trPr>
        <w:tc>
          <w:tcPr>
            <w:tcW w:w="2880" w:type="dxa"/>
            <w:vAlign w:val="bottom"/>
            <w:tcBorders>
              <w:left w:val="single" w:sz="8" w:color="auto"/>
              <w:bottom w:val="single" w:sz="8" w:color="auto"/>
              <w:right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Materials Co., Ltd.</w:t>
            </w:r>
          </w:p>
        </w:tc>
        <w:tc>
          <w:tcPr>
            <w:tcW w:w="284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Hi-Temp Specialty Metals, Inc.</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CID000731</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Japan New Metals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CID000828</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Jiangxi Dinghai Tantalum &amp;</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CID002512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Niobium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CID002842</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Jiujiang Janny New Material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CID003191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JiuJiang JinXin Nonferrous Metals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CID000914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Jiujiang Tanbre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CID000917</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Jiujiang Zhongao Tantalum &amp;</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CID002506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Niobium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KEMET Blue Powder</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CID002568</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KEMET de Mexico</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MEXICO</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CID002539</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King-Tan Tantalum Industry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CID000973</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Materion Newton Inc.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CID002548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Meta Materials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NORTH MACEDONIA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CID002847</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Metallurgical Products India Pvt.,</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CID001163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Mineracao Taboca 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CID001175</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Mitsui Mining and Smelting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CID001192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Nantong Tongjie Electrical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CID002386</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Ningxia Orient Tantalum Industry</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CID001277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NPM Silmet AS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ESTONIA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CID001200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Plansee SE Liezen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AUSTRIA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CID002540</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Plansee SE Reutte</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AUSTRIA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CID002556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PowerX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RWANDA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CID004054</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QSIL Metals Hermsdorf GmbH</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CID002547</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QuantumClean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CID001508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CID002707</w:t>
            </w: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7" w:name="page18"/>
    <w:bookmarkEnd w:id="1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8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RFH Yancheng Jinye New Material</w:t>
            </w:r>
          </w:p>
        </w:tc>
        <w:tc>
          <w:tcPr>
            <w:tcW w:w="28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CID003583</w:t>
            </w:r>
          </w:p>
        </w:tc>
      </w:tr>
      <w:tr>
        <w:trPr>
          <w:trHeight w:val="251"/>
        </w:trPr>
        <w:tc>
          <w:tcPr>
            <w:tcW w:w="2880" w:type="dxa"/>
            <w:vAlign w:val="bottom"/>
            <w:tcBorders>
              <w:left w:val="single" w:sz="8" w:color="auto"/>
              <w:bottom w:val="single" w:sz="8" w:color="auto"/>
              <w:right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Technology Co., Ltd.</w:t>
            </w:r>
          </w:p>
        </w:tc>
        <w:tc>
          <w:tcPr>
            <w:tcW w:w="284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Shanghai Jiangxi Metals Co. Ltd</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CID001634</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Taki Chemical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CID001869</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TANIOBIS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THAILAND</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CID002544</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TANIOBIS GmbH</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CID002545</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TANIOBIS Japan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CID002549</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TANIOBIS Smelting GmbH &amp;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CID002550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KG</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Telex Metals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CID001891</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Tranzact, Inc.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CID002571</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KAZAKHSTAN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CID001969</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XIMEI RESOURCES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CID000616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(GUANGDONG) LIMITED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XinXing HaoRong Electronic</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CID002508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Material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Yanling Jincheng Tantalum &amp;</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CID001522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Niobium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Yichun Jin Yang Rare Metal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CID002307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Tantalum</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Zhuzhou Cemented Carbide Group</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CID002232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Alpha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CID000292</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An Thai Minerals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CID002825</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An Vinh Joint Stock Mineral</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CID002703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Processing Company</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Aurubis Beerse</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BELGIUM</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CID002773</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Aurubis Berango</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SPAIN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CID002774</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Chenzhou Yunxiang Mining and</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CID000228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Metallurgy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Chifeng Dajingzi Tin Industry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CID003190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China Tin Group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CID001070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CNMC (Guangxi) PGMA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CID000278</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Cooperativa Metalurgica de</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CID000295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Rondonia Ltda.</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567"/>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8" w:name="page19"/>
    <w:bookmarkEnd w:id="1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8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CRM Fundicao De Metais E</w:t>
            </w:r>
          </w:p>
        </w:tc>
        <w:tc>
          <w:tcPr>
            <w:tcW w:w="28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CID003486</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Comercio De Equipamentos</w:t>
            </w:r>
          </w:p>
        </w:tc>
        <w:tc>
          <w:tcPr>
            <w:tcW w:w="284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51"/>
        </w:trPr>
        <w:tc>
          <w:tcPr>
            <w:tcW w:w="2880" w:type="dxa"/>
            <w:vAlign w:val="bottom"/>
            <w:tcBorders>
              <w:left w:val="single" w:sz="8" w:color="auto"/>
              <w:bottom w:val="single" w:sz="8" w:color="auto"/>
              <w:right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Eletronicos Do Brasil Ltda</w:t>
            </w:r>
          </w:p>
        </w:tc>
        <w:tc>
          <w:tcPr>
            <w:tcW w:w="284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CRM Synergies</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SPAIN</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CID003524</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CV Ayi Jaya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CID002570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CV Dua Sekawan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CID002592</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CV Gita Pesona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CID000306</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CV United Smelting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CID000315</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CV Venus Inti Perkasa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CID002455</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Da Nang Processing Import and</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CID003154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Export Joint Stock</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Dongguan CiEXPO Environmental</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CID003356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Engineering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Dowa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CID000402</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Dragon Silver Holdings Limited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CID003579</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DS Myanmar</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MYANMAR</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CID003831</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Electro-Mechanical Facility of the</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CID002572</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Cao Bang Minerals &amp; Metallurgy</w:t>
            </w:r>
          </w:p>
        </w:tc>
        <w:tc>
          <w:tcPr>
            <w:tcW w:w="284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Joint Stock Company</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EM Vinto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BOLIVIA (PLURINATIONAL</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CID000438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STATE OF)</w:t>
            </w: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Estanho de Rondonia 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CID000448</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Fabrica Auricchio Industria e</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CID003582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Comercio Ltda.</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Feinhütte Halsbrücke GmbH</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CID000466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Fenix Metals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POLAND</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CID000468</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Fuji Metal Mining Corp.</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CID000498</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Gejiu City Fuxiang Industry and</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CID003410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Trade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Gejiu Fengming Metallurgy</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CID002848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Chemical Plant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Gejiu Jinye Mineral Company</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CID002859</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Gejiu Kai Meng Industry and Trade</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CID000942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LLC</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8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Gejiu Non-Ferrous Metal Processing</w:t>
            </w:r>
          </w:p>
        </w:tc>
        <w:tc>
          <w:tcPr>
            <w:tcW w:w="28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CID000538</w:t>
            </w:r>
          </w:p>
        </w:tc>
      </w:tr>
      <w:tr>
        <w:trPr>
          <w:trHeight w:val="251"/>
        </w:trPr>
        <w:tc>
          <w:tcPr>
            <w:tcW w:w="2880" w:type="dxa"/>
            <w:vAlign w:val="bottom"/>
            <w:tcBorders>
              <w:left w:val="single" w:sz="8" w:color="auto"/>
              <w:bottom w:val="single" w:sz="8" w:color="auto"/>
              <w:right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1"/>
                <w:szCs w:val="21"/>
                <w:color w:val="auto"/>
              </w:rPr>
            </w:pPr>
          </w:p>
        </w:tc>
        <w:tc>
          <w:tcPr>
            <w:tcW w:w="2700" w:type="dxa"/>
            <w:vAlign w:val="bottom"/>
            <w:tcBorders>
              <w:bottom w:val="single" w:sz="8" w:color="auto"/>
              <w:right w:val="single" w:sz="8" w:color="auto"/>
            </w:tcBorders>
          </w:tcPr>
          <w:p>
            <w:pPr>
              <w:spacing w:after="0"/>
              <w:rPr>
                <w:sz w:val="21"/>
                <w:szCs w:val="21"/>
                <w:color w:val="auto"/>
              </w:rPr>
            </w:pP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GEJIU YE LIAN CHANG</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CID000551</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Gejiu Yunxi Group Corp.</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CID000553</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Gejiu Yunxin Nonferrous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CID001908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Electrolysis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Gejiu Zili Mining And Metallurgy</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CID000555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Guangdong Hanhe Non-Ferrous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CID003116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Metal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GuangDong ZhongShi Metal</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CID000617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GUANGXI HUA TIN GOLD</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CID002274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MINUTE FEE,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Guangxi Nonferrous Metals Group</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CID000626</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w w:val="99"/>
              </w:rPr>
              <w:t>Guangxi Zhongshan Jin Yi Smelting</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CID000628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Guanyang Guida Nonferrous Metal</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CID002849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Smelting Plant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HuiChang Hill Tin Industry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CID002844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Huichang Jinshunda Tin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CID000760</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Jiangxi Ketai Advanced Material</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CID000244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Jiangxi New Nanshan Technology</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CID001231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LIAN JING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CID002281</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Linwu Xianggui Ore Smelting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CID001063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Luna Smelter,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RWANDA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CID003387</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CID003379</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Magnu's Minerais Metais e Ligas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CID002468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Ltda.</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Malaysia Smelting Corporation</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MALAYSIA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CID001105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(MSC)</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Melt Metais e Ligas 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CID002500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Metahub Industries Sdn. Bhd.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MALAYSIA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CID001136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Metallic Resources, Inc.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CID001142</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Mineracao Taboca 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CID001173</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Ming Li Jia smelt Metal Factory</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CID001177</w:t>
            </w:r>
          </w:p>
        </w:tc>
      </w:tr>
      <w:tr>
        <w:trPr>
          <w:trHeight w:val="567"/>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880" w:type="dxa"/>
            <w:vAlign w:val="bottom"/>
            <w:tcBorders>
              <w:top w:val="single" w:sz="8" w:color="auto"/>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28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CONGO, DEMOCRATIC</w:t>
            </w:r>
          </w:p>
        </w:tc>
        <w:tc>
          <w:tcPr>
            <w:tcW w:w="27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CID004065</w:t>
            </w:r>
          </w:p>
        </w:tc>
      </w:tr>
      <w:tr>
        <w:trPr>
          <w:trHeight w:val="251"/>
        </w:trPr>
        <w:tc>
          <w:tcPr>
            <w:tcW w:w="2880" w:type="dxa"/>
            <w:vAlign w:val="bottom"/>
            <w:tcBorders>
              <w:left w:val="single" w:sz="8" w:color="auto"/>
              <w:bottom w:val="single" w:sz="8" w:color="auto"/>
              <w:right w:val="single" w:sz="8" w:color="auto"/>
            </w:tcBorders>
          </w:tcPr>
          <w:p>
            <w:pPr>
              <w:spacing w:after="0"/>
              <w:rPr>
                <w:sz w:val="21"/>
                <w:szCs w:val="21"/>
                <w:color w:val="auto"/>
              </w:rPr>
            </w:pPr>
          </w:p>
        </w:tc>
        <w:tc>
          <w:tcPr>
            <w:tcW w:w="2820" w:type="dxa"/>
            <w:vAlign w:val="bottom"/>
            <w:tcBorders>
              <w:bottom w:val="single" w:sz="8" w:color="auto"/>
              <w:right w:val="single" w:sz="8" w:color="auto"/>
            </w:tcBorders>
          </w:tcPr>
          <w:p>
            <w:pPr>
              <w:spacing w:after="0"/>
              <w:rPr>
                <w:sz w:val="21"/>
                <w:szCs w:val="21"/>
                <w:color w:val="auto"/>
              </w:rPr>
            </w:pP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REPUBLIC OF THE</w:t>
            </w:r>
          </w:p>
        </w:tc>
        <w:tc>
          <w:tcPr>
            <w:tcW w:w="2700" w:type="dxa"/>
            <w:vAlign w:val="bottom"/>
            <w:tcBorders>
              <w:bottom w:val="single" w:sz="8" w:color="auto"/>
              <w:right w:val="single" w:sz="8" w:color="auto"/>
            </w:tcBorders>
          </w:tcPr>
          <w:p>
            <w:pPr>
              <w:spacing w:after="0"/>
              <w:rPr>
                <w:sz w:val="21"/>
                <w:szCs w:val="21"/>
                <w:color w:val="auto"/>
              </w:rPr>
            </w:pP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Minsur</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PERU</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CID001182</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CID001191</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Modeltech Sdn Bhd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MALAYSIA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CID002858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Ney Metals and Alloys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CID001246</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Nghe Tinh Non-Ferrous Metals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CID002573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Joint Stock Company</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w w:val="99"/>
              </w:rPr>
              <w:t>O.M. Manufacturing (Thailand)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THAILAND</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CID001314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O.M. Manufacturing Philippines,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PHILIPPINES</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CID002517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Operaciones Metalurgicas S.A.</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BOLIVIA (PLURINATIONAL</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CID001337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STATE OF)</w:t>
            </w: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Phoenix Metal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RWANDA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CID002507</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MYANMAR</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CID003208</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Precious Minerals and Smelting</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INDIA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CID003409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Limited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Alam Lestari Kencana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CID001393</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CID000309</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Artha Cipta Langgeng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CID001399</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CID002503</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Babel Inti Perkasa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CID001402</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CID001406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Bangka Kudai Tin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CID001409</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Bangka Prima Tin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CID002776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Bangka Putra Karya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CID001412</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Bangka Serumpun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CID003205</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Bangka Timah Utama Sejahtera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CID001416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Bangka Tin Industry</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CID001419</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CID001421</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BilliTin Makmur Lestari</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CID001424</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Bukit Timah</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CID001428</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Cipta Persada Mulia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CID002696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DS Jaya Abadi</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CID001434</w:t>
            </w: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1" w:name="page22"/>
    <w:bookmarkEnd w:id="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28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Eunindo Usaha Mandiri</w:t>
            </w:r>
          </w:p>
        </w:tc>
        <w:tc>
          <w:tcPr>
            <w:tcW w:w="28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CID001438</w:t>
            </w: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PT Fang Di MulTindo</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CID001442</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Inti Stania Prima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CID002530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Justindo</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CID000307</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Karimun Mining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CID001448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Kijang Jaya Mandiri</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CID002829</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Lautan Harmonis Sejahtera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CID002870</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Masbro Alam Stania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CID003380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Menara Cipta Mulia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CID002835</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Mitra Stania Prima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CID001453</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CID003449</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O.M. Indonesia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CID002757</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Panca Mega Persada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CID001457</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CID000313</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Prima Timah Utama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CID001458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CID003868</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CID003381</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Rajehan Ariq</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CID002593</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Refined Bangka Tin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CID001460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CID001463</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Seirama Tin Investment</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CID001466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Stanindo Inti Perkasa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CID001468</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Sukses Inti Makmur (SIM)</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CID002816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Sumber Jaya Indah</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CID001471</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Timah Nusantara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CID001486</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Timah Tbk Kundur</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CID001477</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Timah Tbk Mentok</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CID001482</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Tinindo Inter Nusa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CID001490</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Tirus Putra Mandiri</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CID002478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Tommy Utama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CID001493</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PT Wahana Perkit Jaya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INDONESIA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CID002479</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CID002706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Rui Da Hung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CID001539</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Shenzhen Yi Cheng Industrial</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CID001711</w:t>
            </w: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2" w:name="page23"/>
    <w:bookmarkEnd w:id="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Soft Metais Ltda.</w:t>
            </w:r>
          </w:p>
        </w:tc>
        <w:tc>
          <w:tcPr>
            <w:tcW w:w="28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CID001758</w:t>
            </w: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Super Ligas</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CID002756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Taiwan high-tech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CID001851</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Taiwan Huanliang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CID001852</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Taiwan's lofty Enterprises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CID001859</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Thai Nguyen Mining and</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CID002834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Metallurgy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Thaisarco</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THAILAND</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CID001898</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Tin Smelting Branch of Yunnan Tin</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CID002180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CID003325</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UNIFORCE METAL</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CID001986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INDUSTRIAL CORP.</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VQB Mineral and Trading Group</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CID002015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JSC</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White Solder Metalurgia e</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CID002036</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Mineracao Ltda.</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Wieland Werke AG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CID002039</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WUXI YUNXI SANYE SOLDER</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CID002062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FACTORY</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Xiamen Honglu Tungsten</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CID002428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Molybdenum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Xin Furukawa Metal ( Wuxi )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CID002090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Yifeng Tin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CID002121</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Yunnan Chengfeng Non-ferrous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CID002158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Metals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Yunnan Chengo Electric Smelting</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CID002162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Plant</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Yunnan Copper Zinc Industry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CID002164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Yunnan Geiju Smelting Corp.</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CID002166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Yunnan Industrial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CID002173</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Yunnan Yunfan Non-ferrous Metals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CID003397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Zhangzhou Xiangcheng Hongyu</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CID002197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Building</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Zhongshan Jinye Smelting Co.,Ltd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CID002220</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ZhongShi</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CID002223</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Tin</w:t>
            </w:r>
          </w:p>
        </w:tc>
        <w:tc>
          <w:tcPr>
            <w:tcW w:w="2820" w:type="dxa"/>
            <w:vAlign w:val="bottom"/>
            <w:tcBorders>
              <w:bottom w:val="single" w:sz="8" w:color="auto"/>
              <w:right w:val="single" w:sz="8" w:color="auto"/>
            </w:tcBorders>
          </w:tcPr>
          <w:p>
            <w:pPr>
              <w:spacing w:after="0"/>
              <w:rPr>
                <w:sz w:val="18"/>
                <w:szCs w:val="18"/>
                <w:color w:val="auto"/>
              </w:rPr>
            </w:pP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CID002574</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A.L.M.T. Corp.</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CID000004</w:t>
            </w: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3" w:name="page24"/>
    <w:bookmarkEnd w:id="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ACL Metais Eireli</w:t>
            </w:r>
          </w:p>
        </w:tc>
        <w:tc>
          <w:tcPr>
            <w:tcW w:w="28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CID002833</w:t>
            </w:r>
          </w:p>
        </w:tc>
      </w:tr>
      <w:tr>
        <w:trPr>
          <w:trHeight w:val="174"/>
        </w:trPr>
        <w:tc>
          <w:tcPr>
            <w:tcW w:w="2880" w:type="dxa"/>
            <w:vAlign w:val="bottom"/>
            <w:tcBorders>
              <w:left w:val="single" w:sz="8" w:color="auto"/>
              <w:right w:val="single" w:sz="8" w:color="auto"/>
            </w:tcBorders>
          </w:tcPr>
          <w:p>
            <w:pPr>
              <w:ind w:left="180"/>
              <w:spacing w:after="0" w:line="175"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75" w:lineRule="exact"/>
              <w:rPr>
                <w:sz w:val="20"/>
                <w:szCs w:val="20"/>
                <w:color w:val="auto"/>
              </w:rPr>
            </w:pPr>
            <w:r>
              <w:rPr>
                <w:rFonts w:ascii="Times New Roman" w:cs="Times New Roman" w:eastAsia="Times New Roman" w:hAnsi="Times New Roman"/>
                <w:sz w:val="18"/>
                <w:szCs w:val="18"/>
                <w:color w:val="auto"/>
              </w:rPr>
              <w:t>Albasteel Industria e Comercio de</w:t>
            </w:r>
          </w:p>
        </w:tc>
        <w:tc>
          <w:tcPr>
            <w:tcW w:w="2840" w:type="dxa"/>
            <w:vAlign w:val="bottom"/>
            <w:tcBorders>
              <w:right w:val="single" w:sz="8" w:color="auto"/>
            </w:tcBorders>
          </w:tcPr>
          <w:p>
            <w:pPr>
              <w:ind w:left="160"/>
              <w:spacing w:after="0" w:line="175" w:lineRule="exact"/>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right w:val="single" w:sz="8" w:color="auto"/>
            </w:tcBorders>
          </w:tcPr>
          <w:p>
            <w:pPr>
              <w:ind w:left="140"/>
              <w:spacing w:after="0" w:line="175" w:lineRule="exact"/>
              <w:rPr>
                <w:sz w:val="20"/>
                <w:szCs w:val="20"/>
                <w:color w:val="auto"/>
              </w:rPr>
            </w:pPr>
            <w:r>
              <w:rPr>
                <w:rFonts w:ascii="Times New Roman" w:cs="Times New Roman" w:eastAsia="Times New Roman" w:hAnsi="Times New Roman"/>
                <w:sz w:val="18"/>
                <w:szCs w:val="18"/>
                <w:color w:val="auto"/>
              </w:rPr>
              <w:t>CID003427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Ligas Para Fundicao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Alldyne Powder Technologies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CID000034</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Asia Tungsten Products Vietnam</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CID002502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China Molybdenum Tungsten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CID002641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Chongyi Zhangyuan Tungsten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CID000258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CNMC (Guangxi) PGMA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CID000281</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CP Metals Inc.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CID003448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Cronimet Brasil Ltda</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BRAZIL</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CID003468</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Dayu Jincheng Tungsten Industry</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CID002518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Dayu Weiliang Tungsten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CID000345</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DONGKUK INDUSTRIES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CID004060</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CID003401</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Fujian Jinxin Tungsten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CID000499</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CID003609</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Ganxian Shirui New Material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CID002531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Ganzhou Haichuang Tungsten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CID002645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Ganzhou Huaxing Tungsten</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CID000875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Products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Ganzhou Jiangwu Ferrotungsten</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CID002315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Ganzhou Non-ferrous Metals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CID000868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Smelting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Ganzhou Seadragon W &amp; Mo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CID002494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Ganzhou Yatai Tungsten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CID002536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CID000568</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Guangdong Xianglu Tungsten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CID000218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H.C. Starck Group</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CID000683</w:t>
            </w: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4" w:name="page25"/>
    <w:bookmarkEnd w:id="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H.C. Starck Tungsten GmbH</w:t>
            </w:r>
          </w:p>
        </w:tc>
        <w:tc>
          <w:tcPr>
            <w:tcW w:w="28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CID002541</w:t>
            </w: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HANNAE FOR T Co., Ltd.</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CID003978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CID003417</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CID000766</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Hunan Chuangda Vanadium</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CID002579</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Tungsten Co., Ltd. Wuji</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Hunan Chuangda Vanadium</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CID002578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Tungsten Co., Ltd. Yanglin</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Hunan Jintai New Material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CID000769</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w w:val="99"/>
              </w:rPr>
              <w:t>Hunan Litian Tungsten Industry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CID003182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Hunan Shizhuyuan Nonferrous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CID002513</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Metals Co., Ltd. Chenzhou Tungsten</w:t>
            </w:r>
          </w:p>
        </w:tc>
        <w:tc>
          <w:tcPr>
            <w:tcW w:w="284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Products Branch</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Japan New Metals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CID000825</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Jiangwu H.C. Starck Tungsten</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CID002551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Products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CID002321</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Jiangxi Minmetals Gao'an Non-</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CID002313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ferrous Metals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Jiangxi Tonggu Non-ferrous</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CID002318</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Metallurgical &amp; Chemical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Jiangxi Xianglu Tungsten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CID002647</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Jiangxi Xinsheng Tungsten Industry</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CID002317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Jiangxi Xiushui Xianggan</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CID002535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Nonferrous Metals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8"/>
              </w:rPr>
              <w:t>Jiangxi Yaosheng Tungsten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CID002316</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CID003408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Kennametal Fallon</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CID000966</w:t>
            </w:r>
          </w:p>
        </w:tc>
      </w:tr>
      <w:tr>
        <w:trPr>
          <w:trHeight w:val="568"/>
        </w:trPr>
        <w:tc>
          <w:tcPr>
            <w:tcW w:w="28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5" w:name="page26"/>
    <w:bookmarkEnd w:id="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8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Kennametal Huntsville</w:t>
            </w:r>
          </w:p>
        </w:tc>
        <w:tc>
          <w:tcPr>
            <w:tcW w:w="284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CID000105</w:t>
            </w:r>
          </w:p>
        </w:tc>
      </w:tr>
      <w:tr>
        <w:trPr>
          <w:trHeight w:val="193"/>
        </w:trPr>
        <w:tc>
          <w:tcPr>
            <w:tcW w:w="2880" w:type="dxa"/>
            <w:vAlign w:val="bottom"/>
            <w:tcBorders>
              <w:left w:val="single" w:sz="8" w:color="auto"/>
              <w:bottom w:val="single" w:sz="8" w:color="auto"/>
              <w:right w:val="single" w:sz="8" w:color="auto"/>
            </w:tcBorders>
          </w:tcPr>
          <w:p>
            <w:pPr>
              <w:ind w:left="180"/>
              <w:spacing w:after="0" w:line="193"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KGETS Co., Ltd.</w:t>
            </w:r>
          </w:p>
        </w:tc>
        <w:tc>
          <w:tcPr>
            <w:tcW w:w="2840" w:type="dxa"/>
            <w:vAlign w:val="bottom"/>
            <w:tcBorders>
              <w:bottom w:val="single" w:sz="8" w:color="auto"/>
              <w:right w:val="single" w:sz="8" w:color="auto"/>
            </w:tcBorders>
          </w:tcPr>
          <w:p>
            <w:pPr>
              <w:ind w:left="160"/>
              <w:spacing w:after="0" w:line="193" w:lineRule="exact"/>
              <w:rPr>
                <w:sz w:val="20"/>
                <w:szCs w:val="20"/>
                <w:color w:val="auto"/>
              </w:rPr>
            </w:pPr>
            <w:r>
              <w:rPr>
                <w:rFonts w:ascii="Times New Roman" w:cs="Times New Roman" w:eastAsia="Times New Roman" w:hAnsi="Times New Roman"/>
                <w:sz w:val="18"/>
                <w:szCs w:val="18"/>
                <w:color w:val="auto"/>
              </w:rPr>
              <w:t>KOREA, REPUBLIC OF</w:t>
            </w:r>
          </w:p>
        </w:tc>
        <w:tc>
          <w:tcPr>
            <w:tcW w:w="2700" w:type="dxa"/>
            <w:vAlign w:val="bottom"/>
            <w:tcBorders>
              <w:bottom w:val="single" w:sz="8" w:color="auto"/>
              <w:right w:val="single" w:sz="8" w:color="auto"/>
            </w:tcBorders>
          </w:tcPr>
          <w:p>
            <w:pPr>
              <w:ind w:left="140"/>
              <w:spacing w:after="0" w:line="193" w:lineRule="exact"/>
              <w:rPr>
                <w:sz w:val="20"/>
                <w:szCs w:val="20"/>
                <w:color w:val="auto"/>
              </w:rPr>
            </w:pPr>
            <w:r>
              <w:rPr>
                <w:rFonts w:ascii="Times New Roman" w:cs="Times New Roman" w:eastAsia="Times New Roman" w:hAnsi="Times New Roman"/>
                <w:sz w:val="18"/>
                <w:szCs w:val="18"/>
                <w:color w:val="auto"/>
              </w:rPr>
              <w:t>CID003388</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Lianyou Metals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TAIWAN, PROVINCE OF 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CID003407</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CID002319</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Masan High-Tech Materials</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CID002543</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Nam Viet Cromit Joint Stock</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CID004034</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Niagara Refining LLC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CID002589</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NPP Tyazhmetprom LLC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CID003416</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OOO “Technolom” 1</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CID003614</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OOO “Technolom” 2</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CID003612</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w w:val="99"/>
              </w:rPr>
              <w:t>Philippine Chuangxin Industrial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PHILIPPINES</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CID002827</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Pobedit, JSC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CID002532</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Sanher Tungsten Vietnam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CID002538</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South-East Nonferrous Metal</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CID002815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Company Limited of Hengyang City</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TANIOBIS Smelting GmbH &amp; Co.</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GERMANY</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CID002542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KG</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Tejing (Vietnam) Tungsten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CID001889</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Tungsten Vietnam Joint Stock</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CID003993</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Vietnam Youngsun Tungsten</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VIET NAM</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CID002011</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Industry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AUSTRIA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CID002044</w:t>
            </w:r>
          </w:p>
        </w:tc>
      </w:tr>
      <w:tr>
        <w:trPr>
          <w:trHeight w:val="209"/>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Wolfram Company CJSC</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RUSSIAN FEDERATION</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CID002047</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CID002320</w:t>
            </w: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Xiamen Tungsten Co., Ltd.</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CID002082</w:t>
            </w: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Xinfeng Huarui Tungsten &amp;</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CID002830</w:t>
            </w:r>
          </w:p>
        </w:tc>
      </w:tr>
      <w:tr>
        <w:trPr>
          <w:trHeight w:val="216"/>
        </w:trPr>
        <w:tc>
          <w:tcPr>
            <w:tcW w:w="288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Molybdenum New Material Co.,</w:t>
            </w:r>
          </w:p>
        </w:tc>
        <w:tc>
          <w:tcPr>
            <w:tcW w:w="2840" w:type="dxa"/>
            <w:vAlign w:val="bottom"/>
            <w:tcBorders>
              <w:right w:val="single" w:sz="8" w:color="auto"/>
            </w:tcBorders>
          </w:tcPr>
          <w:p>
            <w:pPr>
              <w:spacing w:after="0"/>
              <w:rPr>
                <w:sz w:val="18"/>
                <w:szCs w:val="18"/>
                <w:color w:val="auto"/>
              </w:rPr>
            </w:pPr>
          </w:p>
        </w:tc>
        <w:tc>
          <w:tcPr>
            <w:tcW w:w="2700" w:type="dxa"/>
            <w:vAlign w:val="bottom"/>
            <w:tcBorders>
              <w:right w:val="single" w:sz="8" w:color="auto"/>
            </w:tcBorders>
          </w:tcPr>
          <w:p>
            <w:pPr>
              <w:spacing w:after="0"/>
              <w:rPr>
                <w:sz w:val="18"/>
                <w:szCs w:val="18"/>
                <w:color w:val="auto"/>
              </w:rPr>
            </w:pP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Xinhai Rendan Shaoguan Tungsten</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CID002095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YUDU ANSHENG TUNGSTEN</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CID003662</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191"/>
        </w:trPr>
        <w:tc>
          <w:tcPr>
            <w:tcW w:w="288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Zhangzhou Chuen Bao Apt</w:t>
            </w:r>
          </w:p>
        </w:tc>
        <w:tc>
          <w:tcPr>
            <w:tcW w:w="2840" w:type="dxa"/>
            <w:vAlign w:val="bottom"/>
            <w:tcBorders>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right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CID002195</w:t>
            </w:r>
          </w:p>
        </w:tc>
      </w:tr>
      <w:tr>
        <w:trPr>
          <w:trHeight w:val="234"/>
        </w:trPr>
        <w:tc>
          <w:tcPr>
            <w:tcW w:w="2880" w:type="dxa"/>
            <w:vAlign w:val="bottom"/>
            <w:tcBorders>
              <w:left w:val="single" w:sz="8" w:color="auto"/>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Smeltery Co., Ltd.</w:t>
            </w:r>
          </w:p>
        </w:tc>
        <w:tc>
          <w:tcPr>
            <w:tcW w:w="2840" w:type="dxa"/>
            <w:vAlign w:val="bottom"/>
            <w:tcBorders>
              <w:bottom w:val="single" w:sz="8" w:color="auto"/>
              <w:right w:val="single" w:sz="8" w:color="auto"/>
            </w:tcBorders>
          </w:tcPr>
          <w:p>
            <w:pPr>
              <w:spacing w:after="0"/>
              <w:rPr>
                <w:sz w:val="20"/>
                <w:szCs w:val="20"/>
                <w:color w:val="auto"/>
              </w:rPr>
            </w:pPr>
          </w:p>
        </w:tc>
        <w:tc>
          <w:tcPr>
            <w:tcW w:w="2700" w:type="dxa"/>
            <w:vAlign w:val="bottom"/>
            <w:tcBorders>
              <w:bottom w:val="single" w:sz="8" w:color="auto"/>
              <w:right w:val="single" w:sz="8" w:color="auto"/>
            </w:tcBorders>
          </w:tcPr>
          <w:p>
            <w:pPr>
              <w:spacing w:after="0"/>
              <w:rPr>
                <w:sz w:val="20"/>
                <w:szCs w:val="20"/>
                <w:color w:val="auto"/>
              </w:rPr>
            </w:pPr>
          </w:p>
        </w:tc>
      </w:tr>
      <w:tr>
        <w:trPr>
          <w:trHeight w:val="210"/>
        </w:trPr>
        <w:tc>
          <w:tcPr>
            <w:tcW w:w="288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Tungsten</w:t>
            </w:r>
          </w:p>
        </w:tc>
        <w:tc>
          <w:tcPr>
            <w:tcW w:w="28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Zhuzhou Cement Carbide</w:t>
            </w:r>
          </w:p>
        </w:tc>
        <w:tc>
          <w:tcPr>
            <w:tcW w:w="28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w:t>
            </w:r>
          </w:p>
        </w:tc>
        <w:tc>
          <w:tcPr>
            <w:tcW w:w="27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CID002235</w:t>
            </w:r>
          </w:p>
        </w:tc>
      </w:tr>
    </w:tbl>
    <w:p>
      <w:pPr>
        <w:spacing w:after="0" w:line="1" w:lineRule="exact"/>
        <w:rPr>
          <w:sz w:val="20"/>
          <w:szCs w:val="20"/>
          <w:color w:val="auto"/>
        </w:rPr>
      </w:pPr>
    </w:p>
    <w:sectPr>
      <w:pgSz w:w="11900" w:h="16838" w:orient="portrait"/>
      <w:cols w:equalWidth="0" w:num="1">
        <w:col w:w="11240"/>
      </w:cols>
      <w:pgMar w:left="320" w:top="5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o"/>
      <w:numFmt w:val="bullet"/>
      <w:start w:val="1"/>
    </w:lvl>
  </w:abstractNum>
  <w:abstractNum w:abstractNumId="4">
    <w:nsid w:val="3D1B58BA"/>
    <w:multiLevelType w:val="hybridMultilevel"/>
    <w:lvl w:ilvl="0">
      <w:lvlJc w:val="left"/>
      <w:lvlText w:val="●"/>
      <w:numFmt w:val="bullet"/>
      <w:start w:val="1"/>
    </w:lvl>
    <w:lvl w:ilvl="1">
      <w:lvlJc w:val="left"/>
      <w:lvlText w:val="o"/>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2024-05-24T16:03:39Z</dcterms:created>
  <dcterms:modified xsi:type="dcterms:W3CDTF">2024-05-24T16:03:39Z</dcterms:modified>
</cp:coreProperties>
</file>