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UNITED STATES</w:t>
      </w:r>
    </w:p>
    <w:p>
      <w:pPr>
        <w:ind w:left="3780"/>
        <w:spacing w:after="0" w:line="234"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260"/>
        <w:spacing w:after="0"/>
        <w:rPr>
          <w:sz w:val="20"/>
          <w:szCs w:val="20"/>
          <w:color w:val="auto"/>
        </w:rPr>
      </w:pPr>
      <w:r>
        <w:rPr>
          <w:rFonts w:ascii="Arial" w:cs="Arial" w:eastAsia="Arial" w:hAnsi="Arial"/>
          <w:sz w:val="32"/>
          <w:szCs w:val="32"/>
          <w:b w:val="1"/>
          <w:bCs w:val="1"/>
          <w:color w:val="auto"/>
        </w:rPr>
        <w:t>SCHEDULE 14A</w:t>
      </w:r>
    </w:p>
    <w:p>
      <w:pPr>
        <w:spacing w:after="0" w:line="35"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260"/>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line="207" w:lineRule="exact"/>
        <w:tabs>
          <w:tab w:leader="none" w:pos="22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7843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8435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171450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22, 2024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Cohu Stockholders,</w:t>
      </w:r>
    </w:p>
    <w:p>
      <w:pPr>
        <w:spacing w:after="0" w:line="198"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 xml:space="preserve">We cordially invite you to attend the Cohu, Inc. 2024 Annual Meeting of Stockholders (the “Meeting” or “annual meeting”). The Meeting will be held on Wednesday, June 5, 2024,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www.virtualshareholdermeeting.com/COHU2024</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365"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At this year’s Meeting, stockholders will be asked to elect the three (3) Class 2 nominees named in the attached proxy statement as directors each for a three-year term; to cast an advisory vote to approve our named executive officer compensation, or “Say-on-Pay;” approve an amendment to our Amended and Restated Certificate of Incorporation; and to ratify the appointment of Ernst &amp; Young LLP as our independent registered public accounting firm for fiscal year 2024. The Board of Directors unanimously recommends that you vote in favor of each director nominee, and for each of the other proposals.</w:t>
      </w:r>
    </w:p>
    <w:p>
      <w:pPr>
        <w:spacing w:after="0" w:line="163"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Please refer to the proxy statement for detailed information about the Meeting, each director nominee, and each of the proposals, as well as voting instructions. Your vote is important, and we strongly urge you to cast your vote as soon as possible by the internet, telephone, or mail, even if you plan to attend the Meeting.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172275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Thomas D. Kampfer</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FFFFFF"/>
        </w:rPr>
        <w:t>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266700</wp:posOffset>
            </wp:positionV>
            <wp:extent cx="1714500" cy="625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12367 Crosthwaite Circle, Poway, CA 92064 | Telephone: +1-858-848-8000</w:t>
      </w:r>
    </w:p>
    <w:p>
      <w:pPr>
        <w:sectPr>
          <w:pgSz w:w="11900" w:h="16838" w:orient="portrait"/>
          <w:cols w:equalWidth="0" w:num="1">
            <w:col w:w="11240"/>
          </w:cols>
          <w:pgMar w:left="320" w:top="122" w:right="33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rPr>
              <w:t>Category</w:t>
            </w:r>
          </w:p>
        </w:tc>
        <w:tc>
          <w:tcPr>
            <w:tcW w:w="4020" w:type="dxa"/>
            <w:vAlign w:val="bottom"/>
            <w:shd w:val="clear" w:color="auto" w:fill="2D53A6"/>
          </w:tcPr>
          <w:p>
            <w:pPr>
              <w:ind w:left="20"/>
              <w:spacing w:after="0"/>
              <w:rPr>
                <w:sz w:val="20"/>
                <w:szCs w:val="20"/>
                <w:color w:val="auto"/>
              </w:rPr>
            </w:pPr>
            <w:r>
              <w:rPr>
                <w:rFonts w:ascii="Arial" w:cs="Arial" w:eastAsia="Arial" w:hAnsi="Arial"/>
                <w:sz w:val="18"/>
                <w:szCs w:val="18"/>
                <w:b w:val="1"/>
                <w:bCs w:val="1"/>
                <w:color w:val="FFFFFF"/>
              </w:rPr>
              <w:t>Details</w:t>
            </w:r>
          </w:p>
        </w:tc>
        <w:tc>
          <w:tcPr>
            <w:tcW w:w="0" w:type="dxa"/>
            <w:vAlign w:val="bottom"/>
          </w:tcPr>
          <w:p>
            <w:pPr>
              <w:spacing w:after="0"/>
              <w:rPr>
                <w:sz w:val="1"/>
                <w:szCs w:val="1"/>
                <w:color w:val="auto"/>
              </w:rPr>
            </w:pPr>
          </w:p>
        </w:tc>
      </w:tr>
      <w:tr>
        <w:trPr>
          <w:trHeight w:val="224"/>
        </w:trPr>
        <w:tc>
          <w:tcPr>
            <w:tcW w:w="148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Date and</w:t>
            </w:r>
          </w:p>
        </w:tc>
        <w:tc>
          <w:tcPr>
            <w:tcW w:w="4020" w:type="dxa"/>
            <w:vAlign w:val="bottom"/>
          </w:tcPr>
          <w:p>
            <w:pPr>
              <w:ind w:left="20"/>
              <w:spacing w:after="0"/>
              <w:rPr>
                <w:sz w:val="20"/>
                <w:szCs w:val="20"/>
                <w:color w:val="auto"/>
              </w:rPr>
            </w:pPr>
            <w:r>
              <w:rPr>
                <w:rFonts w:ascii="Arial" w:cs="Arial" w:eastAsia="Arial" w:hAnsi="Arial"/>
                <w:sz w:val="18"/>
                <w:szCs w:val="18"/>
                <w:color w:val="auto"/>
              </w:rPr>
              <w:t>Wednesday, June 5, 2024, 1:00 p.m.</w:t>
            </w:r>
          </w:p>
        </w:tc>
        <w:tc>
          <w:tcPr>
            <w:tcW w:w="0" w:type="dxa"/>
            <w:vAlign w:val="bottom"/>
          </w:tcPr>
          <w:p>
            <w:pPr>
              <w:spacing w:after="0"/>
              <w:rPr>
                <w:sz w:val="1"/>
                <w:szCs w:val="1"/>
                <w:color w:val="auto"/>
              </w:rPr>
            </w:pPr>
          </w:p>
        </w:tc>
      </w:tr>
      <w:tr>
        <w:trPr>
          <w:trHeight w:val="255"/>
        </w:trPr>
        <w:tc>
          <w:tcPr>
            <w:tcW w:w="14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Time</w:t>
            </w:r>
          </w:p>
        </w:tc>
        <w:tc>
          <w:tcPr>
            <w:tcW w:w="4020" w:type="dxa"/>
            <w:vAlign w:val="bottom"/>
            <w:tcBorders>
              <w:bottom w:val="single" w:sz="8" w:color="2D53A6"/>
            </w:tcBorders>
          </w:tcPr>
          <w:p>
            <w:pPr>
              <w:ind w:left="20"/>
              <w:spacing w:after="0"/>
              <w:rPr>
                <w:sz w:val="20"/>
                <w:szCs w:val="20"/>
                <w:color w:val="auto"/>
              </w:rPr>
            </w:pPr>
            <w:r>
              <w:rPr>
                <w:rFonts w:ascii="Arial" w:cs="Arial" w:eastAsia="Arial" w:hAnsi="Arial"/>
                <w:sz w:val="18"/>
                <w:szCs w:val="18"/>
                <w:color w:val="auto"/>
              </w:rPr>
              <w:t>Pacific Time</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Place</w:t>
            </w:r>
          </w:p>
        </w:tc>
        <w:tc>
          <w:tcPr>
            <w:tcW w:w="402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Meeting will be held virtually</w:t>
            </w:r>
          </w:p>
        </w:tc>
        <w:tc>
          <w:tcPr>
            <w:tcW w:w="0" w:type="dxa"/>
            <w:vAlign w:val="bottom"/>
          </w:tcPr>
          <w:p>
            <w:pPr>
              <w:spacing w:after="0"/>
              <w:rPr>
                <w:sz w:val="1"/>
                <w:szCs w:val="1"/>
                <w:color w:val="auto"/>
              </w:rPr>
            </w:pPr>
          </w:p>
        </w:tc>
      </w:tr>
      <w:tr>
        <w:trPr>
          <w:trHeight w:val="224"/>
        </w:trPr>
        <w:tc>
          <w:tcPr>
            <w:tcW w:w="1480" w:type="dxa"/>
            <w:vAlign w:val="bottom"/>
            <w:tcBorders>
              <w:right w:val="single" w:sz="8" w:color="2D53A6"/>
            </w:tcBorders>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Only stockholders of record at the close of</w:t>
            </w:r>
          </w:p>
        </w:tc>
        <w:tc>
          <w:tcPr>
            <w:tcW w:w="0" w:type="dxa"/>
            <w:vAlign w:val="bottom"/>
          </w:tcPr>
          <w:p>
            <w:pPr>
              <w:spacing w:after="0"/>
              <w:rPr>
                <w:sz w:val="1"/>
                <w:szCs w:val="1"/>
                <w:color w:val="auto"/>
              </w:rPr>
            </w:pPr>
          </w:p>
        </w:tc>
      </w:tr>
      <w:tr>
        <w:trPr>
          <w:trHeight w:val="203"/>
        </w:trPr>
        <w:tc>
          <w:tcPr>
            <w:tcW w:w="14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b w:val="1"/>
                <w:bCs w:val="1"/>
                <w:color w:val="auto"/>
              </w:rPr>
              <w:t>Record Date</w:t>
            </w:r>
          </w:p>
        </w:tc>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business on April 12, 2024, the “Record</w:t>
            </w:r>
          </w:p>
        </w:tc>
        <w:tc>
          <w:tcPr>
            <w:tcW w:w="0" w:type="dxa"/>
            <w:vAlign w:val="bottom"/>
          </w:tcPr>
          <w:p>
            <w:pPr>
              <w:spacing w:after="0"/>
              <w:rPr>
                <w:sz w:val="1"/>
                <w:szCs w:val="1"/>
                <w:color w:val="auto"/>
              </w:rPr>
            </w:pPr>
          </w:p>
        </w:tc>
      </w:tr>
      <w:tr>
        <w:trPr>
          <w:trHeight w:val="139"/>
        </w:trPr>
        <w:tc>
          <w:tcPr>
            <w:tcW w:w="1480" w:type="dxa"/>
            <w:vAlign w:val="bottom"/>
            <w:tcBorders>
              <w:right w:val="single" w:sz="8" w:color="2D53A6"/>
            </w:tcBorders>
            <w:vMerge w:val="continue"/>
          </w:tcPr>
          <w:p>
            <w:pPr>
              <w:spacing w:after="0"/>
              <w:rPr>
                <w:sz w:val="12"/>
                <w:szCs w:val="12"/>
                <w:color w:val="auto"/>
              </w:rPr>
            </w:pPr>
          </w:p>
        </w:tc>
        <w:tc>
          <w:tcPr>
            <w:tcW w:w="40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Date,” are entitled to notice of, and to vote at, the</w:t>
            </w:r>
          </w:p>
        </w:tc>
        <w:tc>
          <w:tcPr>
            <w:tcW w:w="0" w:type="dxa"/>
            <w:vAlign w:val="bottom"/>
          </w:tcPr>
          <w:p>
            <w:pPr>
              <w:spacing w:after="0"/>
              <w:rPr>
                <w:sz w:val="1"/>
                <w:szCs w:val="1"/>
                <w:color w:val="auto"/>
              </w:rPr>
            </w:pPr>
          </w:p>
        </w:tc>
      </w:tr>
      <w:tr>
        <w:trPr>
          <w:trHeight w:val="64"/>
        </w:trPr>
        <w:tc>
          <w:tcPr>
            <w:tcW w:w="1480" w:type="dxa"/>
            <w:vAlign w:val="bottom"/>
            <w:tcBorders>
              <w:right w:val="single" w:sz="8" w:color="2D53A6"/>
            </w:tcBorders>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480" w:type="dxa"/>
            <w:vAlign w:val="bottom"/>
            <w:tcBorders>
              <w:right w:val="single" w:sz="8" w:color="2D53A6"/>
            </w:tcBorders>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23"/>
        </w:trPr>
        <w:tc>
          <w:tcPr>
            <w:tcW w:w="1480" w:type="dxa"/>
            <w:vAlign w:val="bottom"/>
            <w:tcBorders>
              <w:right w:val="single" w:sz="8" w:color="2D53A6"/>
            </w:tcBorders>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Annual Report Materials</w:t>
      </w:r>
    </w:p>
    <w:p>
      <w:pPr>
        <w:spacing w:after="0" w:line="198" w:lineRule="exact"/>
        <w:rPr>
          <w:sz w:val="20"/>
          <w:szCs w:val="20"/>
          <w:color w:val="auto"/>
        </w:rPr>
      </w:pPr>
    </w:p>
    <w:p>
      <w:pPr>
        <w:jc w:val="both"/>
        <w:ind w:right="500"/>
        <w:spacing w:after="0" w:line="257" w:lineRule="auto"/>
        <w:rPr>
          <w:sz w:val="20"/>
          <w:szCs w:val="20"/>
          <w:color w:val="auto"/>
        </w:rPr>
      </w:pPr>
      <w:r>
        <w:rPr>
          <w:rFonts w:ascii="Arial" w:cs="Arial" w:eastAsia="Arial" w:hAnsi="Arial"/>
          <w:sz w:val="18"/>
          <w:szCs w:val="18"/>
          <w:b w:val="1"/>
          <w:bCs w:val="1"/>
          <w:color w:val="auto"/>
        </w:rPr>
        <w:t>IMPORTANT NOTICE REGARDING THE AVAILABILITY OF PROXY MATERIALS FOR THE 2024 ANNUAL MEETING OF STOCKHOLDERS TO BE HELD JUNE 5, 2024</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Our notice of 2024 Annual Meeting of Stockholders, proxy statement, and annual report to stockholders are available at </w:t>
      </w:r>
      <w:r>
        <w:rPr>
          <w:rFonts w:ascii="Arial" w:cs="Arial" w:eastAsia="Arial" w:hAnsi="Arial"/>
          <w:sz w:val="18"/>
          <w:szCs w:val="18"/>
          <w:u w:val="single" w:color="auto"/>
          <w:color w:val="auto"/>
        </w:rPr>
        <w:t>http://materials.proxyvote.com/192576</w:t>
      </w:r>
      <w:r>
        <w:rPr>
          <w:rFonts w:ascii="Arial" w:cs="Arial" w:eastAsia="Arial" w:hAnsi="Arial"/>
          <w:sz w:val="18"/>
          <w:szCs w:val="18"/>
          <w:color w:val="auto"/>
        </w:rPr>
        <w:t xml:space="preserve"> and on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Elect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488690" cy="1671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1671320"/>
                    </a:xfrm>
                    <a:prstGeom prst="rect">
                      <a:avLst/>
                    </a:prstGeom>
                    <a:noFill/>
                  </pic:spPr>
                </pic:pic>
              </a:graphicData>
            </a:graphic>
          </wp:anchor>
        </w:drawing>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FFFFFF"/>
        </w:rPr>
        <w:t>Save Time, Money &amp; Trees</w:t>
      </w:r>
    </w:p>
    <w:p>
      <w:pPr>
        <w:spacing w:after="0" w:line="12" w:lineRule="exact"/>
        <w:rPr>
          <w:sz w:val="20"/>
          <w:szCs w:val="20"/>
          <w:color w:val="auto"/>
        </w:rPr>
      </w:pPr>
    </w:p>
    <w:p>
      <w:pPr>
        <w:ind w:left="80" w:right="280"/>
        <w:spacing w:after="0"/>
        <w:rPr>
          <w:sz w:val="20"/>
          <w:szCs w:val="20"/>
          <w:color w:val="auto"/>
        </w:rPr>
      </w:pPr>
      <w:r>
        <w:rPr>
          <w:rFonts w:ascii="Arial" w:cs="Arial" w:eastAsia="Arial" w:hAnsi="Arial"/>
          <w:sz w:val="18"/>
          <w:szCs w:val="18"/>
          <w:color w:val="FFFFFF"/>
        </w:rPr>
        <w:t>As part of our efforts to be an environmentally responsible corporate citizen, we encourage Cohu stockholders to voluntarily elect to receive future proxy and annual report materials electronically.</w:t>
      </w:r>
    </w:p>
    <w:p>
      <w:pPr>
        <w:spacing w:after="0" w:line="167" w:lineRule="exact"/>
        <w:rPr>
          <w:sz w:val="20"/>
          <w:szCs w:val="20"/>
          <w:color w:val="auto"/>
        </w:rPr>
      </w:pPr>
    </w:p>
    <w:p>
      <w:pPr>
        <w:ind w:left="720" w:right="1080" w:hanging="321"/>
        <w:spacing w:after="0" w:line="245" w:lineRule="auto"/>
        <w:tabs>
          <w:tab w:leader="none" w:pos="709"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If you are a registered stockholder, please visit www.proxyvote.com for instructions.</w:t>
      </w:r>
    </w:p>
    <w:p>
      <w:pPr>
        <w:ind w:left="720" w:right="220" w:hanging="321"/>
        <w:spacing w:after="0" w:line="208" w:lineRule="exact"/>
        <w:tabs>
          <w:tab w:leader="none" w:pos="709"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If you are a stockholder who owns stock through a broker or brokerage account, please opt for e</w:t>
      </w:r>
      <w:r>
        <w:rPr>
          <w:rFonts w:ascii="MS PGothic" w:cs="MS PGothic" w:eastAsia="MS PGothic" w:hAnsi="MS PGothic"/>
          <w:sz w:val="18"/>
          <w:szCs w:val="18"/>
          <w:color w:val="FFFFFF"/>
        </w:rPr>
        <w:t>‑</w:t>
      </w:r>
      <w:r>
        <w:rPr>
          <w:rFonts w:ascii="Arial" w:cs="Arial" w:eastAsia="Arial" w:hAnsi="Arial"/>
          <w:sz w:val="18"/>
          <w:szCs w:val="18"/>
          <w:color w:val="FFFFFF"/>
        </w:rPr>
        <w:t>delivery at www.proxyvote.com or by contacting your nominee.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notice, the notice of internet availability of proxy materials, proxy statement and proxy card are first being made available and/or mailed to our stockholders on or about April 22, 2024.</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Borders>
              <w:right w:val="single" w:sz="8" w:color="2D53A6"/>
            </w:tcBorders>
            <w:shd w:val="clear" w:color="auto" w:fill="2D53A6"/>
          </w:tcPr>
          <w:p>
            <w:pPr>
              <w:spacing w:after="0"/>
              <w:rPr>
                <w:sz w:val="18"/>
                <w:szCs w:val="18"/>
                <w:color w:val="auto"/>
              </w:rPr>
            </w:pPr>
          </w:p>
        </w:tc>
        <w:tc>
          <w:tcPr>
            <w:tcW w:w="368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Proposal</w:t>
            </w:r>
          </w:p>
        </w:tc>
        <w:tc>
          <w:tcPr>
            <w:tcW w:w="154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Our Board</w:t>
            </w:r>
            <w:r>
              <w:rPr>
                <w:rFonts w:ascii="Arial" w:cs="Arial" w:eastAsia="Arial" w:hAnsi="Arial"/>
                <w:sz w:val="14"/>
                <w:szCs w:val="14"/>
                <w:color w:val="FFFFFF"/>
              </w:rPr>
              <w:t>’</w:t>
            </w:r>
            <w:r>
              <w:rPr>
                <w:rFonts w:ascii="Arial" w:cs="Arial" w:eastAsia="Arial" w:hAnsi="Arial"/>
                <w:sz w:val="14"/>
                <w:szCs w:val="14"/>
                <w:b w:val="1"/>
                <w:bCs w:val="1"/>
                <w:color w:val="FFFFFF"/>
              </w:rPr>
              <w:t>s</w:t>
            </w:r>
          </w:p>
        </w:tc>
        <w:tc>
          <w:tcPr>
            <w:tcW w:w="0" w:type="dxa"/>
            <w:vAlign w:val="bottom"/>
          </w:tcPr>
          <w:p>
            <w:pPr>
              <w:spacing w:after="0"/>
              <w:rPr>
                <w:sz w:val="1"/>
                <w:szCs w:val="1"/>
                <w:color w:val="auto"/>
              </w:rPr>
            </w:pPr>
          </w:p>
        </w:tc>
      </w:tr>
      <w:tr>
        <w:trPr>
          <w:trHeight w:val="122"/>
        </w:trPr>
        <w:tc>
          <w:tcPr>
            <w:tcW w:w="280" w:type="dxa"/>
            <w:vAlign w:val="bottom"/>
            <w:tcBorders>
              <w:right w:val="single" w:sz="8" w:color="2D53A6"/>
            </w:tcBorders>
            <w:shd w:val="clear" w:color="auto" w:fill="2D53A6"/>
          </w:tcPr>
          <w:p>
            <w:pPr>
              <w:spacing w:after="0"/>
              <w:rPr>
                <w:sz w:val="10"/>
                <w:szCs w:val="10"/>
                <w:color w:val="auto"/>
              </w:rPr>
            </w:pPr>
          </w:p>
        </w:tc>
        <w:tc>
          <w:tcPr>
            <w:tcW w:w="3680" w:type="dxa"/>
            <w:vAlign w:val="bottom"/>
            <w:tcBorders>
              <w:right w:val="single" w:sz="8" w:color="2D53A6"/>
            </w:tcBorders>
            <w:shd w:val="clear" w:color="auto" w:fill="2D53A6"/>
          </w:tcPr>
          <w:p>
            <w:pPr>
              <w:spacing w:after="0"/>
              <w:rPr>
                <w:sz w:val="10"/>
                <w:szCs w:val="10"/>
                <w:color w:val="auto"/>
              </w:rPr>
            </w:pPr>
          </w:p>
        </w:tc>
        <w:tc>
          <w:tcPr>
            <w:tcW w:w="1540" w:type="dxa"/>
            <w:vAlign w:val="bottom"/>
            <w:shd w:val="clear" w:color="auto" w:fill="2D53A6"/>
          </w:tcPr>
          <w:p>
            <w:pPr>
              <w:jc w:val="center"/>
              <w:spacing w:after="0" w:line="108" w:lineRule="exact"/>
              <w:rPr>
                <w:sz w:val="20"/>
                <w:szCs w:val="20"/>
                <w:color w:val="auto"/>
              </w:rPr>
            </w:pPr>
            <w:r>
              <w:rPr>
                <w:rFonts w:ascii="Arial" w:cs="Arial" w:eastAsia="Arial" w:hAnsi="Arial"/>
                <w:sz w:val="12"/>
                <w:szCs w:val="12"/>
                <w:b w:val="1"/>
                <w:bCs w:val="1"/>
                <w:color w:val="FFFFFF"/>
              </w:rPr>
              <w:t>Recommendation</w:t>
            </w:r>
          </w:p>
        </w:tc>
        <w:tc>
          <w:tcPr>
            <w:tcW w:w="0" w:type="dxa"/>
            <w:vAlign w:val="bottom"/>
          </w:tcPr>
          <w:p>
            <w:pPr>
              <w:spacing w:after="0"/>
              <w:rPr>
                <w:sz w:val="1"/>
                <w:szCs w:val="1"/>
                <w:color w:val="auto"/>
              </w:rPr>
            </w:pPr>
          </w:p>
        </w:tc>
      </w:tr>
      <w:tr>
        <w:trPr>
          <w:trHeight w:val="184"/>
        </w:trPr>
        <w:tc>
          <w:tcPr>
            <w:tcW w:w="280" w:type="dxa"/>
            <w:vAlign w:val="bottom"/>
            <w:tcBorders>
              <w:right w:val="single" w:sz="8" w:color="2D53A6"/>
            </w:tcBorders>
          </w:tcPr>
          <w:p>
            <w:pPr>
              <w:jc w:val="right"/>
              <w:ind w:right="10"/>
              <w:spacing w:after="0" w:line="183" w:lineRule="exact"/>
              <w:rPr>
                <w:sz w:val="20"/>
                <w:szCs w:val="20"/>
                <w:color w:val="auto"/>
              </w:rPr>
            </w:pPr>
            <w:r>
              <w:rPr>
                <w:rFonts w:ascii="Arial" w:cs="Arial" w:eastAsia="Arial" w:hAnsi="Arial"/>
                <w:sz w:val="18"/>
                <w:szCs w:val="18"/>
                <w:b w:val="1"/>
                <w:bCs w:val="1"/>
                <w:color w:val="auto"/>
              </w:rPr>
              <w:t>1</w:t>
            </w:r>
          </w:p>
        </w:tc>
        <w:tc>
          <w:tcPr>
            <w:tcW w:w="3680" w:type="dxa"/>
            <w:vAlign w:val="bottom"/>
            <w:tcBorders>
              <w:right w:val="single" w:sz="8" w:color="2D53A6"/>
            </w:tcBorders>
          </w:tcPr>
          <w:p>
            <w:pPr>
              <w:spacing w:after="0" w:line="183" w:lineRule="exact"/>
              <w:rPr>
                <w:sz w:val="20"/>
                <w:szCs w:val="20"/>
                <w:color w:val="auto"/>
              </w:rPr>
            </w:pPr>
            <w:r>
              <w:rPr>
                <w:rFonts w:ascii="Arial" w:cs="Arial" w:eastAsia="Arial" w:hAnsi="Arial"/>
                <w:sz w:val="18"/>
                <w:szCs w:val="18"/>
                <w:color w:val="auto"/>
              </w:rPr>
              <w:t>Election of three (3) Class 2 directors, for a</w:t>
            </w:r>
          </w:p>
        </w:tc>
        <w:tc>
          <w:tcPr>
            <w:tcW w:w="15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 FOR each</w:t>
            </w: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term of three years each</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w:t>
            </w:r>
          </w:p>
        </w:tc>
        <w:tc>
          <w:tcPr>
            <w:tcW w:w="0" w:type="dxa"/>
            <w:vAlign w:val="bottom"/>
          </w:tcPr>
          <w:p>
            <w:pPr>
              <w:spacing w:after="0"/>
              <w:rPr>
                <w:sz w:val="1"/>
                <w:szCs w:val="1"/>
                <w:color w:val="auto"/>
              </w:rPr>
            </w:pPr>
          </w:p>
        </w:tc>
      </w:tr>
      <w:tr>
        <w:trPr>
          <w:trHeight w:val="221"/>
        </w:trPr>
        <w:tc>
          <w:tcPr>
            <w:tcW w:w="280" w:type="dxa"/>
            <w:vAlign w:val="bottom"/>
            <w:tcBorders>
              <w:bottom w:val="single" w:sz="8" w:color="2D53A6"/>
              <w:right w:val="single" w:sz="8" w:color="2D53A6"/>
            </w:tcBorders>
          </w:tcPr>
          <w:p>
            <w:pPr>
              <w:spacing w:after="0"/>
              <w:rPr>
                <w:sz w:val="19"/>
                <w:szCs w:val="19"/>
                <w:color w:val="auto"/>
              </w:rPr>
            </w:pPr>
          </w:p>
        </w:tc>
        <w:tc>
          <w:tcPr>
            <w:tcW w:w="3680" w:type="dxa"/>
            <w:vAlign w:val="bottom"/>
            <w:tcBorders>
              <w:bottom w:val="single" w:sz="8" w:color="2D53A6"/>
              <w:right w:val="single" w:sz="8" w:color="2D53A6"/>
            </w:tcBorders>
          </w:tcPr>
          <w:p>
            <w:pPr>
              <w:spacing w:after="0"/>
              <w:rPr>
                <w:sz w:val="19"/>
                <w:szCs w:val="19"/>
                <w:color w:val="auto"/>
              </w:rPr>
            </w:pPr>
          </w:p>
        </w:tc>
        <w:tc>
          <w:tcPr>
            <w:tcW w:w="15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Nominee</w:t>
            </w:r>
          </w:p>
        </w:tc>
        <w:tc>
          <w:tcPr>
            <w:tcW w:w="0" w:type="dxa"/>
            <w:vAlign w:val="bottom"/>
          </w:tcPr>
          <w:p>
            <w:pPr>
              <w:spacing w:after="0"/>
              <w:rPr>
                <w:sz w:val="1"/>
                <w:szCs w:val="1"/>
                <w:color w:val="auto"/>
              </w:rPr>
            </w:pPr>
          </w:p>
        </w:tc>
      </w:tr>
      <w:tr>
        <w:trPr>
          <w:trHeight w:val="177"/>
        </w:trPr>
        <w:tc>
          <w:tcPr>
            <w:tcW w:w="280" w:type="dxa"/>
            <w:vAlign w:val="bottom"/>
            <w:tcBorders>
              <w:right w:val="single" w:sz="8" w:color="2D53A6"/>
            </w:tcBorders>
            <w:shd w:val="clear" w:color="auto" w:fill="E6E6E6"/>
          </w:tcPr>
          <w:p>
            <w:pPr>
              <w:jc w:val="right"/>
              <w:ind w:right="10"/>
              <w:spacing w:after="0" w:line="177" w:lineRule="exact"/>
              <w:rPr>
                <w:sz w:val="20"/>
                <w:szCs w:val="20"/>
                <w:color w:val="auto"/>
              </w:rPr>
            </w:pPr>
            <w:r>
              <w:rPr>
                <w:rFonts w:ascii="Arial" w:cs="Arial" w:eastAsia="Arial" w:hAnsi="Arial"/>
                <w:sz w:val="18"/>
                <w:szCs w:val="18"/>
                <w:b w:val="1"/>
                <w:bCs w:val="1"/>
                <w:color w:val="auto"/>
              </w:rPr>
              <w:t>2</w:t>
            </w:r>
          </w:p>
        </w:tc>
        <w:tc>
          <w:tcPr>
            <w:tcW w:w="368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color w:val="auto"/>
              </w:rPr>
              <w:t>Advisory vote to approve our Named</w:t>
            </w:r>
          </w:p>
        </w:tc>
        <w:tc>
          <w:tcPr>
            <w:tcW w:w="154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shd w:val="clear" w:color="auto" w:fill="E6E6E6"/>
          </w:tcPr>
          <w:p>
            <w:pPr>
              <w:spacing w:after="0"/>
              <w:rPr>
                <w:sz w:val="17"/>
                <w:szCs w:val="17"/>
                <w:color w:val="auto"/>
              </w:rPr>
            </w:pPr>
          </w:p>
        </w:tc>
        <w:tc>
          <w:tcPr>
            <w:tcW w:w="368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Executive Officer compensation, or “Say-on-</w:t>
            </w:r>
          </w:p>
        </w:tc>
        <w:tc>
          <w:tcPr>
            <w:tcW w:w="15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21"/>
        </w:trPr>
        <w:tc>
          <w:tcPr>
            <w:tcW w:w="280" w:type="dxa"/>
            <w:vAlign w:val="bottom"/>
            <w:tcBorders>
              <w:bottom w:val="single" w:sz="8" w:color="2D53A6"/>
              <w:right w:val="single" w:sz="8" w:color="2D53A6"/>
            </w:tcBorders>
            <w:shd w:val="clear" w:color="auto" w:fill="E6E6E6"/>
          </w:tcPr>
          <w:p>
            <w:pPr>
              <w:spacing w:after="0"/>
              <w:rPr>
                <w:sz w:val="19"/>
                <w:szCs w:val="19"/>
                <w:color w:val="auto"/>
              </w:rPr>
            </w:pPr>
          </w:p>
        </w:tc>
        <w:tc>
          <w:tcPr>
            <w:tcW w:w="36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Pay”</w:t>
            </w:r>
          </w:p>
        </w:tc>
        <w:tc>
          <w:tcPr>
            <w:tcW w:w="154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0" w:type="dxa"/>
            <w:vAlign w:val="bottom"/>
            <w:tcBorders>
              <w:right w:val="single" w:sz="8" w:color="2D53A6"/>
            </w:tcBorders>
          </w:tcPr>
          <w:p>
            <w:pPr>
              <w:jc w:val="right"/>
              <w:ind w:right="10"/>
              <w:spacing w:after="0" w:line="177" w:lineRule="exact"/>
              <w:rPr>
                <w:sz w:val="20"/>
                <w:szCs w:val="20"/>
                <w:color w:val="auto"/>
              </w:rPr>
            </w:pPr>
            <w:r>
              <w:rPr>
                <w:rFonts w:ascii="Arial" w:cs="Arial" w:eastAsia="Arial" w:hAnsi="Arial"/>
                <w:sz w:val="18"/>
                <w:szCs w:val="18"/>
                <w:b w:val="1"/>
                <w:bCs w:val="1"/>
                <w:color w:val="auto"/>
              </w:rPr>
              <w:t>3</w:t>
            </w:r>
          </w:p>
        </w:tc>
        <w:tc>
          <w:tcPr>
            <w:tcW w:w="368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color w:val="auto"/>
              </w:rPr>
              <w:t>Approve an amendment to our Amended and</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Restated Certificate of Incorporation to reflect</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39"/>
        </w:trPr>
        <w:tc>
          <w:tcPr>
            <w:tcW w:w="280" w:type="dxa"/>
            <w:vAlign w:val="bottom"/>
            <w:tcBorders>
              <w:right w:val="single" w:sz="8" w:color="2D53A6"/>
            </w:tcBorders>
          </w:tcPr>
          <w:p>
            <w:pPr>
              <w:spacing w:after="0"/>
              <w:rPr>
                <w:sz w:val="12"/>
                <w:szCs w:val="12"/>
                <w:color w:val="auto"/>
              </w:rPr>
            </w:pPr>
          </w:p>
        </w:tc>
        <w:tc>
          <w:tcPr>
            <w:tcW w:w="3680" w:type="dxa"/>
            <w:vAlign w:val="bottom"/>
            <w:tcBorders>
              <w:right w:val="single" w:sz="8" w:color="2D53A6"/>
            </w:tcBorders>
            <w:vMerge w:val="restart"/>
          </w:tcPr>
          <w:p>
            <w:pPr>
              <w:spacing w:after="0" w:line="202" w:lineRule="exact"/>
              <w:rPr>
                <w:sz w:val="20"/>
                <w:szCs w:val="20"/>
                <w:color w:val="auto"/>
              </w:rPr>
            </w:pPr>
            <w:r>
              <w:rPr>
                <w:rFonts w:ascii="Arial" w:cs="Arial" w:eastAsia="Arial" w:hAnsi="Arial"/>
                <w:sz w:val="18"/>
                <w:szCs w:val="18"/>
                <w:color w:val="auto"/>
              </w:rPr>
              <w:t>new Delaware law provisions regarding</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80" w:type="dxa"/>
            <w:vAlign w:val="bottom"/>
            <w:tcBorders>
              <w:right w:val="single" w:sz="8" w:color="2D53A6"/>
            </w:tcBorders>
          </w:tcPr>
          <w:p>
            <w:pPr>
              <w:spacing w:after="0"/>
              <w:rPr>
                <w:sz w:val="5"/>
                <w:szCs w:val="5"/>
                <w:color w:val="auto"/>
              </w:rPr>
            </w:pPr>
          </w:p>
        </w:tc>
        <w:tc>
          <w:tcPr>
            <w:tcW w:w="3680" w:type="dxa"/>
            <w:vAlign w:val="bottom"/>
            <w:tcBorders>
              <w:right w:val="single" w:sz="8" w:color="2D53A6"/>
            </w:tcBorders>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bottom w:val="single" w:sz="8" w:color="2D53A6"/>
              <w:right w:val="single" w:sz="8" w:color="2D53A6"/>
            </w:tcBorders>
          </w:tcPr>
          <w:p>
            <w:pPr>
              <w:spacing w:after="0"/>
              <w:rPr>
                <w:sz w:val="19"/>
                <w:szCs w:val="19"/>
                <w:color w:val="auto"/>
              </w:rPr>
            </w:pPr>
          </w:p>
        </w:tc>
        <w:tc>
          <w:tcPr>
            <w:tcW w:w="36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exculpation of Officers</w:t>
            </w:r>
          </w:p>
        </w:tc>
        <w:tc>
          <w:tcPr>
            <w:tcW w:w="154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0" w:type="dxa"/>
            <w:vAlign w:val="bottom"/>
            <w:tcBorders>
              <w:right w:val="single" w:sz="8" w:color="2D53A6"/>
            </w:tcBorders>
            <w:shd w:val="clear" w:color="auto" w:fill="E6E6E6"/>
          </w:tcPr>
          <w:p>
            <w:pPr>
              <w:jc w:val="right"/>
              <w:ind w:right="10"/>
              <w:spacing w:after="0" w:line="177" w:lineRule="exact"/>
              <w:rPr>
                <w:sz w:val="20"/>
                <w:szCs w:val="20"/>
                <w:color w:val="auto"/>
              </w:rPr>
            </w:pPr>
            <w:r>
              <w:rPr>
                <w:rFonts w:ascii="Arial" w:cs="Arial" w:eastAsia="Arial" w:hAnsi="Arial"/>
                <w:sz w:val="18"/>
                <w:szCs w:val="18"/>
                <w:b w:val="1"/>
                <w:bCs w:val="1"/>
                <w:color w:val="auto"/>
              </w:rPr>
              <w:t>4</w:t>
            </w:r>
          </w:p>
        </w:tc>
        <w:tc>
          <w:tcPr>
            <w:tcW w:w="368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color w:val="auto"/>
              </w:rPr>
              <w:t>Ratification of the appointment of Ernst &amp;</w:t>
            </w:r>
          </w:p>
        </w:tc>
        <w:tc>
          <w:tcPr>
            <w:tcW w:w="154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shd w:val="clear" w:color="auto" w:fill="E6E6E6"/>
          </w:tcPr>
          <w:p>
            <w:pPr>
              <w:spacing w:after="0"/>
              <w:rPr>
                <w:sz w:val="17"/>
                <w:szCs w:val="17"/>
                <w:color w:val="auto"/>
              </w:rPr>
            </w:pPr>
          </w:p>
        </w:tc>
        <w:tc>
          <w:tcPr>
            <w:tcW w:w="368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Young LLP as our independent registered</w:t>
            </w:r>
          </w:p>
        </w:tc>
        <w:tc>
          <w:tcPr>
            <w:tcW w:w="154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39"/>
        </w:trPr>
        <w:tc>
          <w:tcPr>
            <w:tcW w:w="280" w:type="dxa"/>
            <w:vAlign w:val="bottom"/>
            <w:tcBorders>
              <w:right w:val="single" w:sz="8" w:color="2D53A6"/>
            </w:tcBorders>
            <w:shd w:val="clear" w:color="auto" w:fill="E6E6E6"/>
          </w:tcPr>
          <w:p>
            <w:pPr>
              <w:spacing w:after="0"/>
              <w:rPr>
                <w:sz w:val="12"/>
                <w:szCs w:val="12"/>
                <w:color w:val="auto"/>
              </w:rPr>
            </w:pPr>
          </w:p>
        </w:tc>
        <w:tc>
          <w:tcPr>
            <w:tcW w:w="3680" w:type="dxa"/>
            <w:vAlign w:val="bottom"/>
            <w:tcBorders>
              <w:right w:val="single" w:sz="8" w:color="2D53A6"/>
            </w:tcBorders>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public accounting firm for</w:t>
            </w:r>
          </w:p>
        </w:tc>
        <w:tc>
          <w:tcPr>
            <w:tcW w:w="154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80" w:type="dxa"/>
            <w:vAlign w:val="bottom"/>
            <w:tcBorders>
              <w:right w:val="single" w:sz="8" w:color="2D53A6"/>
            </w:tcBorders>
            <w:shd w:val="clear" w:color="auto" w:fill="E6E6E6"/>
          </w:tcPr>
          <w:p>
            <w:pPr>
              <w:spacing w:after="0"/>
              <w:rPr>
                <w:sz w:val="5"/>
                <w:szCs w:val="5"/>
                <w:color w:val="auto"/>
              </w:rPr>
            </w:pPr>
          </w:p>
        </w:tc>
        <w:tc>
          <w:tcPr>
            <w:tcW w:w="3680" w:type="dxa"/>
            <w:vAlign w:val="bottom"/>
            <w:tcBorders>
              <w:right w:val="single" w:sz="8" w:color="2D53A6"/>
            </w:tcBorders>
            <w:vMerge w:val="continue"/>
            <w:shd w:val="clear" w:color="auto" w:fill="E6E6E6"/>
          </w:tcPr>
          <w:p>
            <w:pPr>
              <w:spacing w:after="0"/>
              <w:rPr>
                <w:sz w:val="5"/>
                <w:szCs w:val="5"/>
                <w:color w:val="auto"/>
              </w:rPr>
            </w:pPr>
          </w:p>
        </w:tc>
        <w:tc>
          <w:tcPr>
            <w:tcW w:w="15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bottom w:val="single" w:sz="8" w:color="2D53A6"/>
              <w:right w:val="single" w:sz="8" w:color="2D53A6"/>
            </w:tcBorders>
            <w:shd w:val="clear" w:color="auto" w:fill="E6E6E6"/>
          </w:tcPr>
          <w:p>
            <w:pPr>
              <w:spacing w:after="0"/>
              <w:rPr>
                <w:sz w:val="19"/>
                <w:szCs w:val="19"/>
                <w:color w:val="auto"/>
              </w:rPr>
            </w:pPr>
          </w:p>
        </w:tc>
        <w:tc>
          <w:tcPr>
            <w:tcW w:w="36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fiscal year 2024</w:t>
            </w:r>
          </w:p>
        </w:tc>
        <w:tc>
          <w:tcPr>
            <w:tcW w:w="154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0" w:type="dxa"/>
            <w:vAlign w:val="bottom"/>
            <w:tcBorders>
              <w:right w:val="single" w:sz="8" w:color="2D53A6"/>
            </w:tcBorders>
          </w:tcPr>
          <w:p>
            <w:pPr>
              <w:spacing w:after="0"/>
              <w:rPr>
                <w:sz w:val="15"/>
                <w:szCs w:val="15"/>
                <w:color w:val="auto"/>
              </w:rPr>
            </w:pPr>
          </w:p>
        </w:tc>
        <w:tc>
          <w:tcPr>
            <w:tcW w:w="368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color w:val="auto"/>
              </w:rPr>
              <w:t>Transaction of other business as may</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properly come before the annual meeting</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(including any adjournment or postponement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0" w:type="dxa"/>
            <w:vAlign w:val="bottom"/>
            <w:tcBorders>
              <w:bottom w:val="single" w:sz="8" w:color="2D53A6"/>
              <w:right w:val="single" w:sz="8" w:color="2D53A6"/>
            </w:tcBorders>
          </w:tcPr>
          <w:p>
            <w:pPr>
              <w:spacing w:after="0"/>
              <w:rPr>
                <w:sz w:val="19"/>
                <w:szCs w:val="19"/>
                <w:color w:val="auto"/>
              </w:rPr>
            </w:pPr>
          </w:p>
        </w:tc>
        <w:tc>
          <w:tcPr>
            <w:tcW w:w="36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thereof)</w:t>
            </w:r>
          </w:p>
        </w:tc>
        <w:tc>
          <w:tcPr>
            <w:tcW w:w="154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Voting</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-17145</wp:posOffset>
            </wp:positionV>
            <wp:extent cx="1885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30861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16510</wp:posOffset>
            </wp:positionV>
            <wp:extent cx="274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 cy="24003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24765</wp:posOffset>
            </wp:positionV>
            <wp:extent cx="29146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361"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1280" w:type="dxa"/>
            <w:vAlign w:val="bottom"/>
            <w:vMerge w:val="restart"/>
          </w:tcPr>
          <w:p>
            <w:pPr>
              <w:spacing w:after="0"/>
              <w:rPr>
                <w:sz w:val="20"/>
                <w:szCs w:val="20"/>
                <w:color w:val="auto"/>
              </w:rPr>
            </w:pPr>
            <w:r>
              <w:rPr>
                <w:rFonts w:ascii="Arial" w:cs="Arial" w:eastAsia="Arial" w:hAnsi="Arial"/>
                <w:sz w:val="14"/>
                <w:szCs w:val="14"/>
                <w:color w:val="2D53A6"/>
              </w:rPr>
              <w:t>By internet</w:t>
            </w:r>
          </w:p>
        </w:tc>
        <w:tc>
          <w:tcPr>
            <w:tcW w:w="1860" w:type="dxa"/>
            <w:vAlign w:val="bottom"/>
          </w:tcPr>
          <w:p>
            <w:pPr>
              <w:ind w:left="620"/>
              <w:spacing w:after="0"/>
              <w:rPr>
                <w:sz w:val="20"/>
                <w:szCs w:val="20"/>
                <w:color w:val="auto"/>
              </w:rPr>
            </w:pPr>
            <w:r>
              <w:rPr>
                <w:rFonts w:ascii="Arial" w:cs="Arial" w:eastAsia="Arial" w:hAnsi="Arial"/>
                <w:sz w:val="14"/>
                <w:szCs w:val="14"/>
                <w:color w:val="2D53A6"/>
              </w:rPr>
              <w:t>By phone</w:t>
            </w:r>
          </w:p>
        </w:tc>
        <w:tc>
          <w:tcPr>
            <w:tcW w:w="1100" w:type="dxa"/>
            <w:vAlign w:val="bottom"/>
          </w:tcPr>
          <w:p>
            <w:pPr>
              <w:ind w:left="640"/>
              <w:spacing w:after="0"/>
              <w:rPr>
                <w:sz w:val="20"/>
                <w:szCs w:val="20"/>
                <w:color w:val="auto"/>
              </w:rPr>
            </w:pPr>
            <w:r>
              <w:rPr>
                <w:rFonts w:ascii="Arial" w:cs="Arial" w:eastAsia="Arial" w:hAnsi="Arial"/>
                <w:sz w:val="14"/>
                <w:szCs w:val="14"/>
                <w:color w:val="2D53A6"/>
                <w:w w:val="95"/>
              </w:rPr>
              <w:t>By mail</w:t>
            </w: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The proxy statement and the accompanying proxy card provide detailed voting instructions.</w:t>
      </w:r>
    </w:p>
    <w:p>
      <w:pPr>
        <w:spacing w:after="0" w:line="14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color w:val="auto"/>
        </w:rPr>
        <w:t xml:space="preserve">IT IS IMPORTANT THAT YOU VOTE </w:t>
      </w:r>
      <w:r>
        <w:rPr>
          <w:rFonts w:ascii="Arial" w:cs="Arial" w:eastAsia="Arial" w:hAnsi="Arial"/>
          <w:sz w:val="18"/>
          <w:szCs w:val="18"/>
          <w:color w:val="auto"/>
        </w:rPr>
        <w:t>to play a part in the future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carefully review the proxy materials for the 2024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D. Kampfer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812165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00" w:space="240"/>
            <w:col w:w="550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2D53A6"/>
        </w:rPr>
        <w:t>Proxy Statement for 2024 Annual Meeting of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60" w:type="dxa"/>
            <w:vAlign w:val="bottom"/>
            <w:tcBorders>
              <w:bottom w:val="single" w:sz="8" w:color="2D53A6"/>
            </w:tcBorders>
            <w:gridSpan w:val="3"/>
            <w:shd w:val="clear" w:color="auto" w:fill="2D53A6"/>
          </w:tcPr>
          <w:p>
            <w:pPr>
              <w:spacing w:after="0"/>
              <w:rPr>
                <w:sz w:val="20"/>
                <w:szCs w:val="20"/>
                <w:color w:val="auto"/>
              </w:rPr>
            </w:pPr>
            <w:r>
              <w:rPr>
                <w:rFonts w:ascii="Arial" w:cs="Arial" w:eastAsia="Arial" w:hAnsi="Arial"/>
                <w:sz w:val="18"/>
                <w:szCs w:val="18"/>
                <w:b w:val="1"/>
                <w:bCs w:val="1"/>
                <w:color w:val="FFFFFF"/>
              </w:rPr>
              <w:t>Proxy Statement Summary</w:t>
            </w:r>
          </w:p>
        </w:tc>
        <w:tc>
          <w:tcPr>
            <w:tcW w:w="2380" w:type="dxa"/>
            <w:vAlign w:val="bottom"/>
            <w:tcBorders>
              <w:bottom w:val="single" w:sz="8" w:color="2D53A6"/>
            </w:tcBorders>
            <w:shd w:val="clear" w:color="auto" w:fill="2D53A6"/>
          </w:tcPr>
          <w:p>
            <w:pPr>
              <w:ind w:left="800"/>
              <w:spacing w:after="0"/>
              <w:rPr>
                <w:sz w:val="20"/>
                <w:szCs w:val="20"/>
                <w:color w:val="auto"/>
              </w:rPr>
            </w:pPr>
            <w:r>
              <w:rPr>
                <w:rFonts w:ascii="Arial" w:cs="Arial" w:eastAsia="Arial" w:hAnsi="Arial"/>
                <w:sz w:val="18"/>
                <w:szCs w:val="18"/>
                <w:b w:val="1"/>
                <w:bCs w:val="1"/>
                <w:color w:val="FFFFFF"/>
              </w:rPr>
              <w:t>Page 1</w:t>
            </w:r>
          </w:p>
        </w:tc>
      </w:tr>
      <w:tr>
        <w:trPr>
          <w:trHeight w:val="182"/>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About Cohu</w:t>
            </w:r>
          </w:p>
        </w:tc>
        <w:tc>
          <w:tcPr>
            <w:tcW w:w="2380" w:type="dxa"/>
            <w:vAlign w:val="bottom"/>
          </w:tcPr>
          <w:p>
            <w:pPr>
              <w:spacing w:after="0"/>
              <w:rPr>
                <w:sz w:val="15"/>
                <w:szCs w:val="15"/>
                <w:color w:val="auto"/>
              </w:rPr>
            </w:pPr>
          </w:p>
        </w:tc>
      </w:tr>
      <w:tr>
        <w:trPr>
          <w:trHeight w:val="202"/>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Fiscal Year 2023 Financial Highlights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Proposals and Voting Recommendations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Summary Information Regarding our Directors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Director Key Requirements, Skills and Experience Highlights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Director Demographic Highlights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Corporate Governance Highlights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Executive Compensation Highlights</w:t>
            </w:r>
          </w:p>
        </w:tc>
        <w:tc>
          <w:tcPr>
            <w:tcW w:w="2380" w:type="dxa"/>
            <w:vAlign w:val="bottom"/>
          </w:tcPr>
          <w:p>
            <w:pPr>
              <w:spacing w:after="0"/>
              <w:rPr>
                <w:sz w:val="17"/>
                <w:szCs w:val="17"/>
                <w:color w:val="auto"/>
              </w:rPr>
            </w:pPr>
          </w:p>
        </w:tc>
      </w:tr>
      <w:tr>
        <w:trPr>
          <w:trHeight w:val="207"/>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Sustainability Highlights</w:t>
            </w:r>
          </w:p>
        </w:tc>
        <w:tc>
          <w:tcPr>
            <w:tcW w:w="2380" w:type="dxa"/>
            <w:vAlign w:val="bottom"/>
          </w:tcPr>
          <w:p>
            <w:pPr>
              <w:spacing w:after="0"/>
              <w:rPr>
                <w:sz w:val="17"/>
                <w:szCs w:val="17"/>
                <w:color w:val="auto"/>
              </w:rPr>
            </w:pPr>
          </w:p>
        </w:tc>
      </w:tr>
      <w:tr>
        <w:trPr>
          <w:trHeight w:val="200"/>
        </w:trPr>
        <w:tc>
          <w:tcPr>
            <w:tcW w:w="8860" w:type="dxa"/>
            <w:vAlign w:val="bottom"/>
            <w:tcBorders>
              <w:bottom w:val="single" w:sz="8" w:color="2D53A6"/>
            </w:tcBorders>
            <w:gridSpan w:val="3"/>
            <w:shd w:val="clear" w:color="auto" w:fill="2D53A6"/>
          </w:tcPr>
          <w:p>
            <w:pPr>
              <w:spacing w:after="0" w:line="180" w:lineRule="exact"/>
              <w:rPr>
                <w:sz w:val="20"/>
                <w:szCs w:val="20"/>
                <w:color w:val="auto"/>
              </w:rPr>
            </w:pPr>
            <w:r>
              <w:rPr>
                <w:rFonts w:ascii="Arial" w:cs="Arial" w:eastAsia="Arial" w:hAnsi="Arial"/>
                <w:sz w:val="18"/>
                <w:szCs w:val="18"/>
                <w:b w:val="1"/>
                <w:bCs w:val="1"/>
                <w:color w:val="FFFFFF"/>
              </w:rPr>
              <w:t>Stock Ownership</w:t>
            </w:r>
          </w:p>
        </w:tc>
        <w:tc>
          <w:tcPr>
            <w:tcW w:w="2380" w:type="dxa"/>
            <w:vAlign w:val="bottom"/>
            <w:tcBorders>
              <w:bottom w:val="single" w:sz="8" w:color="2D53A6"/>
            </w:tcBorders>
            <w:shd w:val="clear" w:color="auto" w:fill="2D53A6"/>
          </w:tcPr>
          <w:p>
            <w:pPr>
              <w:ind w:left="800"/>
              <w:spacing w:after="0" w:line="180" w:lineRule="exact"/>
              <w:rPr>
                <w:sz w:val="20"/>
                <w:szCs w:val="20"/>
                <w:color w:val="auto"/>
              </w:rPr>
            </w:pPr>
            <w:r>
              <w:rPr>
                <w:rFonts w:ascii="Arial" w:cs="Arial" w:eastAsia="Arial" w:hAnsi="Arial"/>
                <w:sz w:val="18"/>
                <w:szCs w:val="18"/>
                <w:b w:val="1"/>
                <w:bCs w:val="1"/>
                <w:color w:val="FFFFFF"/>
              </w:rPr>
              <w:t>Page 13</w:t>
            </w:r>
          </w:p>
        </w:tc>
      </w:tr>
      <w:tr>
        <w:trPr>
          <w:trHeight w:val="181"/>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Security Ownership of Certain Beneficial Owners and Management</w:t>
            </w:r>
          </w:p>
        </w:tc>
        <w:tc>
          <w:tcPr>
            <w:tcW w:w="2380" w:type="dxa"/>
            <w:vAlign w:val="bottom"/>
          </w:tcPr>
          <w:p>
            <w:pPr>
              <w:spacing w:after="0"/>
              <w:rPr>
                <w:sz w:val="15"/>
                <w:szCs w:val="15"/>
                <w:color w:val="auto"/>
              </w:rPr>
            </w:pPr>
          </w:p>
        </w:tc>
      </w:tr>
      <w:tr>
        <w:trPr>
          <w:trHeight w:val="207"/>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Delinquent Section 16(a) Reports</w:t>
            </w:r>
          </w:p>
        </w:tc>
        <w:tc>
          <w:tcPr>
            <w:tcW w:w="2380" w:type="dxa"/>
            <w:vAlign w:val="bottom"/>
          </w:tcPr>
          <w:p>
            <w:pPr>
              <w:spacing w:after="0"/>
              <w:rPr>
                <w:sz w:val="17"/>
                <w:szCs w:val="17"/>
                <w:color w:val="auto"/>
              </w:rPr>
            </w:pPr>
          </w:p>
        </w:tc>
      </w:tr>
      <w:tr>
        <w:trPr>
          <w:trHeight w:val="207"/>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Governance Matters</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14</w:t>
            </w:r>
          </w:p>
        </w:tc>
      </w:tr>
      <w:tr>
        <w:trPr>
          <w:trHeight w:val="194"/>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Corporate Governance</w:t>
            </w:r>
          </w:p>
        </w:tc>
        <w:tc>
          <w:tcPr>
            <w:tcW w:w="2380" w:type="dxa"/>
            <w:vAlign w:val="bottom"/>
          </w:tcPr>
          <w:p>
            <w:pPr>
              <w:spacing w:after="0"/>
              <w:rPr>
                <w:sz w:val="16"/>
                <w:szCs w:val="16"/>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Board of Directors and Committees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Director Independence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Board Structure and Committee Composition</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Audit Committee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Committee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Nominating and Governance Committee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Board Leadership Structure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Risk Oversight</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Stockholder Nominees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Director Qualifications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Identifying and Evaluating Nominees for Directors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Executive Sessions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Communications with the Board</w:t>
            </w:r>
          </w:p>
        </w:tc>
        <w:tc>
          <w:tcPr>
            <w:tcW w:w="2380" w:type="dxa"/>
            <w:vAlign w:val="bottom"/>
          </w:tcPr>
          <w:p>
            <w:pPr>
              <w:spacing w:after="0"/>
              <w:rPr>
                <w:sz w:val="17"/>
                <w:szCs w:val="17"/>
                <w:color w:val="auto"/>
              </w:rPr>
            </w:pPr>
          </w:p>
        </w:tc>
      </w:tr>
      <w:tr>
        <w:trPr>
          <w:trHeight w:val="207"/>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of Directors</w:t>
            </w:r>
          </w:p>
        </w:tc>
        <w:tc>
          <w:tcPr>
            <w:tcW w:w="2380" w:type="dxa"/>
            <w:vAlign w:val="bottom"/>
          </w:tcPr>
          <w:p>
            <w:pPr>
              <w:spacing w:after="0"/>
              <w:rPr>
                <w:sz w:val="17"/>
                <w:szCs w:val="17"/>
                <w:color w:val="auto"/>
              </w:rPr>
            </w:pPr>
          </w:p>
        </w:tc>
      </w:tr>
      <w:tr>
        <w:trPr>
          <w:trHeight w:val="207"/>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Compensation Matters</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22</w:t>
            </w:r>
          </w:p>
        </w:tc>
      </w:tr>
      <w:tr>
        <w:trPr>
          <w:trHeight w:val="194"/>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Executive Compensation and Other Information</w:t>
            </w:r>
          </w:p>
        </w:tc>
        <w:tc>
          <w:tcPr>
            <w:tcW w:w="2380" w:type="dxa"/>
            <w:vAlign w:val="bottom"/>
          </w:tcPr>
          <w:p>
            <w:pPr>
              <w:spacing w:after="0"/>
              <w:rPr>
                <w:sz w:val="16"/>
                <w:szCs w:val="16"/>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Discussion and Analysis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Executive Summary</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Philosophy</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Compensation-Setting Process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Elements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Post-Employment Compensation</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Other Compensation Policies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Tax and Accounting Considerations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Compensation Committee Report</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Executive Compensation Tables</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Pay Versus Performance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CEO Pay Ratio</w:t>
            </w:r>
          </w:p>
        </w:tc>
        <w:tc>
          <w:tcPr>
            <w:tcW w:w="2380" w:type="dxa"/>
            <w:vAlign w:val="bottom"/>
          </w:tcPr>
          <w:p>
            <w:pPr>
              <w:spacing w:after="0"/>
              <w:rPr>
                <w:sz w:val="17"/>
                <w:szCs w:val="17"/>
                <w:color w:val="auto"/>
              </w:rPr>
            </w:pPr>
          </w:p>
        </w:tc>
      </w:tr>
      <w:tr>
        <w:trPr>
          <w:trHeight w:val="202"/>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Equity Compensation Awards and Plan Information</w:t>
            </w:r>
          </w:p>
        </w:tc>
        <w:tc>
          <w:tcPr>
            <w:tcW w:w="2380" w:type="dxa"/>
            <w:vAlign w:val="bottom"/>
          </w:tcPr>
          <w:p>
            <w:pPr>
              <w:spacing w:after="0"/>
              <w:rPr>
                <w:sz w:val="17"/>
                <w:szCs w:val="17"/>
                <w:color w:val="auto"/>
              </w:rPr>
            </w:pPr>
          </w:p>
        </w:tc>
      </w:tr>
      <w:tr>
        <w:trPr>
          <w:trHeight w:val="207"/>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Potential Payments Upon Termination or Change in Control</w:t>
            </w:r>
          </w:p>
        </w:tc>
        <w:tc>
          <w:tcPr>
            <w:tcW w:w="2380" w:type="dxa"/>
            <w:vAlign w:val="bottom"/>
          </w:tcPr>
          <w:p>
            <w:pPr>
              <w:spacing w:after="0"/>
              <w:rPr>
                <w:sz w:val="17"/>
                <w:szCs w:val="17"/>
                <w:color w:val="auto"/>
              </w:rPr>
            </w:pPr>
          </w:p>
        </w:tc>
      </w:tr>
      <w:tr>
        <w:trPr>
          <w:trHeight w:val="207"/>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Audit Matters</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51</w:t>
            </w:r>
          </w:p>
        </w:tc>
      </w:tr>
      <w:tr>
        <w:trPr>
          <w:trHeight w:val="194"/>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Audit Committee Report</w:t>
            </w:r>
          </w:p>
        </w:tc>
        <w:tc>
          <w:tcPr>
            <w:tcW w:w="2380" w:type="dxa"/>
            <w:vAlign w:val="bottom"/>
          </w:tcPr>
          <w:p>
            <w:pPr>
              <w:spacing w:after="0"/>
              <w:rPr>
                <w:sz w:val="16"/>
                <w:szCs w:val="16"/>
                <w:color w:val="auto"/>
              </w:rPr>
            </w:pPr>
          </w:p>
        </w:tc>
      </w:tr>
      <w:tr>
        <w:trPr>
          <w:trHeight w:val="203"/>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Audit Fees and Services</w:t>
            </w:r>
          </w:p>
        </w:tc>
        <w:tc>
          <w:tcPr>
            <w:tcW w:w="2380" w:type="dxa"/>
            <w:vAlign w:val="bottom"/>
          </w:tcPr>
          <w:p>
            <w:pPr>
              <w:spacing w:after="0"/>
              <w:rPr>
                <w:sz w:val="17"/>
                <w:szCs w:val="17"/>
                <w:color w:val="auto"/>
              </w:rPr>
            </w:pPr>
          </w:p>
        </w:tc>
      </w:tr>
      <w:tr>
        <w:trPr>
          <w:trHeight w:val="207"/>
        </w:trPr>
        <w:tc>
          <w:tcPr>
            <w:tcW w:w="8860" w:type="dxa"/>
            <w:vAlign w:val="bottom"/>
            <w:gridSpan w:val="3"/>
          </w:tcPr>
          <w:p>
            <w:pPr>
              <w:ind w:left="420"/>
              <w:spacing w:after="0"/>
              <w:rPr>
                <w:sz w:val="20"/>
                <w:szCs w:val="20"/>
                <w:color w:val="auto"/>
              </w:rPr>
            </w:pPr>
            <w:r>
              <w:rPr>
                <w:rFonts w:ascii="Arial" w:cs="Arial" w:eastAsia="Arial" w:hAnsi="Arial"/>
                <w:sz w:val="14"/>
                <w:szCs w:val="14"/>
                <w:color w:val="auto"/>
              </w:rPr>
              <w:t>Certain Relationships and Related Party Transactions</w:t>
            </w:r>
          </w:p>
        </w:tc>
        <w:tc>
          <w:tcPr>
            <w:tcW w:w="2380" w:type="dxa"/>
            <w:vAlign w:val="bottom"/>
          </w:tcPr>
          <w:p>
            <w:pPr>
              <w:spacing w:after="0"/>
              <w:rPr>
                <w:sz w:val="17"/>
                <w:szCs w:val="17"/>
                <w:color w:val="auto"/>
              </w:rPr>
            </w:pPr>
          </w:p>
        </w:tc>
      </w:tr>
      <w:tr>
        <w:trPr>
          <w:trHeight w:val="207"/>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Voting Proposals</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56</w:t>
            </w:r>
          </w:p>
        </w:tc>
      </w:tr>
      <w:tr>
        <w:trPr>
          <w:trHeight w:val="194"/>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Proposal No. 1: Election of Directors</w:t>
            </w:r>
          </w:p>
        </w:tc>
        <w:tc>
          <w:tcPr>
            <w:tcW w:w="2380" w:type="dxa"/>
            <w:vAlign w:val="bottom"/>
          </w:tcPr>
          <w:p>
            <w:pPr>
              <w:spacing w:after="0"/>
              <w:rPr>
                <w:sz w:val="16"/>
                <w:szCs w:val="16"/>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Proposal No. 2: Advisory vote to approve Named Executive Officer Compensation</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Proposal No. 3: Approve an amendment to our Amended and Restated Certificate of Incorporation to reflect new Delaware</w:t>
            </w:r>
          </w:p>
        </w:tc>
        <w:tc>
          <w:tcPr>
            <w:tcW w:w="2380" w:type="dxa"/>
            <w:vAlign w:val="bottom"/>
          </w:tcPr>
          <w:p>
            <w:pPr>
              <w:spacing w:after="0"/>
              <w:rPr>
                <w:sz w:val="17"/>
                <w:szCs w:val="17"/>
                <w:color w:val="auto"/>
              </w:rPr>
            </w:pPr>
          </w:p>
        </w:tc>
      </w:tr>
      <w:tr>
        <w:trPr>
          <w:trHeight w:val="203"/>
        </w:trPr>
        <w:tc>
          <w:tcPr>
            <w:tcW w:w="8860" w:type="dxa"/>
            <w:vAlign w:val="bottom"/>
            <w:gridSpan w:val="3"/>
          </w:tcPr>
          <w:p>
            <w:pPr>
              <w:ind w:left="1300"/>
              <w:spacing w:after="0"/>
              <w:rPr>
                <w:sz w:val="20"/>
                <w:szCs w:val="20"/>
                <w:color w:val="auto"/>
              </w:rPr>
            </w:pPr>
            <w:r>
              <w:rPr>
                <w:rFonts w:ascii="Arial" w:cs="Arial" w:eastAsia="Arial" w:hAnsi="Arial"/>
                <w:sz w:val="14"/>
                <w:szCs w:val="14"/>
                <w:color w:val="auto"/>
              </w:rPr>
              <w:t>law provisions regarding exculpation of Officers</w:t>
            </w:r>
          </w:p>
        </w:tc>
        <w:tc>
          <w:tcPr>
            <w:tcW w:w="2380" w:type="dxa"/>
            <w:vAlign w:val="bottom"/>
          </w:tcPr>
          <w:p>
            <w:pPr>
              <w:spacing w:after="0"/>
              <w:rPr>
                <w:sz w:val="17"/>
                <w:szCs w:val="17"/>
                <w:color w:val="auto"/>
              </w:rPr>
            </w:pPr>
          </w:p>
        </w:tc>
      </w:tr>
      <w:tr>
        <w:trPr>
          <w:trHeight w:val="206"/>
        </w:trPr>
        <w:tc>
          <w:tcPr>
            <w:tcW w:w="8860" w:type="dxa"/>
            <w:vAlign w:val="bottom"/>
            <w:gridSpan w:val="3"/>
          </w:tcPr>
          <w:p>
            <w:pPr>
              <w:ind w:left="280"/>
              <w:spacing w:after="0"/>
              <w:rPr>
                <w:sz w:val="20"/>
                <w:szCs w:val="20"/>
                <w:color w:val="auto"/>
              </w:rPr>
            </w:pPr>
            <w:r>
              <w:rPr>
                <w:rFonts w:ascii="Arial" w:cs="Arial" w:eastAsia="Arial" w:hAnsi="Arial"/>
                <w:sz w:val="14"/>
                <w:szCs w:val="14"/>
                <w:color w:val="auto"/>
              </w:rPr>
              <w:t>Proposal No. 4: Ratification of Independent Registered Public Accounting Firm</w:t>
            </w:r>
          </w:p>
        </w:tc>
        <w:tc>
          <w:tcPr>
            <w:tcW w:w="2380" w:type="dxa"/>
            <w:vAlign w:val="bottom"/>
          </w:tcPr>
          <w:p>
            <w:pPr>
              <w:spacing w:after="0"/>
              <w:rPr>
                <w:sz w:val="17"/>
                <w:szCs w:val="17"/>
                <w:color w:val="auto"/>
              </w:rPr>
            </w:pPr>
          </w:p>
        </w:tc>
      </w:tr>
      <w:tr>
        <w:trPr>
          <w:trHeight w:val="206"/>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Voting and Meeting Information</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66</w:t>
            </w:r>
          </w:p>
        </w:tc>
      </w:tr>
      <w:tr>
        <w:trPr>
          <w:trHeight w:val="199"/>
        </w:trPr>
        <w:tc>
          <w:tcPr>
            <w:tcW w:w="8860" w:type="dxa"/>
            <w:vAlign w:val="bottom"/>
            <w:gridSpan w:val="3"/>
          </w:tcPr>
          <w:p>
            <w:pPr>
              <w:spacing w:after="0"/>
              <w:rPr>
                <w:sz w:val="20"/>
                <w:szCs w:val="20"/>
                <w:color w:val="auto"/>
              </w:rPr>
            </w:pPr>
            <w:r>
              <w:rPr>
                <w:rFonts w:ascii="Arial" w:cs="Arial" w:eastAsia="Arial" w:hAnsi="Arial"/>
                <w:sz w:val="14"/>
                <w:szCs w:val="14"/>
                <w:color w:val="auto"/>
              </w:rPr>
              <w:t>General Information</w:t>
            </w:r>
          </w:p>
        </w:tc>
        <w:tc>
          <w:tcPr>
            <w:tcW w:w="2380" w:type="dxa"/>
            <w:vAlign w:val="bottom"/>
          </w:tcPr>
          <w:p>
            <w:pPr>
              <w:spacing w:after="0"/>
              <w:rPr>
                <w:sz w:val="17"/>
                <w:szCs w:val="17"/>
                <w:color w:val="auto"/>
              </w:rPr>
            </w:pPr>
          </w:p>
        </w:tc>
      </w:tr>
      <w:tr>
        <w:trPr>
          <w:trHeight w:val="206"/>
        </w:trPr>
        <w:tc>
          <w:tcPr>
            <w:tcW w:w="8860" w:type="dxa"/>
            <w:vAlign w:val="bottom"/>
            <w:gridSpan w:val="3"/>
            <w:shd w:val="clear" w:color="auto" w:fill="2D53A6"/>
          </w:tcPr>
          <w:p>
            <w:pPr>
              <w:spacing w:after="0"/>
              <w:rPr>
                <w:sz w:val="20"/>
                <w:szCs w:val="20"/>
                <w:color w:val="auto"/>
              </w:rPr>
            </w:pPr>
            <w:r>
              <w:rPr>
                <w:rFonts w:ascii="Arial" w:cs="Arial" w:eastAsia="Arial" w:hAnsi="Arial"/>
                <w:sz w:val="18"/>
                <w:szCs w:val="18"/>
                <w:b w:val="1"/>
                <w:bCs w:val="1"/>
                <w:color w:val="FFFFFF"/>
              </w:rPr>
              <w:t>Appendices</w:t>
            </w:r>
          </w:p>
        </w:tc>
        <w:tc>
          <w:tcPr>
            <w:tcW w:w="2380" w:type="dxa"/>
            <w:vAlign w:val="bottom"/>
            <w:shd w:val="clear" w:color="auto" w:fill="2D53A6"/>
          </w:tcPr>
          <w:p>
            <w:pPr>
              <w:ind w:left="800"/>
              <w:spacing w:after="0"/>
              <w:rPr>
                <w:sz w:val="20"/>
                <w:szCs w:val="20"/>
                <w:color w:val="auto"/>
              </w:rPr>
            </w:pPr>
            <w:r>
              <w:rPr>
                <w:rFonts w:ascii="Arial" w:cs="Arial" w:eastAsia="Arial" w:hAnsi="Arial"/>
                <w:sz w:val="18"/>
                <w:szCs w:val="18"/>
                <w:b w:val="1"/>
                <w:bCs w:val="1"/>
                <w:color w:val="FFFFFF"/>
              </w:rPr>
              <w:t>Page 70</w:t>
            </w:r>
          </w:p>
        </w:tc>
      </w:tr>
      <w:tr>
        <w:trPr>
          <w:trHeight w:val="560"/>
        </w:trPr>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74" w:lineRule="exact"/>
        <w:rPr>
          <w:sz w:val="20"/>
          <w:szCs w:val="20"/>
          <w:color w:val="auto"/>
        </w:rPr>
      </w:pPr>
    </w:p>
    <w:p>
      <w:pPr>
        <w:ind w:left="400"/>
        <w:spacing w:after="0"/>
        <w:rPr>
          <w:sz w:val="20"/>
          <w:szCs w:val="20"/>
          <w:color w:val="auto"/>
        </w:rPr>
      </w:pPr>
      <w:r>
        <w:rPr>
          <w:rFonts w:ascii="Arial" w:cs="Arial" w:eastAsia="Arial" w:hAnsi="Arial"/>
          <w:sz w:val="32"/>
          <w:szCs w:val="32"/>
          <w:b w:val="1"/>
          <w:bCs w:val="1"/>
          <w:color w:val="FFFFFF"/>
        </w:rPr>
        <w:t>Proxy Statement Summary</w:t>
      </w:r>
    </w:p>
    <w:p>
      <w:pPr>
        <w:spacing w:after="0" w:line="2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cs="Arial" w:eastAsia="Arial" w:hAnsi="Arial"/>
          <w:sz w:val="18"/>
          <w:szCs w:val="18"/>
          <w:u w:val="single" w:color="auto"/>
          <w:color w:val="auto"/>
        </w:rPr>
        <w:t>https://www.cohu.com/company-corporate-sustainability</w:t>
      </w:r>
      <w:r>
        <w:rPr>
          <w:rFonts w:ascii="Arial" w:cs="Arial" w:eastAsia="Arial" w:hAnsi="Arial"/>
          <w:sz w:val="18"/>
          <w:szCs w:val="18"/>
          <w:color w:val="auto"/>
        </w:rPr>
        <w:t>. The content of any website or report referred to in this proxy statement is not a part of nor incorporated by reference in this proxy statement unless expressly noted.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use the terms “Cohu,” the “Company,” “we,” “our,” and “us” in this proxy statement to refer to Cohu, Inc., a Delaware corporation. We also use the term “Board” to refer to the Company’s Board of Directors.</w:t>
      </w:r>
    </w:p>
    <w:p>
      <w:pPr>
        <w:spacing w:after="0" w:line="14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About Cohu</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Cohu is a leading supplier of semiconductor test automation and inspection equipment, micro -electromechanical system (MEMS) test modules, test contactors, thermal sub-systems and semiconductor automated test equipment used by global semiconductor manufacturers and their test subcontractors. Our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113665</wp:posOffset>
            </wp:positionV>
            <wp:extent cx="48006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139700</wp:posOffset>
            </wp:positionV>
            <wp:extent cx="42862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165100</wp:posOffset>
            </wp:positionV>
            <wp:extent cx="368300"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165100</wp:posOffset>
            </wp:positionV>
            <wp:extent cx="37719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Test Automation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Inspection &amp;</w:t>
            </w:r>
          </w:p>
        </w:tc>
        <w:tc>
          <w:tcPr>
            <w:tcW w:w="24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Semiconductor</w:t>
            </w:r>
          </w:p>
        </w:tc>
        <w:tc>
          <w:tcPr>
            <w:tcW w:w="23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Interface Solutions</w:t>
            </w:r>
          </w:p>
        </w:tc>
        <w:tc>
          <w:tcPr>
            <w:tcW w:w="1520" w:type="dxa"/>
            <w:vAlign w:val="bottom"/>
            <w:vMerge w:val="restart"/>
          </w:tcPr>
          <w:p>
            <w:pPr>
              <w:ind w:left="280"/>
              <w:spacing w:after="0"/>
              <w:rPr>
                <w:sz w:val="20"/>
                <w:szCs w:val="20"/>
                <w:color w:val="auto"/>
              </w:rPr>
            </w:pPr>
            <w:r>
              <w:rPr>
                <w:rFonts w:ascii="Arial" w:cs="Arial" w:eastAsia="Arial" w:hAnsi="Arial"/>
                <w:sz w:val="18"/>
                <w:szCs w:val="18"/>
                <w:b w:val="1"/>
                <w:bCs w:val="1"/>
                <w:color w:val="auto"/>
                <w:w w:val="98"/>
              </w:rPr>
              <w:t>Data Analytics</w:t>
            </w:r>
          </w:p>
        </w:tc>
        <w:tc>
          <w:tcPr>
            <w:tcW w:w="0" w:type="dxa"/>
            <w:vAlign w:val="bottom"/>
          </w:tcPr>
          <w:p>
            <w:pPr>
              <w:spacing w:after="0"/>
              <w:rPr>
                <w:sz w:val="1"/>
                <w:szCs w:val="1"/>
                <w:color w:val="auto"/>
              </w:rPr>
            </w:pPr>
          </w:p>
        </w:tc>
      </w:tr>
      <w:tr>
        <w:trPr>
          <w:trHeight w:val="139"/>
        </w:trPr>
        <w:tc>
          <w:tcPr>
            <w:tcW w:w="1980" w:type="dxa"/>
            <w:vAlign w:val="bottom"/>
            <w:vMerge w:val="continue"/>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Metrology</w:t>
            </w:r>
          </w:p>
        </w:tc>
        <w:tc>
          <w:tcPr>
            <w:tcW w:w="24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6"/>
              </w:rPr>
              <w:t>Testers</w:t>
            </w:r>
          </w:p>
        </w:tc>
        <w:tc>
          <w:tcPr>
            <w:tcW w:w="23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112395</wp:posOffset>
            </wp:positionV>
            <wp:extent cx="3385820" cy="1911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858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219075</wp:posOffset>
            </wp:positionV>
            <wp:extent cx="41148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167640</wp:posOffset>
            </wp:positionV>
            <wp:extent cx="522605" cy="52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150495</wp:posOffset>
            </wp:positionV>
            <wp:extent cx="557530" cy="557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30" cy="5575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210185</wp:posOffset>
            </wp:positionV>
            <wp:extent cx="436880"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6880" cy="43688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150495</wp:posOffset>
            </wp:positionV>
            <wp:extent cx="522605"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38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1947</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Poway, CA</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3,000+</w:t>
            </w:r>
          </w:p>
        </w:tc>
        <w:tc>
          <w:tcPr>
            <w:tcW w:w="2200" w:type="dxa"/>
            <w:vAlign w:val="bottom"/>
          </w:tcPr>
          <w:p>
            <w:pPr>
              <w:jc w:val="center"/>
              <w:ind w:left="170"/>
              <w:spacing w:after="0"/>
              <w:rPr>
                <w:sz w:val="20"/>
                <w:szCs w:val="20"/>
                <w:color w:val="auto"/>
              </w:rPr>
            </w:pPr>
            <w:r>
              <w:rPr>
                <w:rFonts w:ascii="Arial" w:cs="Arial" w:eastAsia="Arial" w:hAnsi="Arial"/>
                <w:sz w:val="18"/>
                <w:szCs w:val="18"/>
                <w:b w:val="1"/>
                <w:bCs w:val="1"/>
                <w:color w:val="auto"/>
              </w:rPr>
              <w:t>24,700+</w:t>
            </w:r>
          </w:p>
        </w:tc>
        <w:tc>
          <w:tcPr>
            <w:tcW w:w="1940" w:type="dxa"/>
            <w:vAlign w:val="bottom"/>
          </w:tcPr>
          <w:p>
            <w:pPr>
              <w:jc w:val="right"/>
              <w:ind w:right="49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236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w w:val="98"/>
              </w:rPr>
              <w:t>Employees</w:t>
            </w:r>
          </w:p>
        </w:tc>
        <w:tc>
          <w:tcPr>
            <w:tcW w:w="2200" w:type="dxa"/>
            <w:vAlign w:val="bottom"/>
            <w:vMerge w:val="restart"/>
          </w:tcPr>
          <w:p>
            <w:pPr>
              <w:jc w:val="center"/>
              <w:ind w:left="170"/>
              <w:spacing w:after="0" w:line="202" w:lineRule="exact"/>
              <w:rPr>
                <w:sz w:val="20"/>
                <w:szCs w:val="20"/>
                <w:color w:val="auto"/>
              </w:rPr>
            </w:pPr>
            <w:r>
              <w:rPr>
                <w:rFonts w:ascii="Arial" w:cs="Arial" w:eastAsia="Arial" w:hAnsi="Arial"/>
                <w:sz w:val="18"/>
                <w:szCs w:val="18"/>
                <w:color w:val="2D53A6"/>
                <w:w w:val="99"/>
              </w:rPr>
              <w:t>Equipment</w:t>
            </w:r>
          </w:p>
        </w:tc>
        <w:tc>
          <w:tcPr>
            <w:tcW w:w="1940" w:type="dxa"/>
            <w:vAlign w:val="bottom"/>
            <w:vMerge w:val="restart"/>
          </w:tcPr>
          <w:p>
            <w:pPr>
              <w:jc w:val="center"/>
              <w:ind w:left="330"/>
              <w:spacing w:after="0" w:line="202" w:lineRule="exact"/>
              <w:rPr>
                <w:sz w:val="20"/>
                <w:szCs w:val="20"/>
                <w:color w:val="auto"/>
              </w:rPr>
            </w:pPr>
            <w:r>
              <w:rPr>
                <w:rFonts w:ascii="Arial" w:cs="Arial" w:eastAsia="Arial" w:hAnsi="Arial"/>
                <w:sz w:val="18"/>
                <w:szCs w:val="18"/>
                <w:color w:val="2D53A6"/>
              </w:rPr>
              <w:t xml:space="preserve">R&amp;D % of Sales </w:t>
            </w:r>
            <w:r>
              <w:rPr>
                <w:rFonts w:ascii="Arial" w:cs="Arial" w:eastAsia="Arial" w:hAnsi="Arial"/>
                <w:sz w:val="14"/>
                <w:szCs w:val="14"/>
                <w:color w:val="2D53A6"/>
              </w:rPr>
              <w:t>(1)</w:t>
            </w: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590"/>
              <w:spacing w:after="0"/>
              <w:rPr>
                <w:sz w:val="20"/>
                <w:szCs w:val="20"/>
                <w:color w:val="auto"/>
              </w:rPr>
            </w:pPr>
            <w:r>
              <w:rPr>
                <w:rFonts w:ascii="Arial" w:cs="Arial" w:eastAsia="Arial" w:hAnsi="Arial"/>
                <w:sz w:val="18"/>
                <w:szCs w:val="18"/>
                <w:color w:val="2D53A6"/>
                <w:w w:val="98"/>
              </w:rPr>
              <w:t>Founded</w:t>
            </w:r>
          </w:p>
        </w:tc>
        <w:tc>
          <w:tcPr>
            <w:tcW w:w="2480" w:type="dxa"/>
            <w:vAlign w:val="bottom"/>
            <w:vMerge w:val="restart"/>
          </w:tcPr>
          <w:p>
            <w:pPr>
              <w:jc w:val="center"/>
              <w:spacing w:after="0"/>
              <w:rPr>
                <w:sz w:val="20"/>
                <w:szCs w:val="20"/>
                <w:color w:val="auto"/>
              </w:rPr>
            </w:pPr>
            <w:r>
              <w:rPr>
                <w:rFonts w:ascii="Arial" w:cs="Arial" w:eastAsia="Arial" w:hAnsi="Arial"/>
                <w:sz w:val="18"/>
                <w:szCs w:val="18"/>
                <w:color w:val="2D53A6"/>
              </w:rPr>
              <w:t>Headquarters</w:t>
            </w:r>
          </w:p>
        </w:tc>
        <w:tc>
          <w:tcPr>
            <w:tcW w:w="23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8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2360" w:type="dxa"/>
            <w:vAlign w:val="bottom"/>
            <w:vMerge w:val="restart"/>
          </w:tcPr>
          <w:p>
            <w:pPr>
              <w:jc w:val="center"/>
              <w:spacing w:after="0"/>
              <w:rPr>
                <w:sz w:val="20"/>
                <w:szCs w:val="20"/>
                <w:color w:val="auto"/>
              </w:rPr>
            </w:pPr>
            <w:r>
              <w:rPr>
                <w:rFonts w:ascii="Arial" w:cs="Arial" w:eastAsia="Arial" w:hAnsi="Arial"/>
                <w:sz w:val="18"/>
                <w:szCs w:val="18"/>
                <w:color w:val="2D53A6"/>
                <w:w w:val="99"/>
              </w:rPr>
              <w:t>(Worldwide)</w:t>
            </w:r>
          </w:p>
        </w:tc>
        <w:tc>
          <w:tcPr>
            <w:tcW w:w="2200" w:type="dxa"/>
            <w:vAlign w:val="bottom"/>
            <w:vMerge w:val="restart"/>
          </w:tcPr>
          <w:p>
            <w:pPr>
              <w:jc w:val="center"/>
              <w:ind w:left="170"/>
              <w:spacing w:after="0"/>
              <w:rPr>
                <w:sz w:val="20"/>
                <w:szCs w:val="20"/>
                <w:color w:val="auto"/>
              </w:rPr>
            </w:pPr>
            <w:r>
              <w:rPr>
                <w:rFonts w:ascii="Arial" w:cs="Arial" w:eastAsia="Arial" w:hAnsi="Arial"/>
                <w:sz w:val="18"/>
                <w:szCs w:val="18"/>
                <w:color w:val="2D53A6"/>
              </w:rPr>
              <w:t>Installed Base</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 xml:space="preserve">Global Technology and Market Leader in $3.2 billion </w:t>
      </w:r>
      <w:r>
        <w:rPr>
          <w:rFonts w:ascii="Arial" w:cs="Arial" w:eastAsia="Arial" w:hAnsi="Arial"/>
          <w:sz w:val="17"/>
          <w:szCs w:val="17"/>
          <w:b w:val="1"/>
          <w:bCs w:val="1"/>
          <w:color w:val="auto"/>
        </w:rPr>
        <w:t>(2)</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Semiconductor Equipment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255270</wp:posOffset>
            </wp:positionV>
            <wp:extent cx="3780155" cy="3051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8015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Cohu, Inc. Headquarters, Poway, California</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fiscal year 2023.</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Cohu Serviceable Addressable Market (SAM), based on 2023 company estimates.</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Fiscal Year 2023 Financial Highlights</w:t>
      </w:r>
    </w:p>
    <w:p>
      <w:pPr>
        <w:spacing w:after="0" w:line="208" w:lineRule="exact"/>
        <w:rPr>
          <w:sz w:val="20"/>
          <w:szCs w:val="20"/>
          <w:color w:val="auto"/>
        </w:rPr>
      </w:pPr>
    </w:p>
    <w:p>
      <w:pPr>
        <w:ind w:left="1780" w:right="780" w:hanging="671"/>
        <w:spacing w:after="0" w:line="422" w:lineRule="auto"/>
        <w:rPr>
          <w:sz w:val="20"/>
          <w:szCs w:val="20"/>
          <w:color w:val="auto"/>
        </w:rPr>
      </w:pPr>
      <w:r>
        <w:rPr>
          <w:rFonts w:ascii="Arial" w:cs="Arial" w:eastAsia="Arial" w:hAnsi="Arial"/>
          <w:sz w:val="22"/>
          <w:szCs w:val="22"/>
          <w:b w:val="1"/>
          <w:bCs w:val="1"/>
          <w:color w:val="auto"/>
        </w:rPr>
        <w:t>Sales of $636.3 million despite challenging market conditions in the second half of the year Achieved gross margin improvement of 40 basis points over 2022 to 47.6%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80" w:type="dxa"/>
            <w:vAlign w:val="bottom"/>
          </w:tcPr>
          <w:p>
            <w:pPr>
              <w:jc w:val="center"/>
              <w:ind w:right="2641"/>
              <w:spacing w:after="0"/>
              <w:rPr>
                <w:sz w:val="20"/>
                <w:szCs w:val="20"/>
                <w:color w:val="auto"/>
              </w:rPr>
            </w:pPr>
            <w:r>
              <w:rPr>
                <w:rFonts w:ascii="Arial" w:cs="Arial" w:eastAsia="Arial" w:hAnsi="Arial"/>
                <w:sz w:val="22"/>
                <w:szCs w:val="22"/>
                <w:b w:val="1"/>
                <w:bCs w:val="1"/>
                <w:color w:val="auto"/>
                <w:w w:val="98"/>
              </w:rPr>
              <w:t>$636.3M</w:t>
            </w:r>
          </w:p>
        </w:tc>
        <w:tc>
          <w:tcPr>
            <w:tcW w:w="1960" w:type="dxa"/>
            <w:vAlign w:val="bottom"/>
          </w:tcPr>
          <w:p>
            <w:pPr>
              <w:jc w:val="center"/>
              <w:ind w:right="126"/>
              <w:spacing w:after="0"/>
              <w:rPr>
                <w:sz w:val="20"/>
                <w:szCs w:val="20"/>
                <w:color w:val="auto"/>
              </w:rPr>
            </w:pPr>
            <w:r>
              <w:rPr>
                <w:rFonts w:ascii="Arial" w:cs="Arial" w:eastAsia="Arial" w:hAnsi="Arial"/>
                <w:sz w:val="22"/>
                <w:szCs w:val="22"/>
                <w:b w:val="1"/>
                <w:bCs w:val="1"/>
                <w:color w:val="auto"/>
                <w:w w:val="98"/>
              </w:rPr>
              <w:t>$0.59</w:t>
            </w:r>
          </w:p>
        </w:tc>
        <w:tc>
          <w:tcPr>
            <w:tcW w:w="1800" w:type="dxa"/>
            <w:vAlign w:val="bottom"/>
          </w:tcPr>
          <w:p>
            <w:pPr>
              <w:spacing w:after="0"/>
              <w:rPr>
                <w:sz w:val="21"/>
                <w:szCs w:val="21"/>
                <w:color w:val="auto"/>
              </w:rPr>
            </w:pPr>
          </w:p>
        </w:tc>
        <w:tc>
          <w:tcPr>
            <w:tcW w:w="2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6"/>
              </w:rPr>
              <w:t>47.6%</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tcPr>
          <w:p>
            <w:pPr>
              <w:jc w:val="center"/>
              <w:ind w:right="2641"/>
              <w:spacing w:after="0" w:line="202" w:lineRule="exact"/>
              <w:rPr>
                <w:sz w:val="20"/>
                <w:szCs w:val="20"/>
                <w:color w:val="auto"/>
              </w:rPr>
            </w:pPr>
            <w:r>
              <w:rPr>
                <w:rFonts w:ascii="Arial" w:cs="Arial" w:eastAsia="Arial" w:hAnsi="Arial"/>
                <w:sz w:val="18"/>
                <w:szCs w:val="18"/>
                <w:color w:val="2D53A6"/>
                <w:w w:val="99"/>
              </w:rPr>
              <w:t>Revenue</w:t>
            </w:r>
          </w:p>
        </w:tc>
        <w:tc>
          <w:tcPr>
            <w:tcW w:w="1960" w:type="dxa"/>
            <w:vAlign w:val="bottom"/>
          </w:tcPr>
          <w:p>
            <w:pPr>
              <w:jc w:val="center"/>
              <w:ind w:right="126"/>
              <w:spacing w:after="0" w:line="202" w:lineRule="exact"/>
              <w:rPr>
                <w:sz w:val="20"/>
                <w:szCs w:val="20"/>
                <w:color w:val="auto"/>
              </w:rPr>
            </w:pPr>
            <w:r>
              <w:rPr>
                <w:rFonts w:ascii="Arial" w:cs="Arial" w:eastAsia="Arial" w:hAnsi="Arial"/>
                <w:sz w:val="18"/>
                <w:szCs w:val="18"/>
                <w:color w:val="2D53A6"/>
                <w:w w:val="99"/>
              </w:rPr>
              <w:t>GAAP</w:t>
            </w:r>
          </w:p>
        </w:tc>
        <w:tc>
          <w:tcPr>
            <w:tcW w:w="180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vMerge w:val="restart"/>
          </w:tcPr>
          <w:p>
            <w:pPr>
              <w:jc w:val="center"/>
              <w:ind w:right="2641"/>
              <w:spacing w:after="0"/>
              <w:rPr>
                <w:sz w:val="20"/>
                <w:szCs w:val="20"/>
                <w:color w:val="auto"/>
              </w:rPr>
            </w:pPr>
            <w:r>
              <w:rPr>
                <w:rFonts w:ascii="Arial" w:cs="Arial" w:eastAsia="Arial" w:hAnsi="Arial"/>
                <w:sz w:val="22"/>
                <w:szCs w:val="22"/>
                <w:b w:val="1"/>
                <w:bCs w:val="1"/>
                <w:color w:val="auto"/>
                <w:w w:val="98"/>
              </w:rPr>
              <w:t>$335.7M</w:t>
            </w:r>
          </w:p>
        </w:tc>
        <w:tc>
          <w:tcPr>
            <w:tcW w:w="1960" w:type="dxa"/>
            <w:vAlign w:val="bottom"/>
          </w:tcPr>
          <w:p>
            <w:pPr>
              <w:jc w:val="center"/>
              <w:ind w:right="126"/>
              <w:spacing w:after="0" w:line="202" w:lineRule="exact"/>
              <w:rPr>
                <w:sz w:val="20"/>
                <w:szCs w:val="20"/>
                <w:color w:val="auto"/>
              </w:rPr>
            </w:pPr>
            <w:r>
              <w:rPr>
                <w:rFonts w:ascii="Arial" w:cs="Arial" w:eastAsia="Arial" w:hAnsi="Arial"/>
                <w:sz w:val="18"/>
                <w:szCs w:val="18"/>
                <w:color w:val="2D53A6"/>
                <w:w w:val="99"/>
              </w:rPr>
              <w:t>Earnings per</w:t>
            </w:r>
          </w:p>
        </w:tc>
        <w:tc>
          <w:tcPr>
            <w:tcW w:w="1800" w:type="dxa"/>
            <w:vAlign w:val="bottom"/>
            <w:vMerge w:val="restart"/>
          </w:tcPr>
          <w:p>
            <w:pPr>
              <w:jc w:val="right"/>
              <w:ind w:right="1052"/>
              <w:spacing w:after="0"/>
              <w:rPr>
                <w:sz w:val="20"/>
                <w:szCs w:val="20"/>
                <w:color w:val="auto"/>
              </w:rPr>
            </w:pPr>
            <w:r>
              <w:rPr>
                <w:rFonts w:ascii="Arial" w:cs="Arial" w:eastAsia="Arial" w:hAnsi="Arial"/>
                <w:sz w:val="22"/>
                <w:szCs w:val="22"/>
                <w:b w:val="1"/>
                <w:bCs w:val="1"/>
                <w:color w:val="auto"/>
              </w:rPr>
              <w:t>`</w:t>
            </w:r>
          </w:p>
        </w:tc>
        <w:tc>
          <w:tcPr>
            <w:tcW w:w="2240" w:type="dxa"/>
            <w:vAlign w:val="bottom"/>
          </w:tcPr>
          <w:p>
            <w:pPr>
              <w:jc w:val="center"/>
              <w:spacing w:after="0" w:line="202" w:lineRule="exact"/>
              <w:rPr>
                <w:sz w:val="20"/>
                <w:szCs w:val="20"/>
                <w:color w:val="auto"/>
              </w:rPr>
            </w:pPr>
            <w:r>
              <w:rPr>
                <w:rFonts w:ascii="Arial" w:cs="Arial" w:eastAsia="Arial" w:hAnsi="Arial"/>
                <w:sz w:val="18"/>
                <w:szCs w:val="18"/>
                <w:color w:val="2D53A6"/>
                <w:w w:val="99"/>
              </w:rPr>
              <w:t>GAAP</w:t>
            </w: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1960" w:type="dxa"/>
            <w:vAlign w:val="bottom"/>
          </w:tcPr>
          <w:p>
            <w:pPr>
              <w:jc w:val="center"/>
              <w:ind w:right="126"/>
              <w:spacing w:after="0" w:line="194" w:lineRule="exact"/>
              <w:rPr>
                <w:sz w:val="20"/>
                <w:szCs w:val="20"/>
                <w:color w:val="auto"/>
              </w:rPr>
            </w:pPr>
            <w:r>
              <w:rPr>
                <w:rFonts w:ascii="Arial" w:cs="Arial" w:eastAsia="Arial" w:hAnsi="Arial"/>
                <w:sz w:val="18"/>
                <w:szCs w:val="18"/>
                <w:color w:val="2D53A6"/>
              </w:rPr>
              <w:t>Diluted Share</w:t>
            </w:r>
          </w:p>
        </w:tc>
        <w:tc>
          <w:tcPr>
            <w:tcW w:w="1800" w:type="dxa"/>
            <w:vAlign w:val="bottom"/>
            <w:vMerge w:val="continue"/>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Arial" w:cs="Arial" w:eastAsia="Arial" w:hAnsi="Arial"/>
                <w:sz w:val="18"/>
                <w:szCs w:val="18"/>
                <w:color w:val="2D53A6"/>
                <w:w w:val="99"/>
              </w:rPr>
              <w:t>Gross Margin</w:t>
            </w: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720" w:type="dxa"/>
            <w:vAlign w:val="bottom"/>
            <w:gridSpan w:val="2"/>
          </w:tcPr>
          <w:p>
            <w:pPr>
              <w:jc w:val="center"/>
              <w:ind w:right="1901"/>
              <w:spacing w:after="0"/>
              <w:rPr>
                <w:sz w:val="20"/>
                <w:szCs w:val="20"/>
                <w:color w:val="auto"/>
              </w:rPr>
            </w:pPr>
            <w:r>
              <w:rPr>
                <w:rFonts w:ascii="Arial" w:cs="Arial" w:eastAsia="Arial" w:hAnsi="Arial"/>
                <w:sz w:val="18"/>
                <w:szCs w:val="18"/>
                <w:color w:val="2D53A6"/>
              </w:rPr>
              <w:t xml:space="preserve">Cash &amp; Investments </w:t>
            </w:r>
            <w:r>
              <w:rPr>
                <w:rFonts w:ascii="Arial" w:cs="Arial" w:eastAsia="Arial" w:hAnsi="Arial"/>
                <w:sz w:val="14"/>
                <w:szCs w:val="14"/>
                <w:color w:val="2D53A6"/>
              </w:rPr>
              <w:t>(1)</w:t>
            </w:r>
          </w:p>
        </w:tc>
        <w:tc>
          <w:tcPr>
            <w:tcW w:w="1960" w:type="dxa"/>
            <w:vAlign w:val="bottom"/>
          </w:tcPr>
          <w:p>
            <w:pPr>
              <w:jc w:val="center"/>
              <w:ind w:right="106"/>
              <w:spacing w:after="0"/>
              <w:rPr>
                <w:sz w:val="20"/>
                <w:szCs w:val="20"/>
                <w:color w:val="auto"/>
              </w:rPr>
            </w:pPr>
            <w:r>
              <w:rPr>
                <w:rFonts w:ascii="Arial" w:cs="Arial" w:eastAsia="Arial" w:hAnsi="Arial"/>
                <w:sz w:val="18"/>
                <w:szCs w:val="18"/>
                <w:color w:val="2D53A6"/>
                <w:w w:val="99"/>
              </w:rPr>
              <w:t>(EPS)</w:t>
            </w:r>
          </w:p>
        </w:tc>
        <w:tc>
          <w:tcPr>
            <w:tcW w:w="18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5240" w:type="dxa"/>
            <w:vAlign w:val="bottom"/>
            <w:gridSpan w:val="3"/>
          </w:tcPr>
          <w:p>
            <w:pPr>
              <w:jc w:val="center"/>
              <w:ind w:right="1381"/>
              <w:spacing w:after="0"/>
              <w:rPr>
                <w:sz w:val="20"/>
                <w:szCs w:val="20"/>
                <w:color w:val="auto"/>
              </w:rPr>
            </w:pPr>
            <w:r>
              <w:rPr>
                <w:rFonts w:ascii="Arial" w:cs="Arial" w:eastAsia="Arial" w:hAnsi="Arial"/>
                <w:sz w:val="22"/>
                <w:szCs w:val="22"/>
                <w:b w:val="1"/>
                <w:bCs w:val="1"/>
                <w:color w:val="auto"/>
              </w:rPr>
              <w:t>7%</w:t>
            </w:r>
          </w:p>
        </w:tc>
        <w:tc>
          <w:tcPr>
            <w:tcW w:w="1960" w:type="dxa"/>
            <w:vAlign w:val="bottom"/>
          </w:tcPr>
          <w:p>
            <w:pPr>
              <w:jc w:val="center"/>
              <w:ind w:right="126"/>
              <w:spacing w:after="0"/>
              <w:rPr>
                <w:sz w:val="20"/>
                <w:szCs w:val="20"/>
                <w:color w:val="auto"/>
              </w:rPr>
            </w:pPr>
            <w:r>
              <w:rPr>
                <w:rFonts w:ascii="Arial" w:cs="Arial" w:eastAsia="Arial" w:hAnsi="Arial"/>
                <w:sz w:val="22"/>
                <w:szCs w:val="22"/>
                <w:b w:val="1"/>
                <w:bCs w:val="1"/>
                <w:color w:val="auto"/>
                <w:w w:val="98"/>
              </w:rPr>
              <w:t>$1.62</w:t>
            </w:r>
          </w:p>
        </w:tc>
        <w:tc>
          <w:tcPr>
            <w:tcW w:w="18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22"/>
                <w:szCs w:val="22"/>
                <w:b w:val="1"/>
                <w:bCs w:val="1"/>
                <w:color w:val="auto"/>
                <w:w w:val="96"/>
              </w:rPr>
              <w:t>47.9%</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4720" w:type="dxa"/>
            <w:vAlign w:val="bottom"/>
            <w:gridSpan w:val="2"/>
          </w:tcPr>
          <w:p>
            <w:pPr>
              <w:jc w:val="center"/>
              <w:ind w:right="1901"/>
              <w:spacing w:after="0" w:line="202" w:lineRule="exact"/>
              <w:rPr>
                <w:sz w:val="20"/>
                <w:szCs w:val="20"/>
                <w:color w:val="auto"/>
              </w:rPr>
            </w:pPr>
            <w:r>
              <w:rPr>
                <w:rFonts w:ascii="Arial" w:cs="Arial" w:eastAsia="Arial" w:hAnsi="Arial"/>
                <w:sz w:val="18"/>
                <w:szCs w:val="18"/>
                <w:color w:val="2D53A6"/>
                <w:w w:val="99"/>
              </w:rPr>
              <w:t>5-year sales growth</w:t>
            </w:r>
          </w:p>
        </w:tc>
        <w:tc>
          <w:tcPr>
            <w:tcW w:w="1960" w:type="dxa"/>
            <w:vAlign w:val="bottom"/>
          </w:tcPr>
          <w:p>
            <w:pPr>
              <w:jc w:val="center"/>
              <w:ind w:right="126"/>
              <w:spacing w:after="0" w:line="202" w:lineRule="exact"/>
              <w:rPr>
                <w:sz w:val="20"/>
                <w:szCs w:val="20"/>
                <w:color w:val="auto"/>
              </w:rPr>
            </w:pPr>
            <w:r>
              <w:rPr>
                <w:rFonts w:ascii="Arial" w:cs="Arial" w:eastAsia="Arial" w:hAnsi="Arial"/>
                <w:sz w:val="18"/>
                <w:szCs w:val="18"/>
                <w:color w:val="2D53A6"/>
              </w:rPr>
              <w:t>Non-GAAP</w:t>
            </w:r>
          </w:p>
        </w:tc>
        <w:tc>
          <w:tcPr>
            <w:tcW w:w="18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color w:val="2D53A6"/>
                <w:w w:val="98"/>
              </w:rPr>
              <w:t>Non-GAAP</w:t>
            </w: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80" w:type="dxa"/>
            <w:vAlign w:val="bottom"/>
          </w:tcPr>
          <w:p>
            <w:pPr>
              <w:jc w:val="center"/>
              <w:ind w:right="2641"/>
              <w:spacing w:after="0"/>
              <w:rPr>
                <w:sz w:val="20"/>
                <w:szCs w:val="20"/>
                <w:color w:val="auto"/>
              </w:rPr>
            </w:pPr>
            <w:r>
              <w:rPr>
                <w:rFonts w:ascii="Arial" w:cs="Arial" w:eastAsia="Arial" w:hAnsi="Arial"/>
                <w:sz w:val="18"/>
                <w:szCs w:val="18"/>
                <w:color w:val="2D53A6"/>
                <w:w w:val="99"/>
              </w:rPr>
              <w:t>CAGR</w:t>
            </w:r>
          </w:p>
        </w:tc>
        <w:tc>
          <w:tcPr>
            <w:tcW w:w="1960" w:type="dxa"/>
            <w:vAlign w:val="bottom"/>
          </w:tcPr>
          <w:p>
            <w:pPr>
              <w:jc w:val="center"/>
              <w:ind w:right="126"/>
              <w:spacing w:after="0"/>
              <w:rPr>
                <w:sz w:val="20"/>
                <w:szCs w:val="20"/>
                <w:color w:val="auto"/>
              </w:rPr>
            </w:pPr>
            <w:r>
              <w:rPr>
                <w:rFonts w:ascii="Arial" w:cs="Arial" w:eastAsia="Arial" w:hAnsi="Arial"/>
                <w:sz w:val="18"/>
                <w:szCs w:val="18"/>
                <w:color w:val="2D53A6"/>
                <w:w w:val="99"/>
              </w:rPr>
              <w:t xml:space="preserve">EPS </w:t>
            </w:r>
            <w:r>
              <w:rPr>
                <w:rFonts w:ascii="Arial" w:cs="Arial" w:eastAsia="Arial" w:hAnsi="Arial"/>
                <w:sz w:val="14"/>
                <w:szCs w:val="14"/>
                <w:color w:val="2D53A6"/>
                <w:w w:val="99"/>
              </w:rPr>
              <w:t>(2)</w:t>
            </w:r>
          </w:p>
        </w:tc>
        <w:tc>
          <w:tcPr>
            <w:tcW w:w="18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2D53A6"/>
              </w:rPr>
              <w:t xml:space="preserve">Gross Margin </w:t>
            </w:r>
            <w:r>
              <w:rPr>
                <w:rFonts w:ascii="Arial" w:cs="Arial" w:eastAsia="Arial" w:hAnsi="Arial"/>
                <w:sz w:val="14"/>
                <w:szCs w:val="14"/>
                <w:color w:val="2D53A6"/>
              </w:rPr>
              <w:t>(2)</w:t>
            </w:r>
          </w:p>
        </w:tc>
        <w:tc>
          <w:tcPr>
            <w:tcW w:w="0" w:type="dxa"/>
            <w:vAlign w:val="bottom"/>
          </w:tcPr>
          <w:p>
            <w:pPr>
              <w:spacing w:after="0"/>
              <w:rPr>
                <w:sz w:val="1"/>
                <w:szCs w:val="1"/>
                <w:color w:val="auto"/>
              </w:rPr>
            </w:pPr>
          </w:p>
        </w:tc>
      </w:tr>
      <w:tr>
        <w:trPr>
          <w:trHeight w:val="392"/>
        </w:trPr>
        <w:tc>
          <w:tcPr>
            <w:tcW w:w="5240" w:type="dxa"/>
            <w:vAlign w:val="bottom"/>
            <w:gridSpan w:val="3"/>
          </w:tcPr>
          <w:p>
            <w:pPr>
              <w:spacing w:after="0"/>
              <w:rPr>
                <w:sz w:val="20"/>
                <w:szCs w:val="20"/>
                <w:color w:val="auto"/>
              </w:rPr>
            </w:pPr>
            <w:r>
              <w:rPr>
                <w:rFonts w:ascii="Arial" w:cs="Arial" w:eastAsia="Arial" w:hAnsi="Arial"/>
                <w:sz w:val="14"/>
                <w:szCs w:val="14"/>
                <w:color w:val="auto"/>
              </w:rPr>
              <w:t>(1) As of December 30, 2023</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40" w:type="dxa"/>
            <w:vAlign w:val="bottom"/>
            <w:gridSpan w:val="3"/>
          </w:tcPr>
          <w:p>
            <w:pPr>
              <w:spacing w:after="0" w:line="158" w:lineRule="exact"/>
              <w:rPr>
                <w:sz w:val="20"/>
                <w:szCs w:val="20"/>
                <w:color w:val="auto"/>
              </w:rPr>
            </w:pPr>
            <w:r>
              <w:rPr>
                <w:rFonts w:ascii="Arial" w:cs="Arial" w:eastAsia="Arial" w:hAnsi="Arial"/>
                <w:sz w:val="14"/>
                <w:szCs w:val="14"/>
                <w:color w:val="auto"/>
              </w:rPr>
              <w:t>(2) See Appendix A for GAAP to non-GAAP reconciliations</w:t>
            </w:r>
          </w:p>
        </w:tc>
        <w:tc>
          <w:tcPr>
            <w:tcW w:w="19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40" w:type="dxa"/>
            <w:vAlign w:val="bottom"/>
            <w:gridSpan w:val="3"/>
          </w:tcPr>
          <w:p>
            <w:pPr>
              <w:spacing w:after="0"/>
              <w:rPr>
                <w:sz w:val="20"/>
                <w:szCs w:val="20"/>
                <w:color w:val="auto"/>
              </w:rPr>
            </w:pPr>
            <w:r>
              <w:rPr>
                <w:rFonts w:ascii="Arial" w:cs="Arial" w:eastAsia="Arial" w:hAnsi="Arial"/>
                <w:sz w:val="25"/>
                <w:szCs w:val="25"/>
                <w:b w:val="1"/>
                <w:bCs w:val="1"/>
                <w:color w:val="2D53A6"/>
              </w:rPr>
              <w:t>Proposals and Voting Recommendations</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40" w:type="dxa"/>
            <w:vAlign w:val="bottom"/>
            <w:gridSpan w:val="3"/>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Voting Matters</w:t>
            </w:r>
          </w:p>
        </w:tc>
        <w:tc>
          <w:tcPr>
            <w:tcW w:w="1960" w:type="dxa"/>
            <w:vAlign w:val="bottom"/>
            <w:shd w:val="clear" w:color="auto" w:fill="2D53A6"/>
          </w:tcPr>
          <w:p>
            <w:pPr>
              <w:spacing w:after="0"/>
              <w:rPr>
                <w:sz w:val="18"/>
                <w:szCs w:val="18"/>
                <w:color w:val="auto"/>
              </w:rPr>
            </w:pPr>
          </w:p>
        </w:tc>
        <w:tc>
          <w:tcPr>
            <w:tcW w:w="1800" w:type="dxa"/>
            <w:vAlign w:val="bottom"/>
            <w:tcBorders>
              <w:right w:val="single" w:sz="8" w:color="2D53A6"/>
            </w:tcBorders>
            <w:shd w:val="clear" w:color="auto" w:fill="2D53A6"/>
          </w:tcPr>
          <w:p>
            <w:pPr>
              <w:spacing w:after="0"/>
              <w:rPr>
                <w:sz w:val="18"/>
                <w:szCs w:val="18"/>
                <w:color w:val="auto"/>
              </w:rPr>
            </w:pPr>
          </w:p>
        </w:tc>
        <w:tc>
          <w:tcPr>
            <w:tcW w:w="2240" w:type="dxa"/>
            <w:vAlign w:val="bottom"/>
            <w:shd w:val="clear" w:color="auto" w:fill="2D53A6"/>
          </w:tcPr>
          <w:p>
            <w:pPr>
              <w:ind w:left="20"/>
              <w:spacing w:after="0"/>
              <w:rPr>
                <w:sz w:val="20"/>
                <w:szCs w:val="20"/>
                <w:color w:val="auto"/>
              </w:rPr>
            </w:pPr>
            <w:r>
              <w:rPr>
                <w:rFonts w:ascii="Arial" w:cs="Arial" w:eastAsia="Arial" w:hAnsi="Arial"/>
                <w:sz w:val="18"/>
                <w:szCs w:val="18"/>
                <w:b w:val="1"/>
                <w:bCs w:val="1"/>
                <w:color w:val="FFFFFF"/>
              </w:rPr>
              <w:t>Board Vote</w:t>
            </w:r>
          </w:p>
        </w:tc>
        <w:tc>
          <w:tcPr>
            <w:tcW w:w="0" w:type="dxa"/>
            <w:vAlign w:val="bottom"/>
          </w:tcPr>
          <w:p>
            <w:pPr>
              <w:spacing w:after="0"/>
              <w:rPr>
                <w:sz w:val="1"/>
                <w:szCs w:val="1"/>
                <w:color w:val="auto"/>
              </w:rPr>
            </w:pPr>
          </w:p>
        </w:tc>
      </w:tr>
      <w:tr>
        <w:trPr>
          <w:trHeight w:val="139"/>
        </w:trPr>
        <w:tc>
          <w:tcPr>
            <w:tcW w:w="5240" w:type="dxa"/>
            <w:vAlign w:val="bottom"/>
            <w:gridSpan w:val="3"/>
            <w:vMerge w:val="continue"/>
            <w:shd w:val="clear" w:color="auto" w:fill="2D53A6"/>
          </w:tcPr>
          <w:p>
            <w:pPr>
              <w:spacing w:after="0"/>
              <w:rPr>
                <w:sz w:val="12"/>
                <w:szCs w:val="12"/>
                <w:color w:val="auto"/>
              </w:rPr>
            </w:pPr>
          </w:p>
        </w:tc>
        <w:tc>
          <w:tcPr>
            <w:tcW w:w="1960" w:type="dxa"/>
            <w:vAlign w:val="bottom"/>
            <w:shd w:val="clear" w:color="auto" w:fill="2D53A6"/>
          </w:tcPr>
          <w:p>
            <w:pPr>
              <w:spacing w:after="0"/>
              <w:rPr>
                <w:sz w:val="12"/>
                <w:szCs w:val="12"/>
                <w:color w:val="auto"/>
              </w:rPr>
            </w:pPr>
          </w:p>
        </w:tc>
        <w:tc>
          <w:tcPr>
            <w:tcW w:w="1800" w:type="dxa"/>
            <w:vAlign w:val="bottom"/>
            <w:tcBorders>
              <w:right w:val="single" w:sz="8" w:color="2D53A6"/>
            </w:tcBorders>
            <w:shd w:val="clear" w:color="auto" w:fill="2D53A6"/>
          </w:tcPr>
          <w:p>
            <w:pPr>
              <w:spacing w:after="0"/>
              <w:rPr>
                <w:sz w:val="12"/>
                <w:szCs w:val="12"/>
                <w:color w:val="auto"/>
              </w:rPr>
            </w:pPr>
          </w:p>
        </w:tc>
        <w:tc>
          <w:tcPr>
            <w:tcW w:w="2240" w:type="dxa"/>
            <w:vAlign w:val="bottom"/>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123"/>
        </w:trPr>
        <w:tc>
          <w:tcPr>
            <w:tcW w:w="520" w:type="dxa"/>
            <w:vAlign w:val="bottom"/>
            <w:shd w:val="clear" w:color="auto" w:fill="2D53A6"/>
          </w:tcPr>
          <w:p>
            <w:pPr>
              <w:spacing w:after="0"/>
              <w:rPr>
                <w:sz w:val="10"/>
                <w:szCs w:val="10"/>
                <w:color w:val="auto"/>
              </w:rPr>
            </w:pPr>
          </w:p>
        </w:tc>
        <w:tc>
          <w:tcPr>
            <w:tcW w:w="740" w:type="dxa"/>
            <w:vAlign w:val="bottom"/>
            <w:shd w:val="clear" w:color="auto" w:fill="2D53A6"/>
          </w:tcPr>
          <w:p>
            <w:pPr>
              <w:spacing w:after="0"/>
              <w:rPr>
                <w:sz w:val="10"/>
                <w:szCs w:val="10"/>
                <w:color w:val="auto"/>
              </w:rPr>
            </w:pPr>
          </w:p>
        </w:tc>
        <w:tc>
          <w:tcPr>
            <w:tcW w:w="3980" w:type="dxa"/>
            <w:vAlign w:val="bottom"/>
            <w:shd w:val="clear" w:color="auto" w:fill="2D53A6"/>
          </w:tcPr>
          <w:p>
            <w:pPr>
              <w:spacing w:after="0"/>
              <w:rPr>
                <w:sz w:val="10"/>
                <w:szCs w:val="10"/>
                <w:color w:val="auto"/>
              </w:rPr>
            </w:pPr>
          </w:p>
        </w:tc>
        <w:tc>
          <w:tcPr>
            <w:tcW w:w="1960" w:type="dxa"/>
            <w:vAlign w:val="bottom"/>
            <w:shd w:val="clear" w:color="auto" w:fill="2D53A6"/>
          </w:tcPr>
          <w:p>
            <w:pPr>
              <w:spacing w:after="0"/>
              <w:rPr>
                <w:sz w:val="10"/>
                <w:szCs w:val="10"/>
                <w:color w:val="auto"/>
              </w:rPr>
            </w:pPr>
          </w:p>
        </w:tc>
        <w:tc>
          <w:tcPr>
            <w:tcW w:w="1800" w:type="dxa"/>
            <w:vAlign w:val="bottom"/>
            <w:tcBorders>
              <w:right w:val="single" w:sz="8" w:color="2D53A6"/>
            </w:tcBorders>
            <w:shd w:val="clear" w:color="auto" w:fill="2D53A6"/>
          </w:tcPr>
          <w:p>
            <w:pPr>
              <w:spacing w:after="0"/>
              <w:rPr>
                <w:sz w:val="10"/>
                <w:szCs w:val="10"/>
                <w:color w:val="auto"/>
              </w:rPr>
            </w:pPr>
          </w:p>
        </w:tc>
        <w:tc>
          <w:tcPr>
            <w:tcW w:w="224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2D53A6"/>
            </w:tcBorders>
            <w:gridSpan w:val="3"/>
          </w:tcPr>
          <w:p>
            <w:pPr>
              <w:ind w:left="40"/>
              <w:spacing w:after="0"/>
              <w:rPr>
                <w:sz w:val="20"/>
                <w:szCs w:val="20"/>
                <w:color w:val="auto"/>
              </w:rPr>
            </w:pPr>
            <w:r>
              <w:rPr>
                <w:rFonts w:ascii="Arial" w:cs="Arial" w:eastAsia="Arial" w:hAnsi="Arial"/>
                <w:sz w:val="18"/>
                <w:szCs w:val="18"/>
                <w:b w:val="1"/>
                <w:bCs w:val="1"/>
                <w:color w:val="auto"/>
              </w:rPr>
              <w:t>Proposal No. 1: Election of Three Class 2 Directors</w:t>
            </w:r>
          </w:p>
        </w:tc>
        <w:tc>
          <w:tcPr>
            <w:tcW w:w="1960" w:type="dxa"/>
            <w:vAlign w:val="bottom"/>
            <w:tcBorders>
              <w:bottom w:val="single" w:sz="8" w:color="2D53A6"/>
            </w:tcBorders>
          </w:tcPr>
          <w:p>
            <w:pPr>
              <w:spacing w:after="0"/>
              <w:rPr>
                <w:sz w:val="22"/>
                <w:szCs w:val="22"/>
                <w:color w:val="auto"/>
              </w:rPr>
            </w:pPr>
          </w:p>
        </w:tc>
        <w:tc>
          <w:tcPr>
            <w:tcW w:w="1800" w:type="dxa"/>
            <w:vAlign w:val="bottom"/>
            <w:tcBorders>
              <w:bottom w:val="single" w:sz="8" w:color="2D53A6"/>
              <w:right w:val="single" w:sz="8" w:color="2D53A6"/>
            </w:tcBorders>
          </w:tcPr>
          <w:p>
            <w:pPr>
              <w:spacing w:after="0"/>
              <w:rPr>
                <w:sz w:val="22"/>
                <w:szCs w:val="22"/>
                <w:color w:val="auto"/>
              </w:rPr>
            </w:pPr>
          </w:p>
        </w:tc>
        <w:tc>
          <w:tcPr>
            <w:tcW w:w="2240" w:type="dxa"/>
            <w:vAlign w:val="bottom"/>
            <w:tcBorders>
              <w:bottom w:val="single" w:sz="8" w:color="2D53A6"/>
            </w:tcBorders>
          </w:tcPr>
          <w:p>
            <w:pPr>
              <w:ind w:left="20"/>
              <w:spacing w:after="0"/>
              <w:rPr>
                <w:sz w:val="20"/>
                <w:szCs w:val="20"/>
                <w:color w:val="auto"/>
              </w:rPr>
            </w:pPr>
            <w:r>
              <w:rPr>
                <w:rFonts w:ascii="Arial" w:cs="Arial" w:eastAsia="Arial" w:hAnsi="Arial"/>
                <w:sz w:val="18"/>
                <w:szCs w:val="18"/>
                <w:b w:val="1"/>
                <w:bCs w:val="1"/>
                <w:color w:val="auto"/>
              </w:rPr>
              <w:t>√ FOR each Nominee</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2D53A6"/>
              <w:right w:val="single" w:sz="8" w:color="2D53A6"/>
            </w:tcBorders>
            <w:gridSpan w:val="5"/>
            <w:shd w:val="clear" w:color="auto" w:fill="E6E6E6"/>
          </w:tcPr>
          <w:p>
            <w:pPr>
              <w:ind w:left="40"/>
              <w:spacing w:after="0"/>
              <w:rPr>
                <w:sz w:val="20"/>
                <w:szCs w:val="20"/>
                <w:color w:val="auto"/>
              </w:rPr>
            </w:pPr>
            <w:r>
              <w:rPr>
                <w:rFonts w:ascii="Arial" w:cs="Arial" w:eastAsia="Arial" w:hAnsi="Arial"/>
                <w:sz w:val="18"/>
                <w:szCs w:val="18"/>
                <w:b w:val="1"/>
                <w:bCs w:val="1"/>
                <w:color w:val="auto"/>
              </w:rPr>
              <w:t xml:space="preserve">Proposal No. 2: Advisory vote to approve our Named Executive Officer Compensation, or </w:t>
            </w:r>
            <w:r>
              <w:rPr>
                <w:rFonts w:ascii="Arial" w:cs="Arial" w:eastAsia="Arial" w:hAnsi="Arial"/>
                <w:sz w:val="18"/>
                <w:szCs w:val="18"/>
                <w:color w:val="auto"/>
              </w:rPr>
              <w:t>“</w:t>
            </w:r>
            <w:r>
              <w:rPr>
                <w:rFonts w:ascii="Arial" w:cs="Arial" w:eastAsia="Arial" w:hAnsi="Arial"/>
                <w:sz w:val="18"/>
                <w:szCs w:val="18"/>
                <w:b w:val="1"/>
                <w:bCs w:val="1"/>
                <w:color w:val="auto"/>
              </w:rPr>
              <w:t>Say-on-Pay</w:t>
            </w:r>
            <w:r>
              <w:rPr>
                <w:rFonts w:ascii="Arial" w:cs="Arial" w:eastAsia="Arial" w:hAnsi="Arial"/>
                <w:sz w:val="18"/>
                <w:szCs w:val="18"/>
                <w:color w:val="auto"/>
              </w:rPr>
              <w:t>”</w:t>
            </w:r>
          </w:p>
        </w:tc>
        <w:tc>
          <w:tcPr>
            <w:tcW w:w="224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205"/>
        </w:trPr>
        <w:tc>
          <w:tcPr>
            <w:tcW w:w="9000" w:type="dxa"/>
            <w:vAlign w:val="bottom"/>
            <w:tcBorders>
              <w:right w:val="single" w:sz="8" w:color="2D53A6"/>
            </w:tcBorders>
            <w:gridSpan w:val="5"/>
          </w:tcPr>
          <w:p>
            <w:pPr>
              <w:ind w:left="40"/>
              <w:spacing w:after="0" w:line="205" w:lineRule="exact"/>
              <w:rPr>
                <w:sz w:val="20"/>
                <w:szCs w:val="20"/>
                <w:color w:val="auto"/>
              </w:rPr>
            </w:pPr>
            <w:r>
              <w:rPr>
                <w:rFonts w:ascii="Arial" w:cs="Arial" w:eastAsia="Arial" w:hAnsi="Arial"/>
                <w:sz w:val="18"/>
                <w:szCs w:val="18"/>
                <w:b w:val="1"/>
                <w:bCs w:val="1"/>
                <w:color w:val="auto"/>
              </w:rPr>
              <w:t>Proposal No. 3: Approve an amendment to our Amended and Restated Certificate of Incorporation to</w:t>
            </w:r>
          </w:p>
        </w:tc>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72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reflect new Delaware law provisions regarding exculpation of Officers</w:t>
            </w:r>
          </w:p>
        </w:tc>
        <w:tc>
          <w:tcPr>
            <w:tcW w:w="1800" w:type="dxa"/>
            <w:vAlign w:val="bottom"/>
            <w:tcBorders>
              <w:right w:val="single" w:sz="8" w:color="2D53A6"/>
            </w:tcBorders>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200" w:type="dxa"/>
            <w:vAlign w:val="bottom"/>
            <w:tcBorders>
              <w:bottom w:val="single" w:sz="8" w:color="2D53A6"/>
            </w:tcBorders>
            <w:gridSpan w:val="4"/>
            <w:vMerge w:val="continue"/>
          </w:tcPr>
          <w:p>
            <w:pPr>
              <w:spacing w:after="0"/>
              <w:rPr>
                <w:sz w:val="9"/>
                <w:szCs w:val="9"/>
                <w:color w:val="auto"/>
              </w:rPr>
            </w:pPr>
          </w:p>
        </w:tc>
        <w:tc>
          <w:tcPr>
            <w:tcW w:w="1800" w:type="dxa"/>
            <w:vAlign w:val="bottom"/>
            <w:tcBorders>
              <w:bottom w:val="single" w:sz="8" w:color="2D53A6"/>
              <w:right w:val="single" w:sz="8" w:color="2D53A6"/>
            </w:tcBorders>
          </w:tcPr>
          <w:p>
            <w:pPr>
              <w:spacing w:after="0"/>
              <w:rPr>
                <w:sz w:val="9"/>
                <w:szCs w:val="9"/>
                <w:color w:val="auto"/>
              </w:rPr>
            </w:pPr>
          </w:p>
        </w:tc>
        <w:tc>
          <w:tcPr>
            <w:tcW w:w="224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000" w:type="dxa"/>
            <w:vAlign w:val="bottom"/>
            <w:tcBorders>
              <w:right w:val="single" w:sz="8" w:color="2D53A6"/>
            </w:tcBorders>
            <w:gridSpan w:val="5"/>
            <w:shd w:val="clear" w:color="auto" w:fill="E6E6E6"/>
          </w:tcPr>
          <w:p>
            <w:pPr>
              <w:ind w:left="40"/>
              <w:spacing w:after="0" w:line="205" w:lineRule="exact"/>
              <w:rPr>
                <w:sz w:val="20"/>
                <w:szCs w:val="20"/>
                <w:color w:val="auto"/>
              </w:rPr>
            </w:pPr>
            <w:r>
              <w:rPr>
                <w:rFonts w:ascii="Arial" w:cs="Arial" w:eastAsia="Arial" w:hAnsi="Arial"/>
                <w:sz w:val="18"/>
                <w:szCs w:val="18"/>
                <w:b w:val="1"/>
                <w:bCs w:val="1"/>
                <w:color w:val="auto"/>
              </w:rPr>
              <w:t>Proposal No. 4: Ratification of the Appointment of Ernst &amp; Young LLP as our Independent Registered</w:t>
            </w:r>
          </w:p>
        </w:tc>
        <w:tc>
          <w:tcPr>
            <w:tcW w:w="2240" w:type="dxa"/>
            <w:vAlign w:val="bottom"/>
            <w:vMerge w:val="restart"/>
            <w:shd w:val="clear" w:color="auto" w:fill="E6E6E6"/>
          </w:tcPr>
          <w:p>
            <w:pPr>
              <w:ind w:left="2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5240" w:type="dxa"/>
            <w:vAlign w:val="bottom"/>
            <w:gridSpan w:val="3"/>
            <w:vMerge w:val="restart"/>
            <w:shd w:val="clear" w:color="auto" w:fill="E6E6E6"/>
          </w:tcPr>
          <w:p>
            <w:pPr>
              <w:ind w:left="40"/>
              <w:spacing w:after="0"/>
              <w:rPr>
                <w:sz w:val="20"/>
                <w:szCs w:val="20"/>
                <w:color w:val="auto"/>
              </w:rPr>
            </w:pPr>
            <w:r>
              <w:rPr>
                <w:rFonts w:ascii="Arial" w:cs="Arial" w:eastAsia="Arial" w:hAnsi="Arial"/>
                <w:sz w:val="18"/>
                <w:szCs w:val="18"/>
                <w:b w:val="1"/>
                <w:bCs w:val="1"/>
                <w:color w:val="auto"/>
              </w:rPr>
              <w:t>Public Accounting Firm for Fiscal Year 2024</w:t>
            </w:r>
          </w:p>
        </w:tc>
        <w:tc>
          <w:tcPr>
            <w:tcW w:w="1960" w:type="dxa"/>
            <w:vAlign w:val="bottom"/>
            <w:shd w:val="clear" w:color="auto" w:fill="E6E6E6"/>
          </w:tcPr>
          <w:p>
            <w:pPr>
              <w:spacing w:after="0"/>
              <w:rPr>
                <w:sz w:val="12"/>
                <w:szCs w:val="12"/>
                <w:color w:val="auto"/>
              </w:rPr>
            </w:pPr>
          </w:p>
        </w:tc>
        <w:tc>
          <w:tcPr>
            <w:tcW w:w="1800" w:type="dxa"/>
            <w:vAlign w:val="bottom"/>
            <w:tcBorders>
              <w:right w:val="single" w:sz="8" w:color="2D53A6"/>
            </w:tcBorders>
            <w:shd w:val="clear" w:color="auto" w:fill="E6E6E6"/>
          </w:tcPr>
          <w:p>
            <w:pPr>
              <w:spacing w:after="0"/>
              <w:rPr>
                <w:sz w:val="12"/>
                <w:szCs w:val="12"/>
                <w:color w:val="auto"/>
              </w:rPr>
            </w:pPr>
          </w:p>
        </w:tc>
        <w:tc>
          <w:tcPr>
            <w:tcW w:w="224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240" w:type="dxa"/>
            <w:vAlign w:val="bottom"/>
            <w:tcBorders>
              <w:bottom w:val="single" w:sz="8" w:color="2D53A6"/>
            </w:tcBorders>
            <w:gridSpan w:val="3"/>
            <w:vMerge w:val="continue"/>
            <w:shd w:val="clear" w:color="auto" w:fill="E6E6E6"/>
          </w:tcPr>
          <w:p>
            <w:pPr>
              <w:spacing w:after="0"/>
              <w:rPr>
                <w:sz w:val="9"/>
                <w:szCs w:val="9"/>
                <w:color w:val="auto"/>
              </w:rPr>
            </w:pPr>
          </w:p>
        </w:tc>
        <w:tc>
          <w:tcPr>
            <w:tcW w:w="1960" w:type="dxa"/>
            <w:vAlign w:val="bottom"/>
            <w:tcBorders>
              <w:bottom w:val="single" w:sz="8" w:color="2D53A6"/>
            </w:tcBorders>
            <w:shd w:val="clear" w:color="auto" w:fill="E6E6E6"/>
          </w:tcPr>
          <w:p>
            <w:pPr>
              <w:spacing w:after="0"/>
              <w:rPr>
                <w:sz w:val="9"/>
                <w:szCs w:val="9"/>
                <w:color w:val="auto"/>
              </w:rPr>
            </w:pPr>
          </w:p>
        </w:tc>
        <w:tc>
          <w:tcPr>
            <w:tcW w:w="1800" w:type="dxa"/>
            <w:vAlign w:val="bottom"/>
            <w:tcBorders>
              <w:bottom w:val="single" w:sz="8" w:color="2D53A6"/>
              <w:right w:val="single" w:sz="8" w:color="2D53A6"/>
            </w:tcBorders>
            <w:shd w:val="clear" w:color="auto" w:fill="E6E6E6"/>
          </w:tcPr>
          <w:p>
            <w:pPr>
              <w:spacing w:after="0"/>
              <w:rPr>
                <w:sz w:val="9"/>
                <w:szCs w:val="9"/>
                <w:color w:val="auto"/>
              </w:rPr>
            </w:pPr>
          </w:p>
        </w:tc>
        <w:tc>
          <w:tcPr>
            <w:tcW w:w="2240" w:type="dxa"/>
            <w:vAlign w:val="bottom"/>
            <w:tcBorders>
              <w:bottom w:val="single" w:sz="8" w:color="2D53A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000" w:type="dxa"/>
            <w:vAlign w:val="bottom"/>
            <w:tcBorders>
              <w:right w:val="single" w:sz="8" w:color="2D53A6"/>
            </w:tcBorders>
            <w:gridSpan w:val="5"/>
          </w:tcPr>
          <w:p>
            <w:pPr>
              <w:ind w:left="40"/>
              <w:spacing w:after="0" w:line="205" w:lineRule="exact"/>
              <w:rPr>
                <w:sz w:val="20"/>
                <w:szCs w:val="20"/>
                <w:color w:val="auto"/>
              </w:rPr>
            </w:pPr>
            <w:r>
              <w:rPr>
                <w:rFonts w:ascii="Arial" w:cs="Arial" w:eastAsia="Arial" w:hAnsi="Arial"/>
                <w:sz w:val="18"/>
                <w:szCs w:val="18"/>
                <w:b w:val="1"/>
                <w:bCs w:val="1"/>
                <w:color w:val="auto"/>
              </w:rPr>
              <w:t>Transaction of other business as may properly come before the annual meeting (including any</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2D53A6"/>
            </w:tcBorders>
            <w:gridSpan w:val="3"/>
          </w:tcPr>
          <w:p>
            <w:pPr>
              <w:ind w:left="40"/>
              <w:spacing w:after="0"/>
              <w:rPr>
                <w:sz w:val="20"/>
                <w:szCs w:val="20"/>
                <w:color w:val="auto"/>
              </w:rPr>
            </w:pPr>
            <w:r>
              <w:rPr>
                <w:rFonts w:ascii="Arial" w:cs="Arial" w:eastAsia="Arial" w:hAnsi="Arial"/>
                <w:sz w:val="18"/>
                <w:szCs w:val="18"/>
                <w:b w:val="1"/>
                <w:bCs w:val="1"/>
                <w:color w:val="auto"/>
              </w:rPr>
              <w:t>adjournment or postponement thereof)</w:t>
            </w:r>
          </w:p>
        </w:tc>
        <w:tc>
          <w:tcPr>
            <w:tcW w:w="1960" w:type="dxa"/>
            <w:vAlign w:val="bottom"/>
            <w:tcBorders>
              <w:bottom w:val="single" w:sz="8" w:color="2D53A6"/>
            </w:tcBorders>
          </w:tcPr>
          <w:p>
            <w:pPr>
              <w:spacing w:after="0"/>
              <w:rPr>
                <w:sz w:val="21"/>
                <w:szCs w:val="21"/>
                <w:color w:val="auto"/>
              </w:rPr>
            </w:pPr>
          </w:p>
        </w:tc>
        <w:tc>
          <w:tcPr>
            <w:tcW w:w="1800" w:type="dxa"/>
            <w:vAlign w:val="bottom"/>
            <w:tcBorders>
              <w:bottom w:val="single" w:sz="8" w:color="2D53A6"/>
              <w:right w:val="single" w:sz="8" w:color="2D53A6"/>
            </w:tcBorders>
          </w:tcPr>
          <w:p>
            <w:pPr>
              <w:spacing w:after="0"/>
              <w:rPr>
                <w:sz w:val="21"/>
                <w:szCs w:val="21"/>
                <w:color w:val="auto"/>
              </w:rPr>
            </w:pPr>
          </w:p>
        </w:tc>
        <w:tc>
          <w:tcPr>
            <w:tcW w:w="2240" w:type="dxa"/>
            <w:vAlign w:val="bottom"/>
            <w:tcBorders>
              <w:bottom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60" w:type="dxa"/>
            <w:vAlign w:val="bottom"/>
          </w:tcPr>
          <w:p>
            <w:pPr>
              <w:jc w:val="right"/>
              <w:ind w:right="1426"/>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-3830955</wp:posOffset>
            </wp:positionV>
            <wp:extent cx="454025"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-3848100</wp:posOffset>
            </wp:positionV>
            <wp:extent cx="454025"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-3136900</wp:posOffset>
            </wp:positionV>
            <wp:extent cx="428625"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4718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Summary Information Regarding Our Directors</w:t>
      </w:r>
    </w:p>
    <w:p>
      <w:pPr>
        <w:spacing w:after="0" w:line="21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You are being asked to vote on the election of three (3) Class 2 director nominees. The following table provides summary information about each nominee as well as the remaining directors that are not standing for election at the 2024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biographical information is contained in the “Proposal No. 1: Election of Directors” section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20" w:type="dxa"/>
            <w:vAlign w:val="bottom"/>
            <w:tcBorders>
              <w:right w:val="single" w:sz="8" w:color="2D53A6"/>
            </w:tcBorders>
            <w:shd w:val="clear" w:color="auto" w:fill="2D53A6"/>
          </w:tcPr>
          <w:p>
            <w:pPr>
              <w:spacing w:after="0"/>
              <w:rPr>
                <w:sz w:val="16"/>
                <w:szCs w:val="16"/>
                <w:color w:val="auto"/>
              </w:rPr>
            </w:pPr>
          </w:p>
        </w:tc>
        <w:tc>
          <w:tcPr>
            <w:tcW w:w="940" w:type="dxa"/>
            <w:vAlign w:val="bottom"/>
            <w:tcBorders>
              <w:right w:val="single" w:sz="8" w:color="2D53A6"/>
            </w:tcBorders>
            <w:shd w:val="clear" w:color="auto" w:fill="2D53A6"/>
          </w:tcPr>
          <w:p>
            <w:pPr>
              <w:spacing w:after="0"/>
              <w:rPr>
                <w:sz w:val="16"/>
                <w:szCs w:val="16"/>
                <w:color w:val="auto"/>
              </w:rPr>
            </w:pPr>
          </w:p>
        </w:tc>
        <w:tc>
          <w:tcPr>
            <w:tcW w:w="960" w:type="dxa"/>
            <w:vAlign w:val="bottom"/>
            <w:tcBorders>
              <w:right w:val="single" w:sz="8" w:color="2D53A6"/>
            </w:tcBorders>
            <w:shd w:val="clear" w:color="auto" w:fill="2D53A6"/>
          </w:tcPr>
          <w:p>
            <w:pPr>
              <w:spacing w:after="0"/>
              <w:rPr>
                <w:sz w:val="16"/>
                <w:szCs w:val="16"/>
                <w:color w:val="auto"/>
              </w:rPr>
            </w:pPr>
          </w:p>
        </w:tc>
        <w:tc>
          <w:tcPr>
            <w:tcW w:w="15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6"/>
                <w:szCs w:val="16"/>
                <w:b w:val="1"/>
                <w:bCs w:val="1"/>
                <w:color w:val="FFFFFF"/>
                <w:w w:val="97"/>
              </w:rPr>
              <w:t xml:space="preserve">Independent </w:t>
            </w:r>
            <w:r>
              <w:rPr>
                <w:rFonts w:ascii="Arial" w:cs="Arial" w:eastAsia="Arial" w:hAnsi="Arial"/>
                <w:sz w:val="26"/>
                <w:szCs w:val="26"/>
                <w:b w:val="1"/>
                <w:bCs w:val="1"/>
                <w:color w:val="FFFFFF"/>
                <w:w w:val="97"/>
                <w:vertAlign w:val="superscript"/>
              </w:rPr>
              <w:t>(1)</w:t>
            </w:r>
          </w:p>
        </w:tc>
        <w:tc>
          <w:tcPr>
            <w:tcW w:w="11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Class and</w:t>
            </w:r>
          </w:p>
        </w:tc>
        <w:tc>
          <w:tcPr>
            <w:tcW w:w="680" w:type="dxa"/>
            <w:vAlign w:val="bottom"/>
            <w:tcBorders>
              <w:right w:val="single" w:sz="8" w:color="2D53A6"/>
            </w:tcBorders>
            <w:shd w:val="clear" w:color="auto" w:fill="2D53A6"/>
          </w:tcPr>
          <w:p>
            <w:pPr>
              <w:spacing w:after="0"/>
              <w:rPr>
                <w:sz w:val="16"/>
                <w:szCs w:val="16"/>
                <w:color w:val="auto"/>
              </w:rPr>
            </w:pPr>
          </w:p>
        </w:tc>
        <w:tc>
          <w:tcPr>
            <w:tcW w:w="680" w:type="dxa"/>
            <w:vAlign w:val="bottom"/>
            <w:tcBorders>
              <w:right w:val="single" w:sz="8" w:color="2D53A6"/>
            </w:tcBorders>
            <w:shd w:val="clear" w:color="auto" w:fill="2D53A6"/>
          </w:tcPr>
          <w:p>
            <w:pPr>
              <w:spacing w:after="0"/>
              <w:rPr>
                <w:sz w:val="16"/>
                <w:szCs w:val="16"/>
                <w:color w:val="auto"/>
              </w:rPr>
            </w:pPr>
          </w:p>
        </w:tc>
        <w:tc>
          <w:tcPr>
            <w:tcW w:w="680" w:type="dxa"/>
            <w:vAlign w:val="bottom"/>
            <w:tcBorders>
              <w:right w:val="single" w:sz="8" w:color="2D53A6"/>
            </w:tcBorders>
            <w:shd w:val="clear" w:color="auto" w:fill="2D53A6"/>
          </w:tcPr>
          <w:p>
            <w:pPr>
              <w:spacing w:after="0"/>
              <w:rPr>
                <w:sz w:val="16"/>
                <w:szCs w:val="16"/>
                <w:color w:val="auto"/>
              </w:rPr>
            </w:pPr>
          </w:p>
        </w:tc>
        <w:tc>
          <w:tcPr>
            <w:tcW w:w="2780" w:type="dxa"/>
            <w:vAlign w:val="bottom"/>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6"/>
                <w:szCs w:val="16"/>
                <w:b w:val="1"/>
                <w:bCs w:val="1"/>
                <w:color w:val="FFFFFF"/>
              </w:rPr>
              <w:t>Name</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Age</w:t>
            </w:r>
          </w:p>
        </w:tc>
        <w:tc>
          <w:tcPr>
            <w:tcW w:w="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w w:val="98"/>
              </w:rPr>
              <w:t>Since</w:t>
            </w:r>
          </w:p>
        </w:tc>
        <w:tc>
          <w:tcPr>
            <w:tcW w:w="1540" w:type="dxa"/>
            <w:vAlign w:val="bottom"/>
            <w:tcBorders>
              <w:right w:val="single" w:sz="8" w:color="2D53A6"/>
            </w:tcBorders>
            <w:vMerge w:val="continue"/>
            <w:shd w:val="clear" w:color="auto" w:fill="2D53A6"/>
          </w:tcPr>
          <w:p>
            <w:pPr>
              <w:spacing w:after="0"/>
              <w:rPr>
                <w:sz w:val="16"/>
                <w:szCs w:val="16"/>
                <w:color w:val="auto"/>
              </w:rPr>
            </w:pPr>
          </w:p>
        </w:tc>
        <w:tc>
          <w:tcPr>
            <w:tcW w:w="11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w w:val="98"/>
              </w:rPr>
              <w:t>When Term</w:t>
            </w:r>
          </w:p>
        </w:tc>
        <w:tc>
          <w:tcPr>
            <w:tcW w:w="680" w:type="dxa"/>
            <w:vAlign w:val="bottom"/>
            <w:tcBorders>
              <w:right w:val="single" w:sz="8" w:color="2D53A6"/>
            </w:tcBorders>
            <w:shd w:val="clear" w:color="auto" w:fill="2D53A6"/>
          </w:tcPr>
          <w:p>
            <w:pPr>
              <w:ind w:left="220"/>
              <w:spacing w:after="0"/>
              <w:rPr>
                <w:sz w:val="20"/>
                <w:szCs w:val="20"/>
                <w:color w:val="auto"/>
              </w:rPr>
            </w:pPr>
            <w:r>
              <w:rPr>
                <w:rFonts w:ascii="Arial" w:cs="Arial" w:eastAsia="Arial" w:hAnsi="Arial"/>
                <w:sz w:val="16"/>
                <w:szCs w:val="16"/>
                <w:b w:val="1"/>
                <w:bCs w:val="1"/>
                <w:color w:val="FFFFFF"/>
              </w:rPr>
              <w:t>AC</w:t>
            </w:r>
          </w:p>
        </w:tc>
        <w:tc>
          <w:tcPr>
            <w:tcW w:w="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CC</w:t>
            </w:r>
          </w:p>
        </w:tc>
        <w:tc>
          <w:tcPr>
            <w:tcW w:w="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NGC</w:t>
            </w:r>
          </w:p>
        </w:tc>
        <w:tc>
          <w:tcPr>
            <w:tcW w:w="2780" w:type="dxa"/>
            <w:vAlign w:val="bottom"/>
            <w:shd w:val="clear" w:color="auto" w:fill="2D53A6"/>
          </w:tcPr>
          <w:p>
            <w:pPr>
              <w:spacing w:after="0"/>
              <w:rPr>
                <w:sz w:val="20"/>
                <w:szCs w:val="20"/>
                <w:color w:val="auto"/>
              </w:rPr>
            </w:pPr>
            <w:r>
              <w:rPr>
                <w:rFonts w:ascii="Arial" w:cs="Arial" w:eastAsia="Arial" w:hAnsi="Arial"/>
                <w:sz w:val="16"/>
                <w:szCs w:val="16"/>
                <w:b w:val="1"/>
                <w:bCs w:val="1"/>
                <w:color w:val="FFFFFF"/>
              </w:rPr>
              <w:t>Other Current Public Boards</w:t>
            </w:r>
          </w:p>
        </w:tc>
        <w:tc>
          <w:tcPr>
            <w:tcW w:w="0" w:type="dxa"/>
            <w:vAlign w:val="bottom"/>
          </w:tcPr>
          <w:p>
            <w:pPr>
              <w:spacing w:after="0"/>
              <w:rPr>
                <w:sz w:val="1"/>
                <w:szCs w:val="1"/>
                <w:color w:val="auto"/>
              </w:rPr>
            </w:pPr>
          </w:p>
        </w:tc>
      </w:tr>
      <w:tr>
        <w:trPr>
          <w:trHeight w:val="217"/>
        </w:trPr>
        <w:tc>
          <w:tcPr>
            <w:tcW w:w="1820" w:type="dxa"/>
            <w:vAlign w:val="bottom"/>
            <w:tcBorders>
              <w:right w:val="single" w:sz="8" w:color="2D53A6"/>
            </w:tcBorders>
            <w:shd w:val="clear" w:color="auto" w:fill="2D53A6"/>
          </w:tcPr>
          <w:p>
            <w:pPr>
              <w:spacing w:after="0"/>
              <w:rPr>
                <w:sz w:val="18"/>
                <w:szCs w:val="18"/>
                <w:color w:val="auto"/>
              </w:rPr>
            </w:pPr>
          </w:p>
        </w:tc>
        <w:tc>
          <w:tcPr>
            <w:tcW w:w="940" w:type="dxa"/>
            <w:vAlign w:val="bottom"/>
            <w:tcBorders>
              <w:right w:val="single" w:sz="8" w:color="2D53A6"/>
            </w:tcBorders>
            <w:shd w:val="clear" w:color="auto" w:fill="2D53A6"/>
          </w:tcPr>
          <w:p>
            <w:pPr>
              <w:spacing w:after="0"/>
              <w:rPr>
                <w:sz w:val="18"/>
                <w:szCs w:val="18"/>
                <w:color w:val="auto"/>
              </w:rPr>
            </w:pPr>
          </w:p>
        </w:tc>
        <w:tc>
          <w:tcPr>
            <w:tcW w:w="960" w:type="dxa"/>
            <w:vAlign w:val="bottom"/>
            <w:tcBorders>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1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Expires</w:t>
            </w:r>
          </w:p>
        </w:tc>
        <w:tc>
          <w:tcPr>
            <w:tcW w:w="680" w:type="dxa"/>
            <w:vAlign w:val="bottom"/>
            <w:tcBorders>
              <w:right w:val="single" w:sz="8" w:color="2D53A6"/>
            </w:tcBorders>
            <w:shd w:val="clear" w:color="auto" w:fill="2D53A6"/>
          </w:tcPr>
          <w:p>
            <w:pPr>
              <w:spacing w:after="0"/>
              <w:rPr>
                <w:sz w:val="18"/>
                <w:szCs w:val="18"/>
                <w:color w:val="auto"/>
              </w:rPr>
            </w:pPr>
          </w:p>
        </w:tc>
        <w:tc>
          <w:tcPr>
            <w:tcW w:w="680" w:type="dxa"/>
            <w:vAlign w:val="bottom"/>
            <w:tcBorders>
              <w:right w:val="single" w:sz="8" w:color="2D53A6"/>
            </w:tcBorders>
            <w:shd w:val="clear" w:color="auto" w:fill="2D53A6"/>
          </w:tcPr>
          <w:p>
            <w:pPr>
              <w:spacing w:after="0"/>
              <w:rPr>
                <w:sz w:val="18"/>
                <w:szCs w:val="18"/>
                <w:color w:val="auto"/>
              </w:rPr>
            </w:pPr>
          </w:p>
        </w:tc>
        <w:tc>
          <w:tcPr>
            <w:tcW w:w="680" w:type="dxa"/>
            <w:vAlign w:val="bottom"/>
            <w:tcBorders>
              <w:right w:val="single" w:sz="8" w:color="2D53A6"/>
            </w:tcBorders>
            <w:shd w:val="clear" w:color="auto" w:fill="2D53A6"/>
          </w:tcPr>
          <w:p>
            <w:pPr>
              <w:spacing w:after="0"/>
              <w:rPr>
                <w:sz w:val="18"/>
                <w:szCs w:val="18"/>
                <w:color w:val="auto"/>
              </w:rPr>
            </w:pPr>
          </w:p>
        </w:tc>
        <w:tc>
          <w:tcPr>
            <w:tcW w:w="2780" w:type="dxa"/>
            <w:vAlign w:val="bottom"/>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6"/>
                <w:szCs w:val="16"/>
                <w:color w:val="auto"/>
              </w:rPr>
              <w:t>Andrew M. Caggia</w:t>
            </w:r>
          </w:p>
        </w:tc>
        <w:tc>
          <w:tcPr>
            <w:tcW w:w="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75</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2014</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w w:val="94"/>
              </w:rPr>
              <w:t>Yes</w:t>
            </w:r>
          </w:p>
        </w:tc>
        <w:tc>
          <w:tcPr>
            <w:tcW w:w="11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2 -- 2024</w:t>
            </w:r>
          </w:p>
        </w:tc>
        <w:tc>
          <w:tcPr>
            <w:tcW w:w="680" w:type="dxa"/>
            <w:vAlign w:val="bottom"/>
            <w:tcBorders>
              <w:bottom w:val="single" w:sz="8" w:color="2D53A6"/>
              <w:right w:val="single" w:sz="8" w:color="2D53A6"/>
            </w:tcBorders>
          </w:tcPr>
          <w:p>
            <w:pPr>
              <w:ind w:left="220"/>
              <w:spacing w:after="0"/>
              <w:rPr>
                <w:sz w:val="20"/>
                <w:szCs w:val="20"/>
                <w:color w:val="auto"/>
              </w:rPr>
            </w:pPr>
            <w:r>
              <w:rPr>
                <w:rFonts w:ascii="Arial" w:cs="Arial" w:eastAsia="Arial" w:hAnsi="Arial"/>
                <w:sz w:val="16"/>
                <w:szCs w:val="16"/>
                <w:color w:val="auto"/>
              </w:rPr>
              <w:t>M+</w:t>
            </w:r>
          </w:p>
        </w:tc>
        <w:tc>
          <w:tcPr>
            <w:tcW w:w="680" w:type="dxa"/>
            <w:vAlign w:val="bottom"/>
            <w:tcBorders>
              <w:bottom w:val="single" w:sz="8" w:color="2D53A6"/>
              <w:right w:val="single" w:sz="8" w:color="2D53A6"/>
            </w:tcBorders>
          </w:tcPr>
          <w:p>
            <w:pPr>
              <w:spacing w:after="0"/>
              <w:rPr>
                <w:sz w:val="16"/>
                <w:szCs w:val="16"/>
                <w:color w:val="auto"/>
              </w:rPr>
            </w:pPr>
          </w:p>
        </w:tc>
        <w:tc>
          <w:tcPr>
            <w:tcW w:w="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C</w:t>
            </w:r>
          </w:p>
        </w:tc>
        <w:tc>
          <w:tcPr>
            <w:tcW w:w="2780" w:type="dxa"/>
            <w:vAlign w:val="bottom"/>
            <w:tcBorders>
              <w:bottom w:val="single" w:sz="8" w:color="2D53A6"/>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2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6"/>
                <w:szCs w:val="16"/>
                <w:color w:val="auto"/>
              </w:rPr>
              <w:t>Yon Y. Jorden</w:t>
            </w:r>
          </w:p>
        </w:tc>
        <w:tc>
          <w:tcPr>
            <w:tcW w:w="9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69</w:t>
            </w:r>
          </w:p>
        </w:tc>
        <w:tc>
          <w:tcPr>
            <w:tcW w:w="9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2021</w:t>
            </w:r>
          </w:p>
        </w:tc>
        <w:tc>
          <w:tcPr>
            <w:tcW w:w="15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w w:val="94"/>
              </w:rPr>
              <w:t>Yes</w:t>
            </w:r>
          </w:p>
        </w:tc>
        <w:tc>
          <w:tcPr>
            <w:tcW w:w="11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2 -- 2024</w:t>
            </w:r>
          </w:p>
        </w:tc>
        <w:tc>
          <w:tcPr>
            <w:tcW w:w="680" w:type="dxa"/>
            <w:vAlign w:val="bottom"/>
            <w:tcBorders>
              <w:right w:val="single" w:sz="8" w:color="2D53A6"/>
            </w:tcBorders>
            <w:vMerge w:val="restart"/>
            <w:shd w:val="clear" w:color="auto" w:fill="E6E6E6"/>
          </w:tcPr>
          <w:p>
            <w:pPr>
              <w:ind w:left="220"/>
              <w:spacing w:after="0"/>
              <w:rPr>
                <w:sz w:val="20"/>
                <w:szCs w:val="20"/>
                <w:color w:val="auto"/>
              </w:rPr>
            </w:pPr>
            <w:r>
              <w:rPr>
                <w:rFonts w:ascii="Arial" w:cs="Arial" w:eastAsia="Arial" w:hAnsi="Arial"/>
                <w:sz w:val="16"/>
                <w:szCs w:val="16"/>
                <w:color w:val="auto"/>
              </w:rPr>
              <w:t>M+</w:t>
            </w:r>
          </w:p>
        </w:tc>
        <w:tc>
          <w:tcPr>
            <w:tcW w:w="680" w:type="dxa"/>
            <w:vAlign w:val="bottom"/>
            <w:tcBorders>
              <w:right w:val="single" w:sz="8" w:color="2D53A6"/>
            </w:tcBorders>
            <w:shd w:val="clear" w:color="auto" w:fill="E6E6E6"/>
          </w:tcPr>
          <w:p>
            <w:pPr>
              <w:spacing w:after="0"/>
              <w:rPr>
                <w:sz w:val="14"/>
                <w:szCs w:val="14"/>
                <w:color w:val="auto"/>
              </w:rPr>
            </w:pP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w w:val="89"/>
              </w:rPr>
              <w:t>M</w:t>
            </w:r>
          </w:p>
        </w:tc>
        <w:tc>
          <w:tcPr>
            <w:tcW w:w="2780" w:type="dxa"/>
            <w:vAlign w:val="bottom"/>
            <w:shd w:val="clear" w:color="auto" w:fill="E6E6E6"/>
          </w:tcPr>
          <w:p>
            <w:pPr>
              <w:spacing w:after="0" w:line="168" w:lineRule="exact"/>
              <w:rPr>
                <w:sz w:val="20"/>
                <w:szCs w:val="20"/>
                <w:color w:val="auto"/>
              </w:rPr>
            </w:pPr>
            <w:r>
              <w:rPr>
                <w:rFonts w:ascii="Arial" w:cs="Arial" w:eastAsia="Arial" w:hAnsi="Arial"/>
                <w:sz w:val="16"/>
                <w:szCs w:val="16"/>
                <w:color w:val="auto"/>
              </w:rPr>
              <w:t>Alignment Healthcare, Inc., Capstone</w:t>
            </w:r>
          </w:p>
        </w:tc>
        <w:tc>
          <w:tcPr>
            <w:tcW w:w="0" w:type="dxa"/>
            <w:vAlign w:val="bottom"/>
          </w:tcPr>
          <w:p>
            <w:pPr>
              <w:spacing w:after="0"/>
              <w:rPr>
                <w:sz w:val="1"/>
                <w:szCs w:val="1"/>
                <w:color w:val="auto"/>
              </w:rPr>
            </w:pPr>
          </w:p>
        </w:tc>
      </w:tr>
      <w:tr>
        <w:trPr>
          <w:trHeight w:val="120"/>
        </w:trPr>
        <w:tc>
          <w:tcPr>
            <w:tcW w:w="1820" w:type="dxa"/>
            <w:vAlign w:val="bottom"/>
            <w:tcBorders>
              <w:right w:val="single" w:sz="8" w:color="2D53A6"/>
            </w:tcBorders>
            <w:vMerge w:val="continue"/>
            <w:shd w:val="clear" w:color="auto" w:fill="E6E6E6"/>
          </w:tcPr>
          <w:p>
            <w:pPr>
              <w:spacing w:after="0"/>
              <w:rPr>
                <w:sz w:val="10"/>
                <w:szCs w:val="10"/>
                <w:color w:val="auto"/>
              </w:rPr>
            </w:pPr>
          </w:p>
        </w:tc>
        <w:tc>
          <w:tcPr>
            <w:tcW w:w="940" w:type="dxa"/>
            <w:vAlign w:val="bottom"/>
            <w:tcBorders>
              <w:right w:val="single" w:sz="8" w:color="2D53A6"/>
            </w:tcBorders>
            <w:vMerge w:val="continue"/>
            <w:shd w:val="clear" w:color="auto" w:fill="E6E6E6"/>
          </w:tcPr>
          <w:p>
            <w:pPr>
              <w:spacing w:after="0"/>
              <w:rPr>
                <w:sz w:val="10"/>
                <w:szCs w:val="10"/>
                <w:color w:val="auto"/>
              </w:rPr>
            </w:pPr>
          </w:p>
        </w:tc>
        <w:tc>
          <w:tcPr>
            <w:tcW w:w="960" w:type="dxa"/>
            <w:vAlign w:val="bottom"/>
            <w:tcBorders>
              <w:right w:val="single" w:sz="8" w:color="2D53A6"/>
            </w:tcBorders>
            <w:vMerge w:val="continue"/>
            <w:shd w:val="clear" w:color="auto" w:fill="E6E6E6"/>
          </w:tcPr>
          <w:p>
            <w:pPr>
              <w:spacing w:after="0"/>
              <w:rPr>
                <w:sz w:val="10"/>
                <w:szCs w:val="10"/>
                <w:color w:val="auto"/>
              </w:rPr>
            </w:pPr>
          </w:p>
        </w:tc>
        <w:tc>
          <w:tcPr>
            <w:tcW w:w="1540" w:type="dxa"/>
            <w:vAlign w:val="bottom"/>
            <w:tcBorders>
              <w:right w:val="single" w:sz="8" w:color="2D53A6"/>
            </w:tcBorders>
            <w:vMerge w:val="continue"/>
            <w:shd w:val="clear" w:color="auto" w:fill="E6E6E6"/>
          </w:tcPr>
          <w:p>
            <w:pPr>
              <w:spacing w:after="0"/>
              <w:rPr>
                <w:sz w:val="10"/>
                <w:szCs w:val="10"/>
                <w:color w:val="auto"/>
              </w:rPr>
            </w:pPr>
          </w:p>
        </w:tc>
        <w:tc>
          <w:tcPr>
            <w:tcW w:w="1160" w:type="dxa"/>
            <w:vAlign w:val="bottom"/>
            <w:tcBorders>
              <w:right w:val="single" w:sz="8" w:color="2D53A6"/>
            </w:tcBorders>
            <w:vMerge w:val="continue"/>
            <w:shd w:val="clear" w:color="auto" w:fill="E6E6E6"/>
          </w:tcPr>
          <w:p>
            <w:pPr>
              <w:spacing w:after="0"/>
              <w:rPr>
                <w:sz w:val="10"/>
                <w:szCs w:val="10"/>
                <w:color w:val="auto"/>
              </w:rPr>
            </w:pPr>
          </w:p>
        </w:tc>
        <w:tc>
          <w:tcPr>
            <w:tcW w:w="680" w:type="dxa"/>
            <w:vAlign w:val="bottom"/>
            <w:tcBorders>
              <w:right w:val="single" w:sz="8" w:color="2D53A6"/>
            </w:tcBorders>
            <w:vMerge w:val="continue"/>
            <w:shd w:val="clear" w:color="auto" w:fill="E6E6E6"/>
          </w:tcPr>
          <w:p>
            <w:pPr>
              <w:spacing w:after="0"/>
              <w:rPr>
                <w:sz w:val="10"/>
                <w:szCs w:val="10"/>
                <w:color w:val="auto"/>
              </w:rPr>
            </w:pPr>
          </w:p>
        </w:tc>
        <w:tc>
          <w:tcPr>
            <w:tcW w:w="680" w:type="dxa"/>
            <w:vAlign w:val="bottom"/>
            <w:tcBorders>
              <w:right w:val="single" w:sz="8" w:color="2D53A6"/>
            </w:tcBorders>
            <w:shd w:val="clear" w:color="auto" w:fill="E6E6E6"/>
          </w:tcPr>
          <w:p>
            <w:pPr>
              <w:spacing w:after="0"/>
              <w:rPr>
                <w:sz w:val="10"/>
                <w:szCs w:val="10"/>
                <w:color w:val="auto"/>
              </w:rPr>
            </w:pPr>
          </w:p>
        </w:tc>
        <w:tc>
          <w:tcPr>
            <w:tcW w:w="680" w:type="dxa"/>
            <w:vAlign w:val="bottom"/>
            <w:tcBorders>
              <w:right w:val="single" w:sz="8" w:color="2D53A6"/>
            </w:tcBorders>
            <w:vMerge w:val="continue"/>
            <w:shd w:val="clear" w:color="auto" w:fill="E6E6E6"/>
          </w:tcPr>
          <w:p>
            <w:pPr>
              <w:spacing w:after="0"/>
              <w:rPr>
                <w:sz w:val="10"/>
                <w:szCs w:val="10"/>
                <w:color w:val="auto"/>
              </w:rPr>
            </w:pPr>
          </w:p>
        </w:tc>
        <w:tc>
          <w:tcPr>
            <w:tcW w:w="2780" w:type="dxa"/>
            <w:vAlign w:val="bottom"/>
            <w:vMerge w:val="restart"/>
            <w:shd w:val="clear" w:color="auto" w:fill="E6E6E6"/>
          </w:tcPr>
          <w:p>
            <w:pPr>
              <w:spacing w:after="0"/>
              <w:rPr>
                <w:sz w:val="20"/>
                <w:szCs w:val="20"/>
                <w:color w:val="auto"/>
              </w:rPr>
            </w:pPr>
            <w:r>
              <w:rPr>
                <w:rFonts w:ascii="Arial" w:cs="Arial" w:eastAsia="Arial" w:hAnsi="Arial"/>
                <w:sz w:val="16"/>
                <w:szCs w:val="16"/>
                <w:color w:val="auto"/>
              </w:rPr>
              <w:t>Green Energy Corp.</w:t>
            </w:r>
          </w:p>
        </w:tc>
        <w:tc>
          <w:tcPr>
            <w:tcW w:w="0" w:type="dxa"/>
            <w:vAlign w:val="bottom"/>
          </w:tcPr>
          <w:p>
            <w:pPr>
              <w:spacing w:after="0"/>
              <w:rPr>
                <w:sz w:val="1"/>
                <w:szCs w:val="1"/>
                <w:color w:val="auto"/>
              </w:rPr>
            </w:pPr>
          </w:p>
        </w:tc>
      </w:tr>
      <w:tr>
        <w:trPr>
          <w:trHeight w:val="83"/>
        </w:trPr>
        <w:tc>
          <w:tcPr>
            <w:tcW w:w="1820" w:type="dxa"/>
            <w:vAlign w:val="bottom"/>
            <w:tcBorders>
              <w:bottom w:val="single" w:sz="8" w:color="2D53A6"/>
              <w:right w:val="single" w:sz="8" w:color="2D53A6"/>
            </w:tcBorders>
            <w:shd w:val="clear" w:color="auto" w:fill="E6E6E6"/>
          </w:tcPr>
          <w:p>
            <w:pPr>
              <w:spacing w:after="0"/>
              <w:rPr>
                <w:sz w:val="7"/>
                <w:szCs w:val="7"/>
                <w:color w:val="auto"/>
              </w:rPr>
            </w:pPr>
          </w:p>
        </w:tc>
        <w:tc>
          <w:tcPr>
            <w:tcW w:w="940" w:type="dxa"/>
            <w:vAlign w:val="bottom"/>
            <w:tcBorders>
              <w:bottom w:val="single" w:sz="8" w:color="2D53A6"/>
              <w:right w:val="single" w:sz="8" w:color="2D53A6"/>
            </w:tcBorders>
            <w:shd w:val="clear" w:color="auto" w:fill="E6E6E6"/>
          </w:tcPr>
          <w:p>
            <w:pPr>
              <w:spacing w:after="0"/>
              <w:rPr>
                <w:sz w:val="7"/>
                <w:szCs w:val="7"/>
                <w:color w:val="auto"/>
              </w:rPr>
            </w:pPr>
          </w:p>
        </w:tc>
        <w:tc>
          <w:tcPr>
            <w:tcW w:w="960" w:type="dxa"/>
            <w:vAlign w:val="bottom"/>
            <w:tcBorders>
              <w:bottom w:val="single" w:sz="8" w:color="2D53A6"/>
              <w:right w:val="single" w:sz="8" w:color="2D53A6"/>
            </w:tcBorders>
            <w:shd w:val="clear" w:color="auto" w:fill="E6E6E6"/>
          </w:tcPr>
          <w:p>
            <w:pPr>
              <w:spacing w:after="0"/>
              <w:rPr>
                <w:sz w:val="7"/>
                <w:szCs w:val="7"/>
                <w:color w:val="auto"/>
              </w:rPr>
            </w:pPr>
          </w:p>
        </w:tc>
        <w:tc>
          <w:tcPr>
            <w:tcW w:w="1540" w:type="dxa"/>
            <w:vAlign w:val="bottom"/>
            <w:tcBorders>
              <w:bottom w:val="single" w:sz="8" w:color="2D53A6"/>
              <w:right w:val="single" w:sz="8" w:color="2D53A6"/>
            </w:tcBorders>
            <w:shd w:val="clear" w:color="auto" w:fill="E6E6E6"/>
          </w:tcPr>
          <w:p>
            <w:pPr>
              <w:spacing w:after="0"/>
              <w:rPr>
                <w:sz w:val="7"/>
                <w:szCs w:val="7"/>
                <w:color w:val="auto"/>
              </w:rPr>
            </w:pPr>
          </w:p>
        </w:tc>
        <w:tc>
          <w:tcPr>
            <w:tcW w:w="116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2780" w:type="dxa"/>
            <w:vAlign w:val="bottom"/>
            <w:tcBorders>
              <w:bottom w:val="single" w:sz="8" w:color="2D53A6"/>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2D53A6"/>
              <w:right w:val="single" w:sz="8" w:color="2D53A6"/>
            </w:tcBorders>
          </w:tcPr>
          <w:p>
            <w:pPr>
              <w:spacing w:after="0" w:line="183" w:lineRule="exact"/>
              <w:rPr>
                <w:sz w:val="20"/>
                <w:szCs w:val="20"/>
                <w:color w:val="auto"/>
              </w:rPr>
            </w:pPr>
            <w:r>
              <w:rPr>
                <w:rFonts w:ascii="Arial" w:cs="Arial" w:eastAsia="Arial" w:hAnsi="Arial"/>
                <w:sz w:val="16"/>
                <w:szCs w:val="16"/>
                <w:color w:val="auto"/>
              </w:rPr>
              <w:t>Luis A. Müller</w:t>
            </w:r>
          </w:p>
        </w:tc>
        <w:tc>
          <w:tcPr>
            <w:tcW w:w="9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54</w:t>
            </w:r>
          </w:p>
        </w:tc>
        <w:tc>
          <w:tcPr>
            <w:tcW w:w="9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2014</w:t>
            </w:r>
          </w:p>
        </w:tc>
        <w:tc>
          <w:tcPr>
            <w:tcW w:w="15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No</w:t>
            </w:r>
          </w:p>
        </w:tc>
        <w:tc>
          <w:tcPr>
            <w:tcW w:w="11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2 -- 2024</w:t>
            </w:r>
          </w:p>
        </w:tc>
        <w:tc>
          <w:tcPr>
            <w:tcW w:w="680" w:type="dxa"/>
            <w:vAlign w:val="bottom"/>
            <w:tcBorders>
              <w:bottom w:val="single" w:sz="8" w:color="2D53A6"/>
              <w:right w:val="single" w:sz="8" w:color="2D53A6"/>
            </w:tcBorders>
          </w:tcPr>
          <w:p>
            <w:pPr>
              <w:spacing w:after="0"/>
              <w:rPr>
                <w:sz w:val="15"/>
                <w:szCs w:val="15"/>
                <w:color w:val="auto"/>
              </w:rPr>
            </w:pPr>
          </w:p>
        </w:tc>
        <w:tc>
          <w:tcPr>
            <w:tcW w:w="680" w:type="dxa"/>
            <w:vAlign w:val="bottom"/>
            <w:tcBorders>
              <w:bottom w:val="single" w:sz="8" w:color="2D53A6"/>
              <w:right w:val="single" w:sz="8" w:color="2D53A6"/>
            </w:tcBorders>
          </w:tcPr>
          <w:p>
            <w:pPr>
              <w:spacing w:after="0"/>
              <w:rPr>
                <w:sz w:val="15"/>
                <w:szCs w:val="15"/>
                <w:color w:val="auto"/>
              </w:rPr>
            </w:pPr>
          </w:p>
        </w:tc>
        <w:tc>
          <w:tcPr>
            <w:tcW w:w="680" w:type="dxa"/>
            <w:vAlign w:val="bottom"/>
            <w:tcBorders>
              <w:bottom w:val="single" w:sz="8" w:color="2D53A6"/>
              <w:right w:val="single" w:sz="8" w:color="2D53A6"/>
            </w:tcBorders>
          </w:tcPr>
          <w:p>
            <w:pPr>
              <w:spacing w:after="0"/>
              <w:rPr>
                <w:sz w:val="15"/>
                <w:szCs w:val="15"/>
                <w:color w:val="auto"/>
              </w:rPr>
            </w:pPr>
          </w:p>
        </w:tc>
        <w:tc>
          <w:tcPr>
            <w:tcW w:w="2780" w:type="dxa"/>
            <w:vAlign w:val="bottom"/>
            <w:tcBorders>
              <w:bottom w:val="single" w:sz="8" w:color="2D53A6"/>
            </w:tcBorders>
          </w:tcPr>
          <w:p>
            <w:pPr>
              <w:spacing w:after="0" w:line="183" w:lineRule="exact"/>
              <w:rPr>
                <w:sz w:val="20"/>
                <w:szCs w:val="20"/>
                <w:color w:val="auto"/>
              </w:rPr>
            </w:pPr>
            <w:r>
              <w:rPr>
                <w:rFonts w:ascii="Arial" w:cs="Arial" w:eastAsia="Arial" w:hAnsi="Arial"/>
                <w:sz w:val="16"/>
                <w:szCs w:val="16"/>
                <w:color w:val="auto"/>
              </w:rPr>
              <w:t>Celestica Inc.</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2D53A6"/>
            </w:tcBorders>
            <w:gridSpan w:val="3"/>
          </w:tcPr>
          <w:p>
            <w:pPr>
              <w:spacing w:after="0" w:line="183" w:lineRule="exact"/>
              <w:rPr>
                <w:sz w:val="20"/>
                <w:szCs w:val="20"/>
                <w:color w:val="auto"/>
              </w:rPr>
            </w:pPr>
            <w:r>
              <w:rPr>
                <w:rFonts w:ascii="Arial" w:cs="Arial" w:eastAsia="Arial" w:hAnsi="Arial"/>
                <w:sz w:val="16"/>
                <w:szCs w:val="16"/>
                <w:i w:val="1"/>
                <w:iCs w:val="1"/>
                <w:color w:val="auto"/>
              </w:rPr>
              <w:t>Other Directors Not Standing for Election in 2024</w:t>
            </w:r>
          </w:p>
        </w:tc>
        <w:tc>
          <w:tcPr>
            <w:tcW w:w="1540" w:type="dxa"/>
            <w:vAlign w:val="bottom"/>
            <w:tcBorders>
              <w:bottom w:val="single" w:sz="8" w:color="2D53A6"/>
            </w:tcBorders>
          </w:tcPr>
          <w:p>
            <w:pPr>
              <w:spacing w:after="0"/>
              <w:rPr>
                <w:sz w:val="15"/>
                <w:szCs w:val="15"/>
                <w:color w:val="auto"/>
              </w:rPr>
            </w:pPr>
          </w:p>
        </w:tc>
        <w:tc>
          <w:tcPr>
            <w:tcW w:w="1160" w:type="dxa"/>
            <w:vAlign w:val="bottom"/>
            <w:tcBorders>
              <w:bottom w:val="single" w:sz="8" w:color="2D53A6"/>
            </w:tcBorders>
          </w:tcPr>
          <w:p>
            <w:pPr>
              <w:spacing w:after="0"/>
              <w:rPr>
                <w:sz w:val="15"/>
                <w:szCs w:val="15"/>
                <w:color w:val="auto"/>
              </w:rPr>
            </w:pPr>
          </w:p>
        </w:tc>
        <w:tc>
          <w:tcPr>
            <w:tcW w:w="680" w:type="dxa"/>
            <w:vAlign w:val="bottom"/>
            <w:tcBorders>
              <w:bottom w:val="single" w:sz="8" w:color="2D53A6"/>
            </w:tcBorders>
          </w:tcPr>
          <w:p>
            <w:pPr>
              <w:spacing w:after="0"/>
              <w:rPr>
                <w:sz w:val="15"/>
                <w:szCs w:val="15"/>
                <w:color w:val="auto"/>
              </w:rPr>
            </w:pPr>
          </w:p>
        </w:tc>
        <w:tc>
          <w:tcPr>
            <w:tcW w:w="680" w:type="dxa"/>
            <w:vAlign w:val="bottom"/>
            <w:tcBorders>
              <w:bottom w:val="single" w:sz="8" w:color="2D53A6"/>
            </w:tcBorders>
          </w:tcPr>
          <w:p>
            <w:pPr>
              <w:spacing w:after="0"/>
              <w:rPr>
                <w:sz w:val="15"/>
                <w:szCs w:val="15"/>
                <w:color w:val="auto"/>
              </w:rPr>
            </w:pPr>
          </w:p>
        </w:tc>
        <w:tc>
          <w:tcPr>
            <w:tcW w:w="680" w:type="dxa"/>
            <w:vAlign w:val="bottom"/>
            <w:tcBorders>
              <w:bottom w:val="single" w:sz="8" w:color="2D53A6"/>
            </w:tcBorders>
          </w:tcPr>
          <w:p>
            <w:pPr>
              <w:spacing w:after="0"/>
              <w:rPr>
                <w:sz w:val="15"/>
                <w:szCs w:val="15"/>
                <w:color w:val="auto"/>
              </w:rPr>
            </w:pPr>
          </w:p>
        </w:tc>
        <w:tc>
          <w:tcPr>
            <w:tcW w:w="2780" w:type="dxa"/>
            <w:vAlign w:val="bottom"/>
            <w:tcBorders>
              <w:bottom w:val="single" w:sz="8" w:color="2D53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2D53A6"/>
              <w:right w:val="single" w:sz="8" w:color="2D53A6"/>
            </w:tcBorders>
            <w:shd w:val="clear" w:color="auto" w:fill="E6E6E6"/>
          </w:tcPr>
          <w:p>
            <w:pPr>
              <w:spacing w:after="0" w:line="183" w:lineRule="exact"/>
              <w:rPr>
                <w:sz w:val="20"/>
                <w:szCs w:val="20"/>
                <w:color w:val="auto"/>
              </w:rPr>
            </w:pPr>
            <w:r>
              <w:rPr>
                <w:rFonts w:ascii="Arial" w:cs="Arial" w:eastAsia="Arial" w:hAnsi="Arial"/>
                <w:sz w:val="16"/>
                <w:szCs w:val="16"/>
                <w:color w:val="auto"/>
              </w:rPr>
              <w:t>William E. Bendush</w:t>
            </w:r>
          </w:p>
        </w:tc>
        <w:tc>
          <w:tcPr>
            <w:tcW w:w="94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75</w:t>
            </w:r>
          </w:p>
        </w:tc>
        <w:tc>
          <w:tcPr>
            <w:tcW w:w="96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w w:val="95"/>
              </w:rPr>
              <w:t>2011</w:t>
            </w:r>
          </w:p>
        </w:tc>
        <w:tc>
          <w:tcPr>
            <w:tcW w:w="154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w w:val="94"/>
              </w:rPr>
              <w:t>Yes</w:t>
            </w:r>
          </w:p>
        </w:tc>
        <w:tc>
          <w:tcPr>
            <w:tcW w:w="116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1 -- 2026</w:t>
            </w:r>
          </w:p>
        </w:tc>
        <w:tc>
          <w:tcPr>
            <w:tcW w:w="680" w:type="dxa"/>
            <w:vAlign w:val="bottom"/>
            <w:tcBorders>
              <w:bottom w:val="single" w:sz="8" w:color="2D53A6"/>
              <w:right w:val="single" w:sz="8" w:color="2D53A6"/>
            </w:tcBorders>
            <w:shd w:val="clear" w:color="auto" w:fill="E6E6E6"/>
          </w:tcPr>
          <w:p>
            <w:pPr>
              <w:ind w:left="220"/>
              <w:spacing w:after="0" w:line="183" w:lineRule="exact"/>
              <w:rPr>
                <w:sz w:val="20"/>
                <w:szCs w:val="20"/>
                <w:color w:val="auto"/>
              </w:rPr>
            </w:pPr>
            <w:r>
              <w:rPr>
                <w:rFonts w:ascii="Arial" w:cs="Arial" w:eastAsia="Arial" w:hAnsi="Arial"/>
                <w:sz w:val="16"/>
                <w:szCs w:val="16"/>
                <w:color w:val="auto"/>
              </w:rPr>
              <w:t>C+</w:t>
            </w:r>
          </w:p>
        </w:tc>
        <w:tc>
          <w:tcPr>
            <w:tcW w:w="680" w:type="dxa"/>
            <w:vAlign w:val="bottom"/>
            <w:tcBorders>
              <w:bottom w:val="single" w:sz="8" w:color="2D53A6"/>
              <w:right w:val="single" w:sz="8" w:color="2D53A6"/>
            </w:tcBorders>
            <w:shd w:val="clear" w:color="auto" w:fill="E6E6E6"/>
          </w:tcPr>
          <w:p>
            <w:pPr>
              <w:spacing w:after="0"/>
              <w:rPr>
                <w:sz w:val="15"/>
                <w:szCs w:val="15"/>
                <w:color w:val="auto"/>
              </w:rPr>
            </w:pPr>
          </w:p>
        </w:tc>
        <w:tc>
          <w:tcPr>
            <w:tcW w:w="68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w w:val="89"/>
              </w:rPr>
              <w:t>M</w:t>
            </w:r>
          </w:p>
        </w:tc>
        <w:tc>
          <w:tcPr>
            <w:tcW w:w="2780" w:type="dxa"/>
            <w:vAlign w:val="bottom"/>
            <w:tcBorders>
              <w:bottom w:val="single" w:sz="8" w:color="2D53A6"/>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2D53A6"/>
              <w:right w:val="single" w:sz="8" w:color="2D53A6"/>
            </w:tcBorders>
          </w:tcPr>
          <w:p>
            <w:pPr>
              <w:spacing w:after="0" w:line="183" w:lineRule="exact"/>
              <w:rPr>
                <w:sz w:val="20"/>
                <w:szCs w:val="20"/>
                <w:color w:val="auto"/>
              </w:rPr>
            </w:pPr>
            <w:r>
              <w:rPr>
                <w:rFonts w:ascii="Arial" w:cs="Arial" w:eastAsia="Arial" w:hAnsi="Arial"/>
                <w:sz w:val="16"/>
                <w:szCs w:val="16"/>
                <w:color w:val="auto"/>
              </w:rPr>
              <w:t>Steven J. Bilodeau</w:t>
            </w:r>
          </w:p>
        </w:tc>
        <w:tc>
          <w:tcPr>
            <w:tcW w:w="9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65</w:t>
            </w:r>
          </w:p>
        </w:tc>
        <w:tc>
          <w:tcPr>
            <w:tcW w:w="9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2009</w:t>
            </w:r>
          </w:p>
        </w:tc>
        <w:tc>
          <w:tcPr>
            <w:tcW w:w="15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w w:val="94"/>
              </w:rPr>
              <w:t>Yes</w:t>
            </w:r>
          </w:p>
        </w:tc>
        <w:tc>
          <w:tcPr>
            <w:tcW w:w="11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3 -- 2025</w:t>
            </w:r>
          </w:p>
        </w:tc>
        <w:tc>
          <w:tcPr>
            <w:tcW w:w="680" w:type="dxa"/>
            <w:vAlign w:val="bottom"/>
            <w:tcBorders>
              <w:bottom w:val="single" w:sz="8" w:color="2D53A6"/>
              <w:right w:val="single" w:sz="8" w:color="2D53A6"/>
            </w:tcBorders>
          </w:tcPr>
          <w:p>
            <w:pPr>
              <w:spacing w:after="0"/>
              <w:rPr>
                <w:sz w:val="15"/>
                <w:szCs w:val="15"/>
                <w:color w:val="auto"/>
              </w:rPr>
            </w:pPr>
          </w:p>
        </w:tc>
        <w:tc>
          <w:tcPr>
            <w:tcW w:w="68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C</w:t>
            </w:r>
          </w:p>
        </w:tc>
        <w:tc>
          <w:tcPr>
            <w:tcW w:w="68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w w:val="89"/>
              </w:rPr>
              <w:t>M</w:t>
            </w:r>
          </w:p>
        </w:tc>
        <w:tc>
          <w:tcPr>
            <w:tcW w:w="2780" w:type="dxa"/>
            <w:vAlign w:val="bottom"/>
            <w:tcBorders>
              <w:bottom w:val="single" w:sz="8" w:color="2D53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2D53A6"/>
              <w:right w:val="single" w:sz="8" w:color="2D53A6"/>
            </w:tcBorders>
            <w:shd w:val="clear" w:color="auto" w:fill="E6E6E6"/>
          </w:tcPr>
          <w:p>
            <w:pPr>
              <w:spacing w:after="0" w:line="183" w:lineRule="exact"/>
              <w:rPr>
                <w:sz w:val="20"/>
                <w:szCs w:val="20"/>
                <w:color w:val="auto"/>
              </w:rPr>
            </w:pPr>
            <w:r>
              <w:rPr>
                <w:rFonts w:ascii="Arial" w:cs="Arial" w:eastAsia="Arial" w:hAnsi="Arial"/>
                <w:sz w:val="16"/>
                <w:szCs w:val="16"/>
                <w:color w:val="auto"/>
              </w:rPr>
              <w:t>James A. Donahue</w:t>
            </w:r>
          </w:p>
        </w:tc>
        <w:tc>
          <w:tcPr>
            <w:tcW w:w="94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75</w:t>
            </w:r>
          </w:p>
        </w:tc>
        <w:tc>
          <w:tcPr>
            <w:tcW w:w="96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1999</w:t>
            </w:r>
          </w:p>
        </w:tc>
        <w:tc>
          <w:tcPr>
            <w:tcW w:w="154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No</w:t>
            </w:r>
          </w:p>
        </w:tc>
        <w:tc>
          <w:tcPr>
            <w:tcW w:w="1160" w:type="dxa"/>
            <w:vAlign w:val="bottom"/>
            <w:tcBorders>
              <w:bottom w:val="single" w:sz="8" w:color="2D53A6"/>
              <w:right w:val="single" w:sz="8" w:color="2D53A6"/>
            </w:tcBorders>
            <w:shd w:val="clear" w:color="auto" w:fill="E6E6E6"/>
          </w:tcPr>
          <w:p>
            <w:pPr>
              <w:jc w:val="center"/>
              <w:spacing w:after="0" w:line="183" w:lineRule="exact"/>
              <w:rPr>
                <w:sz w:val="20"/>
                <w:szCs w:val="20"/>
                <w:color w:val="auto"/>
              </w:rPr>
            </w:pPr>
            <w:r>
              <w:rPr>
                <w:rFonts w:ascii="Arial" w:cs="Arial" w:eastAsia="Arial" w:hAnsi="Arial"/>
                <w:sz w:val="16"/>
                <w:szCs w:val="16"/>
                <w:color w:val="auto"/>
              </w:rPr>
              <w:t>3 -- 2025</w:t>
            </w:r>
          </w:p>
        </w:tc>
        <w:tc>
          <w:tcPr>
            <w:tcW w:w="680" w:type="dxa"/>
            <w:vAlign w:val="bottom"/>
            <w:tcBorders>
              <w:bottom w:val="single" w:sz="8" w:color="2D53A6"/>
              <w:right w:val="single" w:sz="8" w:color="2D53A6"/>
            </w:tcBorders>
            <w:shd w:val="clear" w:color="auto" w:fill="E6E6E6"/>
          </w:tcPr>
          <w:p>
            <w:pPr>
              <w:spacing w:after="0"/>
              <w:rPr>
                <w:sz w:val="15"/>
                <w:szCs w:val="15"/>
                <w:color w:val="auto"/>
              </w:rPr>
            </w:pPr>
          </w:p>
        </w:tc>
        <w:tc>
          <w:tcPr>
            <w:tcW w:w="680" w:type="dxa"/>
            <w:vAlign w:val="bottom"/>
            <w:tcBorders>
              <w:bottom w:val="single" w:sz="8" w:color="2D53A6"/>
              <w:right w:val="single" w:sz="8" w:color="2D53A6"/>
            </w:tcBorders>
            <w:shd w:val="clear" w:color="auto" w:fill="E6E6E6"/>
          </w:tcPr>
          <w:p>
            <w:pPr>
              <w:spacing w:after="0"/>
              <w:rPr>
                <w:sz w:val="15"/>
                <w:szCs w:val="15"/>
                <w:color w:val="auto"/>
              </w:rPr>
            </w:pPr>
          </w:p>
        </w:tc>
        <w:tc>
          <w:tcPr>
            <w:tcW w:w="680" w:type="dxa"/>
            <w:vAlign w:val="bottom"/>
            <w:tcBorders>
              <w:bottom w:val="single" w:sz="8" w:color="2D53A6"/>
              <w:right w:val="single" w:sz="8" w:color="2D53A6"/>
            </w:tcBorders>
            <w:shd w:val="clear" w:color="auto" w:fill="E6E6E6"/>
          </w:tcPr>
          <w:p>
            <w:pPr>
              <w:spacing w:after="0"/>
              <w:rPr>
                <w:sz w:val="15"/>
                <w:szCs w:val="15"/>
                <w:color w:val="auto"/>
              </w:rPr>
            </w:pPr>
          </w:p>
        </w:tc>
        <w:tc>
          <w:tcPr>
            <w:tcW w:w="2780" w:type="dxa"/>
            <w:vAlign w:val="bottom"/>
            <w:tcBorders>
              <w:bottom w:val="single" w:sz="8" w:color="2D53A6"/>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2D53A6"/>
              <w:right w:val="single" w:sz="8" w:color="2D53A6"/>
            </w:tcBorders>
          </w:tcPr>
          <w:p>
            <w:pPr>
              <w:spacing w:after="0" w:line="183" w:lineRule="exact"/>
              <w:rPr>
                <w:sz w:val="20"/>
                <w:szCs w:val="20"/>
                <w:color w:val="auto"/>
              </w:rPr>
            </w:pPr>
            <w:r>
              <w:rPr>
                <w:rFonts w:ascii="Arial" w:cs="Arial" w:eastAsia="Arial" w:hAnsi="Arial"/>
                <w:sz w:val="16"/>
                <w:szCs w:val="16"/>
                <w:color w:val="auto"/>
              </w:rPr>
              <w:t>Andreas W. Mattes</w:t>
            </w:r>
          </w:p>
        </w:tc>
        <w:tc>
          <w:tcPr>
            <w:tcW w:w="9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62</w:t>
            </w:r>
          </w:p>
        </w:tc>
        <w:tc>
          <w:tcPr>
            <w:tcW w:w="9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2022</w:t>
            </w:r>
          </w:p>
        </w:tc>
        <w:tc>
          <w:tcPr>
            <w:tcW w:w="154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w w:val="94"/>
              </w:rPr>
              <w:t>Yes</w:t>
            </w:r>
          </w:p>
        </w:tc>
        <w:tc>
          <w:tcPr>
            <w:tcW w:w="116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3 -- 2025</w:t>
            </w:r>
          </w:p>
        </w:tc>
        <w:tc>
          <w:tcPr>
            <w:tcW w:w="680" w:type="dxa"/>
            <w:vAlign w:val="bottom"/>
            <w:tcBorders>
              <w:bottom w:val="single" w:sz="8" w:color="2D53A6"/>
              <w:right w:val="single" w:sz="8" w:color="2D53A6"/>
            </w:tcBorders>
          </w:tcPr>
          <w:p>
            <w:pPr>
              <w:spacing w:after="0"/>
              <w:rPr>
                <w:sz w:val="15"/>
                <w:szCs w:val="15"/>
                <w:color w:val="auto"/>
              </w:rPr>
            </w:pPr>
          </w:p>
        </w:tc>
        <w:tc>
          <w:tcPr>
            <w:tcW w:w="680" w:type="dxa"/>
            <w:vAlign w:val="bottom"/>
            <w:tcBorders>
              <w:bottom w:val="single" w:sz="8" w:color="2D53A6"/>
              <w:right w:val="single" w:sz="8" w:color="2D53A6"/>
            </w:tcBorders>
          </w:tcPr>
          <w:p>
            <w:pPr>
              <w:jc w:val="center"/>
              <w:spacing w:after="0" w:line="183" w:lineRule="exact"/>
              <w:rPr>
                <w:sz w:val="20"/>
                <w:szCs w:val="20"/>
                <w:color w:val="auto"/>
              </w:rPr>
            </w:pPr>
            <w:r>
              <w:rPr>
                <w:rFonts w:ascii="Arial" w:cs="Arial" w:eastAsia="Arial" w:hAnsi="Arial"/>
                <w:sz w:val="16"/>
                <w:szCs w:val="16"/>
                <w:color w:val="auto"/>
              </w:rPr>
              <w:t>M</w:t>
            </w:r>
          </w:p>
        </w:tc>
        <w:tc>
          <w:tcPr>
            <w:tcW w:w="680" w:type="dxa"/>
            <w:vAlign w:val="bottom"/>
            <w:tcBorders>
              <w:bottom w:val="single" w:sz="8" w:color="2D53A6"/>
              <w:right w:val="single" w:sz="8" w:color="2D53A6"/>
            </w:tcBorders>
          </w:tcPr>
          <w:p>
            <w:pPr>
              <w:spacing w:after="0"/>
              <w:rPr>
                <w:sz w:val="15"/>
                <w:szCs w:val="15"/>
                <w:color w:val="auto"/>
              </w:rPr>
            </w:pPr>
          </w:p>
        </w:tc>
        <w:tc>
          <w:tcPr>
            <w:tcW w:w="2780" w:type="dxa"/>
            <w:vAlign w:val="bottom"/>
            <w:tcBorders>
              <w:bottom w:val="single" w:sz="8" w:color="2D53A6"/>
            </w:tcBorders>
          </w:tcPr>
          <w:p>
            <w:pPr>
              <w:spacing w:after="0" w:line="183" w:lineRule="exact"/>
              <w:rPr>
                <w:sz w:val="20"/>
                <w:szCs w:val="20"/>
                <w:color w:val="auto"/>
              </w:rPr>
            </w:pPr>
            <w:r>
              <w:rPr>
                <w:rFonts w:ascii="Arial" w:cs="Arial" w:eastAsia="Arial" w:hAnsi="Arial"/>
                <w:sz w:val="16"/>
                <w:szCs w:val="16"/>
                <w:color w:val="auto"/>
              </w:rPr>
              <w:t>ams-OSRAM AG</w:t>
            </w:r>
          </w:p>
        </w:tc>
        <w:tc>
          <w:tcPr>
            <w:tcW w:w="0" w:type="dxa"/>
            <w:vAlign w:val="bottom"/>
          </w:tcPr>
          <w:p>
            <w:pPr>
              <w:spacing w:after="0"/>
              <w:rPr>
                <w:sz w:val="1"/>
                <w:szCs w:val="1"/>
                <w:color w:val="auto"/>
              </w:rPr>
            </w:pPr>
          </w:p>
        </w:tc>
      </w:tr>
      <w:tr>
        <w:trPr>
          <w:trHeight w:val="168"/>
        </w:trPr>
        <w:tc>
          <w:tcPr>
            <w:tcW w:w="182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6"/>
                <w:szCs w:val="16"/>
                <w:color w:val="auto"/>
              </w:rPr>
              <w:t>Nina L. Richardson</w:t>
            </w:r>
          </w:p>
        </w:tc>
        <w:tc>
          <w:tcPr>
            <w:tcW w:w="9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65</w:t>
            </w:r>
          </w:p>
        </w:tc>
        <w:tc>
          <w:tcPr>
            <w:tcW w:w="9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2019</w:t>
            </w:r>
          </w:p>
        </w:tc>
        <w:tc>
          <w:tcPr>
            <w:tcW w:w="15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w w:val="94"/>
              </w:rPr>
              <w:t>Yes</w:t>
            </w:r>
          </w:p>
        </w:tc>
        <w:tc>
          <w:tcPr>
            <w:tcW w:w="11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1 -- 2026</w:t>
            </w:r>
          </w:p>
        </w:tc>
        <w:tc>
          <w:tcPr>
            <w:tcW w:w="680" w:type="dxa"/>
            <w:vAlign w:val="bottom"/>
            <w:tcBorders>
              <w:right w:val="single" w:sz="8" w:color="2D53A6"/>
            </w:tcBorders>
            <w:shd w:val="clear" w:color="auto" w:fill="E6E6E6"/>
          </w:tcPr>
          <w:p>
            <w:pPr>
              <w:spacing w:after="0"/>
              <w:rPr>
                <w:sz w:val="14"/>
                <w:szCs w:val="14"/>
                <w:color w:val="auto"/>
              </w:rPr>
            </w:pP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M</w:t>
            </w:r>
          </w:p>
        </w:tc>
        <w:tc>
          <w:tcPr>
            <w:tcW w:w="680" w:type="dxa"/>
            <w:vAlign w:val="bottom"/>
            <w:tcBorders>
              <w:right w:val="single" w:sz="8" w:color="2D53A6"/>
            </w:tcBorders>
            <w:shd w:val="clear" w:color="auto" w:fill="E6E6E6"/>
          </w:tcPr>
          <w:p>
            <w:pPr>
              <w:spacing w:after="0"/>
              <w:rPr>
                <w:sz w:val="14"/>
                <w:szCs w:val="14"/>
                <w:color w:val="auto"/>
              </w:rPr>
            </w:pPr>
          </w:p>
        </w:tc>
        <w:tc>
          <w:tcPr>
            <w:tcW w:w="2780" w:type="dxa"/>
            <w:vAlign w:val="bottom"/>
            <w:shd w:val="clear" w:color="auto" w:fill="E6E6E6"/>
          </w:tcPr>
          <w:p>
            <w:pPr>
              <w:spacing w:after="0" w:line="168" w:lineRule="exact"/>
              <w:rPr>
                <w:sz w:val="20"/>
                <w:szCs w:val="20"/>
                <w:color w:val="auto"/>
              </w:rPr>
            </w:pPr>
            <w:r>
              <w:rPr>
                <w:rFonts w:ascii="Arial" w:cs="Arial" w:eastAsia="Arial" w:hAnsi="Arial"/>
                <w:sz w:val="16"/>
                <w:szCs w:val="16"/>
                <w:color w:val="auto"/>
              </w:rPr>
              <w:t>Resideo Technologies, Inc., Silicon</w:t>
            </w:r>
          </w:p>
        </w:tc>
        <w:tc>
          <w:tcPr>
            <w:tcW w:w="0" w:type="dxa"/>
            <w:vAlign w:val="bottom"/>
          </w:tcPr>
          <w:p>
            <w:pPr>
              <w:spacing w:after="0"/>
              <w:rPr>
                <w:sz w:val="1"/>
                <w:szCs w:val="1"/>
                <w:color w:val="auto"/>
              </w:rPr>
            </w:pPr>
          </w:p>
        </w:tc>
      </w:tr>
      <w:tr>
        <w:trPr>
          <w:trHeight w:val="120"/>
        </w:trPr>
        <w:tc>
          <w:tcPr>
            <w:tcW w:w="1820" w:type="dxa"/>
            <w:vAlign w:val="bottom"/>
            <w:tcBorders>
              <w:right w:val="single" w:sz="8" w:color="2D53A6"/>
            </w:tcBorders>
            <w:vMerge w:val="continue"/>
            <w:shd w:val="clear" w:color="auto" w:fill="E6E6E6"/>
          </w:tcPr>
          <w:p>
            <w:pPr>
              <w:spacing w:after="0"/>
              <w:rPr>
                <w:sz w:val="10"/>
                <w:szCs w:val="10"/>
                <w:color w:val="auto"/>
              </w:rPr>
            </w:pPr>
          </w:p>
        </w:tc>
        <w:tc>
          <w:tcPr>
            <w:tcW w:w="940" w:type="dxa"/>
            <w:vAlign w:val="bottom"/>
            <w:tcBorders>
              <w:right w:val="single" w:sz="8" w:color="2D53A6"/>
            </w:tcBorders>
            <w:vMerge w:val="continue"/>
            <w:shd w:val="clear" w:color="auto" w:fill="E6E6E6"/>
          </w:tcPr>
          <w:p>
            <w:pPr>
              <w:spacing w:after="0"/>
              <w:rPr>
                <w:sz w:val="10"/>
                <w:szCs w:val="10"/>
                <w:color w:val="auto"/>
              </w:rPr>
            </w:pPr>
          </w:p>
        </w:tc>
        <w:tc>
          <w:tcPr>
            <w:tcW w:w="960" w:type="dxa"/>
            <w:vAlign w:val="bottom"/>
            <w:tcBorders>
              <w:right w:val="single" w:sz="8" w:color="2D53A6"/>
            </w:tcBorders>
            <w:vMerge w:val="continue"/>
            <w:shd w:val="clear" w:color="auto" w:fill="E6E6E6"/>
          </w:tcPr>
          <w:p>
            <w:pPr>
              <w:spacing w:after="0"/>
              <w:rPr>
                <w:sz w:val="10"/>
                <w:szCs w:val="10"/>
                <w:color w:val="auto"/>
              </w:rPr>
            </w:pPr>
          </w:p>
        </w:tc>
        <w:tc>
          <w:tcPr>
            <w:tcW w:w="1540" w:type="dxa"/>
            <w:vAlign w:val="bottom"/>
            <w:tcBorders>
              <w:right w:val="single" w:sz="8" w:color="2D53A6"/>
            </w:tcBorders>
            <w:vMerge w:val="continue"/>
            <w:shd w:val="clear" w:color="auto" w:fill="E6E6E6"/>
          </w:tcPr>
          <w:p>
            <w:pPr>
              <w:spacing w:after="0"/>
              <w:rPr>
                <w:sz w:val="10"/>
                <w:szCs w:val="10"/>
                <w:color w:val="auto"/>
              </w:rPr>
            </w:pPr>
          </w:p>
        </w:tc>
        <w:tc>
          <w:tcPr>
            <w:tcW w:w="1160" w:type="dxa"/>
            <w:vAlign w:val="bottom"/>
            <w:tcBorders>
              <w:right w:val="single" w:sz="8" w:color="2D53A6"/>
            </w:tcBorders>
            <w:vMerge w:val="continue"/>
            <w:shd w:val="clear" w:color="auto" w:fill="E6E6E6"/>
          </w:tcPr>
          <w:p>
            <w:pPr>
              <w:spacing w:after="0"/>
              <w:rPr>
                <w:sz w:val="10"/>
                <w:szCs w:val="10"/>
                <w:color w:val="auto"/>
              </w:rPr>
            </w:pPr>
          </w:p>
        </w:tc>
        <w:tc>
          <w:tcPr>
            <w:tcW w:w="680" w:type="dxa"/>
            <w:vAlign w:val="bottom"/>
            <w:tcBorders>
              <w:right w:val="single" w:sz="8" w:color="2D53A6"/>
            </w:tcBorders>
            <w:shd w:val="clear" w:color="auto" w:fill="E6E6E6"/>
          </w:tcPr>
          <w:p>
            <w:pPr>
              <w:spacing w:after="0"/>
              <w:rPr>
                <w:sz w:val="10"/>
                <w:szCs w:val="10"/>
                <w:color w:val="auto"/>
              </w:rPr>
            </w:pPr>
          </w:p>
        </w:tc>
        <w:tc>
          <w:tcPr>
            <w:tcW w:w="680" w:type="dxa"/>
            <w:vAlign w:val="bottom"/>
            <w:tcBorders>
              <w:right w:val="single" w:sz="8" w:color="2D53A6"/>
            </w:tcBorders>
            <w:vMerge w:val="continue"/>
            <w:shd w:val="clear" w:color="auto" w:fill="E6E6E6"/>
          </w:tcPr>
          <w:p>
            <w:pPr>
              <w:spacing w:after="0"/>
              <w:rPr>
                <w:sz w:val="10"/>
                <w:szCs w:val="10"/>
                <w:color w:val="auto"/>
              </w:rPr>
            </w:pPr>
          </w:p>
        </w:tc>
        <w:tc>
          <w:tcPr>
            <w:tcW w:w="680" w:type="dxa"/>
            <w:vAlign w:val="bottom"/>
            <w:tcBorders>
              <w:right w:val="single" w:sz="8" w:color="2D53A6"/>
            </w:tcBorders>
            <w:shd w:val="clear" w:color="auto" w:fill="E6E6E6"/>
          </w:tcPr>
          <w:p>
            <w:pPr>
              <w:spacing w:after="0"/>
              <w:rPr>
                <w:sz w:val="10"/>
                <w:szCs w:val="10"/>
                <w:color w:val="auto"/>
              </w:rPr>
            </w:pPr>
          </w:p>
        </w:tc>
        <w:tc>
          <w:tcPr>
            <w:tcW w:w="2780" w:type="dxa"/>
            <w:vAlign w:val="bottom"/>
            <w:vMerge w:val="restart"/>
            <w:shd w:val="clear" w:color="auto" w:fill="E6E6E6"/>
          </w:tcPr>
          <w:p>
            <w:pPr>
              <w:spacing w:after="0"/>
              <w:rPr>
                <w:sz w:val="20"/>
                <w:szCs w:val="20"/>
                <w:color w:val="auto"/>
              </w:rPr>
            </w:pPr>
            <w:r>
              <w:rPr>
                <w:rFonts w:ascii="Arial" w:cs="Arial" w:eastAsia="Arial" w:hAnsi="Arial"/>
                <w:sz w:val="16"/>
                <w:szCs w:val="16"/>
                <w:color w:val="auto"/>
              </w:rPr>
              <w:t>Laboratories Inc.</w:t>
            </w:r>
          </w:p>
        </w:tc>
        <w:tc>
          <w:tcPr>
            <w:tcW w:w="0" w:type="dxa"/>
            <w:vAlign w:val="bottom"/>
          </w:tcPr>
          <w:p>
            <w:pPr>
              <w:spacing w:after="0"/>
              <w:rPr>
                <w:sz w:val="1"/>
                <w:szCs w:val="1"/>
                <w:color w:val="auto"/>
              </w:rPr>
            </w:pPr>
          </w:p>
        </w:tc>
      </w:tr>
      <w:tr>
        <w:trPr>
          <w:trHeight w:val="83"/>
        </w:trPr>
        <w:tc>
          <w:tcPr>
            <w:tcW w:w="1820" w:type="dxa"/>
            <w:vAlign w:val="bottom"/>
            <w:tcBorders>
              <w:bottom w:val="single" w:sz="8" w:color="2D53A6"/>
              <w:right w:val="single" w:sz="8" w:color="2D53A6"/>
            </w:tcBorders>
            <w:shd w:val="clear" w:color="auto" w:fill="E6E6E6"/>
          </w:tcPr>
          <w:p>
            <w:pPr>
              <w:spacing w:after="0"/>
              <w:rPr>
                <w:sz w:val="7"/>
                <w:szCs w:val="7"/>
                <w:color w:val="auto"/>
              </w:rPr>
            </w:pPr>
          </w:p>
        </w:tc>
        <w:tc>
          <w:tcPr>
            <w:tcW w:w="940" w:type="dxa"/>
            <w:vAlign w:val="bottom"/>
            <w:tcBorders>
              <w:bottom w:val="single" w:sz="8" w:color="2D53A6"/>
              <w:right w:val="single" w:sz="8" w:color="2D53A6"/>
            </w:tcBorders>
            <w:shd w:val="clear" w:color="auto" w:fill="E6E6E6"/>
          </w:tcPr>
          <w:p>
            <w:pPr>
              <w:spacing w:after="0"/>
              <w:rPr>
                <w:sz w:val="7"/>
                <w:szCs w:val="7"/>
                <w:color w:val="auto"/>
              </w:rPr>
            </w:pPr>
          </w:p>
        </w:tc>
        <w:tc>
          <w:tcPr>
            <w:tcW w:w="960" w:type="dxa"/>
            <w:vAlign w:val="bottom"/>
            <w:tcBorders>
              <w:bottom w:val="single" w:sz="8" w:color="2D53A6"/>
              <w:right w:val="single" w:sz="8" w:color="2D53A6"/>
            </w:tcBorders>
            <w:shd w:val="clear" w:color="auto" w:fill="E6E6E6"/>
          </w:tcPr>
          <w:p>
            <w:pPr>
              <w:spacing w:after="0"/>
              <w:rPr>
                <w:sz w:val="7"/>
                <w:szCs w:val="7"/>
                <w:color w:val="auto"/>
              </w:rPr>
            </w:pPr>
          </w:p>
        </w:tc>
        <w:tc>
          <w:tcPr>
            <w:tcW w:w="1540" w:type="dxa"/>
            <w:vAlign w:val="bottom"/>
            <w:tcBorders>
              <w:bottom w:val="single" w:sz="8" w:color="2D53A6"/>
              <w:right w:val="single" w:sz="8" w:color="2D53A6"/>
            </w:tcBorders>
            <w:shd w:val="clear" w:color="auto" w:fill="E6E6E6"/>
          </w:tcPr>
          <w:p>
            <w:pPr>
              <w:spacing w:after="0"/>
              <w:rPr>
                <w:sz w:val="7"/>
                <w:szCs w:val="7"/>
                <w:color w:val="auto"/>
              </w:rPr>
            </w:pPr>
          </w:p>
        </w:tc>
        <w:tc>
          <w:tcPr>
            <w:tcW w:w="116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680" w:type="dxa"/>
            <w:vAlign w:val="bottom"/>
            <w:tcBorders>
              <w:bottom w:val="single" w:sz="8" w:color="2D53A6"/>
              <w:right w:val="single" w:sz="8" w:color="2D53A6"/>
            </w:tcBorders>
            <w:shd w:val="clear" w:color="auto" w:fill="E6E6E6"/>
          </w:tcPr>
          <w:p>
            <w:pPr>
              <w:spacing w:after="0"/>
              <w:rPr>
                <w:sz w:val="7"/>
                <w:szCs w:val="7"/>
                <w:color w:val="auto"/>
              </w:rPr>
            </w:pPr>
          </w:p>
        </w:tc>
        <w:tc>
          <w:tcPr>
            <w:tcW w:w="2780" w:type="dxa"/>
            <w:vAlign w:val="bottom"/>
            <w:tcBorders>
              <w:bottom w:val="single" w:sz="8" w:color="2D53A6"/>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Independence is determined annually by the board of directors in accordance with the company’s corporate governance guidelines and Nasdaq rules.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CC -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 - Chair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 - Member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 Also qualifies as an audit committee financial expert (as determined based on SEC rules)</w:t>
      </w:r>
    </w:p>
    <w:p>
      <w:pPr>
        <w:spacing w:after="0" w:line="200" w:lineRule="exact"/>
        <w:rPr>
          <w:sz w:val="20"/>
          <w:szCs w:val="20"/>
          <w:color w:val="auto"/>
        </w:rPr>
      </w:pPr>
    </w:p>
    <w:p>
      <w:pPr>
        <w:sectPr>
          <w:pgSz w:w="11900" w:h="16838" w:orient="portrait"/>
          <w:cols w:equalWidth="0" w:num="2">
            <w:col w:w="3020" w:space="360"/>
            <w:col w:w="7860"/>
          </w:cols>
          <w:pgMar w:left="320" w:top="121"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Director Key Requirements, Skills and Experience Highlights</w:t>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Key Qualifications, Skills and Experiences</w:t>
            </w:r>
          </w:p>
        </w:tc>
        <w:tc>
          <w:tcPr>
            <w:tcW w:w="76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4"/>
                <w:szCs w:val="14"/>
                <w:b w:val="1"/>
                <w:bCs w:val="1"/>
                <w:color w:val="FFFFFF"/>
              </w:rPr>
              <w:t>Bendush</w:t>
            </w:r>
          </w:p>
        </w:tc>
        <w:tc>
          <w:tcPr>
            <w:tcW w:w="74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4"/>
                <w:szCs w:val="14"/>
                <w:b w:val="1"/>
                <w:bCs w:val="1"/>
                <w:color w:val="FFFFFF"/>
              </w:rPr>
              <w:t>Bilodeau</w:t>
            </w:r>
          </w:p>
        </w:tc>
        <w:tc>
          <w:tcPr>
            <w:tcW w:w="760" w:type="dxa"/>
            <w:vAlign w:val="bottom"/>
            <w:tcBorders>
              <w:right w:val="single" w:sz="8" w:color="2D53A6"/>
            </w:tcBorders>
            <w:vMerge w:val="restart"/>
            <w:shd w:val="clear" w:color="auto" w:fill="2D53A6"/>
          </w:tcPr>
          <w:p>
            <w:pPr>
              <w:ind w:left="140"/>
              <w:spacing w:after="0"/>
              <w:rPr>
                <w:sz w:val="20"/>
                <w:szCs w:val="20"/>
                <w:color w:val="auto"/>
              </w:rPr>
            </w:pPr>
            <w:r>
              <w:rPr>
                <w:rFonts w:ascii="Arial" w:cs="Arial" w:eastAsia="Arial" w:hAnsi="Arial"/>
                <w:sz w:val="14"/>
                <w:szCs w:val="14"/>
                <w:b w:val="1"/>
                <w:bCs w:val="1"/>
                <w:color w:val="FFFFFF"/>
              </w:rPr>
              <w:t>Caggia</w:t>
            </w:r>
          </w:p>
        </w:tc>
        <w:tc>
          <w:tcPr>
            <w:tcW w:w="76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4"/>
                <w:szCs w:val="14"/>
                <w:b w:val="1"/>
                <w:bCs w:val="1"/>
                <w:color w:val="FFFFFF"/>
              </w:rPr>
              <w:t>Donahue</w:t>
            </w:r>
          </w:p>
        </w:tc>
        <w:tc>
          <w:tcPr>
            <w:tcW w:w="7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Jorden</w:t>
            </w:r>
          </w:p>
        </w:tc>
        <w:tc>
          <w:tcPr>
            <w:tcW w:w="7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Mattes</w:t>
            </w:r>
          </w:p>
        </w:tc>
        <w:tc>
          <w:tcPr>
            <w:tcW w:w="740" w:type="dxa"/>
            <w:vAlign w:val="bottom"/>
            <w:tcBorders>
              <w:right w:val="single" w:sz="8" w:color="2D53A6"/>
            </w:tcBorders>
            <w:vMerge w:val="restart"/>
            <w:shd w:val="clear" w:color="auto" w:fill="2D53A6"/>
          </w:tcPr>
          <w:p>
            <w:pPr>
              <w:ind w:left="160"/>
              <w:spacing w:after="0"/>
              <w:rPr>
                <w:sz w:val="20"/>
                <w:szCs w:val="20"/>
                <w:color w:val="auto"/>
              </w:rPr>
            </w:pPr>
            <w:r>
              <w:rPr>
                <w:rFonts w:ascii="Arial" w:cs="Arial" w:eastAsia="Arial" w:hAnsi="Arial"/>
                <w:sz w:val="14"/>
                <w:szCs w:val="14"/>
                <w:b w:val="1"/>
                <w:bCs w:val="1"/>
                <w:color w:val="FFFFFF"/>
              </w:rPr>
              <w:t>M</w:t>
            </w:r>
            <w:r>
              <w:rPr>
                <w:rFonts w:ascii="Arial" w:cs="Arial" w:eastAsia="Arial" w:hAnsi="Arial"/>
                <w:sz w:val="14"/>
                <w:szCs w:val="14"/>
                <w:color w:val="FFFFFF"/>
              </w:rPr>
              <w:t>ü</w:t>
            </w:r>
            <w:r>
              <w:rPr>
                <w:rFonts w:ascii="Arial" w:cs="Arial" w:eastAsia="Arial" w:hAnsi="Arial"/>
                <w:sz w:val="14"/>
                <w:szCs w:val="14"/>
                <w:b w:val="1"/>
                <w:bCs w:val="1"/>
                <w:color w:val="FFFFFF"/>
              </w:rPr>
              <w:t>ller</w:t>
            </w:r>
          </w:p>
        </w:tc>
        <w:tc>
          <w:tcPr>
            <w:tcW w:w="860" w:type="dxa"/>
            <w:vAlign w:val="bottom"/>
            <w:vMerge w:val="restart"/>
            <w:shd w:val="clear" w:color="auto" w:fill="2D53A6"/>
          </w:tcPr>
          <w:p>
            <w:pPr>
              <w:jc w:val="center"/>
              <w:spacing w:after="0"/>
              <w:rPr>
                <w:sz w:val="20"/>
                <w:szCs w:val="20"/>
                <w:color w:val="auto"/>
              </w:rPr>
            </w:pPr>
            <w:r>
              <w:rPr>
                <w:rFonts w:ascii="Arial" w:cs="Arial" w:eastAsia="Arial" w:hAnsi="Arial"/>
                <w:sz w:val="13"/>
                <w:szCs w:val="13"/>
                <w:b w:val="1"/>
                <w:bCs w:val="1"/>
                <w:color w:val="FFFFFF"/>
                <w:w w:val="97"/>
              </w:rPr>
              <w:t>Richardson</w:t>
            </w:r>
          </w:p>
        </w:tc>
        <w:tc>
          <w:tcPr>
            <w:tcW w:w="0" w:type="dxa"/>
            <w:vAlign w:val="bottom"/>
          </w:tcPr>
          <w:p>
            <w:pPr>
              <w:spacing w:after="0"/>
              <w:rPr>
                <w:sz w:val="1"/>
                <w:szCs w:val="1"/>
                <w:color w:val="auto"/>
              </w:rPr>
            </w:pPr>
          </w:p>
        </w:tc>
      </w:tr>
      <w:tr>
        <w:trPr>
          <w:trHeight w:val="125"/>
        </w:trPr>
        <w:tc>
          <w:tcPr>
            <w:tcW w:w="51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of our Directors</w:t>
            </w:r>
          </w:p>
        </w:tc>
        <w:tc>
          <w:tcPr>
            <w:tcW w:w="760" w:type="dxa"/>
            <w:vAlign w:val="bottom"/>
            <w:tcBorders>
              <w:right w:val="single" w:sz="8" w:color="2D53A6"/>
            </w:tcBorders>
            <w:vMerge w:val="continue"/>
            <w:shd w:val="clear" w:color="auto" w:fill="2D53A6"/>
          </w:tcPr>
          <w:p>
            <w:pPr>
              <w:spacing w:after="0"/>
              <w:rPr>
                <w:sz w:val="10"/>
                <w:szCs w:val="10"/>
                <w:color w:val="auto"/>
              </w:rPr>
            </w:pPr>
          </w:p>
        </w:tc>
        <w:tc>
          <w:tcPr>
            <w:tcW w:w="740" w:type="dxa"/>
            <w:vAlign w:val="bottom"/>
            <w:tcBorders>
              <w:right w:val="single" w:sz="8" w:color="2D53A6"/>
            </w:tcBorders>
            <w:vMerge w:val="continue"/>
            <w:shd w:val="clear" w:color="auto" w:fill="2D53A6"/>
          </w:tcPr>
          <w:p>
            <w:pPr>
              <w:spacing w:after="0"/>
              <w:rPr>
                <w:sz w:val="10"/>
                <w:szCs w:val="10"/>
                <w:color w:val="auto"/>
              </w:rPr>
            </w:pPr>
          </w:p>
        </w:tc>
        <w:tc>
          <w:tcPr>
            <w:tcW w:w="760" w:type="dxa"/>
            <w:vAlign w:val="bottom"/>
            <w:tcBorders>
              <w:right w:val="single" w:sz="8" w:color="2D53A6"/>
            </w:tcBorders>
            <w:vMerge w:val="continue"/>
            <w:shd w:val="clear" w:color="auto" w:fill="2D53A6"/>
          </w:tcPr>
          <w:p>
            <w:pPr>
              <w:spacing w:after="0"/>
              <w:rPr>
                <w:sz w:val="10"/>
                <w:szCs w:val="10"/>
                <w:color w:val="auto"/>
              </w:rPr>
            </w:pPr>
          </w:p>
        </w:tc>
        <w:tc>
          <w:tcPr>
            <w:tcW w:w="760" w:type="dxa"/>
            <w:vAlign w:val="bottom"/>
            <w:tcBorders>
              <w:right w:val="single" w:sz="8" w:color="2D53A6"/>
            </w:tcBorders>
            <w:vMerge w:val="continue"/>
            <w:shd w:val="clear" w:color="auto" w:fill="2D53A6"/>
          </w:tcPr>
          <w:p>
            <w:pPr>
              <w:spacing w:after="0"/>
              <w:rPr>
                <w:sz w:val="10"/>
                <w:szCs w:val="10"/>
                <w:color w:val="auto"/>
              </w:rPr>
            </w:pPr>
          </w:p>
        </w:tc>
        <w:tc>
          <w:tcPr>
            <w:tcW w:w="760" w:type="dxa"/>
            <w:vAlign w:val="bottom"/>
            <w:tcBorders>
              <w:right w:val="single" w:sz="8" w:color="2D53A6"/>
            </w:tcBorders>
            <w:vMerge w:val="continue"/>
            <w:shd w:val="clear" w:color="auto" w:fill="2D53A6"/>
          </w:tcPr>
          <w:p>
            <w:pPr>
              <w:spacing w:after="0"/>
              <w:rPr>
                <w:sz w:val="10"/>
                <w:szCs w:val="10"/>
                <w:color w:val="auto"/>
              </w:rPr>
            </w:pPr>
          </w:p>
        </w:tc>
        <w:tc>
          <w:tcPr>
            <w:tcW w:w="740" w:type="dxa"/>
            <w:vAlign w:val="bottom"/>
            <w:tcBorders>
              <w:right w:val="single" w:sz="8" w:color="2D53A6"/>
            </w:tcBorders>
            <w:vMerge w:val="continue"/>
            <w:shd w:val="clear" w:color="auto" w:fill="2D53A6"/>
          </w:tcPr>
          <w:p>
            <w:pPr>
              <w:spacing w:after="0"/>
              <w:rPr>
                <w:sz w:val="10"/>
                <w:szCs w:val="10"/>
                <w:color w:val="auto"/>
              </w:rPr>
            </w:pPr>
          </w:p>
        </w:tc>
        <w:tc>
          <w:tcPr>
            <w:tcW w:w="740" w:type="dxa"/>
            <w:vAlign w:val="bottom"/>
            <w:tcBorders>
              <w:right w:val="single" w:sz="8" w:color="2D53A6"/>
            </w:tcBorders>
            <w:vMerge w:val="continue"/>
            <w:shd w:val="clear" w:color="auto" w:fill="2D53A6"/>
          </w:tcPr>
          <w:p>
            <w:pPr>
              <w:spacing w:after="0"/>
              <w:rPr>
                <w:sz w:val="10"/>
                <w:szCs w:val="10"/>
                <w:color w:val="auto"/>
              </w:rPr>
            </w:pPr>
          </w:p>
        </w:tc>
        <w:tc>
          <w:tcPr>
            <w:tcW w:w="8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120" w:type="dxa"/>
            <w:vAlign w:val="bottom"/>
            <w:tcBorders>
              <w:right w:val="single" w:sz="8" w:color="2D53A6"/>
            </w:tcBorders>
            <w:vMerge w:val="continue"/>
            <w:shd w:val="clear" w:color="auto" w:fill="2D53A6"/>
          </w:tcPr>
          <w:p>
            <w:pPr>
              <w:spacing w:after="0"/>
              <w:rPr>
                <w:sz w:val="9"/>
                <w:szCs w:val="9"/>
                <w:color w:val="auto"/>
              </w:rPr>
            </w:pPr>
          </w:p>
        </w:tc>
        <w:tc>
          <w:tcPr>
            <w:tcW w:w="760" w:type="dxa"/>
            <w:vAlign w:val="bottom"/>
            <w:tcBorders>
              <w:right w:val="single" w:sz="8" w:color="2D53A6"/>
            </w:tcBorders>
            <w:shd w:val="clear" w:color="auto" w:fill="2D53A6"/>
          </w:tcPr>
          <w:p>
            <w:pPr>
              <w:spacing w:after="0"/>
              <w:rPr>
                <w:sz w:val="9"/>
                <w:szCs w:val="9"/>
                <w:color w:val="auto"/>
              </w:rPr>
            </w:pPr>
          </w:p>
        </w:tc>
        <w:tc>
          <w:tcPr>
            <w:tcW w:w="740" w:type="dxa"/>
            <w:vAlign w:val="bottom"/>
            <w:tcBorders>
              <w:right w:val="single" w:sz="8" w:color="2D53A6"/>
            </w:tcBorders>
            <w:shd w:val="clear" w:color="auto" w:fill="2D53A6"/>
          </w:tcPr>
          <w:p>
            <w:pPr>
              <w:spacing w:after="0"/>
              <w:rPr>
                <w:sz w:val="9"/>
                <w:szCs w:val="9"/>
                <w:color w:val="auto"/>
              </w:rPr>
            </w:pPr>
          </w:p>
        </w:tc>
        <w:tc>
          <w:tcPr>
            <w:tcW w:w="760" w:type="dxa"/>
            <w:vAlign w:val="bottom"/>
            <w:tcBorders>
              <w:right w:val="single" w:sz="8" w:color="2D53A6"/>
            </w:tcBorders>
            <w:shd w:val="clear" w:color="auto" w:fill="2D53A6"/>
          </w:tcPr>
          <w:p>
            <w:pPr>
              <w:spacing w:after="0"/>
              <w:rPr>
                <w:sz w:val="9"/>
                <w:szCs w:val="9"/>
                <w:color w:val="auto"/>
              </w:rPr>
            </w:pPr>
          </w:p>
        </w:tc>
        <w:tc>
          <w:tcPr>
            <w:tcW w:w="760" w:type="dxa"/>
            <w:vAlign w:val="bottom"/>
            <w:tcBorders>
              <w:right w:val="single" w:sz="8" w:color="2D53A6"/>
            </w:tcBorders>
            <w:shd w:val="clear" w:color="auto" w:fill="2D53A6"/>
          </w:tcPr>
          <w:p>
            <w:pPr>
              <w:spacing w:after="0"/>
              <w:rPr>
                <w:sz w:val="9"/>
                <w:szCs w:val="9"/>
                <w:color w:val="auto"/>
              </w:rPr>
            </w:pPr>
          </w:p>
        </w:tc>
        <w:tc>
          <w:tcPr>
            <w:tcW w:w="760" w:type="dxa"/>
            <w:vAlign w:val="bottom"/>
            <w:tcBorders>
              <w:right w:val="single" w:sz="8" w:color="2D53A6"/>
            </w:tcBorders>
            <w:shd w:val="clear" w:color="auto" w:fill="2D53A6"/>
          </w:tcPr>
          <w:p>
            <w:pPr>
              <w:spacing w:after="0"/>
              <w:rPr>
                <w:sz w:val="9"/>
                <w:szCs w:val="9"/>
                <w:color w:val="auto"/>
              </w:rPr>
            </w:pPr>
          </w:p>
        </w:tc>
        <w:tc>
          <w:tcPr>
            <w:tcW w:w="740" w:type="dxa"/>
            <w:vAlign w:val="bottom"/>
            <w:tcBorders>
              <w:right w:val="single" w:sz="8" w:color="2D53A6"/>
            </w:tcBorders>
            <w:shd w:val="clear" w:color="auto" w:fill="2D53A6"/>
          </w:tcPr>
          <w:p>
            <w:pPr>
              <w:spacing w:after="0"/>
              <w:rPr>
                <w:sz w:val="9"/>
                <w:szCs w:val="9"/>
                <w:color w:val="auto"/>
              </w:rPr>
            </w:pPr>
          </w:p>
        </w:tc>
        <w:tc>
          <w:tcPr>
            <w:tcW w:w="740" w:type="dxa"/>
            <w:vAlign w:val="bottom"/>
            <w:tcBorders>
              <w:right w:val="single" w:sz="8" w:color="2D53A6"/>
            </w:tcBorders>
            <w:shd w:val="clear" w:color="auto" w:fill="2D53A6"/>
          </w:tcPr>
          <w:p>
            <w:pPr>
              <w:spacing w:after="0"/>
              <w:rPr>
                <w:sz w:val="9"/>
                <w:szCs w:val="9"/>
                <w:color w:val="auto"/>
              </w:rPr>
            </w:pPr>
          </w:p>
        </w:tc>
        <w:tc>
          <w:tcPr>
            <w:tcW w:w="860" w:type="dxa"/>
            <w:vAlign w:val="bottom"/>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120" w:type="dxa"/>
            <w:vAlign w:val="bottom"/>
            <w:tcBorders>
              <w:right w:val="single" w:sz="8" w:color="2D53A6"/>
            </w:tcBorders>
          </w:tcPr>
          <w:p>
            <w:pPr>
              <w:spacing w:after="0" w:line="183" w:lineRule="exact"/>
              <w:rPr>
                <w:sz w:val="20"/>
                <w:szCs w:val="20"/>
                <w:color w:val="auto"/>
              </w:rPr>
            </w:pPr>
            <w:r>
              <w:rPr>
                <w:rFonts w:ascii="Arial" w:cs="Arial" w:eastAsia="Arial" w:hAnsi="Arial"/>
                <w:sz w:val="18"/>
                <w:szCs w:val="18"/>
                <w:b w:val="1"/>
                <w:bCs w:val="1"/>
                <w:color w:val="auto"/>
              </w:rPr>
              <w:t xml:space="preserve">Industry Knowledge </w:t>
            </w:r>
            <w:r>
              <w:rPr>
                <w:rFonts w:ascii="Arial" w:cs="Arial" w:eastAsia="Arial" w:hAnsi="Arial"/>
                <w:sz w:val="18"/>
                <w:szCs w:val="18"/>
                <w:color w:val="auto"/>
              </w:rPr>
              <w:t>– Knowledge of and experience with our</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semiconductor equipment and broader semiconductor markets</w:t>
            </w:r>
          </w:p>
        </w:tc>
        <w:tc>
          <w:tcPr>
            <w:tcW w:w="76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120" w:type="dxa"/>
            <w:vAlign w:val="bottom"/>
            <w:tcBorders>
              <w:bottom w:val="single" w:sz="8" w:color="2D53A6"/>
              <w:right w:val="single" w:sz="8" w:color="2D53A6"/>
            </w:tcBorders>
            <w:vMerge w:val="continue"/>
          </w:tcPr>
          <w:p>
            <w:pPr>
              <w:spacing w:after="0"/>
              <w:rPr>
                <w:sz w:val="7"/>
                <w:szCs w:val="7"/>
                <w:color w:val="auto"/>
              </w:rPr>
            </w:pPr>
          </w:p>
        </w:tc>
        <w:tc>
          <w:tcPr>
            <w:tcW w:w="760" w:type="dxa"/>
            <w:vAlign w:val="bottom"/>
            <w:tcBorders>
              <w:bottom w:val="single" w:sz="8" w:color="2D53A6"/>
              <w:right w:val="single" w:sz="8" w:color="2D53A6"/>
            </w:tcBorders>
          </w:tcPr>
          <w:p>
            <w:pPr>
              <w:spacing w:after="0"/>
              <w:rPr>
                <w:sz w:val="7"/>
                <w:szCs w:val="7"/>
                <w:color w:val="auto"/>
              </w:rPr>
            </w:pPr>
          </w:p>
        </w:tc>
        <w:tc>
          <w:tcPr>
            <w:tcW w:w="740" w:type="dxa"/>
            <w:vAlign w:val="bottom"/>
            <w:tcBorders>
              <w:bottom w:val="single" w:sz="8" w:color="2D53A6"/>
              <w:right w:val="single" w:sz="8" w:color="2D53A6"/>
            </w:tcBorders>
          </w:tcPr>
          <w:p>
            <w:pPr>
              <w:spacing w:after="0"/>
              <w:rPr>
                <w:sz w:val="7"/>
                <w:szCs w:val="7"/>
                <w:color w:val="auto"/>
              </w:rPr>
            </w:pPr>
          </w:p>
        </w:tc>
        <w:tc>
          <w:tcPr>
            <w:tcW w:w="760" w:type="dxa"/>
            <w:vAlign w:val="bottom"/>
            <w:tcBorders>
              <w:bottom w:val="single" w:sz="8" w:color="2D53A6"/>
              <w:right w:val="single" w:sz="8" w:color="2D53A6"/>
            </w:tcBorders>
          </w:tcPr>
          <w:p>
            <w:pPr>
              <w:spacing w:after="0"/>
              <w:rPr>
                <w:sz w:val="7"/>
                <w:szCs w:val="7"/>
                <w:color w:val="auto"/>
              </w:rPr>
            </w:pPr>
          </w:p>
        </w:tc>
        <w:tc>
          <w:tcPr>
            <w:tcW w:w="760" w:type="dxa"/>
            <w:vAlign w:val="bottom"/>
            <w:tcBorders>
              <w:bottom w:val="single" w:sz="8" w:color="2D53A6"/>
              <w:right w:val="single" w:sz="8" w:color="2D53A6"/>
            </w:tcBorders>
          </w:tcPr>
          <w:p>
            <w:pPr>
              <w:spacing w:after="0"/>
              <w:rPr>
                <w:sz w:val="7"/>
                <w:szCs w:val="7"/>
                <w:color w:val="auto"/>
              </w:rPr>
            </w:pPr>
          </w:p>
        </w:tc>
        <w:tc>
          <w:tcPr>
            <w:tcW w:w="760" w:type="dxa"/>
            <w:vAlign w:val="bottom"/>
            <w:tcBorders>
              <w:bottom w:val="single" w:sz="8" w:color="2D53A6"/>
              <w:right w:val="single" w:sz="8" w:color="2D53A6"/>
            </w:tcBorders>
          </w:tcPr>
          <w:p>
            <w:pPr>
              <w:spacing w:after="0"/>
              <w:rPr>
                <w:sz w:val="7"/>
                <w:szCs w:val="7"/>
                <w:color w:val="auto"/>
              </w:rPr>
            </w:pPr>
          </w:p>
        </w:tc>
        <w:tc>
          <w:tcPr>
            <w:tcW w:w="740" w:type="dxa"/>
            <w:vAlign w:val="bottom"/>
            <w:tcBorders>
              <w:bottom w:val="single" w:sz="8" w:color="2D53A6"/>
              <w:right w:val="single" w:sz="8" w:color="2D53A6"/>
            </w:tcBorders>
          </w:tcPr>
          <w:p>
            <w:pPr>
              <w:spacing w:after="0"/>
              <w:rPr>
                <w:sz w:val="7"/>
                <w:szCs w:val="7"/>
                <w:color w:val="auto"/>
              </w:rPr>
            </w:pPr>
          </w:p>
        </w:tc>
        <w:tc>
          <w:tcPr>
            <w:tcW w:w="740" w:type="dxa"/>
            <w:vAlign w:val="bottom"/>
            <w:tcBorders>
              <w:bottom w:val="single" w:sz="8" w:color="2D53A6"/>
              <w:right w:val="single" w:sz="8" w:color="2D53A6"/>
            </w:tcBorders>
          </w:tcPr>
          <w:p>
            <w:pPr>
              <w:spacing w:after="0"/>
              <w:rPr>
                <w:sz w:val="7"/>
                <w:szCs w:val="7"/>
                <w:color w:val="auto"/>
              </w:rPr>
            </w:pPr>
          </w:p>
        </w:tc>
        <w:tc>
          <w:tcPr>
            <w:tcW w:w="860" w:type="dxa"/>
            <w:vAlign w:val="bottom"/>
            <w:tcBorders>
              <w:bottom w:val="single" w:sz="8" w:color="2D53A6"/>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Public Company Board Experience </w:t>
            </w:r>
            <w:r>
              <w:rPr>
                <w:rFonts w:ascii="Arial" w:cs="Arial" w:eastAsia="Arial" w:hAnsi="Arial"/>
                <w:sz w:val="18"/>
                <w:szCs w:val="18"/>
                <w:color w:val="auto"/>
              </w:rPr>
              <w:t>– Experience as current</w:t>
            </w: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8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or former member of other public company boards in</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technology industries; experience with board governance</w:t>
            </w: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86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120" w:type="dxa"/>
            <w:vAlign w:val="bottom"/>
            <w:tcBorders>
              <w:right w:val="single" w:sz="8" w:color="2D53A6"/>
            </w:tcBorders>
            <w:vMerge w:val="continue"/>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86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requirements and practices</w:t>
            </w: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86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b w:val="1"/>
                <w:bCs w:val="1"/>
                <w:color w:val="auto"/>
              </w:rPr>
              <w:t xml:space="preserve">Leadership Experience </w:t>
            </w:r>
            <w:r>
              <w:rPr>
                <w:rFonts w:ascii="Arial" w:cs="Arial" w:eastAsia="Arial" w:hAnsi="Arial"/>
                <w:sz w:val="18"/>
                <w:szCs w:val="18"/>
                <w:color w:val="auto"/>
              </w:rPr>
              <w:t>– Experience as a current or former</w:t>
            </w: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chief executive officer (“CEO”), president, chief financial officer</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tcPr>
          <w:p>
            <w:pPr>
              <w:spacing w:after="0" w:line="202" w:lineRule="exact"/>
              <w:rPr>
                <w:sz w:val="20"/>
                <w:szCs w:val="20"/>
                <w:color w:val="auto"/>
              </w:rPr>
            </w:pPr>
            <w:r>
              <w:rPr>
                <w:rFonts w:ascii="Arial" w:cs="Arial" w:eastAsia="Arial" w:hAnsi="Arial"/>
                <w:sz w:val="18"/>
                <w:szCs w:val="18"/>
                <w:color w:val="auto"/>
              </w:rPr>
              <w:t>(“CFO”), chief operating officer and/or general manager of a</w:t>
            </w:r>
          </w:p>
        </w:tc>
        <w:tc>
          <w:tcPr>
            <w:tcW w:w="76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6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740" w:type="dxa"/>
            <w:vAlign w:val="bottom"/>
            <w:tcBorders>
              <w:right w:val="single" w:sz="8" w:color="2D53A6"/>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120" w:type="dxa"/>
            <w:vAlign w:val="bottom"/>
            <w:tcBorders>
              <w:right w:val="single" w:sz="8" w:color="2D53A6"/>
            </w:tcBorders>
            <w:vMerge w:val="continue"/>
          </w:tcPr>
          <w:p>
            <w:pPr>
              <w:spacing w:after="0"/>
              <w:rPr>
                <w:sz w:val="6"/>
                <w:szCs w:val="6"/>
                <w:color w:val="auto"/>
              </w:rPr>
            </w:pPr>
          </w:p>
        </w:tc>
        <w:tc>
          <w:tcPr>
            <w:tcW w:w="76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60" w:type="dxa"/>
            <w:vAlign w:val="bottom"/>
            <w:tcBorders>
              <w:right w:val="single" w:sz="8" w:color="2D53A6"/>
            </w:tcBorders>
          </w:tcPr>
          <w:p>
            <w:pPr>
              <w:spacing w:after="0"/>
              <w:rPr>
                <w:sz w:val="6"/>
                <w:szCs w:val="6"/>
                <w:color w:val="auto"/>
              </w:rPr>
            </w:pPr>
          </w:p>
        </w:tc>
        <w:tc>
          <w:tcPr>
            <w:tcW w:w="760" w:type="dxa"/>
            <w:vAlign w:val="bottom"/>
            <w:tcBorders>
              <w:right w:val="single" w:sz="8" w:color="2D53A6"/>
            </w:tcBorders>
          </w:tcPr>
          <w:p>
            <w:pPr>
              <w:spacing w:after="0"/>
              <w:rPr>
                <w:sz w:val="6"/>
                <w:szCs w:val="6"/>
                <w:color w:val="auto"/>
              </w:rPr>
            </w:pPr>
          </w:p>
        </w:tc>
        <w:tc>
          <w:tcPr>
            <w:tcW w:w="76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740" w:type="dxa"/>
            <w:vAlign w:val="bottom"/>
            <w:tcBorders>
              <w:right w:val="single" w:sz="8" w:color="2D53A6"/>
            </w:tcBorders>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significant business</w:t>
            </w: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86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Customer/Deep Technology Knowledge </w:t>
            </w:r>
            <w:r>
              <w:rPr>
                <w:rFonts w:ascii="Arial" w:cs="Arial" w:eastAsia="Arial" w:hAnsi="Arial"/>
                <w:sz w:val="18"/>
                <w:szCs w:val="18"/>
                <w:color w:val="auto"/>
              </w:rPr>
              <w:t>– Deep knowledge</w:t>
            </w: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8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and understanding of semiconductor equipment technologies,</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including an understanding of our customers’ markets and</w:t>
            </w:r>
          </w:p>
        </w:tc>
        <w:tc>
          <w:tcPr>
            <w:tcW w:w="76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8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120" w:type="dxa"/>
            <w:vAlign w:val="bottom"/>
            <w:tcBorders>
              <w:right w:val="single" w:sz="8" w:color="2D53A6"/>
            </w:tcBorders>
            <w:vMerge w:val="continue"/>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86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needs</w:t>
            </w: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86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b w:val="1"/>
                <w:bCs w:val="1"/>
                <w:color w:val="auto"/>
              </w:rPr>
              <w:t xml:space="preserve">Global Business Experience </w:t>
            </w:r>
            <w:r>
              <w:rPr>
                <w:rFonts w:ascii="Arial" w:cs="Arial" w:eastAsia="Arial" w:hAnsi="Arial"/>
                <w:sz w:val="18"/>
                <w:szCs w:val="18"/>
                <w:color w:val="auto"/>
              </w:rPr>
              <w:t>– Experience as a current or</w:t>
            </w: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former business executive of a business with significant global</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operations and customer base</w:t>
            </w: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86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Finance and Accounting </w:t>
            </w:r>
            <w:r>
              <w:rPr>
                <w:rFonts w:ascii="Arial" w:cs="Arial" w:eastAsia="Arial" w:hAnsi="Arial"/>
                <w:sz w:val="18"/>
                <w:szCs w:val="18"/>
                <w:color w:val="auto"/>
              </w:rPr>
              <w:t>– Experience as current or former</w:t>
            </w: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8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public company executive directly responsible for accounting</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operations and financial reporting with a level of complexity</w:t>
            </w: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shd w:val="clear" w:color="auto" w:fill="E6E6E6"/>
          </w:tcPr>
          <w:p>
            <w:pPr>
              <w:spacing w:after="0"/>
              <w:rPr>
                <w:sz w:val="11"/>
                <w:szCs w:val="11"/>
                <w:color w:val="auto"/>
              </w:rPr>
            </w:pPr>
          </w:p>
        </w:tc>
        <w:tc>
          <w:tcPr>
            <w:tcW w:w="740" w:type="dxa"/>
            <w:vAlign w:val="bottom"/>
            <w:tcBorders>
              <w:right w:val="single" w:sz="8" w:color="2D53A6"/>
            </w:tcBorders>
            <w:shd w:val="clear" w:color="auto" w:fill="E6E6E6"/>
          </w:tcPr>
          <w:p>
            <w:pPr>
              <w:spacing w:after="0"/>
              <w:rPr>
                <w:sz w:val="11"/>
                <w:szCs w:val="11"/>
                <w:color w:val="auto"/>
              </w:rPr>
            </w:pPr>
          </w:p>
        </w:tc>
        <w:tc>
          <w:tcPr>
            <w:tcW w:w="8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120" w:type="dxa"/>
            <w:vAlign w:val="bottom"/>
            <w:tcBorders>
              <w:right w:val="single" w:sz="8" w:color="2D53A6"/>
            </w:tcBorders>
            <w:vMerge w:val="continue"/>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86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comparable to the company</w:t>
            </w: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86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Experience as a current or former senior</w:t>
            </w: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executive in operational roles, with complex global operations</w:t>
            </w:r>
          </w:p>
        </w:tc>
        <w:tc>
          <w:tcPr>
            <w:tcW w:w="76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spacing w:after="0"/>
              <w:rPr>
                <w:sz w:val="17"/>
                <w:szCs w:val="17"/>
                <w:color w:val="auto"/>
              </w:rPr>
            </w:pP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spacing w:after="0"/>
              <w:rPr>
                <w:sz w:val="17"/>
                <w:szCs w:val="17"/>
                <w:color w:val="auto"/>
              </w:rPr>
            </w:pP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and supply chain</w:t>
            </w: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86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Human Capital Management Experience </w:t>
            </w:r>
            <w:r>
              <w:rPr>
                <w:rFonts w:ascii="Arial" w:cs="Arial" w:eastAsia="Arial" w:hAnsi="Arial"/>
                <w:sz w:val="18"/>
                <w:szCs w:val="18"/>
                <w:color w:val="auto"/>
              </w:rPr>
              <w:t>– Experience</w:t>
            </w: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8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serving as a member of the compensation committee of a</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public company, head of human resources, or as direct</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manager of the head of human resources, or other experience</w:t>
            </w:r>
          </w:p>
        </w:tc>
        <w:tc>
          <w:tcPr>
            <w:tcW w:w="76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in setting HCM policies in large organizations, including</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recruiting, retention, compensation, organizational planning and</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leadership development</w:t>
            </w: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86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b w:val="1"/>
                <w:bCs w:val="1"/>
                <w:color w:val="auto"/>
              </w:rPr>
              <w:t>Mergers and Acquisitions (</w:t>
            </w:r>
            <w:r>
              <w:rPr>
                <w:rFonts w:ascii="Arial" w:cs="Arial" w:eastAsia="Arial" w:hAnsi="Arial"/>
                <w:sz w:val="18"/>
                <w:szCs w:val="18"/>
                <w:color w:val="auto"/>
              </w:rPr>
              <w:t>“</w:t>
            </w:r>
            <w:r>
              <w:rPr>
                <w:rFonts w:ascii="Arial" w:cs="Arial" w:eastAsia="Arial" w:hAnsi="Arial"/>
                <w:sz w:val="18"/>
                <w:szCs w:val="18"/>
                <w:b w:val="1"/>
                <w:bCs w:val="1"/>
                <w:color w:val="auto"/>
              </w:rPr>
              <w:t>M&amp;A</w:t>
            </w:r>
            <w:r>
              <w:rPr>
                <w:rFonts w:ascii="Arial" w:cs="Arial" w:eastAsia="Arial" w:hAnsi="Arial"/>
                <w:sz w:val="18"/>
                <w:szCs w:val="18"/>
                <w:color w:val="auto"/>
              </w:rPr>
              <w:t>”</w:t>
            </w:r>
            <w:r>
              <w:rPr>
                <w:rFonts w:ascii="Arial" w:cs="Arial" w:eastAsia="Arial" w:hAnsi="Arial"/>
                <w:sz w:val="18"/>
                <w:szCs w:val="18"/>
                <w:b w:val="1"/>
                <w:bCs w:val="1"/>
                <w:color w:val="auto"/>
              </w:rPr>
              <w:t xml:space="preserve">) Experience </w:t>
            </w:r>
            <w:r>
              <w:rPr>
                <w:rFonts w:ascii="Arial" w:cs="Arial" w:eastAsia="Arial" w:hAnsi="Arial"/>
                <w:sz w:val="18"/>
                <w:szCs w:val="18"/>
                <w:color w:val="auto"/>
              </w:rPr>
              <w:t>– M&amp;A and</w:t>
            </w: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6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740" w:type="dxa"/>
            <w:vAlign w:val="bottom"/>
            <w:tcBorders>
              <w:right w:val="single" w:sz="8" w:color="2D53A6"/>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tcPr>
          <w:p>
            <w:pPr>
              <w:spacing w:after="0" w:line="202" w:lineRule="exact"/>
              <w:rPr>
                <w:sz w:val="20"/>
                <w:szCs w:val="20"/>
                <w:color w:val="auto"/>
              </w:rPr>
            </w:pPr>
            <w:r>
              <w:rPr>
                <w:rFonts w:ascii="Arial" w:cs="Arial" w:eastAsia="Arial" w:hAnsi="Arial"/>
                <w:sz w:val="18"/>
                <w:szCs w:val="18"/>
                <w:color w:val="auto"/>
              </w:rPr>
              <w:t>integration experience (including buy- and sell-side) as a public</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company officer</w:t>
            </w: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6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740" w:type="dxa"/>
            <w:vAlign w:val="bottom"/>
            <w:tcBorders>
              <w:bottom w:val="single" w:sz="8" w:color="2D53A6"/>
              <w:right w:val="single" w:sz="8" w:color="2D53A6"/>
            </w:tcBorders>
          </w:tcPr>
          <w:p>
            <w:pPr>
              <w:spacing w:after="0"/>
              <w:rPr>
                <w:sz w:val="19"/>
                <w:szCs w:val="19"/>
                <w:color w:val="auto"/>
              </w:rPr>
            </w:pPr>
          </w:p>
        </w:tc>
        <w:tc>
          <w:tcPr>
            <w:tcW w:w="86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120" w:type="dxa"/>
            <w:vAlign w:val="bottom"/>
            <w:tcBorders>
              <w:right w:val="single" w:sz="8" w:color="2D53A6"/>
            </w:tcBorders>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Risk Management Experience </w:t>
            </w:r>
            <w:r>
              <w:rPr>
                <w:rFonts w:ascii="Arial" w:cs="Arial" w:eastAsia="Arial" w:hAnsi="Arial"/>
                <w:sz w:val="18"/>
                <w:szCs w:val="18"/>
                <w:color w:val="auto"/>
              </w:rPr>
              <w:t>– Experience serving as a</w:t>
            </w: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6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740" w:type="dxa"/>
            <w:vAlign w:val="bottom"/>
            <w:tcBorders>
              <w:right w:val="single" w:sz="8" w:color="2D53A6"/>
            </w:tcBorders>
            <w:shd w:val="clear" w:color="auto" w:fill="E6E6E6"/>
          </w:tcPr>
          <w:p>
            <w:pPr>
              <w:spacing w:after="0"/>
              <w:rPr>
                <w:sz w:val="15"/>
                <w:szCs w:val="15"/>
                <w:color w:val="auto"/>
              </w:rPr>
            </w:pPr>
          </w:p>
        </w:tc>
        <w:tc>
          <w:tcPr>
            <w:tcW w:w="8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member of the audit committee of a public company, or directly</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overseeing enterprise risk management or business continuity</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120" w:type="dxa"/>
            <w:vAlign w:val="bottom"/>
            <w:tcBorders>
              <w:right w:val="single" w:sz="8" w:color="2D53A6"/>
            </w:tcBorders>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planning in a large organization, or other experience in</w:t>
            </w: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6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740" w:type="dxa"/>
            <w:vAlign w:val="bottom"/>
            <w:tcBorders>
              <w:right w:val="single" w:sz="8" w:color="2D53A6"/>
            </w:tcBorders>
            <w:vMerge w:val="continue"/>
            <w:shd w:val="clear" w:color="auto" w:fill="E6E6E6"/>
          </w:tcPr>
          <w:p>
            <w:pPr>
              <w:spacing w:after="0"/>
              <w:rPr>
                <w:sz w:val="11"/>
                <w:szCs w:val="11"/>
                <w:color w:val="auto"/>
              </w:rPr>
            </w:pPr>
          </w:p>
        </w:tc>
        <w:tc>
          <w:tcPr>
            <w:tcW w:w="86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120" w:type="dxa"/>
            <w:vAlign w:val="bottom"/>
            <w:tcBorders>
              <w:right w:val="single" w:sz="8" w:color="2D53A6"/>
            </w:tcBorders>
            <w:vMerge w:val="continue"/>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6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740" w:type="dxa"/>
            <w:vAlign w:val="bottom"/>
            <w:tcBorders>
              <w:right w:val="single" w:sz="8" w:color="2D53A6"/>
            </w:tcBorders>
            <w:shd w:val="clear" w:color="auto" w:fill="E6E6E6"/>
          </w:tcPr>
          <w:p>
            <w:pPr>
              <w:spacing w:after="0"/>
              <w:rPr>
                <w:sz w:val="6"/>
                <w:szCs w:val="6"/>
                <w:color w:val="auto"/>
              </w:rPr>
            </w:pPr>
          </w:p>
        </w:tc>
        <w:tc>
          <w:tcPr>
            <w:tcW w:w="86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managing risk at the enterprise level or in a senior compliance</w:t>
            </w: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6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740" w:type="dxa"/>
            <w:vAlign w:val="bottom"/>
            <w:tcBorders>
              <w:right w:val="single" w:sz="8" w:color="2D53A6"/>
            </w:tcBorders>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or regulatory role</w:t>
            </w: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6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740" w:type="dxa"/>
            <w:vAlign w:val="bottom"/>
            <w:tcBorders>
              <w:bottom w:val="single" w:sz="8" w:color="2D53A6"/>
              <w:right w:val="single" w:sz="8" w:color="2D53A6"/>
            </w:tcBorders>
            <w:shd w:val="clear" w:color="auto" w:fill="E6E6E6"/>
          </w:tcPr>
          <w:p>
            <w:pPr>
              <w:spacing w:after="0"/>
              <w:rPr>
                <w:sz w:val="19"/>
                <w:szCs w:val="19"/>
                <w:color w:val="auto"/>
              </w:rPr>
            </w:pPr>
          </w:p>
        </w:tc>
        <w:tc>
          <w:tcPr>
            <w:tcW w:w="86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Additional Qualifications and Information</w:t>
            </w:r>
          </w:p>
        </w:tc>
        <w:tc>
          <w:tcPr>
            <w:tcW w:w="760" w:type="dxa"/>
            <w:vAlign w:val="bottom"/>
            <w:tcBorders>
              <w:right w:val="single" w:sz="8" w:color="2D53A6"/>
            </w:tcBorders>
            <w:shd w:val="clear" w:color="auto" w:fill="2D53A6"/>
          </w:tcPr>
          <w:p>
            <w:pPr>
              <w:spacing w:after="0"/>
              <w:rPr>
                <w:sz w:val="19"/>
                <w:szCs w:val="19"/>
                <w:color w:val="auto"/>
              </w:rPr>
            </w:pPr>
          </w:p>
        </w:tc>
        <w:tc>
          <w:tcPr>
            <w:tcW w:w="740" w:type="dxa"/>
            <w:vAlign w:val="bottom"/>
            <w:tcBorders>
              <w:right w:val="single" w:sz="8" w:color="2D53A6"/>
            </w:tcBorders>
            <w:shd w:val="clear" w:color="auto" w:fill="2D53A6"/>
          </w:tcPr>
          <w:p>
            <w:pPr>
              <w:spacing w:after="0"/>
              <w:rPr>
                <w:sz w:val="19"/>
                <w:szCs w:val="19"/>
                <w:color w:val="auto"/>
              </w:rPr>
            </w:pPr>
          </w:p>
        </w:tc>
        <w:tc>
          <w:tcPr>
            <w:tcW w:w="760" w:type="dxa"/>
            <w:vAlign w:val="bottom"/>
            <w:tcBorders>
              <w:right w:val="single" w:sz="8" w:color="2D53A6"/>
            </w:tcBorders>
            <w:shd w:val="clear" w:color="auto" w:fill="2D53A6"/>
          </w:tcPr>
          <w:p>
            <w:pPr>
              <w:spacing w:after="0"/>
              <w:rPr>
                <w:sz w:val="19"/>
                <w:szCs w:val="19"/>
                <w:color w:val="auto"/>
              </w:rPr>
            </w:pPr>
          </w:p>
        </w:tc>
        <w:tc>
          <w:tcPr>
            <w:tcW w:w="760" w:type="dxa"/>
            <w:vAlign w:val="bottom"/>
            <w:tcBorders>
              <w:right w:val="single" w:sz="8" w:color="2D53A6"/>
            </w:tcBorders>
            <w:shd w:val="clear" w:color="auto" w:fill="2D53A6"/>
          </w:tcPr>
          <w:p>
            <w:pPr>
              <w:spacing w:after="0"/>
              <w:rPr>
                <w:sz w:val="19"/>
                <w:szCs w:val="19"/>
                <w:color w:val="auto"/>
              </w:rPr>
            </w:pPr>
          </w:p>
        </w:tc>
        <w:tc>
          <w:tcPr>
            <w:tcW w:w="760" w:type="dxa"/>
            <w:vAlign w:val="bottom"/>
            <w:tcBorders>
              <w:right w:val="single" w:sz="8" w:color="2D53A6"/>
            </w:tcBorders>
            <w:shd w:val="clear" w:color="auto" w:fill="2D53A6"/>
          </w:tcPr>
          <w:p>
            <w:pPr>
              <w:spacing w:after="0"/>
              <w:rPr>
                <w:sz w:val="19"/>
                <w:szCs w:val="19"/>
                <w:color w:val="auto"/>
              </w:rPr>
            </w:pPr>
          </w:p>
        </w:tc>
        <w:tc>
          <w:tcPr>
            <w:tcW w:w="740" w:type="dxa"/>
            <w:vAlign w:val="bottom"/>
            <w:tcBorders>
              <w:right w:val="single" w:sz="8" w:color="2D53A6"/>
            </w:tcBorders>
            <w:shd w:val="clear" w:color="auto" w:fill="2D53A6"/>
          </w:tcPr>
          <w:p>
            <w:pPr>
              <w:spacing w:after="0"/>
              <w:rPr>
                <w:sz w:val="19"/>
                <w:szCs w:val="19"/>
                <w:color w:val="auto"/>
              </w:rPr>
            </w:pPr>
          </w:p>
        </w:tc>
        <w:tc>
          <w:tcPr>
            <w:tcW w:w="740" w:type="dxa"/>
            <w:vAlign w:val="bottom"/>
            <w:tcBorders>
              <w:right w:val="single" w:sz="8" w:color="2D53A6"/>
            </w:tcBorders>
            <w:shd w:val="clear" w:color="auto" w:fill="2D53A6"/>
          </w:tcPr>
          <w:p>
            <w:pPr>
              <w:spacing w:after="0"/>
              <w:rPr>
                <w:sz w:val="19"/>
                <w:szCs w:val="19"/>
                <w:color w:val="auto"/>
              </w:rPr>
            </w:pPr>
          </w:p>
        </w:tc>
        <w:tc>
          <w:tcPr>
            <w:tcW w:w="860" w:type="dxa"/>
            <w:vAlign w:val="bottom"/>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2D53A6"/>
              <w:right w:val="single" w:sz="8" w:color="2D53A6"/>
            </w:tcBorders>
          </w:tcPr>
          <w:p>
            <w:pPr>
              <w:spacing w:after="0" w:line="202" w:lineRule="exact"/>
              <w:rPr>
                <w:sz w:val="20"/>
                <w:szCs w:val="20"/>
                <w:color w:val="auto"/>
              </w:rPr>
            </w:pPr>
            <w:r>
              <w:rPr>
                <w:rFonts w:ascii="Arial" w:cs="Arial" w:eastAsia="Arial" w:hAnsi="Arial"/>
                <w:sz w:val="18"/>
                <w:szCs w:val="18"/>
                <w:b w:val="1"/>
                <w:bCs w:val="1"/>
                <w:color w:val="auto"/>
              </w:rPr>
              <w:t xml:space="preserve">Tenure on Cohu Board (years) </w:t>
            </w:r>
            <w:r>
              <w:rPr>
                <w:rFonts w:ascii="Arial" w:cs="Arial" w:eastAsia="Arial" w:hAnsi="Arial"/>
                <w:sz w:val="14"/>
                <w:szCs w:val="14"/>
                <w:b w:val="1"/>
                <w:bCs w:val="1"/>
                <w:color w:val="auto"/>
              </w:rPr>
              <w:t>(1)</w:t>
            </w:r>
          </w:p>
        </w:tc>
        <w:tc>
          <w:tcPr>
            <w:tcW w:w="7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13</w:t>
            </w:r>
          </w:p>
        </w:tc>
        <w:tc>
          <w:tcPr>
            <w:tcW w:w="74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15</w:t>
            </w:r>
          </w:p>
        </w:tc>
        <w:tc>
          <w:tcPr>
            <w:tcW w:w="7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10</w:t>
            </w:r>
          </w:p>
        </w:tc>
        <w:tc>
          <w:tcPr>
            <w:tcW w:w="7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25</w:t>
            </w:r>
          </w:p>
        </w:tc>
        <w:tc>
          <w:tcPr>
            <w:tcW w:w="7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2</w:t>
            </w:r>
          </w:p>
        </w:tc>
        <w:tc>
          <w:tcPr>
            <w:tcW w:w="74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10</w:t>
            </w:r>
          </w:p>
        </w:tc>
        <w:tc>
          <w:tcPr>
            <w:tcW w:w="860" w:type="dxa"/>
            <w:vAlign w:val="bottom"/>
            <w:tcBorders>
              <w:bottom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b w:val="1"/>
                <w:bCs w:val="1"/>
                <w:color w:val="auto"/>
              </w:rPr>
              <w:t xml:space="preserve">Other Current Public Company Boards </w:t>
            </w:r>
            <w:r>
              <w:rPr>
                <w:rFonts w:ascii="Arial" w:cs="Arial" w:eastAsia="Arial" w:hAnsi="Arial"/>
                <w:sz w:val="14"/>
                <w:szCs w:val="14"/>
                <w:b w:val="1"/>
                <w:bCs w:val="1"/>
                <w:color w:val="auto"/>
              </w:rPr>
              <w:t>(2)</w:t>
            </w:r>
          </w:p>
        </w:tc>
        <w:tc>
          <w:tcPr>
            <w:tcW w:w="760" w:type="dxa"/>
            <w:vAlign w:val="bottom"/>
            <w:tcBorders>
              <w:bottom w:val="single" w:sz="8" w:color="2D53A6"/>
              <w:right w:val="single" w:sz="8" w:color="2D53A6"/>
            </w:tcBorders>
            <w:shd w:val="clear" w:color="auto" w:fill="E6E6E6"/>
          </w:tcPr>
          <w:p>
            <w:pPr>
              <w:spacing w:after="0"/>
              <w:rPr>
                <w:sz w:val="17"/>
                <w:szCs w:val="17"/>
                <w:color w:val="auto"/>
              </w:rPr>
            </w:pPr>
          </w:p>
        </w:tc>
        <w:tc>
          <w:tcPr>
            <w:tcW w:w="740" w:type="dxa"/>
            <w:vAlign w:val="bottom"/>
            <w:tcBorders>
              <w:bottom w:val="single" w:sz="8" w:color="2D53A6"/>
              <w:right w:val="single" w:sz="8" w:color="2D53A6"/>
            </w:tcBorders>
            <w:shd w:val="clear" w:color="auto" w:fill="E6E6E6"/>
          </w:tcPr>
          <w:p>
            <w:pPr>
              <w:spacing w:after="0"/>
              <w:rPr>
                <w:sz w:val="17"/>
                <w:szCs w:val="17"/>
                <w:color w:val="auto"/>
              </w:rPr>
            </w:pPr>
          </w:p>
        </w:tc>
        <w:tc>
          <w:tcPr>
            <w:tcW w:w="760" w:type="dxa"/>
            <w:vAlign w:val="bottom"/>
            <w:tcBorders>
              <w:bottom w:val="single" w:sz="8" w:color="2D53A6"/>
              <w:right w:val="single" w:sz="8" w:color="2D53A6"/>
            </w:tcBorders>
            <w:shd w:val="clear" w:color="auto" w:fill="E6E6E6"/>
          </w:tcPr>
          <w:p>
            <w:pPr>
              <w:spacing w:after="0"/>
              <w:rPr>
                <w:sz w:val="17"/>
                <w:szCs w:val="17"/>
                <w:color w:val="auto"/>
              </w:rPr>
            </w:pPr>
          </w:p>
        </w:tc>
        <w:tc>
          <w:tcPr>
            <w:tcW w:w="760" w:type="dxa"/>
            <w:vAlign w:val="bottom"/>
            <w:tcBorders>
              <w:bottom w:val="single" w:sz="8" w:color="2D53A6"/>
              <w:right w:val="single" w:sz="8" w:color="2D53A6"/>
            </w:tcBorders>
            <w:shd w:val="clear" w:color="auto" w:fill="E6E6E6"/>
          </w:tcPr>
          <w:p>
            <w:pPr>
              <w:spacing w:after="0"/>
              <w:rPr>
                <w:sz w:val="17"/>
                <w:szCs w:val="17"/>
                <w:color w:val="auto"/>
              </w:rPr>
            </w:pPr>
          </w:p>
        </w:tc>
        <w:tc>
          <w:tcPr>
            <w:tcW w:w="76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2</w:t>
            </w:r>
          </w:p>
        </w:tc>
        <w:tc>
          <w:tcPr>
            <w:tcW w:w="74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1</w:t>
            </w:r>
          </w:p>
        </w:tc>
        <w:tc>
          <w:tcPr>
            <w:tcW w:w="86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Measured as of 2024 annual meeting.</w:t>
      </w:r>
    </w:p>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w:t>
        <w:tab/>
        <w:t>As of April 22,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Director Demographic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054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Cohu values diversity, equity, inclusion and is committed to full compliance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applicable laws and regulations governing employment.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 endeavor to create a culture where everyone feels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welcomed, valued and respected.</w:t>
      </w:r>
    </w:p>
    <w:p>
      <w:pPr>
        <w:spacing w:after="0" w:line="200" w:lineRule="exact"/>
        <w:rPr>
          <w:sz w:val="20"/>
          <w:szCs w:val="20"/>
          <w:color w:val="auto"/>
        </w:rPr>
      </w:pP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Board values ethnic, cultural, gender, economic, professional and educational diversity in evaluating new Board candidates and seeks to incorporate a wide range of these attributes within Cohu’s Board. The following matrix provides self-disclosed gender and ethnic/racial diversity information regarding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Cohu Board Diversity Matrix (as of April 22,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 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Borders>
              <w:top w:val="single" w:sz="8" w:color="2D53A6"/>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Total Number of Directors</w:t>
            </w:r>
          </w:p>
        </w:tc>
        <w:tc>
          <w:tcPr>
            <w:tcW w:w="1520" w:type="dxa"/>
            <w:vAlign w:val="bottom"/>
            <w:tcBorders>
              <w:top w:val="single" w:sz="8" w:color="2D53A6"/>
              <w:bottom w:val="single" w:sz="8" w:color="2D53A6"/>
              <w:right w:val="single" w:sz="8" w:color="E6E6E6"/>
            </w:tcBorders>
            <w:shd w:val="clear" w:color="auto" w:fill="E6E6E6"/>
          </w:tcPr>
          <w:p>
            <w:pPr>
              <w:spacing w:after="0"/>
              <w:rPr>
                <w:sz w:val="18"/>
                <w:szCs w:val="18"/>
                <w:color w:val="auto"/>
              </w:rPr>
            </w:pPr>
          </w:p>
        </w:tc>
        <w:tc>
          <w:tcPr>
            <w:tcW w:w="1180" w:type="dxa"/>
            <w:vAlign w:val="bottom"/>
            <w:tcBorders>
              <w:top w:val="single" w:sz="8" w:color="2D53A6"/>
              <w:bottom w:val="single" w:sz="8" w:color="2D53A6"/>
            </w:tcBorders>
            <w:shd w:val="clear" w:color="auto" w:fill="E6E6E6"/>
          </w:tcPr>
          <w:p>
            <w:pPr>
              <w:spacing w:after="0"/>
              <w:rPr>
                <w:sz w:val="18"/>
                <w:szCs w:val="18"/>
                <w:color w:val="auto"/>
              </w:rPr>
            </w:pPr>
          </w:p>
        </w:tc>
        <w:tc>
          <w:tcPr>
            <w:tcW w:w="320" w:type="dxa"/>
            <w:vAlign w:val="bottom"/>
            <w:tcBorders>
              <w:top w:val="single" w:sz="8" w:color="2D53A6"/>
              <w:bottom w:val="single" w:sz="8" w:color="2D53A6"/>
              <w:right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w:t>
            </w:r>
          </w:p>
        </w:tc>
        <w:tc>
          <w:tcPr>
            <w:tcW w:w="1520" w:type="dxa"/>
            <w:vAlign w:val="bottom"/>
            <w:tcBorders>
              <w:top w:val="single" w:sz="8" w:color="2D53A6"/>
              <w:bottom w:val="single" w:sz="8" w:color="2D53A6"/>
              <w:right w:val="single" w:sz="8" w:color="E6E6E6"/>
            </w:tcBorders>
            <w:shd w:val="clear" w:color="auto" w:fill="E6E6E6"/>
          </w:tcPr>
          <w:p>
            <w:pPr>
              <w:spacing w:after="0"/>
              <w:rPr>
                <w:sz w:val="18"/>
                <w:szCs w:val="18"/>
                <w:color w:val="auto"/>
              </w:rPr>
            </w:pPr>
          </w:p>
        </w:tc>
        <w:tc>
          <w:tcPr>
            <w:tcW w:w="1260" w:type="dxa"/>
            <w:vAlign w:val="bottom"/>
            <w:tcBorders>
              <w:top w:val="single" w:sz="8" w:color="2D53A6"/>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4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rPr>
              <w:t>Gender</w:t>
            </w:r>
          </w:p>
        </w:tc>
        <w:tc>
          <w:tcPr>
            <w:tcW w:w="1520" w:type="dxa"/>
            <w:vAlign w:val="bottom"/>
            <w:tcBorders>
              <w:right w:val="single" w:sz="8" w:color="2D53A6"/>
            </w:tcBorders>
            <w:vMerge w:val="restart"/>
          </w:tcPr>
          <w:p>
            <w:pPr>
              <w:ind w:left="540"/>
              <w:spacing w:after="0"/>
              <w:rPr>
                <w:sz w:val="20"/>
                <w:szCs w:val="20"/>
                <w:color w:val="auto"/>
              </w:rPr>
            </w:pPr>
            <w:r>
              <w:rPr>
                <w:rFonts w:ascii="Arial" w:cs="Arial" w:eastAsia="Arial" w:hAnsi="Arial"/>
                <w:sz w:val="18"/>
                <w:szCs w:val="18"/>
                <w:b w:val="1"/>
                <w:bCs w:val="1"/>
                <w:color w:val="auto"/>
              </w:rPr>
              <w:t>Male</w:t>
            </w:r>
          </w:p>
        </w:tc>
        <w:tc>
          <w:tcPr>
            <w:tcW w:w="1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Female</w:t>
            </w:r>
          </w:p>
        </w:tc>
        <w:tc>
          <w:tcPr>
            <w:tcW w:w="320" w:type="dxa"/>
            <w:vAlign w:val="bottom"/>
            <w:tcBorders>
              <w:right w:val="single" w:sz="8" w:color="2D53A6"/>
            </w:tcBorders>
          </w:tcPr>
          <w:p>
            <w:pPr>
              <w:spacing w:after="0"/>
              <w:rPr>
                <w:sz w:val="15"/>
                <w:szCs w:val="15"/>
                <w:color w:val="auto"/>
              </w:rPr>
            </w:pPr>
          </w:p>
        </w:tc>
        <w:tc>
          <w:tcPr>
            <w:tcW w:w="15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b w:val="1"/>
                <w:bCs w:val="1"/>
                <w:color w:val="auto"/>
              </w:rPr>
              <w:t>Non-Binary</w:t>
            </w:r>
          </w:p>
        </w:tc>
        <w:tc>
          <w:tcPr>
            <w:tcW w:w="12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Gender</w:t>
            </w:r>
          </w:p>
        </w:tc>
        <w:tc>
          <w:tcPr>
            <w:tcW w:w="0" w:type="dxa"/>
            <w:vAlign w:val="bottom"/>
          </w:tcPr>
          <w:p>
            <w:pPr>
              <w:spacing w:after="0"/>
              <w:rPr>
                <w:sz w:val="1"/>
                <w:szCs w:val="1"/>
                <w:color w:val="auto"/>
              </w:rPr>
            </w:pPr>
          </w:p>
        </w:tc>
      </w:tr>
      <w:tr>
        <w:trPr>
          <w:trHeight w:val="139"/>
        </w:trPr>
        <w:tc>
          <w:tcPr>
            <w:tcW w:w="5440" w:type="dxa"/>
            <w:vAlign w:val="bottom"/>
            <w:tcBorders>
              <w:right w:val="single" w:sz="8" w:color="2D53A6"/>
            </w:tcBorders>
            <w:vMerge w:val="continue"/>
          </w:tcPr>
          <w:p>
            <w:pPr>
              <w:spacing w:after="0"/>
              <w:rPr>
                <w:sz w:val="12"/>
                <w:szCs w:val="12"/>
                <w:color w:val="auto"/>
              </w:rPr>
            </w:pPr>
          </w:p>
        </w:tc>
        <w:tc>
          <w:tcPr>
            <w:tcW w:w="1520" w:type="dxa"/>
            <w:vAlign w:val="bottom"/>
            <w:tcBorders>
              <w:right w:val="single" w:sz="8" w:color="2D53A6"/>
            </w:tcBorders>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Borders>
              <w:right w:val="single" w:sz="8" w:color="2D53A6"/>
            </w:tcBorders>
          </w:tcPr>
          <w:p>
            <w:pPr>
              <w:spacing w:after="0"/>
              <w:rPr>
                <w:sz w:val="12"/>
                <w:szCs w:val="12"/>
                <w:color w:val="auto"/>
              </w:rPr>
            </w:pPr>
          </w:p>
        </w:tc>
        <w:tc>
          <w:tcPr>
            <w:tcW w:w="1520" w:type="dxa"/>
            <w:vAlign w:val="bottom"/>
            <w:tcBorders>
              <w:right w:val="single" w:sz="8" w:color="2D53A6"/>
            </w:tcBorders>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Undisclosed</w:t>
            </w:r>
          </w:p>
        </w:tc>
        <w:tc>
          <w:tcPr>
            <w:tcW w:w="0" w:type="dxa"/>
            <w:vAlign w:val="bottom"/>
          </w:tcPr>
          <w:p>
            <w:pPr>
              <w:spacing w:after="0"/>
              <w:rPr>
                <w:sz w:val="1"/>
                <w:szCs w:val="1"/>
                <w:color w:val="auto"/>
              </w:rPr>
            </w:pPr>
          </w:p>
        </w:tc>
      </w:tr>
      <w:tr>
        <w:trPr>
          <w:trHeight w:val="83"/>
        </w:trPr>
        <w:tc>
          <w:tcPr>
            <w:tcW w:w="5440" w:type="dxa"/>
            <w:vAlign w:val="bottom"/>
            <w:tcBorders>
              <w:bottom w:val="single" w:sz="8" w:color="2D53A6"/>
              <w:right w:val="single" w:sz="8" w:color="2D53A6"/>
            </w:tcBorders>
          </w:tcPr>
          <w:p>
            <w:pPr>
              <w:spacing w:after="0"/>
              <w:rPr>
                <w:sz w:val="7"/>
                <w:szCs w:val="7"/>
                <w:color w:val="auto"/>
              </w:rPr>
            </w:pPr>
          </w:p>
        </w:tc>
        <w:tc>
          <w:tcPr>
            <w:tcW w:w="1520" w:type="dxa"/>
            <w:vAlign w:val="bottom"/>
            <w:tcBorders>
              <w:bottom w:val="single" w:sz="8" w:color="2D53A6"/>
              <w:right w:val="single" w:sz="8" w:color="2D53A6"/>
            </w:tcBorders>
          </w:tcPr>
          <w:p>
            <w:pPr>
              <w:spacing w:after="0"/>
              <w:rPr>
                <w:sz w:val="7"/>
                <w:szCs w:val="7"/>
                <w:color w:val="auto"/>
              </w:rPr>
            </w:pPr>
          </w:p>
        </w:tc>
        <w:tc>
          <w:tcPr>
            <w:tcW w:w="1180" w:type="dxa"/>
            <w:vAlign w:val="bottom"/>
            <w:tcBorders>
              <w:bottom w:val="single" w:sz="8" w:color="2D53A6"/>
            </w:tcBorders>
          </w:tcPr>
          <w:p>
            <w:pPr>
              <w:spacing w:after="0"/>
              <w:rPr>
                <w:sz w:val="7"/>
                <w:szCs w:val="7"/>
                <w:color w:val="auto"/>
              </w:rPr>
            </w:pPr>
          </w:p>
        </w:tc>
        <w:tc>
          <w:tcPr>
            <w:tcW w:w="320" w:type="dxa"/>
            <w:vAlign w:val="bottom"/>
            <w:tcBorders>
              <w:bottom w:val="single" w:sz="8" w:color="2D53A6"/>
              <w:right w:val="single" w:sz="8" w:color="2D53A6"/>
            </w:tcBorders>
          </w:tcPr>
          <w:p>
            <w:pPr>
              <w:spacing w:after="0"/>
              <w:rPr>
                <w:sz w:val="7"/>
                <w:szCs w:val="7"/>
                <w:color w:val="auto"/>
              </w:rPr>
            </w:pPr>
          </w:p>
        </w:tc>
        <w:tc>
          <w:tcPr>
            <w:tcW w:w="1520" w:type="dxa"/>
            <w:vAlign w:val="bottom"/>
            <w:tcBorders>
              <w:bottom w:val="single" w:sz="8" w:color="2D53A6"/>
              <w:right w:val="single" w:sz="8" w:color="2D53A6"/>
            </w:tcBorders>
          </w:tcPr>
          <w:p>
            <w:pPr>
              <w:spacing w:after="0"/>
              <w:rPr>
                <w:sz w:val="7"/>
                <w:szCs w:val="7"/>
                <w:color w:val="auto"/>
              </w:rPr>
            </w:pPr>
          </w:p>
        </w:tc>
        <w:tc>
          <w:tcPr>
            <w:tcW w:w="1260" w:type="dxa"/>
            <w:vAlign w:val="bottom"/>
            <w:tcBorders>
              <w:bottom w:val="single" w:sz="8" w:color="2D53A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Number of directors based on gender identity</w:t>
            </w: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1180" w:type="dxa"/>
            <w:vAlign w:val="bottom"/>
            <w:tcBorders>
              <w:bottom w:val="single" w:sz="8" w:color="2D53A6"/>
            </w:tcBorders>
            <w:shd w:val="clear" w:color="auto" w:fill="E6E6E6"/>
          </w:tcPr>
          <w:p>
            <w:pPr>
              <w:jc w:val="center"/>
              <w:ind w:left="270"/>
              <w:spacing w:after="0" w:line="196" w:lineRule="exact"/>
              <w:rPr>
                <w:sz w:val="20"/>
                <w:szCs w:val="20"/>
                <w:color w:val="auto"/>
              </w:rPr>
            </w:pPr>
            <w:r>
              <w:rPr>
                <w:rFonts w:ascii="Arial" w:cs="Arial" w:eastAsia="Arial" w:hAnsi="Arial"/>
                <w:sz w:val="18"/>
                <w:szCs w:val="18"/>
                <w:b w:val="1"/>
                <w:bCs w:val="1"/>
                <w:color w:val="auto"/>
                <w:w w:val="99"/>
              </w:rPr>
              <w:t>2</w:t>
            </w:r>
          </w:p>
        </w:tc>
        <w:tc>
          <w:tcPr>
            <w:tcW w:w="320" w:type="dxa"/>
            <w:vAlign w:val="bottom"/>
            <w:tcBorders>
              <w:bottom w:val="single" w:sz="8" w:color="2D53A6"/>
              <w:right w:val="single" w:sz="8" w:color="2D53A6"/>
            </w:tcBorders>
            <w:shd w:val="clear" w:color="auto" w:fill="E6E6E6"/>
          </w:tcPr>
          <w:p>
            <w:pPr>
              <w:spacing w:after="0"/>
              <w:rPr>
                <w:sz w:val="17"/>
                <w:szCs w:val="17"/>
                <w:color w:val="auto"/>
              </w:rPr>
            </w:pP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7"/>
        </w:trPr>
        <w:tc>
          <w:tcPr>
            <w:tcW w:w="5440" w:type="dxa"/>
            <w:vAlign w:val="bottom"/>
            <w:tcBorders>
              <w:right w:val="single" w:sz="8" w:color="2D53A6"/>
            </w:tcBorders>
          </w:tcPr>
          <w:p>
            <w:pPr>
              <w:ind w:left="60"/>
              <w:spacing w:after="0" w:line="177" w:lineRule="exact"/>
              <w:rPr>
                <w:sz w:val="20"/>
                <w:szCs w:val="20"/>
                <w:color w:val="auto"/>
              </w:rPr>
            </w:pPr>
            <w:r>
              <w:rPr>
                <w:rFonts w:ascii="Arial" w:cs="Arial" w:eastAsia="Arial" w:hAnsi="Arial"/>
                <w:sz w:val="18"/>
                <w:szCs w:val="18"/>
                <w:b w:val="1"/>
                <w:bCs w:val="1"/>
                <w:color w:val="auto"/>
              </w:rPr>
              <w:t>Number of directors who identify in any of the categories</w:t>
            </w:r>
          </w:p>
        </w:tc>
        <w:tc>
          <w:tcPr>
            <w:tcW w:w="1520" w:type="dxa"/>
            <w:vAlign w:val="bottom"/>
            <w:tcBorders>
              <w:right w:val="single" w:sz="8" w:color="2D53A6"/>
            </w:tcBorders>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Borders>
              <w:right w:val="single" w:sz="8" w:color="2D53A6"/>
            </w:tcBorders>
          </w:tcPr>
          <w:p>
            <w:pPr>
              <w:spacing w:after="0"/>
              <w:rPr>
                <w:sz w:val="15"/>
                <w:szCs w:val="15"/>
                <w:color w:val="auto"/>
              </w:rPr>
            </w:pPr>
          </w:p>
        </w:tc>
        <w:tc>
          <w:tcPr>
            <w:tcW w:w="1520" w:type="dxa"/>
            <w:vAlign w:val="bottom"/>
            <w:tcBorders>
              <w:right w:val="single" w:sz="8" w:color="2D53A6"/>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below</w:t>
            </w:r>
          </w:p>
        </w:tc>
        <w:tc>
          <w:tcPr>
            <w:tcW w:w="1520" w:type="dxa"/>
            <w:vAlign w:val="bottom"/>
            <w:tcBorders>
              <w:bottom w:val="single" w:sz="8" w:color="2D53A6"/>
              <w:right w:val="single" w:sz="8" w:color="2D53A6"/>
            </w:tcBorders>
          </w:tcPr>
          <w:p>
            <w:pPr>
              <w:spacing w:after="0"/>
              <w:rPr>
                <w:sz w:val="19"/>
                <w:szCs w:val="19"/>
                <w:color w:val="auto"/>
              </w:rPr>
            </w:pPr>
          </w:p>
        </w:tc>
        <w:tc>
          <w:tcPr>
            <w:tcW w:w="1180" w:type="dxa"/>
            <w:vAlign w:val="bottom"/>
            <w:tcBorders>
              <w:bottom w:val="single" w:sz="8" w:color="2D53A6"/>
            </w:tcBorders>
          </w:tcPr>
          <w:p>
            <w:pPr>
              <w:spacing w:after="0"/>
              <w:rPr>
                <w:sz w:val="19"/>
                <w:szCs w:val="19"/>
                <w:color w:val="auto"/>
              </w:rPr>
            </w:pPr>
          </w:p>
        </w:tc>
        <w:tc>
          <w:tcPr>
            <w:tcW w:w="320" w:type="dxa"/>
            <w:vAlign w:val="bottom"/>
            <w:tcBorders>
              <w:bottom w:val="single" w:sz="8" w:color="2D53A6"/>
              <w:right w:val="single" w:sz="8" w:color="2D53A6"/>
            </w:tcBorders>
          </w:tcPr>
          <w:p>
            <w:pPr>
              <w:spacing w:after="0"/>
              <w:rPr>
                <w:sz w:val="19"/>
                <w:szCs w:val="19"/>
                <w:color w:val="auto"/>
              </w:rPr>
            </w:pPr>
          </w:p>
        </w:tc>
        <w:tc>
          <w:tcPr>
            <w:tcW w:w="152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African American or Black</w:t>
            </w: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7"/>
                <w:szCs w:val="17"/>
                <w:color w:val="auto"/>
              </w:rPr>
            </w:pP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right w:val="single" w:sz="8" w:color="2D53A6"/>
            </w:tcBorders>
          </w:tcPr>
          <w:p>
            <w:pPr>
              <w:spacing w:after="0" w:line="196" w:lineRule="exact"/>
              <w:rPr>
                <w:sz w:val="20"/>
                <w:szCs w:val="20"/>
                <w:color w:val="auto"/>
              </w:rPr>
            </w:pPr>
            <w:r>
              <w:rPr>
                <w:rFonts w:ascii="Arial" w:cs="Arial" w:eastAsia="Arial" w:hAnsi="Arial"/>
                <w:sz w:val="18"/>
                <w:szCs w:val="18"/>
                <w:color w:val="auto"/>
              </w:rPr>
              <w:t>Alaskan Native or Native American</w:t>
            </w:r>
          </w:p>
        </w:tc>
        <w:tc>
          <w:tcPr>
            <w:tcW w:w="1520" w:type="dxa"/>
            <w:vAlign w:val="bottom"/>
            <w:tcBorders>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right w:val="single" w:sz="8" w:color="2D53A6"/>
            </w:tcBorders>
          </w:tcPr>
          <w:p>
            <w:pPr>
              <w:spacing w:after="0"/>
              <w:rPr>
                <w:sz w:val="17"/>
                <w:szCs w:val="17"/>
                <w:color w:val="auto"/>
              </w:rPr>
            </w:pPr>
          </w:p>
        </w:tc>
        <w:tc>
          <w:tcPr>
            <w:tcW w:w="1520" w:type="dxa"/>
            <w:vAlign w:val="bottom"/>
            <w:tcBorders>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2D53A6"/>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color w:val="auto"/>
              </w:rPr>
              <w:t>Asian</w:t>
            </w:r>
          </w:p>
        </w:tc>
        <w:tc>
          <w:tcPr>
            <w:tcW w:w="1520" w:type="dxa"/>
            <w:vAlign w:val="bottom"/>
            <w:tcBorders>
              <w:bottom w:val="single" w:sz="8" w:color="2D53A6"/>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70"/>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tcBorders>
              <w:bottom w:val="single" w:sz="8" w:color="2D53A6"/>
              <w:right w:val="single" w:sz="8" w:color="2D53A6"/>
            </w:tcBorders>
            <w:shd w:val="clear" w:color="auto" w:fill="E6E6E6"/>
          </w:tcPr>
          <w:p>
            <w:pPr>
              <w:spacing w:after="0"/>
              <w:rPr>
                <w:sz w:val="17"/>
                <w:szCs w:val="17"/>
                <w:color w:val="auto"/>
              </w:rPr>
            </w:pPr>
          </w:p>
        </w:tc>
        <w:tc>
          <w:tcPr>
            <w:tcW w:w="1520" w:type="dxa"/>
            <w:vAlign w:val="bottom"/>
            <w:tcBorders>
              <w:bottom w:val="single" w:sz="8" w:color="2D53A6"/>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Hispanic or Latinx</w:t>
            </w:r>
          </w:p>
        </w:tc>
        <w:tc>
          <w:tcPr>
            <w:tcW w:w="152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b w:val="1"/>
                <w:bCs w:val="1"/>
                <w:color w:val="auto"/>
                <w:w w:val="99"/>
              </w:rPr>
              <w:t>1</w:t>
            </w:r>
          </w:p>
        </w:tc>
        <w:tc>
          <w:tcPr>
            <w:tcW w:w="1180" w:type="dxa"/>
            <w:vAlign w:val="bottom"/>
            <w:tcBorders>
              <w:bottom w:val="single" w:sz="8" w:color="2D53A6"/>
            </w:tcBorders>
          </w:tcPr>
          <w:p>
            <w:pPr>
              <w:jc w:val="center"/>
              <w:ind w:lef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tcPr>
          <w:p>
            <w:pPr>
              <w:spacing w:after="0"/>
              <w:rPr>
                <w:sz w:val="17"/>
                <w:szCs w:val="17"/>
                <w:color w:val="auto"/>
              </w:rPr>
            </w:pPr>
          </w:p>
        </w:tc>
        <w:tc>
          <w:tcPr>
            <w:tcW w:w="152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Native Hawaiian or Pacific Islander</w:t>
            </w: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7"/>
                <w:szCs w:val="17"/>
                <w:color w:val="auto"/>
              </w:rPr>
            </w:pP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White</w:t>
            </w:r>
          </w:p>
        </w:tc>
        <w:tc>
          <w:tcPr>
            <w:tcW w:w="152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1180" w:type="dxa"/>
            <w:vAlign w:val="bottom"/>
            <w:tcBorders>
              <w:bottom w:val="single" w:sz="8" w:color="2D53A6"/>
            </w:tcBorders>
          </w:tcPr>
          <w:p>
            <w:pPr>
              <w:jc w:val="center"/>
              <w:ind w:left="270"/>
              <w:spacing w:after="0" w:line="196" w:lineRule="exact"/>
              <w:rPr>
                <w:sz w:val="20"/>
                <w:szCs w:val="20"/>
                <w:color w:val="auto"/>
              </w:rPr>
            </w:pPr>
            <w:r>
              <w:rPr>
                <w:rFonts w:ascii="Arial" w:cs="Arial" w:eastAsia="Arial" w:hAnsi="Arial"/>
                <w:sz w:val="18"/>
                <w:szCs w:val="18"/>
                <w:b w:val="1"/>
                <w:bCs w:val="1"/>
                <w:color w:val="auto"/>
                <w:w w:val="99"/>
              </w:rPr>
              <w:t>1</w:t>
            </w:r>
          </w:p>
        </w:tc>
        <w:tc>
          <w:tcPr>
            <w:tcW w:w="320" w:type="dxa"/>
            <w:vAlign w:val="bottom"/>
            <w:tcBorders>
              <w:bottom w:val="single" w:sz="8" w:color="2D53A6"/>
              <w:right w:val="single" w:sz="8" w:color="2D53A6"/>
            </w:tcBorders>
          </w:tcPr>
          <w:p>
            <w:pPr>
              <w:spacing w:after="0"/>
              <w:rPr>
                <w:sz w:val="17"/>
                <w:szCs w:val="17"/>
                <w:color w:val="auto"/>
              </w:rPr>
            </w:pPr>
          </w:p>
        </w:tc>
        <w:tc>
          <w:tcPr>
            <w:tcW w:w="152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Two or More Races or Ethnicities</w:t>
            </w: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7"/>
                <w:szCs w:val="17"/>
                <w:color w:val="auto"/>
              </w:rPr>
            </w:pPr>
          </w:p>
        </w:tc>
        <w:tc>
          <w:tcPr>
            <w:tcW w:w="152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LGBTQ+</w:t>
            </w:r>
          </w:p>
        </w:tc>
        <w:tc>
          <w:tcPr>
            <w:tcW w:w="1520" w:type="dxa"/>
            <w:vAlign w:val="bottom"/>
            <w:tcBorders>
              <w:bottom w:val="single" w:sz="8" w:color="2D53A6"/>
            </w:tcBorders>
          </w:tcPr>
          <w:p>
            <w:pPr>
              <w:spacing w:after="0"/>
              <w:rPr>
                <w:sz w:val="17"/>
                <w:szCs w:val="17"/>
                <w:color w:val="auto"/>
              </w:rPr>
            </w:pPr>
          </w:p>
        </w:tc>
        <w:tc>
          <w:tcPr>
            <w:tcW w:w="1180" w:type="dxa"/>
            <w:vAlign w:val="bottom"/>
            <w:tcBorders>
              <w:bottom w:val="single" w:sz="8" w:color="2D53A6"/>
            </w:tcBorders>
          </w:tcPr>
          <w:p>
            <w:pPr>
              <w:spacing w:after="0"/>
              <w:rPr>
                <w:sz w:val="17"/>
                <w:szCs w:val="17"/>
                <w:color w:val="auto"/>
              </w:rPr>
            </w:pPr>
          </w:p>
        </w:tc>
        <w:tc>
          <w:tcPr>
            <w:tcW w:w="320" w:type="dxa"/>
            <w:vAlign w:val="bottom"/>
            <w:tcBorders>
              <w:bottom w:val="single" w:sz="8" w:color="2D53A6"/>
            </w:tcBorders>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2D53A6"/>
            </w:tcBorders>
          </w:tcPr>
          <w:p>
            <w:pPr>
              <w:spacing w:after="0"/>
              <w:rPr>
                <w:sz w:val="17"/>
                <w:szCs w:val="17"/>
                <w:color w:val="auto"/>
              </w:rPr>
            </w:pPr>
          </w:p>
        </w:tc>
        <w:tc>
          <w:tcPr>
            <w:tcW w:w="1260" w:type="dxa"/>
            <w:vAlign w:val="bottom"/>
            <w:tcBorders>
              <w:bottom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Demographic Background Undisclosed</w:t>
            </w:r>
          </w:p>
        </w:tc>
        <w:tc>
          <w:tcPr>
            <w:tcW w:w="1520" w:type="dxa"/>
            <w:vAlign w:val="bottom"/>
            <w:tcBorders>
              <w:bottom w:val="single" w:sz="8" w:color="2D53A6"/>
              <w:right w:val="single" w:sz="8" w:color="E6E6E6"/>
            </w:tcBorders>
            <w:shd w:val="clear" w:color="auto" w:fill="E6E6E6"/>
          </w:tcPr>
          <w:p>
            <w:pPr>
              <w:spacing w:after="0"/>
              <w:rPr>
                <w:sz w:val="17"/>
                <w:szCs w:val="17"/>
                <w:color w:val="auto"/>
              </w:rPr>
            </w:pPr>
          </w:p>
        </w:tc>
        <w:tc>
          <w:tcPr>
            <w:tcW w:w="1180" w:type="dxa"/>
            <w:vAlign w:val="bottom"/>
            <w:tcBorders>
              <w:bottom w:val="single" w:sz="8" w:color="2D53A6"/>
            </w:tcBorders>
            <w:shd w:val="clear" w:color="auto" w:fill="E6E6E6"/>
          </w:tcPr>
          <w:p>
            <w:pPr>
              <w:spacing w:after="0"/>
              <w:rPr>
                <w:sz w:val="17"/>
                <w:szCs w:val="17"/>
                <w:color w:val="auto"/>
              </w:rPr>
            </w:pPr>
          </w:p>
        </w:tc>
        <w:tc>
          <w:tcPr>
            <w:tcW w:w="320" w:type="dxa"/>
            <w:vAlign w:val="bottom"/>
            <w:tcBorders>
              <w:bottom w:val="single" w:sz="8" w:color="2D53A6"/>
              <w:right w:val="single" w:sz="8" w:color="E6E6E6"/>
            </w:tcBorders>
            <w:shd w:val="clear" w:color="auto" w:fill="E6E6E6"/>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2D53A6"/>
              <w:right w:val="single" w:sz="8" w:color="E6E6E6"/>
            </w:tcBorders>
            <w:shd w:val="clear" w:color="auto" w:fill="E6E6E6"/>
          </w:tcPr>
          <w:p>
            <w:pPr>
              <w:spacing w:after="0"/>
              <w:rPr>
                <w:sz w:val="17"/>
                <w:szCs w:val="17"/>
                <w:color w:val="auto"/>
              </w:rPr>
            </w:pPr>
          </w:p>
        </w:tc>
        <w:tc>
          <w:tcPr>
            <w:tcW w:w="1260" w:type="dxa"/>
            <w:vAlign w:val="bottom"/>
            <w:tcBorders>
              <w:bottom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Board Diversity</w:t>
      </w:r>
    </w:p>
    <w:p>
      <w:pPr>
        <w:spacing w:after="0" w:line="179" w:lineRule="exact"/>
        <w:rPr>
          <w:sz w:val="20"/>
          <w:szCs w:val="20"/>
          <w:color w:val="auto"/>
        </w:rPr>
      </w:pPr>
    </w:p>
    <w:p>
      <w:pPr>
        <w:ind w:left="3980"/>
        <w:spacing w:after="0"/>
        <w:rPr>
          <w:sz w:val="20"/>
          <w:szCs w:val="20"/>
          <w:color w:val="auto"/>
        </w:rPr>
      </w:pPr>
      <w:r>
        <w:rPr>
          <w:rFonts w:ascii="Arial" w:cs="Arial" w:eastAsia="Arial" w:hAnsi="Arial"/>
          <w:sz w:val="36"/>
          <w:szCs w:val="36"/>
          <w:b w:val="1"/>
          <w:bCs w:val="1"/>
          <w:color w:val="2D53A6"/>
        </w:rPr>
        <w:t>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-203835</wp:posOffset>
            </wp:positionV>
            <wp:extent cx="916940" cy="497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497205"/>
                    </a:xfrm>
                    <a:prstGeom prst="rect">
                      <a:avLst/>
                    </a:prstGeom>
                    <a:noFill/>
                  </pic:spPr>
                </pic:pic>
              </a:graphicData>
            </a:graphic>
          </wp:anchor>
        </w:drawing>
      </w:r>
    </w:p>
    <w:p>
      <w:pPr>
        <w:spacing w:after="0" w:line="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Directors are female,</w:t>
      </w:r>
    </w:p>
    <w:p>
      <w:pPr>
        <w:ind w:left="3980"/>
        <w:spacing w:after="0"/>
        <w:rPr>
          <w:sz w:val="20"/>
          <w:szCs w:val="20"/>
          <w:color w:val="auto"/>
        </w:rPr>
      </w:pPr>
      <w:r>
        <w:rPr>
          <w:rFonts w:ascii="Arial" w:cs="Arial" w:eastAsia="Arial" w:hAnsi="Arial"/>
          <w:sz w:val="22"/>
          <w:szCs w:val="22"/>
          <w:b w:val="1"/>
          <w:bCs w:val="1"/>
          <w:color w:val="auto"/>
        </w:rPr>
        <w:t>Or 25%</w:t>
      </w:r>
    </w:p>
    <w:p>
      <w:pPr>
        <w:spacing w:after="0" w:line="161" w:lineRule="exact"/>
        <w:rPr>
          <w:sz w:val="20"/>
          <w:szCs w:val="20"/>
          <w:color w:val="auto"/>
        </w:rPr>
      </w:pPr>
    </w:p>
    <w:p>
      <w:pPr>
        <w:ind w:left="3980"/>
        <w:spacing w:after="0"/>
        <w:rPr>
          <w:sz w:val="20"/>
          <w:szCs w:val="20"/>
          <w:color w:val="auto"/>
        </w:rPr>
      </w:pPr>
      <w:r>
        <w:rPr>
          <w:rFonts w:ascii="Arial" w:cs="Arial" w:eastAsia="Arial" w:hAnsi="Arial"/>
          <w:sz w:val="36"/>
          <w:szCs w:val="36"/>
          <w:b w:val="1"/>
          <w:bCs w:val="1"/>
          <w:color w:val="2D53A6"/>
        </w:rPr>
        <w:t>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-195580</wp:posOffset>
            </wp:positionV>
            <wp:extent cx="908685" cy="488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488950"/>
                    </a:xfrm>
                    <a:prstGeom prst="rect">
                      <a:avLst/>
                    </a:prstGeom>
                    <a:noFill/>
                  </pic:spPr>
                </pic:pic>
              </a:graphicData>
            </a:graphic>
          </wp:anchor>
        </w:drawing>
      </w:r>
    </w:p>
    <w:p>
      <w:pPr>
        <w:spacing w:after="0" w:line="16" w:lineRule="exact"/>
        <w:rPr>
          <w:sz w:val="20"/>
          <w:szCs w:val="20"/>
          <w:color w:val="auto"/>
        </w:rPr>
      </w:pPr>
    </w:p>
    <w:p>
      <w:pPr>
        <w:ind w:left="3980" w:right="3260"/>
        <w:spacing w:after="0" w:line="251" w:lineRule="auto"/>
        <w:rPr>
          <w:sz w:val="20"/>
          <w:szCs w:val="20"/>
          <w:color w:val="auto"/>
        </w:rPr>
      </w:pPr>
      <w:r>
        <w:rPr>
          <w:rFonts w:ascii="Arial" w:cs="Arial" w:eastAsia="Arial" w:hAnsi="Arial"/>
          <w:sz w:val="22"/>
          <w:szCs w:val="22"/>
          <w:b w:val="1"/>
          <w:bCs w:val="1"/>
          <w:color w:val="auto"/>
        </w:rPr>
        <w:t>Directors are ethnically/racially diverse Or 25%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 Highlights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Board and Other Governance Information</w:t>
            </w:r>
          </w:p>
        </w:tc>
        <w:tc>
          <w:tcPr>
            <w:tcW w:w="19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As of April 22,</w:t>
            </w:r>
          </w:p>
        </w:tc>
        <w:tc>
          <w:tcPr>
            <w:tcW w:w="0" w:type="dxa"/>
            <w:vAlign w:val="bottom"/>
          </w:tcPr>
          <w:p>
            <w:pPr>
              <w:spacing w:after="0"/>
              <w:rPr>
                <w:sz w:val="1"/>
                <w:szCs w:val="1"/>
                <w:color w:val="auto"/>
              </w:rPr>
            </w:pPr>
          </w:p>
        </w:tc>
      </w:tr>
      <w:tr>
        <w:trPr>
          <w:trHeight w:val="139"/>
        </w:trPr>
        <w:tc>
          <w:tcPr>
            <w:tcW w:w="9280" w:type="dxa"/>
            <w:vAlign w:val="bottom"/>
            <w:tcBorders>
              <w:right w:val="single" w:sz="8" w:color="2D53A6"/>
            </w:tcBorders>
            <w:vMerge w:val="continue"/>
            <w:shd w:val="clear" w:color="auto" w:fill="2D53A6"/>
          </w:tcPr>
          <w:p>
            <w:pPr>
              <w:spacing w:after="0"/>
              <w:rPr>
                <w:sz w:val="12"/>
                <w:szCs w:val="12"/>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2024</w:t>
            </w:r>
          </w:p>
        </w:tc>
        <w:tc>
          <w:tcPr>
            <w:tcW w:w="0" w:type="dxa"/>
            <w:vAlign w:val="bottom"/>
          </w:tcPr>
          <w:p>
            <w:pPr>
              <w:spacing w:after="0"/>
              <w:rPr>
                <w:sz w:val="1"/>
                <w:szCs w:val="1"/>
                <w:color w:val="auto"/>
              </w:rPr>
            </w:pPr>
          </w:p>
        </w:tc>
      </w:tr>
      <w:tr>
        <w:trPr>
          <w:trHeight w:val="117"/>
        </w:trPr>
        <w:tc>
          <w:tcPr>
            <w:tcW w:w="9280" w:type="dxa"/>
            <w:vAlign w:val="bottom"/>
            <w:tcBorders>
              <w:bottom w:val="single" w:sz="8" w:color="2D53A6"/>
              <w:right w:val="single" w:sz="8" w:color="2D53A6"/>
            </w:tcBorders>
            <w:shd w:val="clear" w:color="auto" w:fill="2D53A6"/>
          </w:tcPr>
          <w:p>
            <w:pPr>
              <w:spacing w:after="0"/>
              <w:rPr>
                <w:sz w:val="10"/>
                <w:szCs w:val="10"/>
                <w:color w:val="auto"/>
              </w:rPr>
            </w:pPr>
          </w:p>
        </w:tc>
        <w:tc>
          <w:tcPr>
            <w:tcW w:w="1960" w:type="dxa"/>
            <w:vAlign w:val="bottom"/>
            <w:tcBorders>
              <w:bottom w:val="single" w:sz="8" w:color="2D53A6"/>
            </w:tcBorders>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928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Size of Board</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Number of Independent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Number of Directors Who Attended ≥ 75% of Meetings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Limitations on Other Public Board and Committee Memberships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Hedging and Pledging Prohibited</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Voting Standard of Election of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Majority</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Plurality Voting Carveout for Contested Elections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Separate Chair and CEO</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Lead Independent Director</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Independent Directors Meet Without Management Present</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Annual Board and Committee Self-Evaluations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Annual Independent Director Evaluation of CEO</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Risk Oversight by Full Board and Committees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Commitment to Board Diversity</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Significant Board Engagement - 27 Board and Committee meetings held in 2023</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Code of Ethics Applicable to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Stockholder Engagement Program - Conducted 242 investor and prospective investor meetings in 2023</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Poison Pill</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Board Oversight of Sustainability</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2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Publication of Annual Sustainability Report on Our Website</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54"/>
        </w:trPr>
        <w:tc>
          <w:tcPr>
            <w:tcW w:w="92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Board Oversight of Cybersecurity Risks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3"/>
        </w:trPr>
        <w:tc>
          <w:tcPr>
            <w:tcW w:w="928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Shareholder Outreach</w:t>
      </w:r>
    </w:p>
    <w:p>
      <w:pPr>
        <w:spacing w:after="0" w:line="21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Increasingly, topics such as compensation matters, human capital management, corporate governance and other Environmental, Social and Governance (“ESG”) matters are addressed during shareholder engagements. Expanding female Board diversity was a consistent topic during these meetings and there are on-going efforts by the Nominating and Governance Committee to consider the appropriate mix of skills, competencies, and diversity on the Board.</w:t>
      </w:r>
    </w:p>
    <w:p>
      <w:pPr>
        <w:spacing w:after="0" w:line="160" w:lineRule="exact"/>
        <w:rPr>
          <w:sz w:val="20"/>
          <w:szCs w:val="20"/>
          <w:color w:val="auto"/>
        </w:rPr>
      </w:pPr>
    </w:p>
    <w:p>
      <w:pPr>
        <w:jc w:val="center"/>
        <w:spacing w:after="0" w:line="506" w:lineRule="auto"/>
        <w:rPr>
          <w:sz w:val="20"/>
          <w:szCs w:val="20"/>
          <w:color w:val="auto"/>
        </w:rPr>
      </w:pPr>
      <w:r>
        <w:rPr>
          <w:rFonts w:ascii="Arial" w:cs="Arial" w:eastAsia="Arial" w:hAnsi="Arial"/>
          <w:sz w:val="18"/>
          <w:szCs w:val="18"/>
          <w:color w:val="auto"/>
        </w:rPr>
        <w:t>In 2023, 242 meetings were held with shareholders and prospective shareholders, including 12 of the company’s top 25 largest shareholders.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What We Do</w:t>
      </w:r>
    </w:p>
    <w:p>
      <w:pPr>
        <w:spacing w:after="0" w:line="2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Our executive compensation program is designed to pay for performance with 100% of the annual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(“STI”) program tied to company financial, strategic and operational performance metrics, and 60% of the Long-Term Incentive (“LTI”) program tied to relative total stockholder return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53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5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Balance of Annual and Long-Term Incentives </w:t>
      </w:r>
      <w:r>
        <w:rPr>
          <w:rFonts w:ascii="Arial" w:cs="Arial" w:eastAsia="Arial" w:hAnsi="Arial"/>
          <w:sz w:val="18"/>
          <w:szCs w:val="18"/>
          <w:color w:val="auto"/>
        </w:rPr>
        <w:t>- Our incentive compensation programs provide a balance of annual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w:t>
      </w:r>
    </w:p>
    <w:p>
      <w:pPr>
        <w:spacing w:after="0" w:line="35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Different Performance Metrics for Annual and Long-Term Incentive Programs </w:t>
      </w:r>
      <w:r>
        <w:rPr>
          <w:rFonts w:ascii="Arial" w:cs="Arial" w:eastAsia="Arial" w:hAnsi="Arial"/>
          <w:sz w:val="18"/>
          <w:szCs w:val="18"/>
          <w:color w:val="auto"/>
        </w:rPr>
        <w:t>- Our annual and long-term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use different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660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Absolute and Relative Performance Metrics </w:t>
      </w:r>
      <w:r>
        <w:rPr>
          <w:rFonts w:ascii="Arial" w:cs="Arial" w:eastAsia="Arial" w:hAnsi="Arial"/>
          <w:sz w:val="18"/>
          <w:szCs w:val="18"/>
          <w:color w:val="auto"/>
        </w:rPr>
        <w:t>- Our annual and long-term incentive compensation programs for executive officers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absolute and relative performance metrics.</w:t>
      </w:r>
    </w:p>
    <w:p>
      <w:pPr>
        <w:spacing w:after="0" w:line="3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Three-Year Performance Period for Our Long-Term Incentive Program </w:t>
      </w:r>
      <w:r>
        <w:rPr>
          <w:rFonts w:ascii="Arial" w:cs="Arial" w:eastAsia="Arial" w:hAnsi="Arial"/>
          <w:sz w:val="18"/>
          <w:szCs w:val="18"/>
          <w:color w:val="auto"/>
        </w:rPr>
        <w:t>- Our current long-term incentive compensation program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pay for performance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Capped Amounts </w:t>
      </w:r>
      <w:r>
        <w:rPr>
          <w:rFonts w:ascii="Arial" w:cs="Arial" w:eastAsia="Arial" w:hAnsi="Arial"/>
          <w:sz w:val="18"/>
          <w:szCs w:val="18"/>
          <w:color w:val="auto"/>
        </w:rPr>
        <w:t>- Amounts that can be earned under the annual and long-term incentive compensation programs are capped.</w:t>
      </w:r>
    </w:p>
    <w:p>
      <w:pPr>
        <w:spacing w:after="0" w:line="200" w:lineRule="exact"/>
        <w:rPr>
          <w:sz w:val="20"/>
          <w:szCs w:val="20"/>
          <w:color w:val="auto"/>
        </w:rPr>
      </w:pPr>
    </w:p>
    <w:p>
      <w:pPr>
        <w:spacing w:after="0" w:line="21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color w:val="auto"/>
        </w:rPr>
        <w:t xml:space="preserve">Compensation Recoupment/Clawback Policy </w:t>
      </w:r>
      <w:r>
        <w:rPr>
          <w:rFonts w:ascii="Arial" w:cs="Arial" w:eastAsia="Arial" w:hAnsi="Arial"/>
          <w:sz w:val="18"/>
          <w:szCs w:val="18"/>
          <w:color w:val="auto"/>
        </w:rPr>
        <w:t>- We have a policy pursuant to which incentive compensation erroneously awarded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is subject to recoupment under certain circumstances if our financial results are restated. This policy was updated in 2023 to be compliant with the requirements of Exchange Act Rule 10D-1 and the applicable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659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3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 We have stock ownership guidelines for each of our executive officers and certain other senior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our named executive officers has met their individual ownership level under the current program or has a period of time remaining under the guidelines to do so.</w:t>
      </w:r>
    </w:p>
    <w:p>
      <w:pPr>
        <w:spacing w:after="0" w:line="37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Independent Compensation Advisor </w:t>
      </w:r>
      <w:r>
        <w:rPr>
          <w:rFonts w:ascii="Arial" w:cs="Arial" w:eastAsia="Arial" w:hAnsi="Arial"/>
          <w:sz w:val="18"/>
          <w:szCs w:val="18"/>
          <w:color w:val="auto"/>
        </w:rPr>
        <w:t>- The Compensation Committee benefits from its utilization of an independent compensation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directly by the committee, that 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03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Say-on-Pay </w:t>
      </w:r>
      <w:r>
        <w:rPr>
          <w:rFonts w:ascii="Arial" w:cs="Arial" w:eastAsia="Arial" w:hAnsi="Arial"/>
          <w:sz w:val="18"/>
          <w:szCs w:val="18"/>
          <w:color w:val="auto"/>
        </w:rPr>
        <w:t>- We annually seek a non-binding advisory stockholder vote to approve our named executive officer compensation.</w:t>
      </w:r>
    </w:p>
    <w:p>
      <w:pPr>
        <w:spacing w:after="0" w:line="200" w:lineRule="exact"/>
        <w:rPr>
          <w:sz w:val="20"/>
          <w:szCs w:val="20"/>
          <w:color w:val="auto"/>
        </w:rPr>
      </w:pPr>
    </w:p>
    <w:p>
      <w:pPr>
        <w:spacing w:after="0" w:line="21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Stockholder Engagement </w:t>
      </w:r>
      <w:r>
        <w:rPr>
          <w:rFonts w:ascii="Arial" w:cs="Arial" w:eastAsia="Arial" w:hAnsi="Arial"/>
          <w:sz w:val="18"/>
          <w:szCs w:val="18"/>
          <w:color w:val="auto"/>
        </w:rPr>
        <w:t>- We engage with stockholders regularly and stockholder advisory firms on an as needed basis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concerning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What We Don</w:t>
      </w:r>
      <w:r>
        <w:rPr>
          <w:rFonts w:ascii="Arial" w:cs="Arial" w:eastAsia="Arial" w:hAnsi="Arial"/>
          <w:sz w:val="18"/>
          <w:szCs w:val="18"/>
          <w:color w:val="FFFFFF"/>
        </w:rPr>
        <w:t>’</w:t>
      </w:r>
      <w:r>
        <w:rPr>
          <w:rFonts w:ascii="Arial" w:cs="Arial" w:eastAsia="Arial" w:hAnsi="Arial"/>
          <w:sz w:val="18"/>
          <w:szCs w:val="18"/>
          <w:b w:val="1"/>
          <w:bCs w:val="1"/>
          <w:color w:val="FFFFFF"/>
        </w:rPr>
        <w:t>t Do</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“Single-Trigger</w:t>
      </w:r>
      <w:r>
        <w:rPr>
          <w:rFonts w:ascii="Arial" w:cs="Arial" w:eastAsia="Arial" w:hAnsi="Arial"/>
          <w:sz w:val="18"/>
          <w:szCs w:val="18"/>
          <w:color w:val="auto"/>
        </w:rPr>
        <w:t>”</w:t>
      </w:r>
      <w:r>
        <w:rPr>
          <w:rFonts w:ascii="Arial" w:cs="Arial" w:eastAsia="Arial" w:hAnsi="Arial"/>
          <w:sz w:val="18"/>
          <w:szCs w:val="18"/>
          <w:b w:val="1"/>
          <w:bCs w:val="1"/>
          <w:color w:val="auto"/>
        </w:rPr>
        <w:t xml:space="preserve"> Change in Control Provisions </w:t>
      </w:r>
      <w:r>
        <w:rPr>
          <w:rFonts w:ascii="Arial" w:cs="Arial" w:eastAsia="Arial" w:hAnsi="Arial"/>
          <w:sz w:val="18"/>
          <w:szCs w:val="18"/>
          <w:color w:val="auto"/>
        </w:rPr>
        <w:t>- Our executive change in control policy does not have “single-trigger”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582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0" w:right="280"/>
        <w:spacing w:after="0" w:line="271" w:lineRule="auto"/>
        <w:rPr>
          <w:sz w:val="20"/>
          <w:szCs w:val="20"/>
          <w:color w:val="auto"/>
        </w:rPr>
      </w:pPr>
      <w:r>
        <w:rPr>
          <w:rFonts w:ascii="Arial" w:cs="Arial" w:eastAsia="Arial" w:hAnsi="Arial"/>
          <w:sz w:val="18"/>
          <w:szCs w:val="18"/>
          <w:b w:val="1"/>
          <w:bCs w:val="1"/>
          <w:color w:val="auto"/>
        </w:rPr>
        <w:t xml:space="preserve">Minimum Amounts </w:t>
      </w:r>
      <w:r>
        <w:rPr>
          <w:rFonts w:ascii="Arial" w:cs="Arial" w:eastAsia="Arial" w:hAnsi="Arial"/>
          <w:sz w:val="18"/>
          <w:szCs w:val="18"/>
          <w:color w:val="auto"/>
        </w:rPr>
        <w:t>- Amounts under the annual and long-term incentive compensation programs have no guaranteed minimum and can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be “zero” for any performance period for unsatisfactory results.</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Option Repricing Prohibited </w:t>
      </w:r>
      <w:r>
        <w:rPr>
          <w:rFonts w:ascii="Arial" w:cs="Arial" w:eastAsia="Arial" w:hAnsi="Arial"/>
          <w:sz w:val="18"/>
          <w:szCs w:val="18"/>
          <w:color w:val="auto"/>
        </w:rPr>
        <w:t>- Our stock incentive plans prohibit option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582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0" w:right="320"/>
        <w:spacing w:after="0" w:line="271" w:lineRule="auto"/>
        <w:rPr>
          <w:sz w:val="20"/>
          <w:szCs w:val="20"/>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 We prohibit our employees, including our executive officers and directors, from hedging or pledging</w:t>
      </w:r>
      <w:r>
        <w:rPr>
          <w:rFonts w:ascii="Arial" w:cs="Arial" w:eastAsia="Arial" w:hAnsi="Arial"/>
          <w:sz w:val="18"/>
          <w:szCs w:val="18"/>
          <w:b w:val="1"/>
          <w:bCs w:val="1"/>
          <w:color w:val="auto"/>
        </w:rPr>
        <w:t xml:space="preserve"> </w:t>
      </w:r>
      <w:r>
        <w:rPr>
          <w:rFonts w:ascii="Arial" w:cs="Arial" w:eastAsia="Arial" w:hAnsi="Arial"/>
          <w:sz w:val="18"/>
          <w:szCs w:val="18"/>
          <w:color w:val="auto"/>
        </w:rPr>
        <w:t>any Company securities.</w:t>
      </w:r>
    </w:p>
    <w:p>
      <w:pPr>
        <w:spacing w:after="0" w:line="200" w:lineRule="exact"/>
        <w:rPr>
          <w:sz w:val="20"/>
          <w:szCs w:val="20"/>
          <w:color w:val="auto"/>
        </w:rPr>
      </w:pPr>
    </w:p>
    <w:p>
      <w:pPr>
        <w:spacing w:after="0" w:line="237" w:lineRule="exact"/>
        <w:rPr>
          <w:sz w:val="20"/>
          <w:szCs w:val="20"/>
          <w:color w:val="auto"/>
        </w:rPr>
      </w:pPr>
    </w:p>
    <w:p>
      <w:pPr>
        <w:ind w:left="40" w:right="140"/>
        <w:spacing w:after="0" w:line="271"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 We do not currently offer, nor do we have plans to provide, defined benefit pension arrangements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454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 We provide minimal perquisites and other personal benefits to our executive officers.</w:t>
      </w:r>
    </w:p>
    <w:p>
      <w:pPr>
        <w:spacing w:after="0" w:line="200" w:lineRule="exact"/>
        <w:rPr>
          <w:sz w:val="20"/>
          <w:szCs w:val="20"/>
          <w:color w:val="auto"/>
        </w:rPr>
      </w:pPr>
    </w:p>
    <w:p>
      <w:pPr>
        <w:spacing w:after="0" w:line="295" w:lineRule="exact"/>
        <w:rPr>
          <w:sz w:val="20"/>
          <w:szCs w:val="20"/>
          <w:color w:val="auto"/>
        </w:rPr>
      </w:pPr>
    </w:p>
    <w:p>
      <w:pPr>
        <w:ind w:left="40" w:right="40"/>
        <w:spacing w:after="0" w:line="253" w:lineRule="auto"/>
        <w:rPr>
          <w:sz w:val="20"/>
          <w:szCs w:val="20"/>
          <w:color w:val="auto"/>
        </w:rPr>
      </w:pPr>
      <w:r>
        <w:rPr>
          <w:rFonts w:ascii="Arial" w:cs="Arial" w:eastAsia="Arial" w:hAnsi="Arial"/>
          <w:sz w:val="18"/>
          <w:szCs w:val="18"/>
          <w:b w:val="1"/>
          <w:bCs w:val="1"/>
          <w:color w:val="auto"/>
        </w:rPr>
        <w:t xml:space="preserve">Tax Reimbursements </w:t>
      </w:r>
      <w:r>
        <w:rPr>
          <w:rFonts w:ascii="Arial" w:cs="Arial" w:eastAsia="Arial" w:hAnsi="Arial"/>
          <w:sz w:val="18"/>
          <w:szCs w:val="18"/>
          <w:color w:val="auto"/>
        </w:rPr>
        <w:t>- We do not provide any tax reimbursement or “gross-up” payments on any severance or change in control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for any Section 280G excise taxes), perquisites or other personal benefits, other than immaterial COBRA reimbursements, standard relocation benefits, and tax equalization agreements related to expatriate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61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Cohu is focused on making a positive contribution to society by creating products that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improve productivity as well as enable healthier lifestyles, greater longevity and a more habitable planet.</w:t>
      </w:r>
    </w:p>
    <w:p>
      <w:pPr>
        <w:spacing w:after="0" w:line="200" w:lineRule="exact"/>
        <w:rPr>
          <w:sz w:val="20"/>
          <w:szCs w:val="20"/>
          <w:color w:val="auto"/>
        </w:rPr>
      </w:pPr>
    </w:p>
    <w:p>
      <w:pPr>
        <w:spacing w:after="0" w:line="22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2023 environmental, health and safety highlights include:</w:t>
      </w:r>
    </w:p>
    <w:p>
      <w:pPr>
        <w:spacing w:after="0" w:line="165" w:lineRule="exact"/>
        <w:rPr>
          <w:sz w:val="20"/>
          <w:szCs w:val="20"/>
          <w:color w:val="auto"/>
        </w:rPr>
      </w:pPr>
    </w:p>
    <w:p>
      <w:pPr>
        <w:ind w:left="660" w:right="700" w:hanging="328"/>
        <w:spacing w:after="0" w:line="24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energy usage increased 1.3%, with the acquisition of an additional manufacturing site during the year and in-process construction of our new Laguna, Philippines facility.</w:t>
      </w:r>
    </w:p>
    <w:p>
      <w:pPr>
        <w:ind w:left="660" w:right="12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Invested $9.1M in a new, state-of-the-art, interface products manufacturing facility in Laguna, Philippines; in 2024, consolidating two nearby facilities into this new energy-efficient facility.</w:t>
      </w:r>
    </w:p>
    <w:p>
      <w:pPr>
        <w:spacing w:after="0" w:line="1" w:lineRule="exact"/>
        <w:rPr>
          <w:rFonts w:ascii="Arial" w:cs="Arial" w:eastAsia="Arial" w:hAnsi="Arial"/>
          <w:sz w:val="18"/>
          <w:szCs w:val="18"/>
          <w:color w:val="auto"/>
        </w:rPr>
      </w:pPr>
    </w:p>
    <w:p>
      <w:pPr>
        <w:ind w:left="660" w:right="4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Committed $1.2M for 2024 solar power generation projects at our two largest manufacturing facilities, Melaka, Malaysia and Laguna, Philippines.</w:t>
      </w:r>
    </w:p>
    <w:p>
      <w:pPr>
        <w:spacing w:after="0" w:line="1" w:lineRule="exact"/>
        <w:rPr>
          <w:rFonts w:ascii="Arial" w:cs="Arial" w:eastAsia="Arial" w:hAnsi="Arial"/>
          <w:sz w:val="18"/>
          <w:szCs w:val="18"/>
          <w:color w:val="auto"/>
        </w:rPr>
      </w:pPr>
    </w:p>
    <w:p>
      <w:pPr>
        <w:ind w:left="660" w:right="1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continued use of our assisted reality customer support system, used for remote technical support and training, we avoided 174,000 km in employee travel.</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2024, committed to engage with the Science Based Targets Initiative (“SBTi”) with the goal to develop near-term science-based emissions reduction targets.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enhance our disclosures:</w:t>
      </w:r>
    </w:p>
    <w:p>
      <w:pPr>
        <w:spacing w:after="0" w:line="9" w:lineRule="exact"/>
        <w:rPr>
          <w:sz w:val="20"/>
          <w:szCs w:val="20"/>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More comprehensive disclosures aligned to TCFD </w:t>
      </w:r>
      <w:r>
        <w:rPr>
          <w:rFonts w:ascii="Arial" w:cs="Arial" w:eastAsia="Arial" w:hAnsi="Arial"/>
          <w:sz w:val="14"/>
          <w:szCs w:val="14"/>
          <w:color w:val="auto"/>
        </w:rPr>
        <w:t>(1)</w:t>
      </w:r>
      <w:r>
        <w:rPr>
          <w:rFonts w:ascii="Arial" w:cs="Arial" w:eastAsia="Arial" w:hAnsi="Arial"/>
          <w:sz w:val="18"/>
          <w:szCs w:val="18"/>
          <w:color w:val="auto"/>
        </w:rPr>
        <w:t xml:space="preserve"> recommendations</w:t>
      </w:r>
    </w:p>
    <w:p>
      <w:pPr>
        <w:ind w:left="1300" w:right="340" w:hanging="320"/>
        <w:spacing w:after="0" w:line="23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Continued annual submittal to CDP </w:t>
      </w:r>
      <w:r>
        <w:rPr>
          <w:rFonts w:ascii="Arial" w:cs="Arial" w:eastAsia="Arial" w:hAnsi="Arial"/>
          <w:sz w:val="14"/>
          <w:szCs w:val="14"/>
          <w:color w:val="auto"/>
        </w:rPr>
        <w:t>(2)</w:t>
      </w:r>
      <w:r>
        <w:rPr>
          <w:rFonts w:ascii="Arial" w:cs="Arial" w:eastAsia="Arial" w:hAnsi="Arial"/>
          <w:sz w:val="18"/>
          <w:szCs w:val="18"/>
          <w:color w:val="auto"/>
        </w:rPr>
        <w:t>, a global disclosure system for environmental reporting, and made 2023 submittal publicly available</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Broadened site-specific and geographic water, energy, and emissions disclosures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Hired a greater percentage of U.S. employees who identify as from underrepresented communities than our current representation of 40%.</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Returned approximately 4.5% of 2023 profits globally to eligible non-executive employees, which amounted to $4.7 million.</w:t>
      </w:r>
    </w:p>
    <w:p>
      <w:pPr>
        <w:ind w:left="660" w:right="92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more than 51,700 cumulative training hours to employees globally, an increase of 11% year-over-year, investing approximately $924,000 in training, seminars and educational assistance fees.</w:t>
      </w:r>
    </w:p>
    <w:p>
      <w:pPr>
        <w:spacing w:after="0" w:line="1" w:lineRule="exact"/>
        <w:rPr>
          <w:rFonts w:ascii="Arial" w:cs="Arial" w:eastAsia="Arial" w:hAnsi="Arial"/>
          <w:sz w:val="18"/>
          <w:szCs w:val="18"/>
          <w:color w:val="auto"/>
        </w:rPr>
      </w:pPr>
    </w:p>
    <w:p>
      <w:pPr>
        <w:ind w:left="660" w:right="22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support of our goal to foster employee engagement, conducted a worldwide employee engagement survey to monitor employee satisfaction.</w:t>
      </w:r>
    </w:p>
    <w:p>
      <w:pPr>
        <w:spacing w:after="0" w:line="1" w:lineRule="exact"/>
        <w:rPr>
          <w:rFonts w:ascii="Arial" w:cs="Arial" w:eastAsia="Arial" w:hAnsi="Arial"/>
          <w:sz w:val="18"/>
          <w:szCs w:val="18"/>
          <w:color w:val="auto"/>
        </w:rPr>
      </w:pPr>
    </w:p>
    <w:p>
      <w:pPr>
        <w:ind w:left="660" w:right="34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our excellent employee safety record, with a 2023 global recordable incident rate of 0.39, which is 67% lower than our industry benchmark.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Listed in “America’s Most Responsible Companies 2024” by Newsweek.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Energy and Waste Management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160655</wp:posOffset>
            </wp:positionV>
            <wp:extent cx="402590" cy="402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590" cy="402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126365</wp:posOffset>
            </wp:positionV>
            <wp:extent cx="480060"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Use of Renewable Energy</w:t>
      </w:r>
    </w:p>
    <w:p>
      <w:pPr>
        <w:spacing w:after="0" w:line="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4"/>
          <w:szCs w:val="14"/>
          <w:b w:val="1"/>
          <w:bCs w:val="1"/>
          <w:color w:val="auto"/>
        </w:rPr>
        <w:t>(3)</w:t>
      </w:r>
      <w:r>
        <w:rPr>
          <w:rFonts w:ascii="Arial" w:cs="Arial" w:eastAsia="Arial" w:hAnsi="Arial"/>
          <w:sz w:val="18"/>
          <w:szCs w:val="18"/>
          <w:b w:val="1"/>
          <w:bCs w:val="1"/>
          <w:color w:val="auto"/>
        </w:rPr>
        <w:t xml:space="preserve">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-1905</wp:posOffset>
            </wp:positionV>
            <wp:extent cx="402590" cy="403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2590" cy="40322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-1905</wp:posOffset>
            </wp:positionV>
            <wp:extent cx="403225" cy="403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Scope 1/2 Emissions</w:t>
      </w:r>
    </w:p>
    <w:p>
      <w:pPr>
        <w:spacing w:after="0" w:line="14" w:lineRule="exact"/>
        <w:rPr>
          <w:sz w:val="20"/>
          <w:szCs w:val="20"/>
          <w:color w:val="auto"/>
        </w:rPr>
      </w:pPr>
    </w:p>
    <w:p>
      <w:pPr>
        <w:jc w:val="center"/>
        <w:ind w:right="1780"/>
        <w:spacing w:after="0"/>
        <w:rPr>
          <w:sz w:val="20"/>
          <w:szCs w:val="20"/>
          <w:color w:val="auto"/>
        </w:rPr>
      </w:pPr>
      <w:r>
        <w:rPr>
          <w:rFonts w:ascii="Arial" w:cs="Arial" w:eastAsia="Arial" w:hAnsi="Arial"/>
          <w:sz w:val="17"/>
          <w:szCs w:val="17"/>
          <w:b w:val="1"/>
          <w:bCs w:val="1"/>
          <w:color w:val="auto"/>
        </w:rPr>
        <w:t>11,865 Metric Tons CO2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1036955</wp:posOffset>
            </wp:positionH>
            <wp:positionV relativeFrom="paragraph">
              <wp:posOffset>5080</wp:posOffset>
            </wp:positionV>
            <wp:extent cx="403225" cy="403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700" w:space="720"/>
            <w:col w:w="380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Total Waste Recycled</w:t>
      </w:r>
    </w:p>
    <w:p>
      <w:pPr>
        <w:spacing w:after="0" w:line="25"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913,000 Kg</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Hazardous Waste</w:t>
      </w:r>
    </w:p>
    <w:p>
      <w:pPr>
        <w:spacing w:after="0" w:line="14"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All Disposed of in Accordance With</w:t>
      </w:r>
    </w:p>
    <w:p>
      <w:pPr>
        <w:spacing w:after="0" w:line="3"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 xml:space="preserve">Local Laws and Regulations </w:t>
      </w:r>
      <w:r>
        <w:rPr>
          <w:rFonts w:ascii="Arial" w:cs="Arial" w:eastAsia="Arial" w:hAnsi="Arial"/>
          <w:sz w:val="18"/>
          <w:szCs w:val="18"/>
          <w:color w:val="auto"/>
        </w:rPr>
        <w:t>–</w:t>
      </w:r>
      <w:r>
        <w:rPr>
          <w:rFonts w:ascii="Arial" w:cs="Arial" w:eastAsia="Arial" w:hAnsi="Arial"/>
          <w:sz w:val="18"/>
          <w:szCs w:val="18"/>
          <w:b w:val="1"/>
          <w:bCs w:val="1"/>
          <w:color w:val="auto"/>
        </w:rPr>
        <w:t xml:space="preserve"> 68%</w:t>
      </w:r>
    </w:p>
    <w:p>
      <w:pPr>
        <w:jc w:val="center"/>
        <w:ind w:right="760"/>
        <w:spacing w:after="0"/>
        <w:rPr>
          <w:sz w:val="20"/>
          <w:szCs w:val="20"/>
          <w:color w:val="auto"/>
        </w:rPr>
      </w:pPr>
      <w:r>
        <w:rPr>
          <w:rFonts w:ascii="Arial" w:cs="Arial" w:eastAsia="Arial" w:hAnsi="Arial"/>
          <w:sz w:val="18"/>
          <w:szCs w:val="18"/>
          <w:b w:val="1"/>
          <w:bCs w:val="1"/>
          <w:color w:val="auto"/>
        </w:rPr>
        <w:t>Recycled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Hazardous Waste</w:t>
      </w:r>
    </w:p>
    <w:p>
      <w:pPr>
        <w:spacing w:after="0" w:line="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 Spills</w:t>
      </w:r>
    </w:p>
    <w:p>
      <w:pPr>
        <w:spacing w:after="0" w:line="402" w:lineRule="exact"/>
        <w:rPr>
          <w:sz w:val="20"/>
          <w:szCs w:val="20"/>
          <w:color w:val="auto"/>
        </w:rPr>
      </w:pPr>
    </w:p>
    <w:p>
      <w:pPr>
        <w:sectPr>
          <w:pgSz w:w="11900" w:h="16838" w:orient="portrait"/>
          <w:cols w:equalWidth="0" w:num="3">
            <w:col w:w="3380" w:space="720"/>
            <w:col w:w="3800" w:space="720"/>
            <w:col w:w="2600"/>
          </w:cols>
          <w:pgMar w:left="320" w:top="122" w:right="359" w:bottom="1440" w:gutter="0" w:footer="0" w:header="0"/>
          <w:type w:val="continuous"/>
        </w:sectPr>
      </w:pPr>
    </w:p>
    <w:p>
      <w:pPr>
        <w:spacing w:after="0" w:line="192" w:lineRule="exact"/>
        <w:rPr>
          <w:sz w:val="20"/>
          <w:szCs w:val="20"/>
          <w:color w:val="auto"/>
        </w:rPr>
      </w:pPr>
    </w:p>
    <w:p>
      <w:pPr>
        <w:jc w:val="both"/>
        <w:ind w:left="660" w:right="60" w:hanging="328"/>
        <w:spacing w:after="0" w:line="24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TCFD: Task Force on Climate-related Financial Disclosures; note that, as of October 12, 2023, TCFD announced that it had fulfilled its mandate and was disbanding; TCFD recommendations will now be monitored by the IFRS Foundation and Cohu has opted to continue to reference and conform to TCFD recommendations for our 2023 sustainability report.</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CDP, formerly the Carbon Disclosure Project, is a third-party global disclosure system for environmental reporting.</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percentage of grid electricity derived from renewable sources.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Sustainability Strategies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Business and Governance</w:t>
      </w:r>
    </w:p>
    <w:p>
      <w:pPr>
        <w:spacing w:after="0" w:line="19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Corporate responsibility is an integral part of our business strategy and operating philosophy. A firm commitment to ethical behavior is embedded in our business processes and practices. During 2023, we had:</w:t>
      </w:r>
    </w:p>
    <w:p>
      <w:pPr>
        <w:spacing w:after="0" w:line="14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bribery/corruption claims, including no legal proceedings or monetary losses related to bribery/corruption claims</w:t>
      </w:r>
    </w:p>
    <w:p>
      <w:pPr>
        <w:spacing w:after="0" w:line="13"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anti-competitive behavior claims, including no legal proceedings or monetary losses related to anti-competitive behavior claims</w:t>
      </w:r>
    </w:p>
    <w:p>
      <w:pPr>
        <w:ind w:left="340" w:right="380" w:hanging="332"/>
        <w:spacing w:after="0" w:line="23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legal and regulatory fines, settlements, or enforcement actions associated with false, deceptive, or unfair marketing, labeling and advertising</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direct monetary contribution to political campaigns or lobbying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60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17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Cohu values diversity, equity, inclusion, and is committed to full compliance with all applicable laws and regulations governing employment. We endeavor to create a culture where everyone feels welcomed, valued and respected. 40% of our U.S. employees identify as from underrepresented communities. Globally, 29% of our employees are female. In 2023, 29% of our new hires were female and 41% of our U.S. new hires identify as from underrepresented communities. At year-end 2023, Cohu had two female members on its Board of Directors (25% of the Board) and two of eight members identify as from underrepresented communities (25% of the Board). 58% of the executive leadership team have been promoted from within.</w:t>
      </w:r>
    </w:p>
    <w:p>
      <w:pPr>
        <w:spacing w:after="0" w:line="16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To support the development of our workforce, we provided more than 51,700 cumulative training hours to employees globally, investing approximately $924,000 in training, seminars and educational assistance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Responsible Supply Chain</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2023 Energy and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331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178" w:lineRule="exact"/>
        <w:rPr>
          <w:sz w:val="20"/>
          <w:szCs w:val="20"/>
          <w:color w:val="auto"/>
        </w:rPr>
      </w:pPr>
    </w:p>
    <w:p>
      <w:pPr>
        <w:ind w:left="340" w:hanging="260"/>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32% of grid electrical energy usage was derived from renewable energy sources</w:t>
      </w:r>
    </w:p>
    <w:p>
      <w:pPr>
        <w:spacing w:after="0" w:line="13" w:lineRule="exact"/>
        <w:rPr>
          <w:rFonts w:ascii="Arial" w:cs="Arial" w:eastAsia="Arial" w:hAnsi="Arial"/>
          <w:sz w:val="18"/>
          <w:szCs w:val="18"/>
          <w:color w:val="auto"/>
        </w:rPr>
      </w:pPr>
    </w:p>
    <w:p>
      <w:pPr>
        <w:ind w:left="340" w:hanging="260"/>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1/2 Emissions were 11,865 Metric Tons CO2-e</w:t>
      </w:r>
    </w:p>
    <w:p>
      <w:pPr>
        <w:ind w:left="340" w:hanging="260"/>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waste recycled was 913,000 Kg</w:t>
      </w:r>
    </w:p>
    <w:p>
      <w:pPr>
        <w:ind w:left="340" w:hanging="260"/>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hazardous waste disposed of in accordance with local laws and regulations – 68% recycled</w:t>
      </w:r>
    </w:p>
    <w:p>
      <w:pPr>
        <w:ind w:left="340" w:hanging="260"/>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hazardous waste spills</w:t>
      </w:r>
    </w:p>
    <w:p>
      <w:pPr>
        <w:ind w:left="340" w:right="540" w:hanging="260"/>
        <w:spacing w:after="0" w:line="234" w:lineRule="auto"/>
        <w:tabs>
          <w:tab w:leader="none" w:pos="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Invested $9.1M in new, state-of-the-art, interface products manufacturing facility in Laguna, Philippines; in 2024, consolidating two nearby facilities into this new energy-efficient facility</w:t>
      </w:r>
    </w:p>
    <w:p>
      <w:pPr>
        <w:spacing w:after="0" w:line="1" w:lineRule="exact"/>
        <w:rPr>
          <w:rFonts w:ascii="Arial" w:cs="Arial" w:eastAsia="Arial" w:hAnsi="Arial"/>
          <w:sz w:val="18"/>
          <w:szCs w:val="18"/>
          <w:color w:val="auto"/>
        </w:rPr>
      </w:pPr>
    </w:p>
    <w:p>
      <w:pPr>
        <w:ind w:left="340" w:right="320" w:hanging="260"/>
        <w:spacing w:after="0" w:line="234" w:lineRule="auto"/>
        <w:tabs>
          <w:tab w:leader="none" w:pos="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Committed $1.2M for 2024 solar power generation projects at our two largest manufacturing facilities, Melaka, Malaysia and Laguna, Philippines</w:t>
      </w:r>
    </w:p>
    <w:p>
      <w:pPr>
        <w:spacing w:after="0" w:line="1" w:lineRule="exact"/>
        <w:rPr>
          <w:rFonts w:ascii="Arial" w:cs="Arial" w:eastAsia="Arial" w:hAnsi="Arial"/>
          <w:sz w:val="18"/>
          <w:szCs w:val="18"/>
          <w:color w:val="auto"/>
        </w:rPr>
      </w:pPr>
    </w:p>
    <w:p>
      <w:pPr>
        <w:ind w:left="340" w:right="220" w:hanging="260"/>
        <w:spacing w:after="0" w:line="234" w:lineRule="auto"/>
        <w:tabs>
          <w:tab w:leader="none" w:pos="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Laguna facility has rainwater collection and recycling system, which we estimate may save up to 5% of the facility’s annual water withdrawal</w:t>
      </w:r>
    </w:p>
    <w:p>
      <w:pPr>
        <w:spacing w:after="0" w:line="1" w:lineRule="exact"/>
        <w:rPr>
          <w:rFonts w:ascii="Arial" w:cs="Arial" w:eastAsia="Arial" w:hAnsi="Arial"/>
          <w:sz w:val="18"/>
          <w:szCs w:val="18"/>
          <w:color w:val="auto"/>
        </w:rPr>
      </w:pPr>
    </w:p>
    <w:p>
      <w:pPr>
        <w:ind w:left="340" w:right="540" w:hanging="260"/>
        <w:spacing w:after="0" w:line="234" w:lineRule="auto"/>
        <w:tabs>
          <w:tab w:leader="none" w:pos="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Deployed new air compressor equipment used in Poway, California development and production processes; more energy-efficient equipment is expected to save and therefore reduce the site’s electricity usage by approximately 13% annually</w:t>
      </w:r>
    </w:p>
    <w:p>
      <w:pPr>
        <w:spacing w:after="0" w:line="1" w:lineRule="exact"/>
        <w:rPr>
          <w:rFonts w:ascii="Arial" w:cs="Arial" w:eastAsia="Arial" w:hAnsi="Arial"/>
          <w:sz w:val="18"/>
          <w:szCs w:val="18"/>
          <w:color w:val="auto"/>
        </w:rPr>
      </w:pPr>
    </w:p>
    <w:p>
      <w:pPr>
        <w:ind w:left="340" w:right="440" w:hanging="260"/>
        <w:spacing w:after="0" w:line="250" w:lineRule="auto"/>
        <w:tabs>
          <w:tab w:leader="none" w:pos="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continued use of our assisted reality customer support system, used for remote technical support and training, we avoided 174,000 Km in employee travel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Protecting and Improving our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partner with our employees to encourage consideration of the health of our Earth. We promote recycling, the use of reusable water bottles, and a bike-to-work program. We have installed energy saving technology for lighting and heating, source green electricity and self-produce energy by photovoltaic systems at certain locations. We are ISO 14001-certified at our facility in Kolbermoor, Germany.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Energy Renewable and Energy Efficient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60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17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More directly, in late 2023, Cohu released its DI-Core AI Inspection software, which provides real-time computation that enables semiconductor manufacturers to improve visual inspection accuracy at production speeds. The product utilizes proprietary deep learning and neural network technologies to improve inspection yield without compromising quality. We believe that the product offers significant sustainability benefits in terms of scrap material avoided. For example, in a typical back-end semiconductor manufacturing facility, annual scrap avoided could be in excess of tens of millions of semiconductor devices.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Giving Back to our Communities</w:t>
      </w:r>
    </w:p>
    <w:p>
      <w:pPr>
        <w:spacing w:after="0" w:line="198"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Cohu’s employees, all over the world, take great pride in the volunteer work they do with local charities, schools, and other non-profit organizations. We support and partner with our employees participating in philanthropy including charitable activities, educational and financial support, and blood donation drives.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Enabling Life-Saving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16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Cohu is proud to support the manufacture and testing of our customers’ semiconductor components and technologies used across many industries, including healthcare. Our test handlers, test interface solutions and semiconductor tester systems are utilized by our customers in the manufacturing of semiconductors used in life-saving medical devices and applications: patient monitors, ventilators, IR thermometers, digital x-rays, rapid sepsis testing, biometers to measure contact-less temperature.</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Security Ownership of Certain Beneficial Owners and Management</w:t>
      </w:r>
    </w:p>
    <w:p>
      <w:pPr>
        <w:spacing w:after="0" w:line="2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sets forth certain information regarding beneficial ownership of Cohu’s common stock as of April 5, 2024, by (i) each stockholder who has reported or is known by Cohu to have beneficial ownership of more than 5% of our common stock; (ii) each director of Cohu; (iii) each NEO included in the “2023 Summary Compensation Table”; and (iv) all directors and named executive officers as a group. Unless otherwise noted below, the address of each person listed on the table is c/o Cohu, Inc., 12367 Crosthwaite Circle, Poway, California 92064-6817. Beneficial ownership is determined in accordance with the rules of the SEC and includes voting or investment power with respect to the securities. We deem shares of common stock that may be acquired by an individual or group within 60 days of April 5, 2024,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47,079,623 shares of common stock outstanding on April 5, 2024.</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080" w:type="dxa"/>
            <w:vAlign w:val="bottom"/>
            <w:tcBorders>
              <w:left w:val="single" w:sz="8" w:color="2D53A6"/>
              <w:right w:val="single" w:sz="8" w:color="2D53A6"/>
            </w:tcBorders>
            <w:shd w:val="clear" w:color="auto" w:fill="2D53A6"/>
          </w:tcPr>
          <w:p>
            <w:pPr>
              <w:spacing w:after="0"/>
              <w:rPr>
                <w:sz w:val="16"/>
                <w:szCs w:val="16"/>
                <w:color w:val="auto"/>
              </w:rPr>
            </w:pPr>
          </w:p>
        </w:tc>
        <w:tc>
          <w:tcPr>
            <w:tcW w:w="20" w:type="dxa"/>
            <w:vAlign w:val="bottom"/>
            <w:shd w:val="clear" w:color="auto" w:fill="2D53A6"/>
          </w:tcPr>
          <w:p>
            <w:pPr>
              <w:spacing w:after="0"/>
              <w:rPr>
                <w:sz w:val="16"/>
                <w:szCs w:val="16"/>
                <w:color w:val="auto"/>
              </w:rPr>
            </w:pPr>
          </w:p>
        </w:tc>
        <w:tc>
          <w:tcPr>
            <w:tcW w:w="1660" w:type="dxa"/>
            <w:vAlign w:val="bottom"/>
            <w:tcBorders>
              <w:right w:val="single" w:sz="8" w:color="2D53A6"/>
            </w:tcBorders>
            <w:vMerge w:val="restart"/>
            <w:shd w:val="clear" w:color="auto" w:fill="2D53A6"/>
          </w:tcPr>
          <w:p>
            <w:pPr>
              <w:jc w:val="right"/>
              <w:ind w:right="39"/>
              <w:spacing w:after="0"/>
              <w:rPr>
                <w:sz w:val="20"/>
                <w:szCs w:val="20"/>
                <w:color w:val="auto"/>
              </w:rPr>
            </w:pPr>
            <w:r>
              <w:rPr>
                <w:rFonts w:ascii="Arial" w:cs="Arial" w:eastAsia="Arial" w:hAnsi="Arial"/>
                <w:sz w:val="16"/>
                <w:szCs w:val="16"/>
                <w:b w:val="1"/>
                <w:bCs w:val="1"/>
                <w:color w:val="FFFFFF"/>
              </w:rPr>
              <w:t>Beneficially owned</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Common</w:t>
            </w:r>
          </w:p>
        </w:tc>
        <w:tc>
          <w:tcPr>
            <w:tcW w:w="1440" w:type="dxa"/>
            <w:vAlign w:val="bottom"/>
            <w:tcBorders>
              <w:right w:val="single" w:sz="8" w:color="2D53A6"/>
            </w:tcBorders>
            <w:shd w:val="clear" w:color="auto" w:fill="2D53A6"/>
          </w:tcPr>
          <w:p>
            <w:pPr>
              <w:spacing w:after="0"/>
              <w:rPr>
                <w:sz w:val="16"/>
                <w:szCs w:val="16"/>
                <w:color w:val="auto"/>
              </w:rPr>
            </w:pPr>
          </w:p>
        </w:tc>
        <w:tc>
          <w:tcPr>
            <w:tcW w:w="1380" w:type="dxa"/>
            <w:vAlign w:val="bottom"/>
            <w:tcBorders>
              <w:right w:val="single" w:sz="8" w:color="2D53A6"/>
            </w:tcBorders>
            <w:vMerge w:val="restart"/>
            <w:shd w:val="clear" w:color="auto" w:fill="2D53A6"/>
          </w:tcPr>
          <w:p>
            <w:pPr>
              <w:jc w:val="right"/>
              <w:ind w:right="219"/>
              <w:spacing w:after="0"/>
              <w:rPr>
                <w:sz w:val="20"/>
                <w:szCs w:val="20"/>
                <w:color w:val="auto"/>
              </w:rPr>
            </w:pPr>
            <w:r>
              <w:rPr>
                <w:rFonts w:ascii="Arial" w:cs="Arial" w:eastAsia="Arial" w:hAnsi="Arial"/>
                <w:sz w:val="16"/>
                <w:szCs w:val="16"/>
                <w:b w:val="1"/>
                <w:bCs w:val="1"/>
                <w:color w:val="FFFFFF"/>
              </w:rPr>
              <w:t>Percent of</w:t>
            </w:r>
          </w:p>
        </w:tc>
        <w:tc>
          <w:tcPr>
            <w:tcW w:w="0" w:type="dxa"/>
            <w:vAlign w:val="bottom"/>
          </w:tcPr>
          <w:p>
            <w:pPr>
              <w:spacing w:after="0"/>
              <w:rPr>
                <w:sz w:val="1"/>
                <w:szCs w:val="1"/>
                <w:color w:val="auto"/>
              </w:rPr>
            </w:pPr>
          </w:p>
        </w:tc>
      </w:tr>
      <w:tr>
        <w:trPr>
          <w:trHeight w:val="94"/>
        </w:trPr>
        <w:tc>
          <w:tcPr>
            <w:tcW w:w="5080" w:type="dxa"/>
            <w:vAlign w:val="bottom"/>
            <w:tcBorders>
              <w:left w:val="single" w:sz="8" w:color="2D53A6"/>
              <w:right w:val="single" w:sz="8" w:color="2D53A6"/>
            </w:tcBorders>
            <w:vMerge w:val="restart"/>
            <w:shd w:val="clear" w:color="auto" w:fill="2D53A6"/>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20" w:type="dxa"/>
            <w:vAlign w:val="bottom"/>
            <w:shd w:val="clear" w:color="auto" w:fill="2D53A6"/>
          </w:tcPr>
          <w:p>
            <w:pPr>
              <w:spacing w:after="0"/>
              <w:rPr>
                <w:sz w:val="8"/>
                <w:szCs w:val="8"/>
                <w:color w:val="auto"/>
              </w:rPr>
            </w:pPr>
          </w:p>
        </w:tc>
        <w:tc>
          <w:tcPr>
            <w:tcW w:w="1660" w:type="dxa"/>
            <w:vAlign w:val="bottom"/>
            <w:tcBorders>
              <w:right w:val="single" w:sz="8" w:color="2D53A6"/>
            </w:tcBorders>
            <w:vMerge w:val="continue"/>
            <w:shd w:val="clear" w:color="auto" w:fill="2D53A6"/>
          </w:tcPr>
          <w:p>
            <w:pPr>
              <w:spacing w:after="0"/>
              <w:rPr>
                <w:sz w:val="8"/>
                <w:szCs w:val="8"/>
                <w:color w:val="auto"/>
              </w:rPr>
            </w:pPr>
          </w:p>
        </w:tc>
        <w:tc>
          <w:tcPr>
            <w:tcW w:w="1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6"/>
                <w:szCs w:val="16"/>
                <w:b w:val="1"/>
                <w:bCs w:val="1"/>
                <w:color w:val="FFFFFF"/>
              </w:rPr>
              <w:t>stock</w:t>
            </w:r>
          </w:p>
        </w:tc>
        <w:tc>
          <w:tcPr>
            <w:tcW w:w="1440" w:type="dxa"/>
            <w:vAlign w:val="bottom"/>
            <w:tcBorders>
              <w:right w:val="single" w:sz="8" w:color="2D53A6"/>
            </w:tcBorders>
            <w:vMerge w:val="restart"/>
            <w:shd w:val="clear" w:color="auto" w:fill="2D53A6"/>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1380" w:type="dxa"/>
            <w:vAlign w:val="bottom"/>
            <w:tcBorders>
              <w:right w:val="single" w:sz="8" w:color="2D53A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080" w:type="dxa"/>
            <w:vAlign w:val="bottom"/>
            <w:tcBorders>
              <w:left w:val="single" w:sz="8" w:color="2D53A6"/>
              <w:right w:val="single" w:sz="8" w:color="2D53A6"/>
            </w:tcBorders>
            <w:vMerge w:val="continue"/>
            <w:shd w:val="clear" w:color="auto" w:fill="2D53A6"/>
          </w:tcPr>
          <w:p>
            <w:pPr>
              <w:spacing w:after="0"/>
              <w:rPr>
                <w:sz w:val="8"/>
                <w:szCs w:val="8"/>
                <w:color w:val="auto"/>
              </w:rPr>
            </w:pPr>
          </w:p>
        </w:tc>
        <w:tc>
          <w:tcPr>
            <w:tcW w:w="20" w:type="dxa"/>
            <w:vAlign w:val="bottom"/>
            <w:shd w:val="clear" w:color="auto" w:fill="2D53A6"/>
          </w:tcPr>
          <w:p>
            <w:pPr>
              <w:spacing w:after="0"/>
              <w:rPr>
                <w:sz w:val="8"/>
                <w:szCs w:val="8"/>
                <w:color w:val="auto"/>
              </w:rPr>
            </w:pPr>
          </w:p>
        </w:tc>
        <w:tc>
          <w:tcPr>
            <w:tcW w:w="1660" w:type="dxa"/>
            <w:vAlign w:val="bottom"/>
            <w:tcBorders>
              <w:right w:val="single" w:sz="8" w:color="2D53A6"/>
            </w:tcBorders>
            <w:vMerge w:val="restart"/>
            <w:shd w:val="clear" w:color="auto" w:fill="2D53A6"/>
          </w:tcPr>
          <w:p>
            <w:pPr>
              <w:jc w:val="right"/>
              <w:ind w:right="199"/>
              <w:spacing w:after="0"/>
              <w:rPr>
                <w:sz w:val="20"/>
                <w:szCs w:val="20"/>
                <w:color w:val="auto"/>
              </w:rPr>
            </w:pPr>
            <w:r>
              <w:rPr>
                <w:rFonts w:ascii="Arial" w:cs="Arial" w:eastAsia="Arial" w:hAnsi="Arial"/>
                <w:sz w:val="16"/>
                <w:szCs w:val="16"/>
                <w:b w:val="1"/>
                <w:bCs w:val="1"/>
                <w:color w:val="FFFFFF"/>
              </w:rPr>
              <w:t>common stock</w:t>
            </w:r>
          </w:p>
        </w:tc>
        <w:tc>
          <w:tcPr>
            <w:tcW w:w="1660" w:type="dxa"/>
            <w:vAlign w:val="bottom"/>
            <w:tcBorders>
              <w:right w:val="single" w:sz="8" w:color="2D53A6"/>
            </w:tcBorders>
            <w:vMerge w:val="continue"/>
            <w:shd w:val="clear" w:color="auto" w:fill="2D53A6"/>
          </w:tcPr>
          <w:p>
            <w:pPr>
              <w:spacing w:after="0"/>
              <w:rPr>
                <w:sz w:val="8"/>
                <w:szCs w:val="8"/>
                <w:color w:val="auto"/>
              </w:rPr>
            </w:pPr>
          </w:p>
        </w:tc>
        <w:tc>
          <w:tcPr>
            <w:tcW w:w="1440" w:type="dxa"/>
            <w:vAlign w:val="bottom"/>
            <w:tcBorders>
              <w:right w:val="single" w:sz="8" w:color="2D53A6"/>
            </w:tcBorders>
            <w:vMerge w:val="continue"/>
            <w:shd w:val="clear" w:color="auto" w:fill="2D53A6"/>
          </w:tcPr>
          <w:p>
            <w:pPr>
              <w:spacing w:after="0"/>
              <w:rPr>
                <w:sz w:val="8"/>
                <w:szCs w:val="8"/>
                <w:color w:val="auto"/>
              </w:rPr>
            </w:pPr>
          </w:p>
        </w:tc>
        <w:tc>
          <w:tcPr>
            <w:tcW w:w="1380" w:type="dxa"/>
            <w:vAlign w:val="bottom"/>
            <w:tcBorders>
              <w:right w:val="single" w:sz="8" w:color="2D53A6"/>
            </w:tcBorders>
            <w:vMerge w:val="restart"/>
            <w:shd w:val="clear" w:color="auto" w:fill="2D53A6"/>
          </w:tcPr>
          <w:p>
            <w:pPr>
              <w:jc w:val="right"/>
              <w:ind w:right="299"/>
              <w:spacing w:after="0" w:line="257" w:lineRule="exact"/>
              <w:rPr>
                <w:sz w:val="20"/>
                <w:szCs w:val="20"/>
                <w:color w:val="auto"/>
              </w:rPr>
            </w:pPr>
            <w:r>
              <w:rPr>
                <w:rFonts w:ascii="Arial" w:cs="Arial" w:eastAsia="Arial" w:hAnsi="Arial"/>
                <w:sz w:val="16"/>
                <w:szCs w:val="16"/>
                <w:b w:val="1"/>
                <w:bCs w:val="1"/>
                <w:color w:val="FFFFFF"/>
              </w:rPr>
              <w:t xml:space="preserve">class </w:t>
            </w:r>
            <w:r>
              <w:rPr>
                <w:rFonts w:ascii="Arial" w:cs="Arial" w:eastAsia="Arial" w:hAnsi="Arial"/>
                <w:sz w:val="26"/>
                <w:szCs w:val="26"/>
                <w:b w:val="1"/>
                <w:bCs w:val="1"/>
                <w:color w:val="FFFFFF"/>
                <w:vertAlign w:val="superscript"/>
              </w:rPr>
              <w:t>(2)</w:t>
            </w:r>
          </w:p>
        </w:tc>
        <w:tc>
          <w:tcPr>
            <w:tcW w:w="0" w:type="dxa"/>
            <w:vAlign w:val="bottom"/>
          </w:tcPr>
          <w:p>
            <w:pPr>
              <w:spacing w:after="0"/>
              <w:rPr>
                <w:sz w:val="1"/>
                <w:szCs w:val="1"/>
                <w:color w:val="auto"/>
              </w:rPr>
            </w:pPr>
          </w:p>
        </w:tc>
      </w:tr>
      <w:tr>
        <w:trPr>
          <w:trHeight w:val="217"/>
        </w:trPr>
        <w:tc>
          <w:tcPr>
            <w:tcW w:w="5080" w:type="dxa"/>
            <w:vAlign w:val="bottom"/>
            <w:tcBorders>
              <w:left w:val="single" w:sz="8" w:color="2D53A6"/>
              <w:bottom w:val="single" w:sz="8" w:color="2D53A6"/>
              <w:right w:val="single" w:sz="8" w:color="2D53A6"/>
            </w:tcBorders>
            <w:shd w:val="clear" w:color="auto" w:fill="2D53A6"/>
          </w:tcPr>
          <w:p>
            <w:pPr>
              <w:spacing w:after="0"/>
              <w:rPr>
                <w:sz w:val="18"/>
                <w:szCs w:val="18"/>
                <w:color w:val="auto"/>
              </w:rPr>
            </w:pPr>
          </w:p>
        </w:tc>
        <w:tc>
          <w:tcPr>
            <w:tcW w:w="20" w:type="dxa"/>
            <w:vAlign w:val="bottom"/>
            <w:tcBorders>
              <w:bottom w:val="single" w:sz="8" w:color="2D53A6"/>
            </w:tcBorders>
            <w:shd w:val="clear" w:color="auto" w:fill="2D53A6"/>
          </w:tcPr>
          <w:p>
            <w:pPr>
              <w:spacing w:after="0"/>
              <w:rPr>
                <w:sz w:val="18"/>
                <w:szCs w:val="18"/>
                <w:color w:val="auto"/>
              </w:rPr>
            </w:pPr>
          </w:p>
        </w:tc>
        <w:tc>
          <w:tcPr>
            <w:tcW w:w="166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1660" w:type="dxa"/>
            <w:vAlign w:val="bottom"/>
            <w:tcBorders>
              <w:bottom w:val="single" w:sz="8" w:color="2D53A6"/>
              <w:right w:val="single" w:sz="8" w:color="2D53A6"/>
            </w:tcBorders>
            <w:shd w:val="clear" w:color="auto" w:fill="2D53A6"/>
          </w:tcPr>
          <w:p>
            <w:pPr>
              <w:jc w:val="center"/>
              <w:spacing w:after="0" w:line="200" w:lineRule="exact"/>
              <w:rPr>
                <w:sz w:val="20"/>
                <w:szCs w:val="20"/>
                <w:color w:val="auto"/>
              </w:rPr>
            </w:pPr>
            <w:r>
              <w:rPr>
                <w:rFonts w:ascii="Arial" w:cs="Arial" w:eastAsia="Arial" w:hAnsi="Arial"/>
                <w:sz w:val="15"/>
                <w:szCs w:val="15"/>
                <w:b w:val="1"/>
                <w:bCs w:val="1"/>
                <w:color w:val="FFFFFF"/>
              </w:rPr>
              <w:t xml:space="preserve">equivalents </w:t>
            </w:r>
            <w:r>
              <w:rPr>
                <w:rFonts w:ascii="Arial" w:cs="Arial" w:eastAsia="Arial" w:hAnsi="Arial"/>
                <w:sz w:val="23"/>
                <w:szCs w:val="23"/>
                <w:b w:val="1"/>
                <w:bCs w:val="1"/>
                <w:color w:val="FFFFFF"/>
                <w:vertAlign w:val="superscript"/>
              </w:rPr>
              <w:t>(1)</w:t>
            </w:r>
          </w:p>
        </w:tc>
        <w:tc>
          <w:tcPr>
            <w:tcW w:w="1440" w:type="dxa"/>
            <w:vAlign w:val="bottom"/>
            <w:tcBorders>
              <w:bottom w:val="single" w:sz="8" w:color="2D53A6"/>
              <w:right w:val="single" w:sz="8" w:color="2D53A6"/>
            </w:tcBorders>
            <w:shd w:val="clear" w:color="auto" w:fill="2D53A6"/>
          </w:tcPr>
          <w:p>
            <w:pPr>
              <w:spacing w:after="0"/>
              <w:rPr>
                <w:sz w:val="18"/>
                <w:szCs w:val="18"/>
                <w:color w:val="auto"/>
              </w:rPr>
            </w:pPr>
          </w:p>
        </w:tc>
        <w:tc>
          <w:tcPr>
            <w:tcW w:w="138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080" w:type="dxa"/>
            <w:vAlign w:val="bottom"/>
            <w:tcBorders>
              <w:left w:val="single" w:sz="8" w:color="2D53A6"/>
              <w:right w:val="single" w:sz="8" w:color="2D53A6"/>
            </w:tcBorders>
          </w:tcPr>
          <w:p>
            <w:pPr>
              <w:ind w:left="20"/>
              <w:spacing w:after="0" w:line="155" w:lineRule="exact"/>
              <w:rPr>
                <w:sz w:val="20"/>
                <w:szCs w:val="20"/>
                <w:color w:val="auto"/>
              </w:rPr>
            </w:pPr>
            <w:r>
              <w:rPr>
                <w:rFonts w:ascii="Arial" w:cs="Arial" w:eastAsia="Arial" w:hAnsi="Arial"/>
                <w:sz w:val="12"/>
                <w:szCs w:val="12"/>
                <w:color w:val="auto"/>
              </w:rPr>
              <w:t xml:space="preserve">BlackRock, Inc. </w:t>
            </w:r>
            <w:r>
              <w:rPr>
                <w:rFonts w:ascii="Arial" w:cs="Arial" w:eastAsia="Arial" w:hAnsi="Arial"/>
                <w:sz w:val="17"/>
                <w:szCs w:val="17"/>
                <w:color w:val="auto"/>
                <w:vertAlign w:val="superscript"/>
              </w:rPr>
              <w:t>(3)</w:t>
            </w:r>
          </w:p>
        </w:tc>
        <w:tc>
          <w:tcPr>
            <w:tcW w:w="20" w:type="dxa"/>
            <w:vAlign w:val="bottom"/>
          </w:tcPr>
          <w:p>
            <w:pPr>
              <w:spacing w:after="0"/>
              <w:rPr>
                <w:sz w:val="13"/>
                <w:szCs w:val="13"/>
                <w:color w:val="auto"/>
              </w:rPr>
            </w:pPr>
          </w:p>
        </w:tc>
        <w:tc>
          <w:tcPr>
            <w:tcW w:w="1660" w:type="dxa"/>
            <w:vAlign w:val="bottom"/>
            <w:tcBorders>
              <w:right w:val="single" w:sz="8" w:color="2D53A6"/>
            </w:tcBorders>
          </w:tcPr>
          <w:p>
            <w:pPr>
              <w:jc w:val="right"/>
              <w:spacing w:after="0" w:line="155" w:lineRule="exact"/>
              <w:rPr>
                <w:sz w:val="20"/>
                <w:szCs w:val="20"/>
                <w:color w:val="auto"/>
              </w:rPr>
            </w:pPr>
            <w:r>
              <w:rPr>
                <w:rFonts w:ascii="Arial" w:cs="Arial" w:eastAsia="Arial" w:hAnsi="Arial"/>
                <w:sz w:val="16"/>
                <w:szCs w:val="16"/>
                <w:color w:val="auto"/>
              </w:rPr>
              <w:t>7,478,150</w:t>
            </w:r>
          </w:p>
        </w:tc>
        <w:tc>
          <w:tcPr>
            <w:tcW w:w="1660" w:type="dxa"/>
            <w:vAlign w:val="bottom"/>
            <w:tcBorders>
              <w:right w:val="single" w:sz="8" w:color="2D53A6"/>
            </w:tcBorders>
          </w:tcPr>
          <w:p>
            <w:pPr>
              <w:jc w:val="right"/>
              <w:spacing w:after="0" w:line="155" w:lineRule="exact"/>
              <w:rPr>
                <w:sz w:val="20"/>
                <w:szCs w:val="20"/>
                <w:color w:val="auto"/>
              </w:rPr>
            </w:pPr>
            <w:r>
              <w:rPr>
                <w:rFonts w:ascii="Arial" w:cs="Arial" w:eastAsia="Arial" w:hAnsi="Arial"/>
                <w:sz w:val="16"/>
                <w:szCs w:val="16"/>
                <w:color w:val="auto"/>
              </w:rPr>
              <w:t>-</w:t>
            </w:r>
          </w:p>
        </w:tc>
        <w:tc>
          <w:tcPr>
            <w:tcW w:w="1440" w:type="dxa"/>
            <w:vAlign w:val="bottom"/>
            <w:tcBorders>
              <w:right w:val="single" w:sz="8" w:color="2D53A6"/>
            </w:tcBorders>
          </w:tcPr>
          <w:p>
            <w:pPr>
              <w:jc w:val="right"/>
              <w:spacing w:after="0" w:line="155" w:lineRule="exact"/>
              <w:rPr>
                <w:sz w:val="20"/>
                <w:szCs w:val="20"/>
                <w:color w:val="auto"/>
              </w:rPr>
            </w:pPr>
            <w:r>
              <w:rPr>
                <w:rFonts w:ascii="Arial" w:cs="Arial" w:eastAsia="Arial" w:hAnsi="Arial"/>
                <w:sz w:val="16"/>
                <w:szCs w:val="16"/>
                <w:color w:val="auto"/>
              </w:rPr>
              <w:t>7,478,150</w:t>
            </w:r>
          </w:p>
        </w:tc>
        <w:tc>
          <w:tcPr>
            <w:tcW w:w="1380" w:type="dxa"/>
            <w:vAlign w:val="bottom"/>
            <w:tcBorders>
              <w:right w:val="single" w:sz="8" w:color="2D53A6"/>
            </w:tcBorders>
          </w:tcPr>
          <w:p>
            <w:pPr>
              <w:jc w:val="right"/>
              <w:spacing w:after="0" w:line="155" w:lineRule="exact"/>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03"/>
        </w:trPr>
        <w:tc>
          <w:tcPr>
            <w:tcW w:w="508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6"/>
                <w:szCs w:val="16"/>
                <w:color w:val="auto"/>
              </w:rPr>
              <w:t>55 East 52nd Street, New York, NY 10055</w:t>
            </w:r>
          </w:p>
        </w:tc>
        <w:tc>
          <w:tcPr>
            <w:tcW w:w="20" w:type="dxa"/>
            <w:vAlign w:val="bottom"/>
            <w:tcBorders>
              <w:bottom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tcPr>
          <w:p>
            <w:pPr>
              <w:spacing w:after="0"/>
              <w:rPr>
                <w:sz w:val="17"/>
                <w:szCs w:val="17"/>
                <w:color w:val="auto"/>
              </w:rPr>
            </w:pPr>
          </w:p>
        </w:tc>
        <w:tc>
          <w:tcPr>
            <w:tcW w:w="1440" w:type="dxa"/>
            <w:vAlign w:val="bottom"/>
            <w:tcBorders>
              <w:bottom w:val="single" w:sz="8" w:color="2D53A6"/>
              <w:right w:val="single" w:sz="8" w:color="2D53A6"/>
            </w:tcBorders>
          </w:tcPr>
          <w:p>
            <w:pPr>
              <w:spacing w:after="0"/>
              <w:rPr>
                <w:sz w:val="17"/>
                <w:szCs w:val="17"/>
                <w:color w:val="auto"/>
              </w:rPr>
            </w:pPr>
          </w:p>
        </w:tc>
        <w:tc>
          <w:tcPr>
            <w:tcW w:w="138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21"/>
                <w:szCs w:val="21"/>
                <w:color w:val="auto"/>
                <w:vertAlign w:val="superscript"/>
              </w:rPr>
              <w:t>(4)</w:t>
            </w:r>
          </w:p>
        </w:tc>
        <w:tc>
          <w:tcPr>
            <w:tcW w:w="1680" w:type="dxa"/>
            <w:vAlign w:val="bottom"/>
            <w:tcBorders>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3,064,076</w:t>
            </w:r>
          </w:p>
        </w:tc>
        <w:tc>
          <w:tcPr>
            <w:tcW w:w="166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3,064,076</w:t>
            </w:r>
          </w:p>
        </w:tc>
        <w:tc>
          <w:tcPr>
            <w:tcW w:w="138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89"/>
        </w:trPr>
        <w:tc>
          <w:tcPr>
            <w:tcW w:w="508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6"/>
                <w:szCs w:val="16"/>
                <w:color w:val="auto"/>
              </w:rPr>
              <w:t>6300 Bee Cave Road, Austin, TX 78746</w:t>
            </w:r>
          </w:p>
        </w:tc>
        <w:tc>
          <w:tcPr>
            <w:tcW w:w="20" w:type="dxa"/>
            <w:vAlign w:val="bottom"/>
            <w:tcBorders>
              <w:bottom w:val="single" w:sz="8" w:color="2D53A6"/>
            </w:tcBorders>
            <w:shd w:val="clear" w:color="auto" w:fill="E6E6E6"/>
          </w:tcPr>
          <w:p>
            <w:pPr>
              <w:spacing w:after="0"/>
              <w:rPr>
                <w:sz w:val="16"/>
                <w:szCs w:val="16"/>
                <w:color w:val="auto"/>
              </w:rPr>
            </w:pPr>
          </w:p>
        </w:tc>
        <w:tc>
          <w:tcPr>
            <w:tcW w:w="1660" w:type="dxa"/>
            <w:vAlign w:val="bottom"/>
            <w:tcBorders>
              <w:bottom w:val="single" w:sz="8" w:color="2D53A6"/>
              <w:right w:val="single" w:sz="8" w:color="2D53A6"/>
            </w:tcBorders>
            <w:shd w:val="clear" w:color="auto" w:fill="E6E6E6"/>
          </w:tcPr>
          <w:p>
            <w:pPr>
              <w:spacing w:after="0"/>
              <w:rPr>
                <w:sz w:val="16"/>
                <w:szCs w:val="16"/>
                <w:color w:val="auto"/>
              </w:rPr>
            </w:pPr>
          </w:p>
        </w:tc>
        <w:tc>
          <w:tcPr>
            <w:tcW w:w="1660" w:type="dxa"/>
            <w:vAlign w:val="bottom"/>
            <w:tcBorders>
              <w:bottom w:val="single" w:sz="8" w:color="2D53A6"/>
              <w:right w:val="single" w:sz="8" w:color="2D53A6"/>
            </w:tcBorders>
            <w:shd w:val="clear" w:color="auto" w:fill="E6E6E6"/>
          </w:tcPr>
          <w:p>
            <w:pPr>
              <w:spacing w:after="0"/>
              <w:rPr>
                <w:sz w:val="16"/>
                <w:szCs w:val="16"/>
                <w:color w:val="auto"/>
              </w:rPr>
            </w:pPr>
          </w:p>
        </w:tc>
        <w:tc>
          <w:tcPr>
            <w:tcW w:w="1440" w:type="dxa"/>
            <w:vAlign w:val="bottom"/>
            <w:tcBorders>
              <w:bottom w:val="single" w:sz="8" w:color="2D53A6"/>
              <w:right w:val="single" w:sz="8" w:color="2D53A6"/>
            </w:tcBorders>
            <w:shd w:val="clear" w:color="auto" w:fill="E6E6E6"/>
          </w:tcPr>
          <w:p>
            <w:pPr>
              <w:spacing w:after="0"/>
              <w:rPr>
                <w:sz w:val="16"/>
                <w:szCs w:val="16"/>
                <w:color w:val="auto"/>
              </w:rPr>
            </w:pPr>
          </w:p>
        </w:tc>
        <w:tc>
          <w:tcPr>
            <w:tcW w:w="1380" w:type="dxa"/>
            <w:vAlign w:val="bottom"/>
            <w:tcBorders>
              <w:bottom w:val="single" w:sz="8" w:color="2D53A6"/>
              <w:right w:val="single" w:sz="8" w:color="2D53A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80" w:type="dxa"/>
            <w:vAlign w:val="bottom"/>
            <w:tcBorders>
              <w:left w:val="single" w:sz="8" w:color="2D53A6"/>
              <w:right w:val="single" w:sz="8" w:color="2D53A6"/>
            </w:tcBorders>
          </w:tcPr>
          <w:p>
            <w:pPr>
              <w:ind w:left="20"/>
              <w:spacing w:after="0" w:line="142" w:lineRule="exact"/>
              <w:rPr>
                <w:sz w:val="20"/>
                <w:szCs w:val="20"/>
                <w:color w:val="auto"/>
              </w:rPr>
            </w:pPr>
            <w:r>
              <w:rPr>
                <w:rFonts w:ascii="Arial" w:cs="Arial" w:eastAsia="Arial" w:hAnsi="Arial"/>
                <w:sz w:val="11"/>
                <w:szCs w:val="11"/>
                <w:color w:val="auto"/>
              </w:rPr>
              <w:t xml:space="preserve">Franklin Mutual Advisers, LLC </w:t>
            </w:r>
            <w:r>
              <w:rPr>
                <w:rFonts w:ascii="Arial" w:cs="Arial" w:eastAsia="Arial" w:hAnsi="Arial"/>
                <w:sz w:val="16"/>
                <w:szCs w:val="16"/>
                <w:color w:val="auto"/>
                <w:vertAlign w:val="superscript"/>
              </w:rPr>
              <w:t>(5)</w:t>
            </w:r>
          </w:p>
        </w:tc>
        <w:tc>
          <w:tcPr>
            <w:tcW w:w="1680" w:type="dxa"/>
            <w:vAlign w:val="bottom"/>
            <w:tcBorders>
              <w:right w:val="single" w:sz="8" w:color="2D53A6"/>
            </w:tcBorders>
            <w:gridSpan w:val="2"/>
          </w:tcPr>
          <w:p>
            <w:pPr>
              <w:jc w:val="right"/>
              <w:spacing w:after="0" w:line="142" w:lineRule="exact"/>
              <w:rPr>
                <w:sz w:val="20"/>
                <w:szCs w:val="20"/>
                <w:color w:val="auto"/>
              </w:rPr>
            </w:pPr>
            <w:r>
              <w:rPr>
                <w:rFonts w:ascii="Arial" w:cs="Arial" w:eastAsia="Arial" w:hAnsi="Arial"/>
                <w:sz w:val="16"/>
                <w:szCs w:val="16"/>
                <w:color w:val="auto"/>
              </w:rPr>
              <w:t>2,782,581</w:t>
            </w:r>
          </w:p>
        </w:tc>
        <w:tc>
          <w:tcPr>
            <w:tcW w:w="1660" w:type="dxa"/>
            <w:vAlign w:val="bottom"/>
            <w:tcBorders>
              <w:right w:val="single" w:sz="8" w:color="2D53A6"/>
            </w:tcBorders>
          </w:tcPr>
          <w:p>
            <w:pPr>
              <w:jc w:val="right"/>
              <w:spacing w:after="0" w:line="142" w:lineRule="exact"/>
              <w:rPr>
                <w:sz w:val="20"/>
                <w:szCs w:val="20"/>
                <w:color w:val="auto"/>
              </w:rPr>
            </w:pPr>
            <w:r>
              <w:rPr>
                <w:rFonts w:ascii="Arial" w:cs="Arial" w:eastAsia="Arial" w:hAnsi="Arial"/>
                <w:sz w:val="16"/>
                <w:szCs w:val="16"/>
                <w:color w:val="auto"/>
              </w:rPr>
              <w:t>-</w:t>
            </w:r>
          </w:p>
        </w:tc>
        <w:tc>
          <w:tcPr>
            <w:tcW w:w="1440" w:type="dxa"/>
            <w:vAlign w:val="bottom"/>
            <w:tcBorders>
              <w:right w:val="single" w:sz="8" w:color="2D53A6"/>
            </w:tcBorders>
          </w:tcPr>
          <w:p>
            <w:pPr>
              <w:jc w:val="right"/>
              <w:spacing w:after="0" w:line="142" w:lineRule="exact"/>
              <w:rPr>
                <w:sz w:val="20"/>
                <w:szCs w:val="20"/>
                <w:color w:val="auto"/>
              </w:rPr>
            </w:pPr>
            <w:r>
              <w:rPr>
                <w:rFonts w:ascii="Arial" w:cs="Arial" w:eastAsia="Arial" w:hAnsi="Arial"/>
                <w:sz w:val="16"/>
                <w:szCs w:val="16"/>
                <w:color w:val="auto"/>
              </w:rPr>
              <w:t>2,782,581</w:t>
            </w:r>
          </w:p>
        </w:tc>
        <w:tc>
          <w:tcPr>
            <w:tcW w:w="1380" w:type="dxa"/>
            <w:vAlign w:val="bottom"/>
            <w:tcBorders>
              <w:right w:val="single" w:sz="8" w:color="2D53A6"/>
            </w:tcBorders>
          </w:tcPr>
          <w:p>
            <w:pPr>
              <w:jc w:val="right"/>
              <w:spacing w:after="0" w:line="142" w:lineRule="exact"/>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29"/>
        </w:trPr>
        <w:tc>
          <w:tcPr>
            <w:tcW w:w="5080" w:type="dxa"/>
            <w:vAlign w:val="bottom"/>
            <w:tcBorders>
              <w:left w:val="single" w:sz="8" w:color="2D53A6"/>
              <w:bottom w:val="single" w:sz="8" w:color="2D53A6"/>
              <w:right w:val="single" w:sz="8" w:color="2D53A6"/>
            </w:tcBorders>
          </w:tcPr>
          <w:p>
            <w:pPr>
              <w:ind w:left="20"/>
              <w:spacing w:after="0" w:line="184" w:lineRule="exact"/>
              <w:rPr>
                <w:sz w:val="20"/>
                <w:szCs w:val="20"/>
                <w:color w:val="auto"/>
              </w:rPr>
            </w:pPr>
            <w:r>
              <w:rPr>
                <w:rFonts w:ascii="Arial" w:cs="Arial" w:eastAsia="Arial" w:hAnsi="Arial"/>
                <w:sz w:val="16"/>
                <w:szCs w:val="16"/>
                <w:color w:val="auto"/>
              </w:rPr>
              <w:t>101 John F. Kennedy Parkway Short Hills, NJ 07078</w:t>
            </w:r>
            <w:r>
              <w:rPr>
                <w:rFonts w:ascii="MS PGothic" w:cs="MS PGothic" w:eastAsia="MS PGothic" w:hAnsi="MS PGothic"/>
                <w:sz w:val="16"/>
                <w:szCs w:val="16"/>
                <w:color w:val="auto"/>
              </w:rPr>
              <w:t>‑</w:t>
            </w:r>
            <w:r>
              <w:rPr>
                <w:rFonts w:ascii="Arial" w:cs="Arial" w:eastAsia="Arial" w:hAnsi="Arial"/>
                <w:sz w:val="16"/>
                <w:szCs w:val="16"/>
                <w:color w:val="auto"/>
              </w:rPr>
              <w:t>2789</w:t>
            </w:r>
          </w:p>
        </w:tc>
        <w:tc>
          <w:tcPr>
            <w:tcW w:w="20" w:type="dxa"/>
            <w:vAlign w:val="bottom"/>
            <w:tcBorders>
              <w:bottom w:val="single" w:sz="8" w:color="2D53A6"/>
            </w:tcBorders>
          </w:tcPr>
          <w:p>
            <w:pPr>
              <w:spacing w:after="0"/>
              <w:rPr>
                <w:sz w:val="19"/>
                <w:szCs w:val="19"/>
                <w:color w:val="auto"/>
              </w:rPr>
            </w:pPr>
          </w:p>
        </w:tc>
        <w:tc>
          <w:tcPr>
            <w:tcW w:w="1660" w:type="dxa"/>
            <w:vAlign w:val="bottom"/>
            <w:tcBorders>
              <w:bottom w:val="single" w:sz="8" w:color="2D53A6"/>
              <w:right w:val="single" w:sz="8" w:color="2D53A6"/>
            </w:tcBorders>
          </w:tcPr>
          <w:p>
            <w:pPr>
              <w:spacing w:after="0"/>
              <w:rPr>
                <w:sz w:val="19"/>
                <w:szCs w:val="19"/>
                <w:color w:val="auto"/>
              </w:rPr>
            </w:pPr>
          </w:p>
        </w:tc>
        <w:tc>
          <w:tcPr>
            <w:tcW w:w="1660" w:type="dxa"/>
            <w:vAlign w:val="bottom"/>
            <w:tcBorders>
              <w:bottom w:val="single" w:sz="8" w:color="2D53A6"/>
              <w:right w:val="single" w:sz="8" w:color="2D53A6"/>
            </w:tcBorders>
          </w:tcPr>
          <w:p>
            <w:pPr>
              <w:spacing w:after="0"/>
              <w:rPr>
                <w:sz w:val="19"/>
                <w:szCs w:val="19"/>
                <w:color w:val="auto"/>
              </w:rPr>
            </w:pPr>
          </w:p>
        </w:tc>
        <w:tc>
          <w:tcPr>
            <w:tcW w:w="1440" w:type="dxa"/>
            <w:vAlign w:val="bottom"/>
            <w:tcBorders>
              <w:bottom w:val="single" w:sz="8" w:color="2D53A6"/>
              <w:right w:val="single" w:sz="8" w:color="2D53A6"/>
            </w:tcBorders>
          </w:tcPr>
          <w:p>
            <w:pPr>
              <w:spacing w:after="0"/>
              <w:rPr>
                <w:sz w:val="19"/>
                <w:szCs w:val="19"/>
                <w:color w:val="auto"/>
              </w:rPr>
            </w:pPr>
          </w:p>
        </w:tc>
        <w:tc>
          <w:tcPr>
            <w:tcW w:w="1380" w:type="dxa"/>
            <w:vAlign w:val="bottom"/>
            <w:tcBorders>
              <w:bottom w:val="single" w:sz="8" w:color="2D53A6"/>
              <w:right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4"/>
                <w:szCs w:val="14"/>
                <w:color w:val="auto"/>
              </w:rPr>
              <w:t xml:space="preserve">The Vanguard Group </w:t>
            </w:r>
            <w:r>
              <w:rPr>
                <w:rFonts w:ascii="Arial" w:cs="Arial" w:eastAsia="Arial" w:hAnsi="Arial"/>
                <w:sz w:val="21"/>
                <w:szCs w:val="21"/>
                <w:color w:val="auto"/>
                <w:vertAlign w:val="superscript"/>
              </w:rPr>
              <w:t>(6)</w:t>
            </w:r>
          </w:p>
        </w:tc>
        <w:tc>
          <w:tcPr>
            <w:tcW w:w="1680" w:type="dxa"/>
            <w:vAlign w:val="bottom"/>
            <w:tcBorders>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4,165,622</w:t>
            </w:r>
          </w:p>
        </w:tc>
        <w:tc>
          <w:tcPr>
            <w:tcW w:w="166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4,165,622</w:t>
            </w:r>
          </w:p>
        </w:tc>
        <w:tc>
          <w:tcPr>
            <w:tcW w:w="1380" w:type="dxa"/>
            <w:vAlign w:val="bottom"/>
            <w:tcBorders>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89"/>
        </w:trPr>
        <w:tc>
          <w:tcPr>
            <w:tcW w:w="508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6"/>
                <w:szCs w:val="16"/>
                <w:color w:val="auto"/>
              </w:rPr>
              <w:t>100 Vanguard Blvd. Malvern, PA 19355</w:t>
            </w:r>
          </w:p>
        </w:tc>
        <w:tc>
          <w:tcPr>
            <w:tcW w:w="20" w:type="dxa"/>
            <w:vAlign w:val="bottom"/>
            <w:tcBorders>
              <w:bottom w:val="single" w:sz="8" w:color="2D53A6"/>
            </w:tcBorders>
            <w:shd w:val="clear" w:color="auto" w:fill="E6E6E6"/>
          </w:tcPr>
          <w:p>
            <w:pPr>
              <w:spacing w:after="0"/>
              <w:rPr>
                <w:sz w:val="16"/>
                <w:szCs w:val="16"/>
                <w:color w:val="auto"/>
              </w:rPr>
            </w:pPr>
          </w:p>
        </w:tc>
        <w:tc>
          <w:tcPr>
            <w:tcW w:w="1660" w:type="dxa"/>
            <w:vAlign w:val="bottom"/>
            <w:tcBorders>
              <w:bottom w:val="single" w:sz="8" w:color="2D53A6"/>
              <w:right w:val="single" w:sz="8" w:color="2D53A6"/>
            </w:tcBorders>
            <w:shd w:val="clear" w:color="auto" w:fill="E6E6E6"/>
          </w:tcPr>
          <w:p>
            <w:pPr>
              <w:spacing w:after="0"/>
              <w:rPr>
                <w:sz w:val="16"/>
                <w:szCs w:val="16"/>
                <w:color w:val="auto"/>
              </w:rPr>
            </w:pPr>
          </w:p>
        </w:tc>
        <w:tc>
          <w:tcPr>
            <w:tcW w:w="1660" w:type="dxa"/>
            <w:vAlign w:val="bottom"/>
            <w:tcBorders>
              <w:bottom w:val="single" w:sz="8" w:color="2D53A6"/>
              <w:right w:val="single" w:sz="8" w:color="2D53A6"/>
            </w:tcBorders>
            <w:shd w:val="clear" w:color="auto" w:fill="E6E6E6"/>
          </w:tcPr>
          <w:p>
            <w:pPr>
              <w:spacing w:after="0"/>
              <w:rPr>
                <w:sz w:val="16"/>
                <w:szCs w:val="16"/>
                <w:color w:val="auto"/>
              </w:rPr>
            </w:pPr>
          </w:p>
        </w:tc>
        <w:tc>
          <w:tcPr>
            <w:tcW w:w="1440" w:type="dxa"/>
            <w:vAlign w:val="bottom"/>
            <w:tcBorders>
              <w:bottom w:val="single" w:sz="8" w:color="2D53A6"/>
              <w:right w:val="single" w:sz="8" w:color="2D53A6"/>
            </w:tcBorders>
            <w:shd w:val="clear" w:color="auto" w:fill="E6E6E6"/>
          </w:tcPr>
          <w:p>
            <w:pPr>
              <w:spacing w:after="0"/>
              <w:rPr>
                <w:sz w:val="16"/>
                <w:szCs w:val="16"/>
                <w:color w:val="auto"/>
              </w:rPr>
            </w:pPr>
          </w:p>
        </w:tc>
        <w:tc>
          <w:tcPr>
            <w:tcW w:w="1380" w:type="dxa"/>
            <w:vAlign w:val="bottom"/>
            <w:tcBorders>
              <w:bottom w:val="single" w:sz="8" w:color="2D53A6"/>
              <w:right w:val="single" w:sz="8" w:color="2D53A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Borders>
              <w:left w:val="single" w:sz="8" w:color="2D53A6"/>
              <w:right w:val="single" w:sz="8" w:color="2D53A6"/>
            </w:tcBorders>
          </w:tcPr>
          <w:p>
            <w:pPr>
              <w:ind w:left="20"/>
              <w:spacing w:after="0" w:line="168" w:lineRule="exact"/>
              <w:rPr>
                <w:sz w:val="20"/>
                <w:szCs w:val="20"/>
                <w:color w:val="auto"/>
              </w:rPr>
            </w:pPr>
            <w:r>
              <w:rPr>
                <w:rFonts w:ascii="Arial" w:cs="Arial" w:eastAsia="Arial" w:hAnsi="Arial"/>
                <w:sz w:val="13"/>
                <w:szCs w:val="13"/>
                <w:color w:val="auto"/>
              </w:rPr>
              <w:t xml:space="preserve">Victory Capital Management Inc. </w:t>
            </w:r>
            <w:r>
              <w:rPr>
                <w:rFonts w:ascii="Arial" w:cs="Arial" w:eastAsia="Arial" w:hAnsi="Arial"/>
                <w:sz w:val="19"/>
                <w:szCs w:val="19"/>
                <w:color w:val="auto"/>
                <w:vertAlign w:val="superscript"/>
              </w:rPr>
              <w:t>(7)</w:t>
            </w:r>
          </w:p>
        </w:tc>
        <w:tc>
          <w:tcPr>
            <w:tcW w:w="1680" w:type="dxa"/>
            <w:vAlign w:val="bottom"/>
            <w:tcBorders>
              <w:right w:val="single" w:sz="8" w:color="2D53A6"/>
            </w:tcBorders>
            <w:gridSpan w:val="2"/>
          </w:tcPr>
          <w:p>
            <w:pPr>
              <w:jc w:val="right"/>
              <w:spacing w:after="0" w:line="168" w:lineRule="exact"/>
              <w:rPr>
                <w:sz w:val="20"/>
                <w:szCs w:val="20"/>
                <w:color w:val="auto"/>
              </w:rPr>
            </w:pPr>
            <w:r>
              <w:rPr>
                <w:rFonts w:ascii="Arial" w:cs="Arial" w:eastAsia="Arial" w:hAnsi="Arial"/>
                <w:sz w:val="16"/>
                <w:szCs w:val="16"/>
                <w:color w:val="auto"/>
              </w:rPr>
              <w:t>2,971,600</w:t>
            </w:r>
          </w:p>
        </w:tc>
        <w:tc>
          <w:tcPr>
            <w:tcW w:w="1660" w:type="dxa"/>
            <w:vAlign w:val="bottom"/>
            <w:tcBorders>
              <w:right w:val="single" w:sz="8" w:color="2D53A6"/>
            </w:tcBorders>
          </w:tcPr>
          <w:p>
            <w:pPr>
              <w:jc w:val="right"/>
              <w:spacing w:after="0" w:line="168" w:lineRule="exact"/>
              <w:rPr>
                <w:sz w:val="20"/>
                <w:szCs w:val="20"/>
                <w:color w:val="auto"/>
              </w:rPr>
            </w:pPr>
            <w:r>
              <w:rPr>
                <w:rFonts w:ascii="Arial" w:cs="Arial" w:eastAsia="Arial" w:hAnsi="Arial"/>
                <w:sz w:val="16"/>
                <w:szCs w:val="16"/>
                <w:color w:val="auto"/>
              </w:rPr>
              <w:t>-</w:t>
            </w:r>
          </w:p>
        </w:tc>
        <w:tc>
          <w:tcPr>
            <w:tcW w:w="1440" w:type="dxa"/>
            <w:vAlign w:val="bottom"/>
            <w:tcBorders>
              <w:right w:val="single" w:sz="8" w:color="2D53A6"/>
            </w:tcBorders>
          </w:tcPr>
          <w:p>
            <w:pPr>
              <w:jc w:val="right"/>
              <w:spacing w:after="0" w:line="168" w:lineRule="exact"/>
              <w:rPr>
                <w:sz w:val="20"/>
                <w:szCs w:val="20"/>
                <w:color w:val="auto"/>
              </w:rPr>
            </w:pPr>
            <w:r>
              <w:rPr>
                <w:rFonts w:ascii="Arial" w:cs="Arial" w:eastAsia="Arial" w:hAnsi="Arial"/>
                <w:sz w:val="16"/>
                <w:szCs w:val="16"/>
                <w:color w:val="auto"/>
              </w:rPr>
              <w:t>2,971,600</w:t>
            </w:r>
          </w:p>
        </w:tc>
        <w:tc>
          <w:tcPr>
            <w:tcW w:w="1380" w:type="dxa"/>
            <w:vAlign w:val="bottom"/>
            <w:tcBorders>
              <w:right w:val="single" w:sz="8" w:color="2D53A6"/>
            </w:tcBorders>
          </w:tcPr>
          <w:p>
            <w:pPr>
              <w:jc w:val="right"/>
              <w:spacing w:after="0" w:line="168"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3"/>
        </w:trPr>
        <w:tc>
          <w:tcPr>
            <w:tcW w:w="508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6"/>
                <w:szCs w:val="16"/>
                <w:color w:val="auto"/>
              </w:rPr>
              <w:t>4900 Tiedeman Rd. 4th Floor Brooklyn, OH 44144</w:t>
            </w:r>
          </w:p>
        </w:tc>
        <w:tc>
          <w:tcPr>
            <w:tcW w:w="20" w:type="dxa"/>
            <w:vAlign w:val="bottom"/>
            <w:tcBorders>
              <w:bottom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tcPr>
          <w:p>
            <w:pPr>
              <w:spacing w:after="0"/>
              <w:rPr>
                <w:sz w:val="17"/>
                <w:szCs w:val="17"/>
                <w:color w:val="auto"/>
              </w:rPr>
            </w:pPr>
          </w:p>
        </w:tc>
        <w:tc>
          <w:tcPr>
            <w:tcW w:w="1440" w:type="dxa"/>
            <w:vAlign w:val="bottom"/>
            <w:tcBorders>
              <w:bottom w:val="single" w:sz="8" w:color="2D53A6"/>
              <w:right w:val="single" w:sz="8" w:color="2D53A6"/>
            </w:tcBorders>
          </w:tcPr>
          <w:p>
            <w:pPr>
              <w:spacing w:after="0"/>
              <w:rPr>
                <w:sz w:val="17"/>
                <w:szCs w:val="17"/>
                <w:color w:val="auto"/>
              </w:rPr>
            </w:pPr>
          </w:p>
        </w:tc>
        <w:tc>
          <w:tcPr>
            <w:tcW w:w="138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William E. Bendush</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34,906</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39,253</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4"/>
                <w:szCs w:val="14"/>
                <w:color w:val="auto"/>
              </w:rPr>
              <w:t xml:space="preserve">Steven J. Bilodeau </w:t>
            </w:r>
            <w:r>
              <w:rPr>
                <w:rFonts w:ascii="Arial" w:cs="Arial" w:eastAsia="Arial" w:hAnsi="Arial"/>
                <w:sz w:val="21"/>
                <w:szCs w:val="21"/>
                <w:color w:val="auto"/>
                <w:vertAlign w:val="superscript"/>
              </w:rPr>
              <w:t>(8)</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60,688</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65,035</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Christopher G. Bohrson</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57,593</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57,593</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4"/>
                <w:szCs w:val="14"/>
                <w:color w:val="auto"/>
              </w:rPr>
              <w:t xml:space="preserve">Andrew M. Caggia </w:t>
            </w:r>
            <w:r>
              <w:rPr>
                <w:rFonts w:ascii="Arial" w:cs="Arial" w:eastAsia="Arial" w:hAnsi="Arial"/>
                <w:sz w:val="21"/>
                <w:szCs w:val="21"/>
                <w:color w:val="auto"/>
                <w:vertAlign w:val="superscript"/>
              </w:rPr>
              <w:t>(9)</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50,557</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54,904</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James A. Donahue</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376,148</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380,495</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6"/>
                <w:szCs w:val="16"/>
                <w:color w:val="auto"/>
              </w:rPr>
              <w:t>Yon Y. Jorden</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10,781</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5,692</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16,473</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Jeffrey D. Jones</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182,943</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182,943</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6"/>
                <w:szCs w:val="16"/>
                <w:color w:val="auto"/>
              </w:rPr>
              <w:t>Thomas D. Kampfer</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18,824</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18,824</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Ian P. Lawee</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24,215</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24,215</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6"/>
                <w:szCs w:val="16"/>
                <w:color w:val="auto"/>
              </w:rPr>
              <w:t>Andreas W. Mattes</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905</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5,252</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Luis A. Müller</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398,048</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398,048</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tcPr>
          <w:p>
            <w:pPr>
              <w:ind w:left="20"/>
              <w:spacing w:after="0" w:line="183" w:lineRule="exact"/>
              <w:rPr>
                <w:sz w:val="20"/>
                <w:szCs w:val="20"/>
                <w:color w:val="auto"/>
              </w:rPr>
            </w:pPr>
            <w:r>
              <w:rPr>
                <w:rFonts w:ascii="Arial" w:cs="Arial" w:eastAsia="Arial" w:hAnsi="Arial"/>
                <w:sz w:val="14"/>
                <w:szCs w:val="14"/>
                <w:color w:val="auto"/>
              </w:rPr>
              <w:t xml:space="preserve">Nina L. Richardson </w:t>
            </w:r>
            <w:r>
              <w:rPr>
                <w:rFonts w:ascii="Arial" w:cs="Arial" w:eastAsia="Arial" w:hAnsi="Arial"/>
                <w:sz w:val="21"/>
                <w:szCs w:val="21"/>
                <w:color w:val="auto"/>
                <w:vertAlign w:val="superscript"/>
              </w:rPr>
              <w:t>(10)</w:t>
            </w:r>
          </w:p>
        </w:tc>
        <w:tc>
          <w:tcPr>
            <w:tcW w:w="1680" w:type="dxa"/>
            <w:vAlign w:val="bottom"/>
            <w:tcBorders>
              <w:bottom w:val="single" w:sz="8" w:color="2D53A6"/>
              <w:right w:val="single" w:sz="8" w:color="2D53A6"/>
            </w:tcBorders>
            <w:gridSpan w:val="2"/>
          </w:tcPr>
          <w:p>
            <w:pPr>
              <w:jc w:val="right"/>
              <w:spacing w:after="0" w:line="183" w:lineRule="exact"/>
              <w:rPr>
                <w:sz w:val="20"/>
                <w:szCs w:val="20"/>
                <w:color w:val="auto"/>
              </w:rPr>
            </w:pPr>
            <w:r>
              <w:rPr>
                <w:rFonts w:ascii="Arial" w:cs="Arial" w:eastAsia="Arial" w:hAnsi="Arial"/>
                <w:sz w:val="16"/>
                <w:szCs w:val="16"/>
                <w:color w:val="auto"/>
              </w:rPr>
              <w:t>24,047</w:t>
            </w:r>
          </w:p>
        </w:tc>
        <w:tc>
          <w:tcPr>
            <w:tcW w:w="166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4,347</w:t>
            </w:r>
          </w:p>
        </w:tc>
        <w:tc>
          <w:tcPr>
            <w:tcW w:w="144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28,394</w:t>
            </w:r>
          </w:p>
        </w:tc>
        <w:tc>
          <w:tcPr>
            <w:tcW w:w="1380" w:type="dxa"/>
            <w:vAlign w:val="bottom"/>
            <w:tcBorders>
              <w:bottom w:val="single" w:sz="8" w:color="2D53A6"/>
              <w:right w:val="single" w:sz="8" w:color="2D53A6"/>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080" w:type="dxa"/>
            <w:vAlign w:val="bottom"/>
            <w:tcBorders>
              <w:left w:val="single" w:sz="8" w:color="2D53A6"/>
              <w:bottom w:val="single" w:sz="8" w:color="2D53A6"/>
              <w:right w:val="single" w:sz="8" w:color="2D53A6"/>
            </w:tcBorders>
            <w:shd w:val="clear" w:color="auto" w:fill="E6E6E6"/>
          </w:tcPr>
          <w:p>
            <w:pPr>
              <w:ind w:left="20"/>
              <w:spacing w:after="0" w:line="183" w:lineRule="exact"/>
              <w:rPr>
                <w:sz w:val="20"/>
                <w:szCs w:val="20"/>
                <w:color w:val="auto"/>
              </w:rPr>
            </w:pPr>
            <w:r>
              <w:rPr>
                <w:rFonts w:ascii="Arial" w:cs="Arial" w:eastAsia="Arial" w:hAnsi="Arial"/>
                <w:sz w:val="16"/>
                <w:szCs w:val="16"/>
                <w:color w:val="auto"/>
              </w:rPr>
              <w:t>All directors and executive officers as a group (12 persons)</w:t>
            </w:r>
          </w:p>
        </w:tc>
        <w:tc>
          <w:tcPr>
            <w:tcW w:w="1680" w:type="dxa"/>
            <w:vAlign w:val="bottom"/>
            <w:tcBorders>
              <w:bottom w:val="single" w:sz="8" w:color="2D53A6"/>
              <w:right w:val="single" w:sz="8" w:color="2D53A6"/>
            </w:tcBorders>
            <w:gridSpan w:val="2"/>
            <w:shd w:val="clear" w:color="auto" w:fill="E6E6E6"/>
          </w:tcPr>
          <w:p>
            <w:pPr>
              <w:jc w:val="right"/>
              <w:spacing w:after="0" w:line="183" w:lineRule="exact"/>
              <w:rPr>
                <w:sz w:val="20"/>
                <w:szCs w:val="20"/>
                <w:color w:val="auto"/>
              </w:rPr>
            </w:pPr>
            <w:r>
              <w:rPr>
                <w:rFonts w:ascii="Arial" w:cs="Arial" w:eastAsia="Arial" w:hAnsi="Arial"/>
                <w:sz w:val="16"/>
                <w:szCs w:val="16"/>
                <w:color w:val="auto"/>
              </w:rPr>
              <w:t>1,239,655</w:t>
            </w:r>
          </w:p>
        </w:tc>
        <w:tc>
          <w:tcPr>
            <w:tcW w:w="166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31,774</w:t>
            </w:r>
          </w:p>
        </w:tc>
        <w:tc>
          <w:tcPr>
            <w:tcW w:w="144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1,271,429</w:t>
            </w:r>
          </w:p>
        </w:tc>
        <w:tc>
          <w:tcPr>
            <w:tcW w:w="1380" w:type="dxa"/>
            <w:vAlign w:val="bottom"/>
            <w:tcBorders>
              <w:bottom w:val="single" w:sz="8" w:color="2D53A6"/>
              <w:right w:val="single" w:sz="8" w:color="2D53A6"/>
            </w:tcBorders>
            <w:shd w:val="clear" w:color="auto" w:fill="E6E6E6"/>
          </w:tcPr>
          <w:p>
            <w:pPr>
              <w:jc w:val="right"/>
              <w:spacing w:after="0" w:line="183" w:lineRule="exact"/>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 w:lineRule="exact"/>
        <w:rPr>
          <w:sz w:val="20"/>
          <w:szCs w:val="20"/>
          <w:color w:val="auto"/>
        </w:rPr>
      </w:pPr>
    </w:p>
    <w:p>
      <w:pPr>
        <w:jc w:val="both"/>
        <w:ind w:left="340" w:right="8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Shares issuable upon exercise of stock options and restricted stock units and performance stock units held by directors and executive officers that were exercisable or will otherwise vest on or within 60 days of April 5, 2024.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Computed on the basis of 47,079,623 shares of Cohu common stock outstanding as of April 5, 2024, plus, with respect to each person holding options and restricted stock units and performance stock units that were exercisable or will otherwise vest on or within 60 days of April 5, 2024, the number of shares of Cohu common stock issuable upon exercise or vesting thereof.</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According to Schedule 13G/A filed with the SEC on January 22, 2024, BlackRock, Inc. reported that its affiliated companies collectively had sole voting and dispositive power with respect to 7,357,923 and 7,478,150 shares, respectively, and no shared voting or dispositive power with respect to these shares.</w:t>
      </w:r>
    </w:p>
    <w:p>
      <w:pPr>
        <w:ind w:left="340" w:right="10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According to Schedule 13G/A filed with the SEC on February 9, 2024, Dimensional Fund Advisors LP reported that it had sole voting and dispositive power with respect to 3,006,603 and 3,064,076 shares, respectively, and no shared voting or dispositive power with respect to these shares.</w:t>
      </w:r>
    </w:p>
    <w:p>
      <w:pPr>
        <w:ind w:left="340" w:right="260" w:hanging="332"/>
        <w:spacing w:after="0" w:line="24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According to Schedule 13G filed with the SEC on January 30, 2024, Franklin Mutual Advisers, LLC reported that it had sole voting and dispositive power with respect to 2,630,340 and 2,782,581 shares, respectively, and no shared voting or dispositive power with respect to these shares.</w:t>
      </w:r>
    </w:p>
    <w:p>
      <w:pPr>
        <w:ind w:left="340" w:right="680" w:hanging="332"/>
        <w:spacing w:after="0" w:line="264"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According to Schedule 13G/A filed with the Securities SEC on February 13, 2024, The Vanguard Group reported that it had sole dispositive power with respect to 4,091,933 shares, no sole voting power, and shared voting and dispositive power with respect to 31,175 and 73,689 shares,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340" w:right="220" w:hanging="332"/>
        <w:spacing w:after="0" w:line="25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According to Schedule 13G/A filed with the Securities SEC on February 6, 2024, Victory Capital Management Inc. reported that it had sole voting and dispositive power with respect to 2,955,729 and 2,971,600 shares, respectively, and no shared voting or dispositive power with respect to these shares.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Beneficially owned common stock includes 29,629 deferred stock unit awards issued pursuant to the 2005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Beneficially owned common stock includes 35,305 deferred stock unit awards issued pursuant to the 2005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Beneficially owned common stock includes 11,992 deferred stock unit awards issued pursuant to the 2005 Plan.</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Delinquent Section 16(a) Reports</w:t>
      </w:r>
    </w:p>
    <w:p>
      <w:pPr>
        <w:spacing w:after="0" w:line="2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solely upon its review of the copies of such forms received by it, or written representations from certain reporting persons that no Forms 5 were required for such persons, Cohu believes that during the fiscal year ended December 30, 2023, its executive officers, directors and 10% stockholders timely complied with all Section 16(a) filing requirements.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5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w:t>
      </w:r>
    </w:p>
    <w:p>
      <w:pPr>
        <w:spacing w:after="0" w:line="21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Code of Business Conduct and Ethics</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Board of Directors and Committees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Director Independence</w:t>
      </w:r>
    </w:p>
    <w:p>
      <w:pPr>
        <w:spacing w:after="0" w:line="20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color w:val="auto"/>
        </w:rPr>
        <w:t>The Board has considered relationships, transactions and/or arrangements with each of the directors and has determined that six (6) of its directors (75% of the Board), namely, Mses. Jorden and Richardson and Messrs. Bendush, Bilodeau, Caggia and Mattes, are independent directors in accordance with Nasdaq listing standards and SEC rules. In addition, the Board has also considered and determined that:</w:t>
      </w:r>
    </w:p>
    <w:p>
      <w:pPr>
        <w:spacing w:after="0" w:line="138" w:lineRule="exact"/>
        <w:rPr>
          <w:sz w:val="20"/>
          <w:szCs w:val="20"/>
          <w:color w:val="auto"/>
        </w:rPr>
      </w:pPr>
    </w:p>
    <w:p>
      <w:pPr>
        <w:ind w:left="980" w:right="660" w:hanging="324"/>
        <w:spacing w:after="0" w:line="24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and SEC rules.</w:t>
      </w:r>
    </w:p>
    <w:p>
      <w:pPr>
        <w:ind w:left="980" w:right="20" w:hanging="324"/>
        <w:spacing w:after="0" w:line="23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members of the Audit and Compensation Committees meet the additional independence requirements as required by Nasdaq listing standards and SEC rules.</w:t>
      </w:r>
    </w:p>
    <w:p>
      <w:pPr>
        <w:spacing w:after="0" w:line="1" w:lineRule="exact"/>
        <w:rPr>
          <w:rFonts w:ascii="Arial" w:cs="Arial" w:eastAsia="Arial" w:hAnsi="Arial"/>
          <w:sz w:val="18"/>
          <w:szCs w:val="18"/>
          <w:color w:val="auto"/>
        </w:rPr>
      </w:pPr>
    </w:p>
    <w:p>
      <w:pPr>
        <w:ind w:left="980" w:right="40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members of the Audit Committee, currently Ms. Jorden and Messrs. Bendush and Caggia, qualify as an “audit committee financial expert” under SEC guidelines.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2D53A6"/>
        </w:rPr>
        <w:t>Board Structure and Committee Composition</w:t>
      </w:r>
    </w:p>
    <w:p>
      <w:pPr>
        <w:spacing w:after="0" w:line="20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As of the date of this proxy statement, our Board has eight (8)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fiscal year 2023,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of our continuing directors at that time virtually attended the 2023 Annual Meeting.</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Name of Director</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Compensation</w:t>
            </w:r>
          </w:p>
        </w:tc>
        <w:tc>
          <w:tcPr>
            <w:tcW w:w="21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Nominating and</w:t>
            </w:r>
          </w:p>
        </w:tc>
        <w:tc>
          <w:tcPr>
            <w:tcW w:w="0" w:type="dxa"/>
            <w:vAlign w:val="bottom"/>
          </w:tcPr>
          <w:p>
            <w:pPr>
              <w:spacing w:after="0"/>
              <w:rPr>
                <w:sz w:val="1"/>
                <w:szCs w:val="1"/>
                <w:color w:val="auto"/>
              </w:rPr>
            </w:pPr>
          </w:p>
        </w:tc>
      </w:tr>
      <w:tr>
        <w:trPr>
          <w:trHeight w:val="139"/>
        </w:trPr>
        <w:tc>
          <w:tcPr>
            <w:tcW w:w="4500" w:type="dxa"/>
            <w:vAlign w:val="bottom"/>
            <w:tcBorders>
              <w:right w:val="single" w:sz="8" w:color="2D53A6"/>
            </w:tcBorders>
            <w:vMerge w:val="continue"/>
            <w:shd w:val="clear" w:color="auto" w:fill="2D53A6"/>
          </w:tcPr>
          <w:p>
            <w:pPr>
              <w:spacing w:after="0"/>
              <w:rPr>
                <w:sz w:val="12"/>
                <w:szCs w:val="12"/>
                <w:color w:val="auto"/>
              </w:rPr>
            </w:pPr>
          </w:p>
        </w:tc>
        <w:tc>
          <w:tcPr>
            <w:tcW w:w="2280" w:type="dxa"/>
            <w:vAlign w:val="bottom"/>
            <w:tcBorders>
              <w:right w:val="single" w:sz="8" w:color="2D53A6"/>
            </w:tcBorders>
            <w:vMerge w:val="continue"/>
            <w:shd w:val="clear" w:color="auto" w:fill="2D53A6"/>
          </w:tcPr>
          <w:p>
            <w:pPr>
              <w:spacing w:after="0"/>
              <w:rPr>
                <w:sz w:val="12"/>
                <w:szCs w:val="12"/>
                <w:color w:val="auto"/>
              </w:rPr>
            </w:pPr>
          </w:p>
        </w:tc>
        <w:tc>
          <w:tcPr>
            <w:tcW w:w="2280" w:type="dxa"/>
            <w:vAlign w:val="bottom"/>
            <w:tcBorders>
              <w:right w:val="single" w:sz="8" w:color="2D53A6"/>
            </w:tcBorders>
            <w:vMerge w:val="continue"/>
            <w:shd w:val="clear" w:color="auto" w:fill="2D53A6"/>
          </w:tcPr>
          <w:p>
            <w:pPr>
              <w:spacing w:after="0"/>
              <w:rPr>
                <w:sz w:val="12"/>
                <w:szCs w:val="12"/>
                <w:color w:val="auto"/>
              </w:rPr>
            </w:pPr>
          </w:p>
        </w:tc>
        <w:tc>
          <w:tcPr>
            <w:tcW w:w="218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Governance</w:t>
            </w:r>
          </w:p>
        </w:tc>
        <w:tc>
          <w:tcPr>
            <w:tcW w:w="0" w:type="dxa"/>
            <w:vAlign w:val="bottom"/>
          </w:tcPr>
          <w:p>
            <w:pPr>
              <w:spacing w:after="0"/>
              <w:rPr>
                <w:sz w:val="1"/>
                <w:szCs w:val="1"/>
                <w:color w:val="auto"/>
              </w:rPr>
            </w:pPr>
          </w:p>
        </w:tc>
      </w:tr>
      <w:tr>
        <w:trPr>
          <w:trHeight w:val="117"/>
        </w:trPr>
        <w:tc>
          <w:tcPr>
            <w:tcW w:w="4500" w:type="dxa"/>
            <w:vAlign w:val="bottom"/>
            <w:tcBorders>
              <w:bottom w:val="single" w:sz="8" w:color="2D53A6"/>
              <w:right w:val="single" w:sz="8" w:color="2D53A6"/>
            </w:tcBorders>
            <w:shd w:val="clear" w:color="auto" w:fill="2D53A6"/>
          </w:tcPr>
          <w:p>
            <w:pPr>
              <w:spacing w:after="0"/>
              <w:rPr>
                <w:sz w:val="10"/>
                <w:szCs w:val="10"/>
                <w:color w:val="auto"/>
              </w:rPr>
            </w:pPr>
          </w:p>
        </w:tc>
        <w:tc>
          <w:tcPr>
            <w:tcW w:w="2280" w:type="dxa"/>
            <w:vAlign w:val="bottom"/>
            <w:tcBorders>
              <w:bottom w:val="single" w:sz="8" w:color="2D53A6"/>
              <w:right w:val="single" w:sz="8" w:color="2D53A6"/>
            </w:tcBorders>
            <w:shd w:val="clear" w:color="auto" w:fill="2D53A6"/>
          </w:tcPr>
          <w:p>
            <w:pPr>
              <w:spacing w:after="0"/>
              <w:rPr>
                <w:sz w:val="10"/>
                <w:szCs w:val="10"/>
                <w:color w:val="auto"/>
              </w:rPr>
            </w:pPr>
          </w:p>
        </w:tc>
        <w:tc>
          <w:tcPr>
            <w:tcW w:w="2280" w:type="dxa"/>
            <w:vAlign w:val="bottom"/>
            <w:tcBorders>
              <w:bottom w:val="single" w:sz="8" w:color="2D53A6"/>
              <w:right w:val="single" w:sz="8" w:color="2D53A6"/>
            </w:tcBorders>
            <w:shd w:val="clear" w:color="auto" w:fill="2D53A6"/>
          </w:tcPr>
          <w:p>
            <w:pPr>
              <w:spacing w:after="0"/>
              <w:rPr>
                <w:sz w:val="10"/>
                <w:szCs w:val="10"/>
                <w:color w:val="auto"/>
              </w:rPr>
            </w:pPr>
          </w:p>
        </w:tc>
        <w:tc>
          <w:tcPr>
            <w:tcW w:w="2180" w:type="dxa"/>
            <w:vAlign w:val="bottom"/>
            <w:tcBorders>
              <w:bottom w:val="single" w:sz="8" w:color="2D53A6"/>
            </w:tcBorders>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50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i w:val="1"/>
                <w:iCs w:val="1"/>
                <w:color w:val="auto"/>
              </w:rPr>
              <w:t>Independent Directors:</w:t>
            </w:r>
          </w:p>
        </w:tc>
        <w:tc>
          <w:tcPr>
            <w:tcW w:w="2280" w:type="dxa"/>
            <w:vAlign w:val="bottom"/>
            <w:tcBorders>
              <w:bottom w:val="single" w:sz="8" w:color="2D53A6"/>
              <w:right w:val="single" w:sz="8" w:color="2D53A6"/>
            </w:tcBorders>
          </w:tcPr>
          <w:p>
            <w:pPr>
              <w:spacing w:after="0"/>
              <w:rPr>
                <w:sz w:val="24"/>
                <w:szCs w:val="24"/>
                <w:color w:val="auto"/>
              </w:rPr>
            </w:pPr>
          </w:p>
        </w:tc>
        <w:tc>
          <w:tcPr>
            <w:tcW w:w="2280" w:type="dxa"/>
            <w:vAlign w:val="bottom"/>
            <w:tcBorders>
              <w:bottom w:val="single" w:sz="8" w:color="2D53A6"/>
              <w:right w:val="single" w:sz="8" w:color="2D53A6"/>
            </w:tcBorders>
          </w:tcPr>
          <w:p>
            <w:pPr>
              <w:spacing w:after="0"/>
              <w:rPr>
                <w:sz w:val="24"/>
                <w:szCs w:val="24"/>
                <w:color w:val="auto"/>
              </w:rPr>
            </w:pPr>
          </w:p>
        </w:tc>
        <w:tc>
          <w:tcPr>
            <w:tcW w:w="2180" w:type="dxa"/>
            <w:vAlign w:val="bottom"/>
            <w:tcBorders>
              <w:bottom w:val="single" w:sz="8" w:color="2D53A6"/>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William E. Bendush</w:t>
            </w: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Chair</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(1)</w:t>
            </w:r>
          </w:p>
        </w:tc>
        <w:tc>
          <w:tcPr>
            <w:tcW w:w="2280" w:type="dxa"/>
            <w:vAlign w:val="bottom"/>
            <w:tcBorders>
              <w:top w:val="single" w:sz="8" w:color="2D53A6"/>
              <w:right w:val="single" w:sz="8" w:color="2D53A6"/>
            </w:tcBorders>
          </w:tcPr>
          <w:p>
            <w:pPr>
              <w:spacing w:after="0"/>
              <w:rPr>
                <w:sz w:val="22"/>
                <w:szCs w:val="22"/>
                <w:color w:val="auto"/>
              </w:rPr>
            </w:pP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7"/>
              </w:rPr>
              <w:t>Chair</w:t>
            </w:r>
          </w:p>
        </w:tc>
        <w:tc>
          <w:tcPr>
            <w:tcW w:w="218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Andrew M. Caggia</w:t>
            </w: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Yon Y. Jorden</w:t>
            </w: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2D53A6"/>
              <w:right w:val="single" w:sz="8" w:color="2D53A6"/>
            </w:tcBorders>
          </w:tcPr>
          <w:p>
            <w:pPr>
              <w:spacing w:after="0"/>
              <w:rPr>
                <w:sz w:val="22"/>
                <w:szCs w:val="22"/>
                <w:color w:val="auto"/>
              </w:rPr>
            </w:pPr>
          </w:p>
        </w:tc>
        <w:tc>
          <w:tcPr>
            <w:tcW w:w="218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Andreas W. Mattes</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Nina L. Richardson</w:t>
            </w:r>
          </w:p>
        </w:tc>
        <w:tc>
          <w:tcPr>
            <w:tcW w:w="2280" w:type="dxa"/>
            <w:vAlign w:val="bottom"/>
            <w:tcBorders>
              <w:top w:val="single" w:sz="8" w:color="2D53A6"/>
              <w:right w:val="single" w:sz="8" w:color="2D53A6"/>
            </w:tcBorders>
          </w:tcPr>
          <w:p>
            <w:pPr>
              <w:spacing w:after="0"/>
              <w:rPr>
                <w:sz w:val="22"/>
                <w:szCs w:val="22"/>
                <w:color w:val="auto"/>
              </w:rPr>
            </w:pP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2D53A6"/>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380"/>
              <w:spacing w:after="0"/>
              <w:rPr>
                <w:sz w:val="20"/>
                <w:szCs w:val="20"/>
                <w:color w:val="auto"/>
              </w:rPr>
            </w:pPr>
            <w:r>
              <w:rPr>
                <w:rFonts w:ascii="Arial" w:cs="Arial" w:eastAsia="Arial" w:hAnsi="Arial"/>
                <w:sz w:val="18"/>
                <w:szCs w:val="18"/>
                <w:color w:val="auto"/>
              </w:rPr>
              <w:t>Total committee size:</w:t>
            </w: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4500" w:type="dxa"/>
            <w:vAlign w:val="bottom"/>
            <w:tcBorders>
              <w:top w:val="single" w:sz="8" w:color="2D53A6"/>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i w:val="1"/>
                <w:iCs w:val="1"/>
                <w:color w:val="auto"/>
              </w:rPr>
              <w:t>Other Directors:</w:t>
            </w:r>
          </w:p>
        </w:tc>
        <w:tc>
          <w:tcPr>
            <w:tcW w:w="2280" w:type="dxa"/>
            <w:vAlign w:val="bottom"/>
            <w:tcBorders>
              <w:top w:val="single" w:sz="8" w:color="2D53A6"/>
              <w:bottom w:val="single" w:sz="8" w:color="2D53A6"/>
              <w:right w:val="single" w:sz="8" w:color="2D53A6"/>
            </w:tcBorders>
          </w:tcPr>
          <w:p>
            <w:pPr>
              <w:spacing w:after="0"/>
              <w:rPr>
                <w:sz w:val="23"/>
                <w:szCs w:val="23"/>
                <w:color w:val="auto"/>
              </w:rPr>
            </w:pPr>
          </w:p>
        </w:tc>
        <w:tc>
          <w:tcPr>
            <w:tcW w:w="2280" w:type="dxa"/>
            <w:vAlign w:val="bottom"/>
            <w:tcBorders>
              <w:top w:val="single" w:sz="8" w:color="2D53A6"/>
              <w:bottom w:val="single" w:sz="8" w:color="2D53A6"/>
              <w:right w:val="single" w:sz="8" w:color="2D53A6"/>
            </w:tcBorders>
          </w:tcPr>
          <w:p>
            <w:pPr>
              <w:spacing w:after="0"/>
              <w:rPr>
                <w:sz w:val="23"/>
                <w:szCs w:val="23"/>
                <w:color w:val="auto"/>
              </w:rPr>
            </w:pPr>
          </w:p>
        </w:tc>
        <w:tc>
          <w:tcPr>
            <w:tcW w:w="2180" w:type="dxa"/>
            <w:vAlign w:val="bottom"/>
            <w:tcBorders>
              <w:top w:val="single" w:sz="8" w:color="2D53A6"/>
              <w:bottom w:val="single" w:sz="8" w:color="2D53A6"/>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James A. Donahue</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2280" w:type="dxa"/>
            <w:vAlign w:val="bottom"/>
            <w:tcBorders>
              <w:top w:val="single" w:sz="8" w:color="2D53A6"/>
              <w:right w:val="single" w:sz="8" w:color="2D53A6"/>
            </w:tcBorders>
          </w:tcPr>
          <w:p>
            <w:pPr>
              <w:spacing w:after="0"/>
              <w:rPr>
                <w:sz w:val="22"/>
                <w:szCs w:val="22"/>
                <w:color w:val="auto"/>
              </w:rPr>
            </w:pPr>
          </w:p>
        </w:tc>
        <w:tc>
          <w:tcPr>
            <w:tcW w:w="2280" w:type="dxa"/>
            <w:vAlign w:val="bottom"/>
            <w:tcBorders>
              <w:top w:val="single" w:sz="8" w:color="2D53A6"/>
              <w:right w:val="single" w:sz="8" w:color="2D53A6"/>
            </w:tcBorders>
          </w:tcPr>
          <w:p>
            <w:pPr>
              <w:spacing w:after="0"/>
              <w:rPr>
                <w:sz w:val="22"/>
                <w:szCs w:val="22"/>
                <w:color w:val="auto"/>
              </w:rPr>
            </w:pPr>
          </w:p>
        </w:tc>
        <w:tc>
          <w:tcPr>
            <w:tcW w:w="2180" w:type="dxa"/>
            <w:vAlign w:val="bottom"/>
            <w:tcBorders>
              <w:top w:val="single" w:sz="8" w:color="2D53A6"/>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Number of Meetings in Fiscal Year 2023</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5</w:t>
            </w:r>
          </w:p>
        </w:tc>
        <w:tc>
          <w:tcPr>
            <w:tcW w:w="21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Audit Committee</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4"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 xml:space="preserve">The report of the Audit Committee is set forth on page 51 and the charter of the Audit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w:t>
      </w:r>
    </w:p>
    <w:p>
      <w:pPr>
        <w:spacing w:after="0" w:line="2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67"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color w:val="auto"/>
        </w:rPr>
        <w:t xml:space="preserve">The report of the Compensation Committee is set forth on page 38. The charter of the Compensation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Nominating and Governance Committee</w:t>
      </w:r>
    </w:p>
    <w:p>
      <w:pPr>
        <w:spacing w:after="0" w:line="2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sectPr>
          <w:pgSz w:w="11900" w:h="16838" w:orient="portrait"/>
          <w:cols w:equalWidth="0" w:num="1">
            <w:col w:w="11200"/>
          </w:cols>
          <w:pgMar w:left="320" w:top="121" w:right="37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 xml:space="preserve">The charter of the Nominating and Governance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Board Leadership Structure</w:t>
      </w:r>
    </w:p>
    <w:p>
      <w:pPr>
        <w:spacing w:after="0" w:line="20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of the date of this proxy statement, our Board is currently comprised of six (6)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6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and performing such other duties and responsibilities as the Board may determine.</w:t>
      </w:r>
    </w:p>
    <w:p>
      <w:pPr>
        <w:spacing w:after="0" w:line="15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As of the date of this proxy statement, our Board has two (2) female members, or 25% of the Board, and two racially/ethnically diverse members, or 25% of the Board.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Risk Oversight</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and compliance and reporting levels. Management prepares annually an enterprise risk assessment and reviews such assessment with the Board. Five (5) of our directors have completed a course on cybersecurity and earned the CERT Certificate in Cybersecurity Oversight from the National Association of Corporate Directors (NACD).</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risks.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Stockholder Nominees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and diversity on the Board and to address the membership criteria set forth under “Director Qualifications”.</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Any stockholder nominations proposed for consideration by the Nominating and Governance Committee should include the nominee’s name and qualifications for Board membership and should be addressed 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ind w:left="660"/>
        <w:spacing w:after="0" w:line="234" w:lineRule="auto"/>
        <w:rPr>
          <w:sz w:val="20"/>
          <w:szCs w:val="20"/>
          <w:color w:val="auto"/>
        </w:rPr>
      </w:pPr>
      <w:r>
        <w:rPr>
          <w:rFonts w:ascii="Arial" w:cs="Arial" w:eastAsia="Arial" w:hAnsi="Arial"/>
          <w:sz w:val="18"/>
          <w:szCs w:val="18"/>
          <w:color w:val="auto"/>
        </w:rPr>
        <w:t>12367 Crosthwaite Circle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Poway, CA 92064-6817</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the bylaws of Cohu permit stockholders to nominate directors for consideration at an annual stockholder meeting. For a description of the process for nominating directors in accordance with Cohu’s bylaws, see “Stockholder Proposals - 2025 Annual Meeting” on page 54.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Director Qualifications</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Cohu’s Corporate Governance Guidelines are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ethnic, cultural, gender,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Such process has resulted in four of the last five appointments to the Cohu Board, dating back to 2019, being female candidates. In 2022, Ms. Lynne Camp did not stand for reelection and thereafter the Board evaluated its needs and determined that it was in the best interests of the company to recruit a new board member with public technology company operating and chief executive officer experience. After an extensive search, Mr. Mattes was appointed to the Cohu Board, effective November 1, 2022. As demonstrated by our past recruitment actions, in future director searches, we will continue to broadly seek and consider diverse candidates that we believe best represent the interests of all our stockholders.</w:t>
      </w:r>
    </w:p>
    <w:p>
      <w:pPr>
        <w:spacing w:after="0" w:line="17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Additionally, our Corporate Governance Guidelines, as adopted and annually reviewed by our Board, include a retirement policy under which non-executive directors may stand for re-election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Caggia for an additional term pending his re-election in 2024 (See Proposal No. 1) is in the best interest of the Company and its stockholders.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Identifying and Evaluating Nominees for Directors</w:t>
      </w:r>
    </w:p>
    <w:p>
      <w:pPr>
        <w:spacing w:after="0" w:line="2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diversity,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2D53A6"/>
        </w:rPr>
        <w:t>Executive Sessions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Executive sessions of independent directors, without management and non-independent directors present, are held at least three times a year. The sessions may be scheduled or held on an impromptu basis, and are chaired by the Lead Independent Director or, in the absence of the Lead Independent Director, the Chair of the Nominating and Governance Committee or another independent director. Any independent director can request that an additional executive session be initiated or scheduled.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Communications with the Board</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Individuals may communicate with the Board, including the non-employee directors, by submitting an e-mail to Cohu’s Board at </w:t>
      </w:r>
      <w:r>
        <w:rPr>
          <w:rFonts w:ascii="Arial" w:cs="Arial" w:eastAsia="Arial" w:hAnsi="Arial"/>
          <w:sz w:val="18"/>
          <w:szCs w:val="18"/>
          <w:u w:val="single" w:color="auto"/>
          <w:color w:val="auto"/>
        </w:rPr>
        <w:t>corp@cohu.com</w:t>
      </w:r>
      <w:r>
        <w:rPr>
          <w:rFonts w:ascii="Arial" w:cs="Arial" w:eastAsia="Arial" w:hAnsi="Arial"/>
          <w:sz w:val="18"/>
          <w:szCs w:val="18"/>
          <w:color w:val="auto"/>
        </w:rPr>
        <w:t xml:space="preserve"> or by sending a letter to the Cohu Board of Directors, c/o Corporate Secretary, Cohu, Inc., 12367 Crosthwaite Circle, Poway, California 92064-6817. Communications are distributed to our Board, or to individual directors as appropriate, depending on the facts and circumstances outlined in the communication.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Directors who are employees of Cohu do not receive any additional compensation for their services as directors. During fiscal year 2023, non-employee directors received an annual retainer, and Board committee Chairs and members received annual fees, all paid quarterly, as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00" w:type="dxa"/>
            <w:vAlign w:val="bottom"/>
            <w:tcBorders>
              <w:right w:val="single" w:sz="8" w:color="2D53A6"/>
            </w:tcBorders>
            <w:shd w:val="clear" w:color="auto" w:fill="2D53A6"/>
          </w:tcPr>
          <w:p>
            <w:pPr>
              <w:spacing w:after="0"/>
              <w:rPr>
                <w:sz w:val="24"/>
                <w:szCs w:val="24"/>
                <w:color w:val="auto"/>
              </w:rPr>
            </w:pPr>
          </w:p>
        </w:tc>
        <w:tc>
          <w:tcPr>
            <w:tcW w:w="454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rPr>
              <w:t>Compensation</w:t>
            </w:r>
          </w:p>
        </w:tc>
        <w:tc>
          <w:tcPr>
            <w:tcW w:w="1400" w:type="dxa"/>
            <w:vAlign w:val="bottom"/>
            <w:shd w:val="clear" w:color="auto" w:fill="2D53A6"/>
          </w:tcPr>
          <w:p>
            <w:pPr>
              <w:jc w:val="right"/>
              <w:ind w:right="410"/>
              <w:spacing w:after="0"/>
              <w:rPr>
                <w:sz w:val="20"/>
                <w:szCs w:val="20"/>
                <w:color w:val="auto"/>
              </w:rPr>
            </w:pPr>
            <w:r>
              <w:rPr>
                <w:rFonts w:ascii="Arial" w:cs="Arial" w:eastAsia="Arial" w:hAnsi="Arial"/>
                <w:sz w:val="18"/>
                <w:szCs w:val="18"/>
                <w:b w:val="1"/>
                <w:bCs w:val="1"/>
                <w:color w:val="FFFFFF"/>
              </w:rPr>
              <w:t>2023</w:t>
            </w:r>
          </w:p>
        </w:tc>
      </w:tr>
      <w:tr>
        <w:trPr>
          <w:trHeight w:val="261"/>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Chairperson of the Board</w:t>
            </w:r>
          </w:p>
        </w:tc>
        <w:tc>
          <w:tcPr>
            <w:tcW w:w="1400" w:type="dxa"/>
            <w:vAlign w:val="bottom"/>
          </w:tcPr>
          <w:p>
            <w:pPr>
              <w:jc w:val="right"/>
              <w:spacing w:after="0"/>
              <w:rPr>
                <w:sz w:val="20"/>
                <w:szCs w:val="20"/>
                <w:color w:val="auto"/>
              </w:rPr>
            </w:pPr>
            <w:r>
              <w:rPr>
                <w:rFonts w:ascii="Arial" w:cs="Arial" w:eastAsia="Arial" w:hAnsi="Arial"/>
                <w:sz w:val="18"/>
                <w:szCs w:val="18"/>
                <w:color w:val="auto"/>
              </w:rPr>
              <w:t>$110,000</w:t>
            </w:r>
          </w:p>
        </w:tc>
      </w:tr>
      <w:tr>
        <w:trPr>
          <w:trHeight w:val="23"/>
        </w:trPr>
        <w:tc>
          <w:tcPr>
            <w:tcW w:w="5300" w:type="dxa"/>
            <w:vAlign w:val="bottom"/>
            <w:tcBorders>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70"/>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Annual Retainer</w:t>
            </w:r>
          </w:p>
        </w:tc>
        <w:tc>
          <w:tcPr>
            <w:tcW w:w="45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Lead Independent Director</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$80,000</w:t>
            </w:r>
          </w:p>
        </w:tc>
      </w:tr>
      <w:tr>
        <w:trPr>
          <w:trHeight w:val="261"/>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Other Directors</w:t>
            </w:r>
          </w:p>
        </w:tc>
        <w:tc>
          <w:tcPr>
            <w:tcW w:w="140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54"/>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Audit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
        </w:trPr>
        <w:tc>
          <w:tcPr>
            <w:tcW w:w="5300" w:type="dxa"/>
            <w:vAlign w:val="bottom"/>
            <w:tcBorders>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70"/>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Annual Fees for</w:t>
            </w:r>
          </w:p>
        </w:tc>
        <w:tc>
          <w:tcPr>
            <w:tcW w:w="45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Compensation Committee</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$16,500</w:t>
            </w:r>
          </w:p>
        </w:tc>
      </w:tr>
      <w:tr>
        <w:trPr>
          <w:trHeight w:val="261"/>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Committee Chairs</w:t>
            </w: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Nominating and Governance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
        </w:trPr>
        <w:tc>
          <w:tcPr>
            <w:tcW w:w="5300" w:type="dxa"/>
            <w:vAlign w:val="bottom"/>
            <w:tcBorders>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54"/>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Audit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70"/>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Annual Fees for Other</w:t>
            </w:r>
          </w:p>
        </w:tc>
        <w:tc>
          <w:tcPr>
            <w:tcW w:w="45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Compensation Committee</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$7,500</w:t>
            </w:r>
          </w:p>
        </w:tc>
      </w:tr>
      <w:tr>
        <w:trPr>
          <w:trHeight w:val="261"/>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Committee Members</w:t>
            </w: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Nominating and Governance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bl>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4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the terms and conditions of the Cohu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which will be settled at a future date through the issuance of Cohu common stock upon the first to occur of cessation of service as a director for any reason, a change in control of Cohu or a future date selected by the director at the time of deferral. Messrs. Bilodeau and Caggia elected to defer 100% of their 2023 cash-based non-employee director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9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for non-employee directors during 2023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6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Initial Appointment</w:t>
            </w:r>
          </w:p>
        </w:tc>
        <w:tc>
          <w:tcPr>
            <w:tcW w:w="8560" w:type="dxa"/>
            <w:vAlign w:val="bottom"/>
            <w:tcBorders>
              <w:top w:val="single" w:sz="8" w:color="2D53A6"/>
            </w:tcBorders>
          </w:tcPr>
          <w:p>
            <w:pPr>
              <w:spacing w:after="0"/>
              <w:rPr>
                <w:sz w:val="20"/>
                <w:szCs w:val="20"/>
                <w:color w:val="auto"/>
              </w:rPr>
            </w:pPr>
            <w:r>
              <w:rPr>
                <w:rFonts w:ascii="Arial" w:cs="Arial" w:eastAsia="Arial" w:hAnsi="Arial"/>
                <w:sz w:val="18"/>
                <w:szCs w:val="18"/>
                <w:color w:val="auto"/>
              </w:rPr>
              <w:t>RSUs with a total value of $150,000, but the total value of such grant is prorated based on the period of</w:t>
            </w:r>
          </w:p>
        </w:tc>
        <w:tc>
          <w:tcPr>
            <w:tcW w:w="0" w:type="dxa"/>
            <w:vAlign w:val="bottom"/>
          </w:tcPr>
          <w:p>
            <w:pPr>
              <w:spacing w:after="0"/>
              <w:rPr>
                <w:sz w:val="1"/>
                <w:szCs w:val="1"/>
                <w:color w:val="auto"/>
              </w:rPr>
            </w:pPr>
          </w:p>
        </w:tc>
      </w:tr>
      <w:tr>
        <w:trPr>
          <w:trHeight w:val="131"/>
        </w:trPr>
        <w:tc>
          <w:tcPr>
            <w:tcW w:w="2680" w:type="dxa"/>
            <w:vAlign w:val="bottom"/>
            <w:tcBorders>
              <w:right w:val="single" w:sz="8" w:color="2D53A6"/>
            </w:tcBorders>
            <w:vMerge w:val="continue"/>
          </w:tcPr>
          <w:p>
            <w:pPr>
              <w:spacing w:after="0"/>
              <w:rPr>
                <w:sz w:val="11"/>
                <w:szCs w:val="11"/>
                <w:color w:val="auto"/>
              </w:rPr>
            </w:pPr>
          </w:p>
        </w:tc>
        <w:tc>
          <w:tcPr>
            <w:tcW w:w="8560" w:type="dxa"/>
            <w:vAlign w:val="bottom"/>
            <w:vMerge w:val="restart"/>
          </w:tcPr>
          <w:p>
            <w:pPr>
              <w:spacing w:after="0"/>
              <w:rPr>
                <w:sz w:val="20"/>
                <w:szCs w:val="20"/>
                <w:color w:val="auto"/>
              </w:rPr>
            </w:pPr>
            <w:r>
              <w:rPr>
                <w:rFonts w:ascii="Arial" w:cs="Arial" w:eastAsia="Arial" w:hAnsi="Arial"/>
                <w:sz w:val="18"/>
                <w:szCs w:val="18"/>
                <w:color w:val="auto"/>
              </w:rPr>
              <w:t>time between appointment as director and the next scheduled director annual equity grant date</w:t>
            </w:r>
          </w:p>
        </w:tc>
        <w:tc>
          <w:tcPr>
            <w:tcW w:w="0" w:type="dxa"/>
            <w:vAlign w:val="bottom"/>
          </w:tcPr>
          <w:p>
            <w:pPr>
              <w:spacing w:after="0"/>
              <w:rPr>
                <w:sz w:val="1"/>
                <w:szCs w:val="1"/>
                <w:color w:val="auto"/>
              </w:rPr>
            </w:pPr>
          </w:p>
        </w:tc>
      </w:tr>
      <w:tr>
        <w:trPr>
          <w:trHeight w:val="108"/>
        </w:trPr>
        <w:tc>
          <w:tcPr>
            <w:tcW w:w="2680" w:type="dxa"/>
            <w:vAlign w:val="bottom"/>
            <w:tcBorders>
              <w:right w:val="single" w:sz="8" w:color="2D53A6"/>
            </w:tcBorders>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680" w:type="dxa"/>
            <w:vAlign w:val="bottom"/>
            <w:tcBorders>
              <w:bottom w:val="single" w:sz="8" w:color="2D53A6"/>
              <w:right w:val="single" w:sz="8" w:color="2D53A6"/>
            </w:tcBorders>
          </w:tcPr>
          <w:p>
            <w:pPr>
              <w:spacing w:after="0"/>
              <w:rPr>
                <w:sz w:val="4"/>
                <w:szCs w:val="4"/>
                <w:color w:val="auto"/>
              </w:rPr>
            </w:pPr>
          </w:p>
        </w:tc>
        <w:tc>
          <w:tcPr>
            <w:tcW w:w="8560" w:type="dxa"/>
            <w:vAlign w:val="bottom"/>
            <w:tcBorders>
              <w:bottom w:val="single" w:sz="8" w:color="2D53A6"/>
            </w:tcBorders>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2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Annual Grants</w:t>
            </w:r>
          </w:p>
        </w:tc>
        <w:tc>
          <w:tcPr>
            <w:tcW w:w="85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RSUs with a total value of $150,000</w:t>
            </w:r>
          </w:p>
        </w:tc>
        <w:tc>
          <w:tcPr>
            <w:tcW w:w="0" w:type="dxa"/>
            <w:vAlign w:val="bottom"/>
          </w:tcPr>
          <w:p>
            <w:pPr>
              <w:spacing w:after="0"/>
              <w:rPr>
                <w:sz w:val="1"/>
                <w:szCs w:val="1"/>
                <w:color w:val="auto"/>
              </w:rPr>
            </w:pPr>
          </w:p>
        </w:tc>
      </w:tr>
      <w:tr>
        <w:trPr>
          <w:trHeight w:val="416"/>
        </w:trPr>
        <w:tc>
          <w:tcPr>
            <w:tcW w:w="2680" w:type="dxa"/>
            <w:vAlign w:val="bottom"/>
            <w:tcBorders>
              <w:top w:val="single" w:sz="8" w:color="2D53A6"/>
            </w:tcBorders>
          </w:tcPr>
          <w:p>
            <w:pPr>
              <w:spacing w:after="0"/>
              <w:rPr>
                <w:sz w:val="24"/>
                <w:szCs w:val="24"/>
                <w:color w:val="auto"/>
              </w:rPr>
            </w:pPr>
          </w:p>
        </w:tc>
        <w:tc>
          <w:tcPr>
            <w:tcW w:w="8560" w:type="dxa"/>
            <w:vAlign w:val="bottom"/>
            <w:tcBorders>
              <w:top w:val="single" w:sz="8" w:color="2D53A6"/>
            </w:tcBorders>
          </w:tcPr>
          <w:p>
            <w:pPr>
              <w:jc w:val="right"/>
              <w:ind w:right="54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8"/>
        </w:trPr>
        <w:tc>
          <w:tcPr>
            <w:tcW w:w="2680" w:type="dxa"/>
            <w:vAlign w:val="bottom"/>
            <w:tcBorders>
              <w:bottom w:val="single" w:sz="8" w:color="auto"/>
            </w:tcBorders>
          </w:tcPr>
          <w:p>
            <w:pPr>
              <w:spacing w:after="0"/>
              <w:rPr>
                <w:sz w:val="8"/>
                <w:szCs w:val="8"/>
                <w:color w:val="auto"/>
              </w:rPr>
            </w:pPr>
          </w:p>
        </w:tc>
        <w:tc>
          <w:tcPr>
            <w:tcW w:w="8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Assuming continued service on the Board, the RSUs granted to non-employee directors upon their initial appointment to the Board will vest over three years, and shares are issued in three equal annual installments beginning one year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6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May 10, 2023, 4,347 RSUs were awarded to each of Mses. Jorden and Richardson and Messrs. Bendush, Bilodeau, Caggia, Donahue, and Mattes. Cohu will issue to each recipient, assuming continued service as a director, shares of Cohu common stock at the end of the required RSU vesting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Benefits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Director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year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60" w:type="dxa"/>
            <w:vAlign w:val="bottom"/>
            <w:tcBorders>
              <w:right w:val="single" w:sz="8" w:color="2D53A6"/>
            </w:tcBorders>
            <w:shd w:val="clear" w:color="auto" w:fill="2D53A6"/>
          </w:tcPr>
          <w:p>
            <w:pPr>
              <w:spacing w:after="0"/>
              <w:rPr>
                <w:sz w:val="19"/>
                <w:szCs w:val="19"/>
                <w:color w:val="auto"/>
              </w:rPr>
            </w:pPr>
          </w:p>
        </w:tc>
        <w:tc>
          <w:tcPr>
            <w:tcW w:w="2000" w:type="dxa"/>
            <w:vAlign w:val="bottom"/>
            <w:tcBorders>
              <w:right w:val="single" w:sz="8" w:color="2D53A6"/>
            </w:tcBorders>
            <w:vMerge w:val="restart"/>
            <w:shd w:val="clear" w:color="auto" w:fill="2D53A6"/>
          </w:tcPr>
          <w:p>
            <w:pPr>
              <w:jc w:val="right"/>
              <w:ind w:right="270"/>
              <w:spacing w:after="0"/>
              <w:rPr>
                <w:sz w:val="20"/>
                <w:szCs w:val="20"/>
                <w:color w:val="auto"/>
              </w:rPr>
            </w:pPr>
            <w:r>
              <w:rPr>
                <w:rFonts w:ascii="Arial" w:cs="Arial" w:eastAsia="Arial" w:hAnsi="Arial"/>
                <w:sz w:val="18"/>
                <w:szCs w:val="18"/>
                <w:b w:val="1"/>
                <w:bCs w:val="1"/>
                <w:color w:val="FFFFFF"/>
              </w:rPr>
              <w:t>Fees Earned or</w:t>
            </w:r>
          </w:p>
        </w:tc>
        <w:tc>
          <w:tcPr>
            <w:tcW w:w="2000" w:type="dxa"/>
            <w:vAlign w:val="bottom"/>
            <w:tcBorders>
              <w:right w:val="single" w:sz="8" w:color="2D53A6"/>
            </w:tcBorders>
            <w:vMerge w:val="restart"/>
            <w:shd w:val="clear" w:color="auto" w:fill="2D53A6"/>
          </w:tcPr>
          <w:p>
            <w:pPr>
              <w:jc w:val="right"/>
              <w:ind w:right="192"/>
              <w:spacing w:after="0"/>
              <w:rPr>
                <w:sz w:val="20"/>
                <w:szCs w:val="20"/>
                <w:color w:val="auto"/>
              </w:rPr>
            </w:pPr>
            <w:r>
              <w:rPr>
                <w:rFonts w:ascii="Arial" w:cs="Arial" w:eastAsia="Arial" w:hAnsi="Arial"/>
                <w:sz w:val="18"/>
                <w:szCs w:val="18"/>
                <w:b w:val="1"/>
                <w:bCs w:val="1"/>
                <w:color w:val="FFFFFF"/>
              </w:rPr>
              <w:t>Stock Awards ($)</w:t>
            </w:r>
          </w:p>
        </w:tc>
        <w:tc>
          <w:tcPr>
            <w:tcW w:w="20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All Other</w:t>
            </w:r>
          </w:p>
        </w:tc>
        <w:tc>
          <w:tcPr>
            <w:tcW w:w="1980" w:type="dxa"/>
            <w:vAlign w:val="bottom"/>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260" w:type="dxa"/>
            <w:vAlign w:val="bottom"/>
            <w:tcBorders>
              <w:right w:val="single" w:sz="8" w:color="2D53A6"/>
            </w:tcBorders>
            <w:vMerge w:val="restart"/>
            <w:shd w:val="clear" w:color="auto" w:fill="2D53A6"/>
          </w:tcPr>
          <w:p>
            <w:pPr>
              <w:ind w:left="40"/>
              <w:spacing w:after="0" w:line="202" w:lineRule="exact"/>
              <w:rPr>
                <w:sz w:val="20"/>
                <w:szCs w:val="20"/>
                <w:color w:val="auto"/>
              </w:rPr>
            </w:pPr>
            <w:r>
              <w:rPr>
                <w:rFonts w:ascii="Arial" w:cs="Arial" w:eastAsia="Arial" w:hAnsi="Arial"/>
                <w:sz w:val="18"/>
                <w:szCs w:val="18"/>
                <w:b w:val="1"/>
                <w:bCs w:val="1"/>
                <w:color w:val="FFFFFF"/>
              </w:rPr>
              <w:t>Name</w:t>
            </w:r>
          </w:p>
        </w:tc>
        <w:tc>
          <w:tcPr>
            <w:tcW w:w="200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Compensation</w:t>
            </w:r>
          </w:p>
        </w:tc>
        <w:tc>
          <w:tcPr>
            <w:tcW w:w="1980" w:type="dxa"/>
            <w:vAlign w:val="bottom"/>
            <w:vMerge w:val="restart"/>
            <w:shd w:val="clear" w:color="auto" w:fill="2D53A6"/>
          </w:tcPr>
          <w:p>
            <w:pPr>
              <w:jc w:val="right"/>
              <w:ind w:right="550"/>
              <w:spacing w:after="0" w:line="202" w:lineRule="exact"/>
              <w:rPr>
                <w:sz w:val="20"/>
                <w:szCs w:val="20"/>
                <w:color w:val="auto"/>
              </w:rPr>
            </w:pPr>
            <w:r>
              <w:rPr>
                <w:rFonts w:ascii="Arial" w:cs="Arial" w:eastAsia="Arial" w:hAnsi="Arial"/>
                <w:sz w:val="18"/>
                <w:szCs w:val="18"/>
                <w:b w:val="1"/>
                <w:bCs w:val="1"/>
                <w:color w:val="FFFFFF"/>
              </w:rPr>
              <w:t>Total ($)</w:t>
            </w:r>
          </w:p>
        </w:tc>
        <w:tc>
          <w:tcPr>
            <w:tcW w:w="0" w:type="dxa"/>
            <w:vAlign w:val="bottom"/>
          </w:tcPr>
          <w:p>
            <w:pPr>
              <w:spacing w:after="0"/>
              <w:rPr>
                <w:sz w:val="1"/>
                <w:szCs w:val="1"/>
                <w:color w:val="auto"/>
              </w:rPr>
            </w:pPr>
          </w:p>
        </w:tc>
      </w:tr>
      <w:tr>
        <w:trPr>
          <w:trHeight w:val="108"/>
        </w:trPr>
        <w:tc>
          <w:tcPr>
            <w:tcW w:w="3260" w:type="dxa"/>
            <w:vAlign w:val="bottom"/>
            <w:tcBorders>
              <w:right w:val="single" w:sz="8" w:color="2D53A6"/>
            </w:tcBorders>
            <w:vMerge w:val="continue"/>
            <w:shd w:val="clear" w:color="auto" w:fill="2D53A6"/>
          </w:tcPr>
          <w:p>
            <w:pPr>
              <w:spacing w:after="0"/>
              <w:rPr>
                <w:sz w:val="9"/>
                <w:szCs w:val="9"/>
                <w:color w:val="auto"/>
              </w:rPr>
            </w:pPr>
          </w:p>
        </w:tc>
        <w:tc>
          <w:tcPr>
            <w:tcW w:w="2000" w:type="dxa"/>
            <w:vAlign w:val="bottom"/>
            <w:tcBorders>
              <w:right w:val="single" w:sz="8" w:color="2D53A6"/>
            </w:tcBorders>
            <w:vMerge w:val="restart"/>
            <w:shd w:val="clear" w:color="auto" w:fill="2D53A6"/>
          </w:tcPr>
          <w:p>
            <w:pPr>
              <w:jc w:val="right"/>
              <w:ind w:right="250"/>
              <w:spacing w:after="0"/>
              <w:rPr>
                <w:sz w:val="20"/>
                <w:szCs w:val="20"/>
                <w:color w:val="auto"/>
              </w:rPr>
            </w:pPr>
            <w:r>
              <w:rPr>
                <w:rFonts w:ascii="Arial" w:cs="Arial" w:eastAsia="Arial" w:hAnsi="Arial"/>
                <w:sz w:val="18"/>
                <w:szCs w:val="18"/>
                <w:b w:val="1"/>
                <w:bCs w:val="1"/>
                <w:color w:val="FFFFFF"/>
              </w:rPr>
              <w:t>Paid in Cash ($)</w:t>
            </w:r>
          </w:p>
        </w:tc>
        <w:tc>
          <w:tcPr>
            <w:tcW w:w="2000" w:type="dxa"/>
            <w:vAlign w:val="bottom"/>
            <w:tcBorders>
              <w:right w:val="single" w:sz="8" w:color="2D53A6"/>
            </w:tcBorders>
            <w:vMerge w:val="restart"/>
            <w:shd w:val="clear" w:color="auto" w:fill="2D53A6"/>
          </w:tcPr>
          <w:p>
            <w:pPr>
              <w:jc w:val="right"/>
              <w:ind w:right="832"/>
              <w:spacing w:after="0"/>
              <w:rPr>
                <w:sz w:val="20"/>
                <w:szCs w:val="20"/>
                <w:color w:val="auto"/>
              </w:rPr>
            </w:pPr>
            <w:r>
              <w:rPr>
                <w:rFonts w:ascii="Arial" w:cs="Arial" w:eastAsia="Arial" w:hAnsi="Arial"/>
                <w:sz w:val="15"/>
                <w:szCs w:val="15"/>
                <w:b w:val="1"/>
                <w:bCs w:val="1"/>
                <w:color w:val="FFFFFF"/>
              </w:rPr>
              <w:t>(1)</w:t>
            </w:r>
          </w:p>
        </w:tc>
        <w:tc>
          <w:tcPr>
            <w:tcW w:w="2000" w:type="dxa"/>
            <w:vAlign w:val="bottom"/>
            <w:tcBorders>
              <w:right w:val="single" w:sz="8" w:color="2D53A6"/>
            </w:tcBorders>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260" w:type="dxa"/>
            <w:vAlign w:val="bottom"/>
            <w:tcBorders>
              <w:right w:val="single" w:sz="8" w:color="2D53A6"/>
            </w:tcBorders>
            <w:shd w:val="clear" w:color="auto" w:fill="2D53A6"/>
          </w:tcPr>
          <w:p>
            <w:pPr>
              <w:spacing w:after="0"/>
              <w:rPr>
                <w:sz w:val="12"/>
                <w:szCs w:val="12"/>
                <w:color w:val="auto"/>
              </w:rPr>
            </w:pPr>
          </w:p>
        </w:tc>
        <w:tc>
          <w:tcPr>
            <w:tcW w:w="2000" w:type="dxa"/>
            <w:vAlign w:val="bottom"/>
            <w:tcBorders>
              <w:right w:val="single" w:sz="8" w:color="2D53A6"/>
            </w:tcBorders>
            <w:vMerge w:val="continue"/>
            <w:shd w:val="clear" w:color="auto" w:fill="2D53A6"/>
          </w:tcPr>
          <w:p>
            <w:pPr>
              <w:spacing w:after="0"/>
              <w:rPr>
                <w:sz w:val="12"/>
                <w:szCs w:val="12"/>
                <w:color w:val="auto"/>
              </w:rPr>
            </w:pPr>
          </w:p>
        </w:tc>
        <w:tc>
          <w:tcPr>
            <w:tcW w:w="2000" w:type="dxa"/>
            <w:vAlign w:val="bottom"/>
            <w:tcBorders>
              <w:right w:val="single" w:sz="8" w:color="2D53A6"/>
            </w:tcBorders>
            <w:vMerge w:val="continue"/>
            <w:shd w:val="clear" w:color="auto" w:fill="2D53A6"/>
          </w:tcPr>
          <w:p>
            <w:pPr>
              <w:spacing w:after="0"/>
              <w:rPr>
                <w:sz w:val="12"/>
                <w:szCs w:val="12"/>
                <w:color w:val="auto"/>
              </w:rPr>
            </w:pPr>
          </w:p>
        </w:tc>
        <w:tc>
          <w:tcPr>
            <w:tcW w:w="20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(2)</w:t>
            </w:r>
          </w:p>
        </w:tc>
        <w:tc>
          <w:tcPr>
            <w:tcW w:w="1980" w:type="dxa"/>
            <w:vAlign w:val="bottom"/>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60" w:type="dxa"/>
            <w:vAlign w:val="bottom"/>
            <w:tcBorders>
              <w:bottom w:val="single" w:sz="8" w:color="2D53A6"/>
              <w:right w:val="single" w:sz="8" w:color="2D53A6"/>
            </w:tcBorders>
            <w:shd w:val="clear" w:color="auto" w:fill="2D53A6"/>
          </w:tcPr>
          <w:p>
            <w:pPr>
              <w:spacing w:after="0"/>
              <w:rPr>
                <w:sz w:val="10"/>
                <w:szCs w:val="10"/>
                <w:color w:val="auto"/>
              </w:rPr>
            </w:pPr>
          </w:p>
        </w:tc>
        <w:tc>
          <w:tcPr>
            <w:tcW w:w="2000" w:type="dxa"/>
            <w:vAlign w:val="bottom"/>
            <w:tcBorders>
              <w:bottom w:val="single" w:sz="8" w:color="2D53A6"/>
              <w:right w:val="single" w:sz="8" w:color="2D53A6"/>
            </w:tcBorders>
            <w:shd w:val="clear" w:color="auto" w:fill="2D53A6"/>
          </w:tcPr>
          <w:p>
            <w:pPr>
              <w:spacing w:after="0"/>
              <w:rPr>
                <w:sz w:val="10"/>
                <w:szCs w:val="10"/>
                <w:color w:val="auto"/>
              </w:rPr>
            </w:pPr>
          </w:p>
        </w:tc>
        <w:tc>
          <w:tcPr>
            <w:tcW w:w="2000" w:type="dxa"/>
            <w:vAlign w:val="bottom"/>
            <w:tcBorders>
              <w:bottom w:val="single" w:sz="8" w:color="2D53A6"/>
              <w:right w:val="single" w:sz="8" w:color="2D53A6"/>
            </w:tcBorders>
            <w:shd w:val="clear" w:color="auto" w:fill="2D53A6"/>
          </w:tcPr>
          <w:p>
            <w:pPr>
              <w:spacing w:after="0"/>
              <w:rPr>
                <w:sz w:val="10"/>
                <w:szCs w:val="10"/>
                <w:color w:val="auto"/>
              </w:rPr>
            </w:pPr>
          </w:p>
        </w:tc>
        <w:tc>
          <w:tcPr>
            <w:tcW w:w="2000" w:type="dxa"/>
            <w:vAlign w:val="bottom"/>
            <w:tcBorders>
              <w:bottom w:val="single" w:sz="8" w:color="2D53A6"/>
              <w:right w:val="single" w:sz="8" w:color="2D53A6"/>
            </w:tcBorders>
            <w:vMerge w:val="continue"/>
            <w:shd w:val="clear" w:color="auto" w:fill="2D53A6"/>
          </w:tcPr>
          <w:p>
            <w:pPr>
              <w:spacing w:after="0"/>
              <w:rPr>
                <w:sz w:val="10"/>
                <w:szCs w:val="10"/>
                <w:color w:val="auto"/>
              </w:rPr>
            </w:pPr>
          </w:p>
        </w:tc>
        <w:tc>
          <w:tcPr>
            <w:tcW w:w="1980" w:type="dxa"/>
            <w:vAlign w:val="bottom"/>
            <w:tcBorders>
              <w:bottom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326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William E. Bendush</w:t>
            </w:r>
          </w:p>
        </w:tc>
        <w:tc>
          <w:tcPr>
            <w:tcW w:w="20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90,721</w:t>
            </w:r>
          </w:p>
        </w:tc>
        <w:tc>
          <w:tcPr>
            <w:tcW w:w="20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239,562</w:t>
            </w:r>
          </w:p>
        </w:tc>
        <w:tc>
          <w:tcPr>
            <w:tcW w:w="0" w:type="dxa"/>
            <w:vAlign w:val="bottom"/>
          </w:tcPr>
          <w:p>
            <w:pPr>
              <w:spacing w:after="0"/>
              <w:rPr>
                <w:sz w:val="1"/>
                <w:szCs w:val="1"/>
                <w:color w:val="auto"/>
              </w:rPr>
            </w:pPr>
          </w:p>
        </w:tc>
      </w:tr>
      <w:tr>
        <w:trPr>
          <w:trHeight w:val="23"/>
        </w:trPr>
        <w:tc>
          <w:tcPr>
            <w:tcW w:w="326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(3)</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101,500</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250,341</w:t>
            </w:r>
          </w:p>
        </w:tc>
        <w:tc>
          <w:tcPr>
            <w:tcW w:w="0" w:type="dxa"/>
            <w:vAlign w:val="bottom"/>
          </w:tcPr>
          <w:p>
            <w:pPr>
              <w:spacing w:after="0"/>
              <w:rPr>
                <w:sz w:val="1"/>
                <w:szCs w:val="1"/>
                <w:color w:val="auto"/>
              </w:rPr>
            </w:pPr>
          </w:p>
        </w:tc>
      </w:tr>
      <w:tr>
        <w:trPr>
          <w:trHeight w:val="254"/>
        </w:trPr>
        <w:tc>
          <w:tcPr>
            <w:tcW w:w="32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Andrew M. Caggia </w:t>
            </w:r>
            <w:r>
              <w:rPr>
                <w:rFonts w:ascii="Arial" w:cs="Arial" w:eastAsia="Arial" w:hAnsi="Arial"/>
                <w:sz w:val="14"/>
                <w:szCs w:val="14"/>
                <w:color w:val="auto"/>
              </w:rPr>
              <w:t>(3)</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80,000</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228,841</w:t>
            </w:r>
          </w:p>
        </w:tc>
        <w:tc>
          <w:tcPr>
            <w:tcW w:w="0" w:type="dxa"/>
            <w:vAlign w:val="bottom"/>
          </w:tcPr>
          <w:p>
            <w:pPr>
              <w:spacing w:after="0"/>
              <w:rPr>
                <w:sz w:val="1"/>
                <w:szCs w:val="1"/>
                <w:color w:val="auto"/>
              </w:rPr>
            </w:pPr>
          </w:p>
        </w:tc>
      </w:tr>
      <w:tr>
        <w:trPr>
          <w:trHeight w:val="23"/>
        </w:trPr>
        <w:tc>
          <w:tcPr>
            <w:tcW w:w="326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James A. Donahue</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110,000</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34,120</w:t>
            </w:r>
          </w:p>
        </w:tc>
        <w:tc>
          <w:tcPr>
            <w:tcW w:w="1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292,961</w:t>
            </w:r>
          </w:p>
        </w:tc>
        <w:tc>
          <w:tcPr>
            <w:tcW w:w="0" w:type="dxa"/>
            <w:vAlign w:val="bottom"/>
          </w:tcPr>
          <w:p>
            <w:pPr>
              <w:spacing w:after="0"/>
              <w:rPr>
                <w:sz w:val="1"/>
                <w:szCs w:val="1"/>
                <w:color w:val="auto"/>
              </w:rPr>
            </w:pPr>
          </w:p>
        </w:tc>
      </w:tr>
      <w:tr>
        <w:trPr>
          <w:trHeight w:val="254"/>
        </w:trPr>
        <w:tc>
          <w:tcPr>
            <w:tcW w:w="32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Yon Y. Jorden</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73,269</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222,110</w:t>
            </w:r>
          </w:p>
        </w:tc>
        <w:tc>
          <w:tcPr>
            <w:tcW w:w="0" w:type="dxa"/>
            <w:vAlign w:val="bottom"/>
          </w:tcPr>
          <w:p>
            <w:pPr>
              <w:spacing w:after="0"/>
              <w:rPr>
                <w:sz w:val="1"/>
                <w:szCs w:val="1"/>
                <w:color w:val="auto"/>
              </w:rPr>
            </w:pPr>
          </w:p>
        </w:tc>
      </w:tr>
      <w:tr>
        <w:trPr>
          <w:trHeight w:val="23"/>
        </w:trPr>
        <w:tc>
          <w:tcPr>
            <w:tcW w:w="326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Andreas W. Mattes</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67,500</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216,341</w:t>
            </w:r>
          </w:p>
        </w:tc>
        <w:tc>
          <w:tcPr>
            <w:tcW w:w="0" w:type="dxa"/>
            <w:vAlign w:val="bottom"/>
          </w:tcPr>
          <w:p>
            <w:pPr>
              <w:spacing w:after="0"/>
              <w:rPr>
                <w:sz w:val="1"/>
                <w:szCs w:val="1"/>
                <w:color w:val="auto"/>
              </w:rPr>
            </w:pPr>
          </w:p>
        </w:tc>
      </w:tr>
      <w:tr>
        <w:trPr>
          <w:trHeight w:val="254"/>
        </w:trPr>
        <w:tc>
          <w:tcPr>
            <w:tcW w:w="32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Nina L. Richardson </w:t>
            </w:r>
            <w:r>
              <w:rPr>
                <w:rFonts w:ascii="Arial" w:cs="Arial" w:eastAsia="Arial" w:hAnsi="Arial"/>
                <w:sz w:val="14"/>
                <w:szCs w:val="14"/>
                <w:color w:val="auto"/>
              </w:rPr>
              <w:t>(3)</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67,500</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148,841</w:t>
            </w:r>
          </w:p>
        </w:tc>
        <w:tc>
          <w:tcPr>
            <w:tcW w:w="200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216,341</w:t>
            </w:r>
          </w:p>
        </w:tc>
        <w:tc>
          <w:tcPr>
            <w:tcW w:w="0" w:type="dxa"/>
            <w:vAlign w:val="bottom"/>
          </w:tcPr>
          <w:p>
            <w:pPr>
              <w:spacing w:after="0"/>
              <w:rPr>
                <w:sz w:val="1"/>
                <w:szCs w:val="1"/>
                <w:color w:val="auto"/>
              </w:rPr>
            </w:pPr>
          </w:p>
        </w:tc>
      </w:tr>
      <w:tr>
        <w:trPr>
          <w:trHeight w:val="23"/>
        </w:trPr>
        <w:tc>
          <w:tcPr>
            <w:tcW w:w="326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60" w:hanging="332"/>
        <w:spacing w:after="0" w:line="244"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do not reflect the compensation actually received by the directors. Instead, the amounts above are the grant date fair value for stock awards issued in the form of RSUs granted in fiscal year 2023 calculated in accordance with FASB ASC Topic 718. The assumptions used to calculate the grant date fair value of the stock awards are set forth in Note 6, “Employee Benefit Plans”, included in Part IV, Item 15(a) of Cohu’s Annual Report on Form 10-K for the year ended December 30, 2023, filed with the SEC. The derived grant date fair value for the stock award is recognized, for financial statement purposes, over the number of days of service required for the award to vest in full. As of December 30, 2023, Mses. Jorden and Richardson had 5,692 and 4,347 unvested RSUs outstanding, respectively, and Messrs. Bendush, Bilodeau, Caggia, Donahue each had 4,347 unvested RSUs outstanding. Mr. Mattes had 6,156 unvested RSUs outstanding.</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shown for Mr. Donahue is for reimbursement of health insurance premiums and other medical costs for him and his spouse not covered by insurance.</w:t>
      </w:r>
    </w:p>
    <w:p>
      <w:pPr>
        <w:spacing w:after="0" w:line="1" w:lineRule="exact"/>
        <w:rPr>
          <w:rFonts w:ascii="Arial" w:cs="Arial" w:eastAsia="Arial" w:hAnsi="Arial"/>
          <w:sz w:val="14"/>
          <w:szCs w:val="14"/>
          <w:color w:val="auto"/>
        </w:rPr>
      </w:pPr>
    </w:p>
    <w:p>
      <w:pPr>
        <w:ind w:left="340" w:right="120" w:hanging="332"/>
        <w:spacing w:after="0" w:line="24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year ended December 30, 2023, Messrs. Bilodeau and Caggia elected to defer their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30, 2023, Ms. Richardson and Messrs. Bilodeau and Caggia had 11,992, 29,629 and 39,926 DSUs,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Executive Compensation and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Discussion and Analysis</w:t>
      </w:r>
    </w:p>
    <w:p>
      <w:pPr>
        <w:spacing w:after="0" w:line="20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This Compensation Discussion and Analysis (“CD&amp;A”) provides information regarding the 2023 compensation program for our Chief Executive Officer, Chief Financial Officer, our next two most highly compensated executive officers of Cohu who were serving at the end of 2023 (there were no other executive officers of Cohu serving at the end of 2023) and one additional individual who was not serving as an executive officer of Cohu at the end of 2023 but was among our next three most highly compensated officers during 2023. These individuals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65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Position(s)</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2D53A6"/>
              <w:right w:val="single" w:sz="8" w:color="2D53A6"/>
            </w:tcBorders>
          </w:tcPr>
          <w:p>
            <w:pPr>
              <w:spacing w:after="0" w:line="202" w:lineRule="exact"/>
              <w:rPr>
                <w:sz w:val="20"/>
                <w:szCs w:val="20"/>
                <w:color w:val="auto"/>
              </w:rPr>
            </w:pPr>
            <w:r>
              <w:rPr>
                <w:rFonts w:ascii="Arial" w:cs="Arial" w:eastAsia="Arial" w:hAnsi="Arial"/>
                <w:sz w:val="18"/>
                <w:szCs w:val="18"/>
                <w:color w:val="auto"/>
              </w:rPr>
              <w:t>Luis A. Müller</w:t>
            </w:r>
          </w:p>
        </w:tc>
        <w:tc>
          <w:tcPr>
            <w:tcW w:w="6520" w:type="dxa"/>
            <w:vAlign w:val="bottom"/>
            <w:tcBorders>
              <w:bottom w:val="single" w:sz="8" w:color="2D53A6"/>
            </w:tcBorders>
          </w:tcPr>
          <w:p>
            <w:pPr>
              <w:spacing w:after="0" w:line="202" w:lineRule="exact"/>
              <w:rPr>
                <w:sz w:val="20"/>
                <w:szCs w:val="20"/>
                <w:color w:val="auto"/>
              </w:rPr>
            </w:pPr>
            <w:r>
              <w:rPr>
                <w:rFonts w:ascii="Arial" w:cs="Arial" w:eastAsia="Arial" w:hAnsi="Arial"/>
                <w:sz w:val="18"/>
                <w:szCs w:val="18"/>
                <w:color w:val="auto"/>
              </w:rPr>
              <w:t>President and Chief Executive Officer (our “CEO”)</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Jeffrey D. Jones</w:t>
            </w:r>
          </w:p>
        </w:tc>
        <w:tc>
          <w:tcPr>
            <w:tcW w:w="652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Senior Vice President Finance and Chief Financial Officer</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Christopher G. Bohrson</w:t>
            </w:r>
          </w:p>
        </w:tc>
        <w:tc>
          <w:tcPr>
            <w:tcW w:w="6520" w:type="dxa"/>
            <w:vAlign w:val="bottom"/>
            <w:tcBorders>
              <w:bottom w:val="single" w:sz="8" w:color="2D53A6"/>
            </w:tcBorders>
          </w:tcPr>
          <w:p>
            <w:pPr>
              <w:spacing w:after="0" w:line="196" w:lineRule="exact"/>
              <w:rPr>
                <w:sz w:val="20"/>
                <w:szCs w:val="20"/>
                <w:color w:val="auto"/>
              </w:rPr>
            </w:pPr>
            <w:r>
              <w:rPr>
                <w:rFonts w:ascii="Arial" w:cs="Arial" w:eastAsia="Arial" w:hAnsi="Arial"/>
                <w:sz w:val="18"/>
                <w:szCs w:val="18"/>
                <w:color w:val="auto"/>
              </w:rPr>
              <w:t>Senior Vice President and Chief Customer Officer</w:t>
            </w:r>
          </w:p>
        </w:tc>
        <w:tc>
          <w:tcPr>
            <w:tcW w:w="0" w:type="dxa"/>
            <w:vAlign w:val="bottom"/>
          </w:tcPr>
          <w:p>
            <w:pPr>
              <w:spacing w:after="0"/>
              <w:rPr>
                <w:sz w:val="1"/>
                <w:szCs w:val="1"/>
                <w:color w:val="auto"/>
              </w:rPr>
            </w:pPr>
          </w:p>
        </w:tc>
      </w:tr>
      <w:tr>
        <w:trPr>
          <w:trHeight w:val="181"/>
        </w:trPr>
        <w:tc>
          <w:tcPr>
            <w:tcW w:w="472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6520" w:type="dxa"/>
            <w:vAlign w:val="bottom"/>
            <w:shd w:val="clear" w:color="auto" w:fill="E6E6E6"/>
          </w:tcPr>
          <w:p>
            <w:pPr>
              <w:spacing w:after="0" w:line="182" w:lineRule="exact"/>
              <w:rPr>
                <w:sz w:val="20"/>
                <w:szCs w:val="20"/>
                <w:color w:val="auto"/>
              </w:rPr>
            </w:pPr>
            <w:r>
              <w:rPr>
                <w:rFonts w:ascii="Arial" w:cs="Arial" w:eastAsia="Arial" w:hAnsi="Arial"/>
                <w:sz w:val="18"/>
                <w:szCs w:val="18"/>
                <w:color w:val="auto"/>
              </w:rPr>
              <w:t>Senior Vice President Corporate Development, General Counsel and Secretary</w:t>
            </w:r>
          </w:p>
        </w:tc>
        <w:tc>
          <w:tcPr>
            <w:tcW w:w="0" w:type="dxa"/>
            <w:vAlign w:val="bottom"/>
          </w:tcPr>
          <w:p>
            <w:pPr>
              <w:spacing w:after="0"/>
              <w:rPr>
                <w:sz w:val="1"/>
                <w:szCs w:val="1"/>
                <w:color w:val="auto"/>
              </w:rPr>
            </w:pPr>
          </w:p>
        </w:tc>
      </w:tr>
      <w:tr>
        <w:trPr>
          <w:trHeight w:val="190"/>
        </w:trPr>
        <w:tc>
          <w:tcPr>
            <w:tcW w:w="4720" w:type="dxa"/>
            <w:vAlign w:val="bottom"/>
            <w:tcBorders>
              <w:bottom w:val="single" w:sz="8" w:color="2D53A6"/>
              <w:right w:val="single" w:sz="8" w:color="2D53A6"/>
            </w:tcBorders>
            <w:vMerge w:val="continue"/>
            <w:shd w:val="clear" w:color="auto" w:fill="E6E6E6"/>
          </w:tcPr>
          <w:p>
            <w:pPr>
              <w:spacing w:after="0"/>
              <w:rPr>
                <w:sz w:val="16"/>
                <w:szCs w:val="16"/>
                <w:color w:val="auto"/>
              </w:rPr>
            </w:pPr>
          </w:p>
        </w:tc>
        <w:tc>
          <w:tcPr>
            <w:tcW w:w="652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Ian P. Lawee</w:t>
            </w:r>
          </w:p>
        </w:tc>
        <w:tc>
          <w:tcPr>
            <w:tcW w:w="6520" w:type="dxa"/>
            <w:vAlign w:val="bottom"/>
            <w:tcBorders>
              <w:bottom w:val="single" w:sz="8" w:color="2D53A6"/>
            </w:tcBorders>
          </w:tcPr>
          <w:p>
            <w:pPr>
              <w:spacing w:after="0" w:line="196" w:lineRule="exact"/>
              <w:rPr>
                <w:sz w:val="20"/>
                <w:szCs w:val="20"/>
                <w:color w:val="auto"/>
              </w:rPr>
            </w:pPr>
            <w:r>
              <w:rPr>
                <w:rFonts w:ascii="Arial" w:cs="Arial" w:eastAsia="Arial" w:hAnsi="Arial"/>
                <w:sz w:val="18"/>
                <w:szCs w:val="18"/>
                <w:color w:val="auto"/>
              </w:rPr>
              <w:t xml:space="preserve">Senior Vice President and General Manager, Semiconductor Test Group </w:t>
            </w: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Kampfer’s title was changed to Senior Vice President Corporate Development, General Counsel and Secretary on February 6, 2024.</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Lawee continued to be employed with us but was no longer an executive officer as of September 6, 2023.</w:t>
      </w:r>
    </w:p>
    <w:p>
      <w:pPr>
        <w:spacing w:after="0" w:line="18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2023, and how we use our executive compensation program to drive performance. In addition, we explain how and why the Compensation Committee of our Board of Directors, referred to as our “Compensation Committee,” arrived at the specific compensation policies and decisions involving our NEOs during 2023.</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Executive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Business Highlights</w:t>
      </w:r>
    </w:p>
    <w:p>
      <w:pPr>
        <w:spacing w:after="0" w:line="196"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For fiscal year 2023 Cohu generated net sales of $ 636.3 million on strong recurring revenue. Despite declining sales during an extended market downturn, Cohu managed to stay profitable with an improved gross margin of 47.6% – a reflection of our execution in dynamic conditions. We made important gains in nascent business areas with new software-based products and pursued growth with probe cards. We started 2023 with the acquisition of MCT Worldwide to accelerate our roadmap in panel test and handling and ended the year by acquiring Equiptest Engineering (EQT) to accelerate profitable growth and supplement our breadth of customer solutions in test interface products. Some key business highlights:</w:t>
      </w:r>
    </w:p>
    <w:p>
      <w:pPr>
        <w:spacing w:after="0" w:line="165" w:lineRule="exact"/>
        <w:rPr>
          <w:sz w:val="20"/>
          <w:szCs w:val="20"/>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Sales were $636.3 million.</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GAAP gross margin was 47.6%, and non-GAAP gross margin was 47.9% </w:t>
      </w:r>
      <w:r>
        <w:rPr>
          <w:rFonts w:ascii="Arial" w:cs="Arial" w:eastAsia="Arial" w:hAnsi="Arial"/>
          <w:sz w:val="14"/>
          <w:szCs w:val="14"/>
          <w:color w:val="auto"/>
        </w:rPr>
        <w:t>(1)</w:t>
      </w:r>
      <w:r>
        <w:rPr>
          <w:rFonts w:ascii="Arial" w:cs="Arial" w:eastAsia="Arial" w:hAnsi="Arial"/>
          <w:sz w:val="18"/>
          <w:szCs w:val="18"/>
          <w:color w:val="auto"/>
        </w:rPr>
        <w:t>.</w:t>
      </w:r>
    </w:p>
    <w:p>
      <w:pPr>
        <w:ind w:left="980" w:hanging="324"/>
        <w:spacing w:after="0" w:line="23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GAAP pretax income of 7.2% of sales, and non-GAAP pretax income of 16.6% </w:t>
      </w:r>
      <w:r>
        <w:rPr>
          <w:rFonts w:ascii="Arial" w:cs="Arial" w:eastAsia="Arial" w:hAnsi="Arial"/>
          <w:sz w:val="14"/>
          <w:szCs w:val="14"/>
          <w:color w:val="auto"/>
        </w:rPr>
        <w:t>(1)</w:t>
      </w:r>
      <w:r>
        <w:rPr>
          <w:rFonts w:ascii="Arial" w:cs="Arial" w:eastAsia="Arial" w:hAnsi="Arial"/>
          <w:sz w:val="18"/>
          <w:szCs w:val="18"/>
          <w:color w:val="auto"/>
        </w:rPr>
        <w:t xml:space="preserve"> of sales.</w:t>
      </w:r>
    </w:p>
    <w:p>
      <w:pPr>
        <w:ind w:left="980" w:right="60" w:hanging="324"/>
        <w:spacing w:after="0" w:line="23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Improved free cash flow to approximately 13% of sales in 2023 while also returning $23.6 million in capital to shareholders in the form of stock buybacks.</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Completed the acquisition and integration of MCT Worldwide and Equiptest Engineering during 2023.</w:t>
      </w:r>
    </w:p>
    <w:p>
      <w:pPr>
        <w:ind w:left="980" w:right="40" w:hanging="324"/>
        <w:spacing w:after="0" w:line="25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delivered outstanding operational execution in the face of continuing supply chain challenges, inflationary pressures on costs and continuing softening in the semiconductor equipment market.</w:t>
      </w:r>
    </w:p>
    <w:p>
      <w:pPr>
        <w:spacing w:after="0" w:line="16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for GAAP to non-GAAP reconciliations.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Key Executive Compensation Actions</w:t>
      </w:r>
    </w:p>
    <w:p>
      <w:pPr>
        <w:spacing w:after="0" w:line="19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Consistent with our performance and the compensation objectives established for 2023, the Compensation Committee approved the following compensation actions for our NEOs, including our CEO, for 2023:</w:t>
      </w:r>
    </w:p>
    <w:p>
      <w:pPr>
        <w:spacing w:after="0" w:line="140" w:lineRule="exact"/>
        <w:rPr>
          <w:sz w:val="20"/>
          <w:szCs w:val="20"/>
          <w:color w:val="auto"/>
        </w:rPr>
      </w:pPr>
    </w:p>
    <w:p>
      <w:pPr>
        <w:ind w:left="980" w:right="220" w:hanging="324"/>
        <w:spacing w:after="0" w:line="24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base salaries, with increases for each NEO ranging from 2.1% to 10.4% as deemed appropriate following a review of market review, job responsibility changes and other factors;</w:t>
      </w:r>
    </w:p>
    <w:p>
      <w:pPr>
        <w:ind w:left="980" w:hanging="324"/>
        <w:spacing w:after="0" w:line="23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Awarded annual cash incentives at 95.7% of their target annual cash incentive opportunity; and</w:t>
      </w:r>
    </w:p>
    <w:p>
      <w:pPr>
        <w:ind w:left="980" w:hanging="324"/>
        <w:spacing w:after="0" w:line="24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vesting restricted stock units (“RSUs”) vesting ratably over a four-year period and performance share units (“PSUs”) to be earned based on our total stockholder return (“TSR”) relative to a pre-selected comparator group for a three-year period from 2023 through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for Performance</w:t>
      </w:r>
    </w:p>
    <w:p>
      <w:pPr>
        <w:spacing w:after="0" w:line="19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Compensation Committee believes that the compensation of our NEOs for 2023 was reasonable and appropriate, was justified by our performance, and carefully balanced both time-based and performance-based compensation elements. The 2023 compensation objectives for our NEOs were established in February 2023 and in March 2023, the Compensation Committee created a greater emphasis on the performance-based equity portion of the long-term incentive granted to our CEO and other NEOs by shifting the proportion of performance-based equity to be 60% of the total target award and reducing the time-based equity portion accordingly.</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chart illustrates the mix of elements of the target total direct compensation opportunity for our CEO for 2023. The majority of his compensation, 87%, is considered variable and at risk, 58% is paid upon achievement of certain performance metrics, and only 13% of his total target direct compensation paid as fixed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110490</wp:posOffset>
            </wp:positionV>
            <wp:extent cx="5014595" cy="3214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1459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 the compensation of our NEOs over the previous five years demonstrates the alignment between pay and performance. The variable cash compensation earned by our NEOs for each year from 2019 through 2023 varied from 33% to 193% of their target annual cash incentive opportunities based on our financial performance. Specifically:</w:t>
      </w:r>
    </w:p>
    <w:p>
      <w:pPr>
        <w:spacing w:after="0" w:line="155" w:lineRule="exact"/>
        <w:rPr>
          <w:sz w:val="20"/>
          <w:szCs w:val="20"/>
          <w:color w:val="auto"/>
        </w:rPr>
      </w:pPr>
    </w:p>
    <w:p>
      <w:pPr>
        <w:ind w:left="980" w:right="120" w:hanging="324"/>
        <w:spacing w:after="0" w:line="24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2019 was a challenging year, yet Cohu achieved its fourth consecutive year of sales growth in a weak semiconductor market while implementing the integration of Xcerra, which delivered $40 million in annual run-rate cost synergies at year-end. These results led to a variable cash incentive compensation achievement by our NEOs ranging from 33% to 45% of their target annual cash incentive opportunities, which reflected the aggressive performance targets established for the 2019 plan year.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ind w:left="980" w:right="180" w:hanging="324"/>
        <w:spacing w:after="0" w:line="25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2020 presented unique challenges due to the COVID-19 pandemic and the rapid ramp in business occurring in the second half of the year. Under the variable cash compensation program, our NEOs, including our CEO, earned 103% of their target annual cash incentive opportunities.</w:t>
      </w:r>
    </w:p>
    <w:p>
      <w:pPr>
        <w:spacing w:after="0" w:line="20" w:lineRule="exact"/>
        <w:rPr>
          <w:rFonts w:ascii="Arial" w:cs="Arial" w:eastAsia="Arial" w:hAnsi="Arial"/>
          <w:sz w:val="18"/>
          <w:szCs w:val="18"/>
          <w:color w:val="auto"/>
        </w:rPr>
      </w:pPr>
    </w:p>
    <w:p>
      <w:pPr>
        <w:ind w:left="980" w:right="160" w:hanging="324"/>
        <w:spacing w:after="0" w:line="25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p>
      <w:pPr>
        <w:spacing w:after="0" w:line="20" w:lineRule="exact"/>
        <w:rPr>
          <w:rFonts w:ascii="Arial" w:cs="Arial" w:eastAsia="Arial" w:hAnsi="Arial"/>
          <w:sz w:val="18"/>
          <w:szCs w:val="18"/>
          <w:color w:val="auto"/>
        </w:rPr>
      </w:pPr>
    </w:p>
    <w:p>
      <w:pPr>
        <w:ind w:left="980" w:right="160" w:hanging="324"/>
        <w:spacing w:after="0" w:line="25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p>
      <w:pPr>
        <w:spacing w:after="0" w:line="20" w:lineRule="exact"/>
        <w:rPr>
          <w:rFonts w:ascii="Arial" w:cs="Arial" w:eastAsia="Arial" w:hAnsi="Arial"/>
          <w:sz w:val="18"/>
          <w:szCs w:val="18"/>
          <w:color w:val="auto"/>
        </w:rPr>
      </w:pPr>
    </w:p>
    <w:p>
      <w:pPr>
        <w:ind w:left="980" w:right="360" w:hanging="324"/>
        <w:spacing w:after="0" w:line="25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2023 evidenced an extended downturn in the semiconductor industry, but Cohu was able to achieve improved gross margin results and exceeded our model profitability levels. Due to the adept navigation of these challenges, our NEOs, including our CEO, earned 95.7% of their target annual cash incentive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153670</wp:posOffset>
            </wp:positionV>
            <wp:extent cx="4500245" cy="3188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0024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Since 2015, the PSU portion of the long-term incentive compensation program has been earned based solely on our TSR relative to a pre-selected comparator group of companies. Effective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RSUs. Since 2019, Our NEOs have historically earned from a low of 44% of their target PSU awards to a high of 142% of their target PSU awards.</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Executive Compensation Policies and Practices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2023:</w:t>
      </w:r>
    </w:p>
    <w:p>
      <w:pPr>
        <w:spacing w:after="0" w:line="16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w:t>
      </w:r>
      <w:r>
        <w:rPr>
          <w:rFonts w:ascii="Arial" w:cs="Arial" w:eastAsia="Arial" w:hAnsi="Arial"/>
          <w:sz w:val="18"/>
          <w:szCs w:val="18"/>
          <w:color w:val="auto"/>
        </w:rPr>
        <w:t>. The Compensation Committee is comprised solely of independent directors.</w:t>
      </w:r>
    </w:p>
    <w:p>
      <w:pPr>
        <w:spacing w:after="0" w:line="13" w:lineRule="exact"/>
        <w:rPr>
          <w:rFonts w:ascii="Arial" w:cs="Arial" w:eastAsia="Arial" w:hAnsi="Arial"/>
          <w:sz w:val="18"/>
          <w:szCs w:val="18"/>
          <w:color w:val="auto"/>
        </w:rPr>
      </w:pPr>
    </w:p>
    <w:p>
      <w:pPr>
        <w:jc w:val="both"/>
        <w:ind w:left="980" w:right="140" w:hanging="324"/>
        <w:spacing w:after="0" w:line="24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Compensation Committee Advisors</w:t>
      </w:r>
      <w:r>
        <w:rPr>
          <w:rFonts w:ascii="Arial" w:cs="Arial" w:eastAsia="Arial" w:hAnsi="Arial"/>
          <w:sz w:val="17"/>
          <w:szCs w:val="17"/>
          <w:color w:val="auto"/>
        </w:rPr>
        <w:t>. The Compensation Committee engaged its own compensation consultant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assist with its 2023 compensation and governance reviews. This consultant performed no other consulting or services for us.</w:t>
      </w:r>
    </w:p>
    <w:p>
      <w:pPr>
        <w:spacing w:after="0" w:line="1" w:lineRule="exact"/>
        <w:rPr>
          <w:rFonts w:ascii="Arial" w:cs="Arial" w:eastAsia="Arial" w:hAnsi="Arial"/>
          <w:sz w:val="17"/>
          <w:szCs w:val="17"/>
          <w:color w:val="auto"/>
        </w:rPr>
      </w:pPr>
    </w:p>
    <w:p>
      <w:pPr>
        <w:ind w:left="980" w:right="460" w:hanging="324"/>
        <w:spacing w:after="0" w:line="23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and approval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strategy, including a review of our compensation peer group used for comparative purposes.</w:t>
      </w:r>
    </w:p>
    <w:p>
      <w:pPr>
        <w:spacing w:after="0" w:line="1" w:lineRule="exact"/>
        <w:rPr>
          <w:rFonts w:ascii="Arial" w:cs="Arial" w:eastAsia="Arial" w:hAnsi="Arial"/>
          <w:sz w:val="18"/>
          <w:szCs w:val="18"/>
          <w:color w:val="auto"/>
        </w:rPr>
      </w:pPr>
    </w:p>
    <w:p>
      <w:pPr>
        <w:ind w:left="980" w:right="60" w:hanging="324"/>
        <w:spacing w:after="0" w:line="24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 risk profile to ensure that compensation practices are not reasonably likely to have a material adverse effect on Cohu.</w:t>
      </w:r>
    </w:p>
    <w:p>
      <w:pPr>
        <w:spacing w:after="0" w:line="1" w:lineRule="exact"/>
        <w:rPr>
          <w:rFonts w:ascii="Arial" w:cs="Arial" w:eastAsia="Arial" w:hAnsi="Arial"/>
          <w:sz w:val="17"/>
          <w:szCs w:val="17"/>
          <w:color w:val="auto"/>
        </w:rPr>
      </w:pPr>
    </w:p>
    <w:p>
      <w:pPr>
        <w:ind w:left="980" w:right="260" w:hanging="324"/>
        <w:spacing w:after="0" w:line="23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Compensation Policies and Practices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philosophy and related corporate governance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practices are complemented by several specific compensation policies and practices that are designed to align our executive compensation with long-term stockholder interests, including the following:</w:t>
      </w:r>
    </w:p>
    <w:p>
      <w:pPr>
        <w:spacing w:after="0" w:line="2" w:lineRule="exact"/>
        <w:rPr>
          <w:rFonts w:ascii="Arial" w:cs="Arial" w:eastAsia="Arial" w:hAnsi="Arial"/>
          <w:sz w:val="18"/>
          <w:szCs w:val="18"/>
          <w:color w:val="auto"/>
        </w:rPr>
      </w:pPr>
    </w:p>
    <w:p>
      <w:pPr>
        <w:ind w:left="1300" w:right="18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At-Risk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compensation program is designed so that a significant portion of compensation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risk” based on corporate performance, as well as equity-based to align the interests of our executive officers and stockholders.</w:t>
      </w:r>
    </w:p>
    <w:p>
      <w:pPr>
        <w:spacing w:after="0" w:line="2" w:lineRule="exact"/>
        <w:rPr>
          <w:rFonts w:ascii="Arial" w:cs="Arial" w:eastAsia="Arial" w:hAnsi="Arial"/>
          <w:sz w:val="18"/>
          <w:szCs w:val="18"/>
          <w:color w:val="auto"/>
        </w:rPr>
      </w:pPr>
    </w:p>
    <w:p>
      <w:pPr>
        <w:ind w:left="1300" w:right="36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Defined Benefit Pension Plans. </w:t>
      </w:r>
      <w:r>
        <w:rPr>
          <w:rFonts w:ascii="Arial" w:cs="Arial" w:eastAsia="Arial" w:hAnsi="Arial"/>
          <w:sz w:val="18"/>
          <w:szCs w:val="18"/>
          <w:color w:val="auto"/>
        </w:rPr>
        <w:t>We do not currently offer, nor do we have plans to provide,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or arrangements for our executive officers.</w:t>
      </w:r>
    </w:p>
    <w:p>
      <w:pPr>
        <w:spacing w:after="0" w:line="1" w:lineRule="exact"/>
        <w:rPr>
          <w:rFonts w:ascii="Arial" w:cs="Arial" w:eastAsia="Arial" w:hAnsi="Arial"/>
          <w:sz w:val="18"/>
          <w:szCs w:val="18"/>
          <w:color w:val="auto"/>
        </w:rPr>
      </w:pPr>
    </w:p>
    <w:p>
      <w:pPr>
        <w:ind w:left="1300" w:right="28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minimal perquisites and other personal benefits to our executive officers, each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described below.</w:t>
      </w:r>
    </w:p>
    <w:p>
      <w:pPr>
        <w:spacing w:after="0" w:line="1"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No Tax Reimbursements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any tax or “gross-up” reimbursement payments on any severance or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control payments, perquisites or other personal benefits other than immaterial COBRA reimbursements, standard relocation benefits and tax equalization agreements related to expatriate assignments.</w:t>
      </w:r>
    </w:p>
    <w:p>
      <w:pPr>
        <w:spacing w:after="0" w:line="2" w:lineRule="exact"/>
        <w:rPr>
          <w:rFonts w:ascii="Arial" w:cs="Arial" w:eastAsia="Arial" w:hAnsi="Arial"/>
          <w:sz w:val="18"/>
          <w:szCs w:val="18"/>
          <w:color w:val="auto"/>
        </w:rPr>
      </w:pPr>
    </w:p>
    <w:p>
      <w:pPr>
        <w:ind w:left="1300" w:right="2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“Double-Trigger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Change-in-Control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change-in-control payments and benefits are based on a “double-trigger” arrangement (that is, they require both a change-in-control of Cohu plus a qualifying termination of employment before payments and benefits are paid), although the vesting of equity awards will accelerate in full if the awards are not assumed or replaced by an acquiring corporation.</w:t>
      </w:r>
    </w:p>
    <w:p>
      <w:pPr>
        <w:spacing w:after="0" w:line="2"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Performance-Based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performance-based short-term and long-term incentives and do not have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overlapping metrics between these programs.</w:t>
      </w:r>
    </w:p>
    <w:p>
      <w:pPr>
        <w:spacing w:after="0" w:line="1" w:lineRule="exact"/>
        <w:rPr>
          <w:rFonts w:ascii="Arial" w:cs="Arial" w:eastAsia="Arial" w:hAnsi="Arial"/>
          <w:sz w:val="18"/>
          <w:szCs w:val="18"/>
          <w:color w:val="auto"/>
        </w:rPr>
      </w:pPr>
    </w:p>
    <w:p>
      <w:pPr>
        <w:ind w:left="1300" w:right="12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Recovery of Erroneously Awarded 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compensation awarded to our executive officers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recovery by Cohu if our financial results are restated under a policy which complies with the Exchange Act Rule 10D-1 and the corresponding Nasdaq listing standards.</w:t>
      </w:r>
    </w:p>
    <w:p>
      <w:pPr>
        <w:spacing w:after="0" w:line="2"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Multi-Year Vesting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awards granted to our executive officer’s vest or are earned over multi-year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consistent with current market practice and our retention objectives.</w:t>
      </w:r>
    </w:p>
    <w:p>
      <w:pPr>
        <w:spacing w:after="0" w:line="1" w:lineRule="exact"/>
        <w:rPr>
          <w:rFonts w:ascii="Arial" w:cs="Arial" w:eastAsia="Arial" w:hAnsi="Arial"/>
          <w:sz w:val="18"/>
          <w:szCs w:val="18"/>
          <w:color w:val="auto"/>
        </w:rPr>
      </w:pPr>
    </w:p>
    <w:p>
      <w:pPr>
        <w:ind w:left="1300" w:right="40" w:hanging="320"/>
        <w:spacing w:after="0" w:line="23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Hedging and Pledging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prohibit our employees, including our executive officers and directors, from hedging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pledging any Company securities.</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Stock Ownership Policy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 stock ownership policy for our executive officers and directors which requires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them to beneficially own a specified value of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Stockholder Advisory Vote on Executive Compensation</w:t>
      </w:r>
    </w:p>
    <w:p>
      <w:pPr>
        <w:spacing w:after="0" w:line="196"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At our 2023 Annual Meeting of Stockholders, we conducted a stockholder advisory vote on the 2022 compensation of our NEOs (commonly known as a “Say-on-Pay” vote). Our stockholders approved, in a non-binding vote, the 2022 compensation of our NEOs, as disclosed in our proxy statement for the 2023 Annual Meeting of Stockholders, with approximately 98.9% of the votes cast in favor of the proposal.</w:t>
      </w:r>
    </w:p>
    <w:p>
      <w:pPr>
        <w:spacing w:after="0" w:line="13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110490</wp:posOffset>
            </wp:positionV>
            <wp:extent cx="3737610" cy="1842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3761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00" w:right="260" w:hanging="347"/>
        <w:spacing w:after="0" w:line="285" w:lineRule="auto"/>
        <w:tabs>
          <w:tab w:leader="none" w:pos="3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Philosophy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19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198" w:lineRule="exact"/>
        <w:rPr>
          <w:sz w:val="20"/>
          <w:szCs w:val="20"/>
          <w:color w:val="auto"/>
        </w:rPr>
      </w:pPr>
    </w:p>
    <w:p>
      <w:pPr>
        <w:ind w:left="980" w:right="280" w:hanging="324"/>
        <w:spacing w:after="0" w:line="24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pay compensation that is competitive with the practices of other leading semiconductor equipment and similar technology companies; and</w:t>
      </w:r>
    </w:p>
    <w:p>
      <w:pPr>
        <w:ind w:left="980" w:hanging="324"/>
        <w:spacing w:after="0" w:line="23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pay for performance by:</w:t>
      </w:r>
    </w:p>
    <w:p>
      <w:pPr>
        <w:ind w:left="1300" w:right="200" w:hanging="320"/>
        <w:spacing w:after="0" w:line="23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Providing a short-term incentive compensation opportunity paid in cash that is based on challenging financial performance objectives for our executive officers; and</w:t>
      </w:r>
    </w:p>
    <w:p>
      <w:pPr>
        <w:spacing w:after="0" w:line="1" w:lineRule="exact"/>
        <w:rPr>
          <w:rFonts w:ascii="Arial" w:cs="Arial" w:eastAsia="Arial" w:hAnsi="Arial"/>
          <w:sz w:val="18"/>
          <w:szCs w:val="18"/>
          <w:color w:val="auto"/>
        </w:rPr>
      </w:pPr>
    </w:p>
    <w:p>
      <w:pPr>
        <w:ind w:left="1300" w:hanging="320"/>
        <w:spacing w:after="0" w:line="242"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Compensation-Setting Process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6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performance.</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ind w:left="980" w:hanging="324"/>
        <w:spacing w:after="0" w:line="23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Cohu.</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External factors to attract and retain talent and overall market conditions.</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2023,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2023,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Beginning in 2021, the Compensation Committee’s practice is to have Compensia prepare a comprehensive executive compensation analysis annually and directors compensation analysis in alternating years. In 2023, Compensia completed and presented only the executive market analysis.</w:t>
      </w:r>
    </w:p>
    <w:p>
      <w:pPr>
        <w:spacing w:after="0" w:line="155"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Compensia reports directly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spacing w:after="0" w:line="15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9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arriving at its compensation decisions for our executive officers, including our NEOs, for 2023,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0.5x – 2.5x revenue, 0.25 – 5.0x our market capitalization, and that had similar scope of operations, and which the Compensation Committee believed may compete with us for executive talent.</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September 7, 2022, the Compensation Committee revised the compensation peer group due to the acquisition of CMC Materials and the divestiture of Brooks Automation’s semiconductor business to a privately held entity, and consequently these two companies no longer met the relevant peer financial profile. To increase the compensation peer group size, the Compensation Committee added two new members: Alpha and Omega Semiconductor, and National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determining executive compensation levels in 2023 the compensation peer group consisted of the following 19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Borders>
              <w:top w:val="single" w:sz="8" w:color="2D53A6"/>
            </w:tcBorders>
            <w:shd w:val="clear" w:color="auto" w:fill="E6E6E6"/>
          </w:tcPr>
          <w:p>
            <w:pPr>
              <w:spacing w:after="0"/>
              <w:rPr>
                <w:sz w:val="20"/>
                <w:szCs w:val="20"/>
                <w:color w:val="auto"/>
              </w:rPr>
            </w:pPr>
            <w:r>
              <w:rPr>
                <w:rFonts w:ascii="Arial" w:cs="Arial" w:eastAsia="Arial" w:hAnsi="Arial"/>
                <w:sz w:val="18"/>
                <w:szCs w:val="18"/>
                <w:color w:val="auto"/>
              </w:rPr>
              <w:t>Advanced Energy Industries</w:t>
            </w:r>
          </w:p>
        </w:tc>
        <w:tc>
          <w:tcPr>
            <w:tcW w:w="2400" w:type="dxa"/>
            <w:vAlign w:val="bottom"/>
            <w:tcBorders>
              <w:top w:val="single" w:sz="8" w:color="2D53A6"/>
            </w:tcBorders>
            <w:shd w:val="clear" w:color="auto" w:fill="E6E6E6"/>
          </w:tcPr>
          <w:p>
            <w:pPr>
              <w:ind w:left="200"/>
              <w:spacing w:after="0"/>
              <w:rPr>
                <w:sz w:val="20"/>
                <w:szCs w:val="20"/>
                <w:color w:val="auto"/>
              </w:rPr>
            </w:pPr>
            <w:r>
              <w:rPr>
                <w:rFonts w:ascii="Arial" w:cs="Arial" w:eastAsia="Arial" w:hAnsi="Arial"/>
                <w:sz w:val="18"/>
                <w:szCs w:val="18"/>
                <w:color w:val="auto"/>
              </w:rPr>
              <w:t>FormFactor</w:t>
            </w:r>
          </w:p>
        </w:tc>
        <w:tc>
          <w:tcPr>
            <w:tcW w:w="2680" w:type="dxa"/>
            <w:vAlign w:val="bottom"/>
            <w:tcBorders>
              <w:top w:val="single" w:sz="8" w:color="2D53A6"/>
            </w:tcBorders>
            <w:shd w:val="clear" w:color="auto" w:fill="E6E6E6"/>
          </w:tcPr>
          <w:p>
            <w:pPr>
              <w:ind w:left="560"/>
              <w:spacing w:after="0"/>
              <w:rPr>
                <w:sz w:val="20"/>
                <w:szCs w:val="20"/>
                <w:color w:val="auto"/>
              </w:rPr>
            </w:pPr>
            <w:r>
              <w:rPr>
                <w:rFonts w:ascii="Arial" w:cs="Arial" w:eastAsia="Arial" w:hAnsi="Arial"/>
                <w:sz w:val="18"/>
                <w:szCs w:val="18"/>
                <w:color w:val="auto"/>
              </w:rPr>
              <w:t>MaxLinear</w:t>
            </w:r>
          </w:p>
        </w:tc>
        <w:tc>
          <w:tcPr>
            <w:tcW w:w="3260" w:type="dxa"/>
            <w:vAlign w:val="bottom"/>
            <w:tcBorders>
              <w:top w:val="single" w:sz="8" w:color="2D53A6"/>
            </w:tcBorders>
            <w:shd w:val="clear" w:color="auto" w:fill="E6E6E6"/>
          </w:tcPr>
          <w:p>
            <w:pPr>
              <w:ind w:left="460"/>
              <w:spacing w:after="0"/>
              <w:rPr>
                <w:sz w:val="20"/>
                <w:szCs w:val="20"/>
                <w:color w:val="auto"/>
              </w:rPr>
            </w:pPr>
            <w:r>
              <w:rPr>
                <w:rFonts w:ascii="Arial" w:cs="Arial" w:eastAsia="Arial" w:hAnsi="Arial"/>
                <w:sz w:val="18"/>
                <w:szCs w:val="18"/>
                <w:color w:val="auto"/>
              </w:rPr>
              <w:t>Photronics</w:t>
            </w:r>
          </w:p>
        </w:tc>
        <w:tc>
          <w:tcPr>
            <w:tcW w:w="0" w:type="dxa"/>
            <w:vAlign w:val="bottom"/>
          </w:tcPr>
          <w:p>
            <w:pPr>
              <w:spacing w:after="0"/>
              <w:rPr>
                <w:sz w:val="1"/>
                <w:szCs w:val="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Alpha and Omega Semiconductor</w:t>
            </w:r>
          </w:p>
        </w:tc>
        <w:tc>
          <w:tcPr>
            <w:tcW w:w="2400" w:type="dxa"/>
            <w:vAlign w:val="bottom"/>
          </w:tcPr>
          <w:p>
            <w:pPr>
              <w:ind w:left="200"/>
              <w:spacing w:after="0" w:line="202" w:lineRule="exact"/>
              <w:rPr>
                <w:sz w:val="20"/>
                <w:szCs w:val="20"/>
                <w:color w:val="auto"/>
              </w:rPr>
            </w:pPr>
            <w:r>
              <w:rPr>
                <w:rFonts w:ascii="Arial" w:cs="Arial" w:eastAsia="Arial" w:hAnsi="Arial"/>
                <w:sz w:val="18"/>
                <w:szCs w:val="18"/>
                <w:color w:val="auto"/>
              </w:rPr>
              <w:t>Harmonic</w:t>
            </w:r>
          </w:p>
        </w:tc>
        <w:tc>
          <w:tcPr>
            <w:tcW w:w="2680" w:type="dxa"/>
            <w:vAlign w:val="bottom"/>
          </w:tcPr>
          <w:p>
            <w:pPr>
              <w:ind w:left="560"/>
              <w:spacing w:after="0" w:line="202" w:lineRule="exact"/>
              <w:rPr>
                <w:sz w:val="20"/>
                <w:szCs w:val="20"/>
                <w:color w:val="auto"/>
              </w:rPr>
            </w:pPr>
            <w:r>
              <w:rPr>
                <w:rFonts w:ascii="Arial" w:cs="Arial" w:eastAsia="Arial" w:hAnsi="Arial"/>
                <w:sz w:val="18"/>
                <w:szCs w:val="18"/>
                <w:color w:val="auto"/>
              </w:rPr>
              <w:t>National Instruments</w:t>
            </w:r>
          </w:p>
        </w:tc>
        <w:tc>
          <w:tcPr>
            <w:tcW w:w="3260" w:type="dxa"/>
            <w:vAlign w:val="bottom"/>
          </w:tcPr>
          <w:p>
            <w:pPr>
              <w:ind w:left="460"/>
              <w:spacing w:after="0" w:line="202" w:lineRule="exact"/>
              <w:rPr>
                <w:sz w:val="20"/>
                <w:szCs w:val="20"/>
                <w:color w:val="auto"/>
              </w:rPr>
            </w:pPr>
            <w:r>
              <w:rPr>
                <w:rFonts w:ascii="Arial" w:cs="Arial" w:eastAsia="Arial" w:hAnsi="Arial"/>
                <w:sz w:val="18"/>
                <w:szCs w:val="18"/>
                <w:color w:val="auto"/>
              </w:rPr>
              <w:t>SMART Global Holdings</w:t>
            </w:r>
          </w:p>
        </w:tc>
        <w:tc>
          <w:tcPr>
            <w:tcW w:w="0" w:type="dxa"/>
            <w:vAlign w:val="bottom"/>
          </w:tcPr>
          <w:p>
            <w:pPr>
              <w:spacing w:after="0"/>
              <w:rPr>
                <w:sz w:val="1"/>
                <w:szCs w:val="1"/>
                <w:color w:val="auto"/>
              </w:rPr>
            </w:pPr>
          </w:p>
        </w:tc>
      </w:tr>
      <w:tr>
        <w:trPr>
          <w:trHeight w:val="203"/>
        </w:trPr>
        <w:tc>
          <w:tcPr>
            <w:tcW w:w="2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Axcelis Technologies</w:t>
            </w:r>
          </w:p>
        </w:tc>
        <w:tc>
          <w:tcPr>
            <w:tcW w:w="2400" w:type="dxa"/>
            <w:vAlign w:val="bottom"/>
            <w:shd w:val="clear" w:color="auto" w:fill="E6E6E6"/>
          </w:tcPr>
          <w:p>
            <w:pPr>
              <w:ind w:left="200"/>
              <w:spacing w:after="0" w:line="202" w:lineRule="exact"/>
              <w:rPr>
                <w:sz w:val="20"/>
                <w:szCs w:val="20"/>
                <w:color w:val="auto"/>
              </w:rPr>
            </w:pPr>
            <w:r>
              <w:rPr>
                <w:rFonts w:ascii="Arial" w:cs="Arial" w:eastAsia="Arial" w:hAnsi="Arial"/>
                <w:sz w:val="18"/>
                <w:szCs w:val="18"/>
                <w:color w:val="auto"/>
              </w:rPr>
              <w:t>Ichor Holdings</w:t>
            </w:r>
          </w:p>
        </w:tc>
        <w:tc>
          <w:tcPr>
            <w:tcW w:w="2680" w:type="dxa"/>
            <w:vAlign w:val="bottom"/>
            <w:shd w:val="clear" w:color="auto" w:fill="E6E6E6"/>
          </w:tcPr>
          <w:p>
            <w:pPr>
              <w:ind w:left="560"/>
              <w:spacing w:after="0" w:line="202" w:lineRule="exact"/>
              <w:rPr>
                <w:sz w:val="20"/>
                <w:szCs w:val="20"/>
                <w:color w:val="auto"/>
              </w:rPr>
            </w:pPr>
            <w:r>
              <w:rPr>
                <w:rFonts w:ascii="Arial" w:cs="Arial" w:eastAsia="Arial" w:hAnsi="Arial"/>
                <w:sz w:val="18"/>
                <w:szCs w:val="18"/>
                <w:color w:val="auto"/>
              </w:rPr>
              <w:t>Novanta</w:t>
            </w:r>
          </w:p>
        </w:tc>
        <w:tc>
          <w:tcPr>
            <w:tcW w:w="32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Ultra Clean Holdings</w:t>
            </w:r>
          </w:p>
        </w:tc>
        <w:tc>
          <w:tcPr>
            <w:tcW w:w="0" w:type="dxa"/>
            <w:vAlign w:val="bottom"/>
          </w:tcPr>
          <w:p>
            <w:pPr>
              <w:spacing w:after="0"/>
              <w:rPr>
                <w:sz w:val="1"/>
                <w:szCs w:val="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Badger Meter</w:t>
            </w:r>
          </w:p>
        </w:tc>
        <w:tc>
          <w:tcPr>
            <w:tcW w:w="2400" w:type="dxa"/>
            <w:vAlign w:val="bottom"/>
          </w:tcPr>
          <w:p>
            <w:pPr>
              <w:ind w:left="200"/>
              <w:spacing w:after="0" w:line="202" w:lineRule="exact"/>
              <w:rPr>
                <w:sz w:val="20"/>
                <w:szCs w:val="20"/>
                <w:color w:val="auto"/>
              </w:rPr>
            </w:pPr>
            <w:r>
              <w:rPr>
                <w:rFonts w:ascii="Arial" w:cs="Arial" w:eastAsia="Arial" w:hAnsi="Arial"/>
                <w:sz w:val="18"/>
                <w:szCs w:val="18"/>
                <w:color w:val="auto"/>
              </w:rPr>
              <w:t>Kulicke &amp; Soffa</w:t>
            </w:r>
          </w:p>
        </w:tc>
        <w:tc>
          <w:tcPr>
            <w:tcW w:w="2680" w:type="dxa"/>
            <w:vAlign w:val="bottom"/>
          </w:tcPr>
          <w:p>
            <w:pPr>
              <w:ind w:left="560"/>
              <w:spacing w:after="0" w:line="202" w:lineRule="exact"/>
              <w:rPr>
                <w:sz w:val="20"/>
                <w:szCs w:val="20"/>
                <w:color w:val="auto"/>
              </w:rPr>
            </w:pPr>
            <w:r>
              <w:rPr>
                <w:rFonts w:ascii="Arial" w:cs="Arial" w:eastAsia="Arial" w:hAnsi="Arial"/>
                <w:sz w:val="18"/>
                <w:szCs w:val="18"/>
                <w:color w:val="auto"/>
              </w:rPr>
              <w:t>Onto Innovation</w:t>
            </w:r>
          </w:p>
        </w:tc>
        <w:tc>
          <w:tcPr>
            <w:tcW w:w="3260" w:type="dxa"/>
            <w:vAlign w:val="bottom"/>
          </w:tcPr>
          <w:p>
            <w:pPr>
              <w:ind w:left="460"/>
              <w:spacing w:after="0" w:line="202" w:lineRule="exact"/>
              <w:rPr>
                <w:sz w:val="20"/>
                <w:szCs w:val="20"/>
                <w:color w:val="auto"/>
              </w:rPr>
            </w:pPr>
            <w:r>
              <w:rPr>
                <w:rFonts w:ascii="Arial" w:cs="Arial" w:eastAsia="Arial" w:hAnsi="Arial"/>
                <w:sz w:val="18"/>
                <w:szCs w:val="18"/>
                <w:color w:val="auto"/>
              </w:rPr>
              <w:t>Veeco Instruments</w:t>
            </w:r>
          </w:p>
        </w:tc>
        <w:tc>
          <w:tcPr>
            <w:tcW w:w="0" w:type="dxa"/>
            <w:vAlign w:val="bottom"/>
          </w:tcPr>
          <w:p>
            <w:pPr>
              <w:spacing w:after="0"/>
              <w:rPr>
                <w:sz w:val="1"/>
                <w:szCs w:val="1"/>
                <w:color w:val="auto"/>
              </w:rPr>
            </w:pPr>
          </w:p>
        </w:tc>
      </w:tr>
      <w:tr>
        <w:trPr>
          <w:trHeight w:val="184"/>
        </w:trPr>
        <w:tc>
          <w:tcPr>
            <w:tcW w:w="2900" w:type="dxa"/>
            <w:vAlign w:val="bottom"/>
            <w:vMerge w:val="restart"/>
            <w:shd w:val="clear" w:color="auto" w:fill="E6E6E6"/>
          </w:tcPr>
          <w:p>
            <w:pPr>
              <w:spacing w:after="0"/>
              <w:rPr>
                <w:sz w:val="20"/>
                <w:szCs w:val="20"/>
                <w:color w:val="auto"/>
              </w:rPr>
            </w:pPr>
            <w:r>
              <w:rPr>
                <w:rFonts w:ascii="Arial" w:cs="Arial" w:eastAsia="Arial" w:hAnsi="Arial"/>
                <w:sz w:val="18"/>
                <w:szCs w:val="18"/>
                <w:color w:val="auto"/>
              </w:rPr>
              <w:t>Cirrus Logic</w:t>
            </w:r>
          </w:p>
        </w:tc>
        <w:tc>
          <w:tcPr>
            <w:tcW w:w="2400" w:type="dxa"/>
            <w:vAlign w:val="bottom"/>
            <w:shd w:val="clear" w:color="auto" w:fill="E6E6E6"/>
          </w:tcPr>
          <w:p>
            <w:pPr>
              <w:ind w:left="200"/>
              <w:spacing w:after="0" w:line="183" w:lineRule="exact"/>
              <w:rPr>
                <w:sz w:val="20"/>
                <w:szCs w:val="20"/>
                <w:color w:val="auto"/>
              </w:rPr>
            </w:pPr>
            <w:r>
              <w:rPr>
                <w:rFonts w:ascii="Arial" w:cs="Arial" w:eastAsia="Arial" w:hAnsi="Arial"/>
                <w:sz w:val="18"/>
                <w:szCs w:val="18"/>
                <w:color w:val="auto"/>
              </w:rPr>
              <w:t>MACOM Technology</w:t>
            </w:r>
          </w:p>
        </w:tc>
        <w:tc>
          <w:tcPr>
            <w:tcW w:w="2680" w:type="dxa"/>
            <w:vAlign w:val="bottom"/>
            <w:vMerge w:val="restart"/>
            <w:shd w:val="clear" w:color="auto" w:fill="E6E6E6"/>
          </w:tcPr>
          <w:p>
            <w:pPr>
              <w:ind w:left="560"/>
              <w:spacing w:after="0"/>
              <w:rPr>
                <w:sz w:val="20"/>
                <w:szCs w:val="20"/>
                <w:color w:val="auto"/>
              </w:rPr>
            </w:pPr>
            <w:r>
              <w:rPr>
                <w:rFonts w:ascii="Arial" w:cs="Arial" w:eastAsia="Arial" w:hAnsi="Arial"/>
                <w:sz w:val="18"/>
                <w:szCs w:val="18"/>
                <w:color w:val="auto"/>
              </w:rPr>
              <w:t>OSI Systems</w:t>
            </w:r>
          </w:p>
        </w:tc>
        <w:tc>
          <w:tcPr>
            <w:tcW w:w="32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00" w:type="dxa"/>
            <w:vAlign w:val="bottom"/>
            <w:vMerge w:val="continue"/>
            <w:shd w:val="clear" w:color="auto" w:fill="E6E6E6"/>
          </w:tcPr>
          <w:p>
            <w:pPr>
              <w:spacing w:after="0"/>
              <w:rPr>
                <w:sz w:val="11"/>
                <w:szCs w:val="11"/>
                <w:color w:val="auto"/>
              </w:rPr>
            </w:pPr>
          </w:p>
        </w:tc>
        <w:tc>
          <w:tcPr>
            <w:tcW w:w="2400" w:type="dxa"/>
            <w:vAlign w:val="bottom"/>
            <w:vMerge w:val="restart"/>
            <w:shd w:val="clear" w:color="auto" w:fill="E6E6E6"/>
          </w:tcPr>
          <w:p>
            <w:pPr>
              <w:ind w:left="200"/>
              <w:spacing w:after="0"/>
              <w:rPr>
                <w:sz w:val="20"/>
                <w:szCs w:val="20"/>
                <w:color w:val="auto"/>
              </w:rPr>
            </w:pPr>
            <w:r>
              <w:rPr>
                <w:rFonts w:ascii="Arial" w:cs="Arial" w:eastAsia="Arial" w:hAnsi="Arial"/>
                <w:sz w:val="18"/>
                <w:szCs w:val="18"/>
                <w:color w:val="auto"/>
              </w:rPr>
              <w:t>Solutions</w:t>
            </w:r>
          </w:p>
        </w:tc>
        <w:tc>
          <w:tcPr>
            <w:tcW w:w="2680" w:type="dxa"/>
            <w:vAlign w:val="bottom"/>
            <w:vMerge w:val="continue"/>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900" w:type="dxa"/>
            <w:vAlign w:val="bottom"/>
            <w:tcBorders>
              <w:bottom w:val="single" w:sz="8" w:color="2D53A6"/>
            </w:tcBorders>
            <w:shd w:val="clear" w:color="auto" w:fill="E6E6E6"/>
          </w:tcPr>
          <w:p>
            <w:pPr>
              <w:spacing w:after="0"/>
              <w:rPr>
                <w:sz w:val="7"/>
                <w:szCs w:val="7"/>
                <w:color w:val="auto"/>
              </w:rPr>
            </w:pPr>
          </w:p>
        </w:tc>
        <w:tc>
          <w:tcPr>
            <w:tcW w:w="2400" w:type="dxa"/>
            <w:vAlign w:val="bottom"/>
            <w:tcBorders>
              <w:bottom w:val="single" w:sz="8" w:color="2D53A6"/>
            </w:tcBorders>
            <w:vMerge w:val="continue"/>
            <w:shd w:val="clear" w:color="auto" w:fill="E6E6E6"/>
          </w:tcPr>
          <w:p>
            <w:pPr>
              <w:spacing w:after="0"/>
              <w:rPr>
                <w:sz w:val="7"/>
                <w:szCs w:val="7"/>
                <w:color w:val="auto"/>
              </w:rPr>
            </w:pPr>
          </w:p>
        </w:tc>
        <w:tc>
          <w:tcPr>
            <w:tcW w:w="2680" w:type="dxa"/>
            <w:vAlign w:val="bottom"/>
            <w:tcBorders>
              <w:bottom w:val="single" w:sz="8" w:color="2D53A6"/>
            </w:tcBorders>
            <w:shd w:val="clear" w:color="auto" w:fill="E6E6E6"/>
          </w:tcPr>
          <w:p>
            <w:pPr>
              <w:spacing w:after="0"/>
              <w:rPr>
                <w:sz w:val="7"/>
                <w:szCs w:val="7"/>
                <w:color w:val="auto"/>
              </w:rPr>
            </w:pPr>
          </w:p>
        </w:tc>
        <w:tc>
          <w:tcPr>
            <w:tcW w:w="3260" w:type="dxa"/>
            <w:vAlign w:val="bottom"/>
            <w:tcBorders>
              <w:bottom w:val="single" w:sz="8" w:color="2D53A6"/>
            </w:tcBorders>
            <w:shd w:val="clear" w:color="auto" w:fill="E6E6E6"/>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Elements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seven principal elements:</w:t>
      </w:r>
    </w:p>
    <w:p>
      <w:pPr>
        <w:spacing w:after="0" w:line="19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Short-term incentive compensation opportunities paid in cash;</w:t>
      </w:r>
    </w:p>
    <w:p>
      <w:pPr>
        <w:ind w:left="980" w:hanging="324"/>
        <w:spacing w:after="0" w:line="23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ind w:left="980" w:hanging="324"/>
        <w:spacing w:after="0" w:line="23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Deferred compensation benefits;</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 employment compensation and retirement equity programs; and</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9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3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Compensation Committee reviews the base salaries of our executive officers, including our NEOs, annually and makes adjustments to base salaries as it determines to be necessary or appropriate.</w:t>
      </w:r>
    </w:p>
    <w:p>
      <w:pPr>
        <w:spacing w:after="0" w:line="14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On February 2, 2023, the Compensation Committee, based on the recommendations of Dr. Müller, except with respect to his own compensation, and a review of market salary data as well as other factors described above, approved the following base salary increases for our executive officers including our NEOs effective on February 2, 2023 or the subsequent scheduled pay period. The Compensation Committee determined that the following increases to our NEO’s base salaries were appropriate and consistent with market trends and to align to their responsibilities, contributions and the NEO’s individual performance in 2022. Mr. Bohrson’s increase also reflected his elevation to Chief Customer Officer status.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jc w:val="right"/>
              <w:ind w:right="710"/>
              <w:spacing w:after="0"/>
              <w:rPr>
                <w:sz w:val="20"/>
                <w:szCs w:val="20"/>
                <w:color w:val="auto"/>
              </w:rPr>
            </w:pPr>
            <w:r>
              <w:rPr>
                <w:rFonts w:ascii="Arial" w:cs="Arial" w:eastAsia="Arial" w:hAnsi="Arial"/>
                <w:sz w:val="18"/>
                <w:szCs w:val="18"/>
                <w:b w:val="1"/>
                <w:bCs w:val="1"/>
                <w:color w:val="FFFFFF"/>
              </w:rPr>
              <w:t>2022</w:t>
            </w:r>
          </w:p>
        </w:tc>
        <w:tc>
          <w:tcPr>
            <w:tcW w:w="1940" w:type="dxa"/>
            <w:vAlign w:val="bottom"/>
            <w:tcBorders>
              <w:right w:val="single" w:sz="8" w:color="2D53A6"/>
            </w:tcBorders>
            <w:shd w:val="clear" w:color="auto" w:fill="2D53A6"/>
          </w:tcPr>
          <w:p>
            <w:pPr>
              <w:jc w:val="right"/>
              <w:ind w:right="690"/>
              <w:spacing w:after="0"/>
              <w:rPr>
                <w:sz w:val="20"/>
                <w:szCs w:val="20"/>
                <w:color w:val="auto"/>
              </w:rPr>
            </w:pPr>
            <w:r>
              <w:rPr>
                <w:rFonts w:ascii="Arial" w:cs="Arial" w:eastAsia="Arial" w:hAnsi="Arial"/>
                <w:sz w:val="18"/>
                <w:szCs w:val="18"/>
                <w:b w:val="1"/>
                <w:bCs w:val="1"/>
                <w:color w:val="FFFFFF"/>
              </w:rPr>
              <w:t>2023</w:t>
            </w:r>
          </w:p>
        </w:tc>
        <w:tc>
          <w:tcPr>
            <w:tcW w:w="18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Percentage</w:t>
            </w:r>
          </w:p>
        </w:tc>
        <w:tc>
          <w:tcPr>
            <w:tcW w:w="0" w:type="dxa"/>
            <w:vAlign w:val="bottom"/>
          </w:tcPr>
          <w:p>
            <w:pPr>
              <w:spacing w:after="0"/>
              <w:rPr>
                <w:sz w:val="1"/>
                <w:szCs w:val="1"/>
                <w:color w:val="auto"/>
              </w:rPr>
            </w:pPr>
          </w:p>
        </w:tc>
      </w:tr>
      <w:tr>
        <w:trPr>
          <w:trHeight w:val="139"/>
        </w:trPr>
        <w:tc>
          <w:tcPr>
            <w:tcW w:w="5500" w:type="dxa"/>
            <w:vAlign w:val="bottom"/>
            <w:tcBorders>
              <w:right w:val="single" w:sz="8" w:color="2D53A6"/>
            </w:tcBorders>
            <w:vMerge w:val="continue"/>
            <w:shd w:val="clear" w:color="auto" w:fill="2D53A6"/>
          </w:tcPr>
          <w:p>
            <w:pPr>
              <w:spacing w:after="0"/>
              <w:rPr>
                <w:sz w:val="12"/>
                <w:szCs w:val="12"/>
                <w:color w:val="auto"/>
              </w:rPr>
            </w:pPr>
          </w:p>
        </w:tc>
        <w:tc>
          <w:tcPr>
            <w:tcW w:w="1960" w:type="dxa"/>
            <w:vAlign w:val="bottom"/>
            <w:tcBorders>
              <w:right w:val="single" w:sz="8" w:color="2D53A6"/>
            </w:tcBorders>
            <w:vMerge w:val="restart"/>
            <w:shd w:val="clear" w:color="auto" w:fill="2D53A6"/>
          </w:tcPr>
          <w:p>
            <w:pPr>
              <w:jc w:val="right"/>
              <w:ind w:right="390"/>
              <w:spacing w:after="0"/>
              <w:rPr>
                <w:sz w:val="20"/>
                <w:szCs w:val="20"/>
                <w:color w:val="auto"/>
              </w:rPr>
            </w:pPr>
            <w:r>
              <w:rPr>
                <w:rFonts w:ascii="Arial" w:cs="Arial" w:eastAsia="Arial" w:hAnsi="Arial"/>
                <w:sz w:val="18"/>
                <w:szCs w:val="18"/>
                <w:b w:val="1"/>
                <w:bCs w:val="1"/>
                <w:color w:val="FFFFFF"/>
              </w:rPr>
              <w:t>Base Salary</w:t>
            </w:r>
          </w:p>
        </w:tc>
        <w:tc>
          <w:tcPr>
            <w:tcW w:w="1940" w:type="dxa"/>
            <w:vAlign w:val="bottom"/>
            <w:tcBorders>
              <w:right w:val="single" w:sz="8" w:color="2D53A6"/>
            </w:tcBorders>
            <w:vMerge w:val="restart"/>
            <w:shd w:val="clear" w:color="auto" w:fill="2D53A6"/>
          </w:tcPr>
          <w:p>
            <w:pPr>
              <w:jc w:val="right"/>
              <w:ind w:right="390"/>
              <w:spacing w:after="0"/>
              <w:rPr>
                <w:sz w:val="20"/>
                <w:szCs w:val="20"/>
                <w:color w:val="auto"/>
              </w:rPr>
            </w:pPr>
            <w:r>
              <w:rPr>
                <w:rFonts w:ascii="Arial" w:cs="Arial" w:eastAsia="Arial" w:hAnsi="Arial"/>
                <w:sz w:val="18"/>
                <w:szCs w:val="18"/>
                <w:b w:val="1"/>
                <w:bCs w:val="1"/>
                <w:color w:val="FFFFFF"/>
              </w:rPr>
              <w:t>Base Salary</w:t>
            </w:r>
          </w:p>
        </w:tc>
        <w:tc>
          <w:tcPr>
            <w:tcW w:w="18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Change</w:t>
            </w:r>
          </w:p>
        </w:tc>
        <w:tc>
          <w:tcPr>
            <w:tcW w:w="0" w:type="dxa"/>
            <w:vAlign w:val="bottom"/>
          </w:tcPr>
          <w:p>
            <w:pPr>
              <w:spacing w:after="0"/>
              <w:rPr>
                <w:sz w:val="1"/>
                <w:szCs w:val="1"/>
                <w:color w:val="auto"/>
              </w:rPr>
            </w:pPr>
          </w:p>
        </w:tc>
      </w:tr>
      <w:tr>
        <w:trPr>
          <w:trHeight w:val="130"/>
        </w:trPr>
        <w:tc>
          <w:tcPr>
            <w:tcW w:w="5500" w:type="dxa"/>
            <w:vAlign w:val="bottom"/>
            <w:tcBorders>
              <w:bottom w:val="single" w:sz="8" w:color="2D53A6"/>
              <w:right w:val="single" w:sz="8" w:color="2D53A6"/>
            </w:tcBorders>
            <w:shd w:val="clear" w:color="auto" w:fill="2D53A6"/>
          </w:tcPr>
          <w:p>
            <w:pPr>
              <w:spacing w:after="0"/>
              <w:rPr>
                <w:sz w:val="11"/>
                <w:szCs w:val="11"/>
                <w:color w:val="auto"/>
              </w:rPr>
            </w:pPr>
          </w:p>
        </w:tc>
        <w:tc>
          <w:tcPr>
            <w:tcW w:w="1960" w:type="dxa"/>
            <w:vAlign w:val="bottom"/>
            <w:tcBorders>
              <w:bottom w:val="single" w:sz="8" w:color="2D53A6"/>
              <w:right w:val="single" w:sz="8" w:color="2D53A6"/>
            </w:tcBorders>
            <w:vMerge w:val="continue"/>
            <w:shd w:val="clear" w:color="auto" w:fill="2D53A6"/>
          </w:tcPr>
          <w:p>
            <w:pPr>
              <w:spacing w:after="0"/>
              <w:rPr>
                <w:sz w:val="11"/>
                <w:szCs w:val="11"/>
                <w:color w:val="auto"/>
              </w:rPr>
            </w:pPr>
          </w:p>
        </w:tc>
        <w:tc>
          <w:tcPr>
            <w:tcW w:w="1940" w:type="dxa"/>
            <w:vAlign w:val="bottom"/>
            <w:tcBorders>
              <w:bottom w:val="single" w:sz="8" w:color="2D53A6"/>
              <w:right w:val="single" w:sz="8" w:color="2D53A6"/>
            </w:tcBorders>
            <w:vMerge w:val="continue"/>
            <w:shd w:val="clear" w:color="auto" w:fill="2D53A6"/>
          </w:tcPr>
          <w:p>
            <w:pPr>
              <w:spacing w:after="0"/>
              <w:rPr>
                <w:sz w:val="11"/>
                <w:szCs w:val="11"/>
                <w:color w:val="auto"/>
              </w:rPr>
            </w:pPr>
          </w:p>
        </w:tc>
        <w:tc>
          <w:tcPr>
            <w:tcW w:w="1840" w:type="dxa"/>
            <w:vAlign w:val="bottom"/>
            <w:tcBorders>
              <w:bottom w:val="single" w:sz="8" w:color="2D53A6"/>
            </w:tcBorders>
            <w:vMerge w:val="continue"/>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550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96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$675,000</w:t>
            </w:r>
          </w:p>
        </w:tc>
        <w:tc>
          <w:tcPr>
            <w:tcW w:w="19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$715,000</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36"/>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$437,000</w:t>
            </w:r>
          </w:p>
        </w:tc>
        <w:tc>
          <w:tcPr>
            <w:tcW w:w="194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$455,000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68"/>
        </w:trPr>
        <w:tc>
          <w:tcPr>
            <w:tcW w:w="5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$385,000</w:t>
            </w:r>
          </w:p>
        </w:tc>
        <w:tc>
          <w:tcPr>
            <w:tcW w:w="194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$425,000</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7"/>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$378,000</w:t>
            </w:r>
          </w:p>
        </w:tc>
        <w:tc>
          <w:tcPr>
            <w:tcW w:w="194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$405,000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267"/>
        </w:trPr>
        <w:tc>
          <w:tcPr>
            <w:tcW w:w="5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19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$328,000</w:t>
            </w:r>
          </w:p>
        </w:tc>
        <w:tc>
          <w:tcPr>
            <w:tcW w:w="194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$335,000</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37"/>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February 6, 2024, the Compensation Committee, based on the recommendations of Dr. Müller, except with respect to his own base salary, and an analysis of competitive market salary data prepared by its compensation consultant as well as other business condition factors described above, determined that there would be no change to the base salaries for our executive officers, including our NEOs in 2024.</w:t>
      </w:r>
    </w:p>
    <w:p>
      <w:pPr>
        <w:spacing w:after="0" w:line="138" w:lineRule="exact"/>
        <w:rPr>
          <w:sz w:val="20"/>
          <w:szCs w:val="20"/>
          <w:color w:val="auto"/>
        </w:rPr>
      </w:pPr>
    </w:p>
    <w:p>
      <w:pPr>
        <w:ind w:right="1940"/>
        <w:spacing w:after="0" w:line="469" w:lineRule="auto"/>
        <w:rPr>
          <w:sz w:val="20"/>
          <w:szCs w:val="20"/>
          <w:color w:val="auto"/>
        </w:rPr>
      </w:pPr>
      <w:r>
        <w:rPr>
          <w:rFonts w:ascii="Arial" w:cs="Arial" w:eastAsia="Arial" w:hAnsi="Arial"/>
          <w:sz w:val="18"/>
          <w:szCs w:val="18"/>
          <w:color w:val="auto"/>
        </w:rPr>
        <w:t xml:space="preserve">The annual base salaries paid to our NEOs for 2023 are set forth in the “2023 Summary Compensation Table” below. </w:t>
      </w:r>
      <w:r>
        <w:rPr>
          <w:rFonts w:ascii="Arial" w:cs="Arial" w:eastAsia="Arial" w:hAnsi="Arial"/>
          <w:sz w:val="18"/>
          <w:szCs w:val="18"/>
          <w:i w:val="1"/>
          <w:iCs w:val="1"/>
          <w:color w:val="auto"/>
        </w:rPr>
        <w:t>Short-Term Incentive Plan</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On February 2, 2023, the Compensation Committee adopted the short-term incentive plan for 2023 (the “2023 STI”). The 2023 STI was adopted pursuant to the Cohu 2005 Equity Incentive Plan (the “2005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Short-Term Incentive Opportunities</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For purposes of the 2023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the potential incentive as a percentage of base salary, were as follows and reflect increased target short-term incentive opportunities for Dr. Müller and Messrs. Jones and Bohrson as the Compensation Committee believed that these new levels better aligned to the competitive market data provided by Compensia: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Borders>
              <w:right w:val="single" w:sz="8" w:color="2D53A6"/>
            </w:tcBorders>
            <w:shd w:val="clear" w:color="auto" w:fill="2D53A6"/>
          </w:tcPr>
          <w:p>
            <w:pPr>
              <w:spacing w:after="0"/>
              <w:rPr>
                <w:sz w:val="20"/>
                <w:szCs w:val="20"/>
                <w:color w:val="auto"/>
              </w:rPr>
            </w:pPr>
          </w:p>
        </w:tc>
        <w:tc>
          <w:tcPr>
            <w:tcW w:w="3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2023 Target Short-Term</w:t>
            </w:r>
          </w:p>
        </w:tc>
        <w:tc>
          <w:tcPr>
            <w:tcW w:w="33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rPr>
              <w:t>Range of Possible 2023</w:t>
            </w:r>
          </w:p>
        </w:tc>
      </w:tr>
      <w:tr>
        <w:trPr>
          <w:trHeight w:val="203"/>
        </w:trPr>
        <w:tc>
          <w:tcPr>
            <w:tcW w:w="4420" w:type="dxa"/>
            <w:vAlign w:val="bottom"/>
            <w:tcBorders>
              <w:right w:val="single" w:sz="8" w:color="2D53A6"/>
            </w:tcBorders>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34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Incentive</w:t>
            </w:r>
          </w:p>
        </w:tc>
        <w:tc>
          <w:tcPr>
            <w:tcW w:w="3360" w:type="dxa"/>
            <w:vAlign w:val="bottom"/>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Short-Term Incentive as</w:t>
            </w:r>
          </w:p>
        </w:tc>
      </w:tr>
      <w:tr>
        <w:trPr>
          <w:trHeight w:val="269"/>
        </w:trPr>
        <w:tc>
          <w:tcPr>
            <w:tcW w:w="4420" w:type="dxa"/>
            <w:vAlign w:val="bottom"/>
            <w:tcBorders>
              <w:bottom w:val="single" w:sz="8" w:color="2D53A6"/>
              <w:right w:val="single" w:sz="8" w:color="2D53A6"/>
            </w:tcBorders>
            <w:shd w:val="clear" w:color="auto" w:fill="2D53A6"/>
          </w:tcPr>
          <w:p>
            <w:pPr>
              <w:spacing w:after="0"/>
              <w:rPr>
                <w:sz w:val="23"/>
                <w:szCs w:val="23"/>
                <w:color w:val="auto"/>
              </w:rPr>
            </w:pPr>
          </w:p>
        </w:tc>
        <w:tc>
          <w:tcPr>
            <w:tcW w:w="34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Opportunity</w:t>
            </w:r>
          </w:p>
        </w:tc>
        <w:tc>
          <w:tcPr>
            <w:tcW w:w="336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Percentage of Base Salary</w:t>
            </w:r>
          </w:p>
        </w:tc>
      </w:tr>
      <w:tr>
        <w:trPr>
          <w:trHeight w:val="274"/>
        </w:trPr>
        <w:tc>
          <w:tcPr>
            <w:tcW w:w="4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3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5"/>
              </w:rPr>
              <w:t>110%</w:t>
            </w: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0% - 220%</w:t>
            </w:r>
          </w:p>
        </w:tc>
      </w:tr>
      <w:tr>
        <w:trPr>
          <w:trHeight w:val="36"/>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tcBorders>
          </w:tcPr>
          <w:p>
            <w:pPr>
              <w:spacing w:after="0"/>
              <w:rPr>
                <w:sz w:val="3"/>
                <w:szCs w:val="3"/>
                <w:color w:val="auto"/>
              </w:rPr>
            </w:pPr>
          </w:p>
        </w:tc>
      </w:tr>
      <w:tr>
        <w:trPr>
          <w:trHeight w:val="309"/>
        </w:trPr>
        <w:tc>
          <w:tcPr>
            <w:tcW w:w="4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75%</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0% - 150%</w:t>
            </w:r>
          </w:p>
        </w:tc>
      </w:tr>
      <w:tr>
        <w:trPr>
          <w:trHeight w:val="268"/>
        </w:trPr>
        <w:tc>
          <w:tcPr>
            <w:tcW w:w="4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75%</w:t>
            </w:r>
          </w:p>
        </w:tc>
        <w:tc>
          <w:tcPr>
            <w:tcW w:w="33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0% - 150%</w:t>
            </w:r>
          </w:p>
        </w:tc>
      </w:tr>
      <w:tr>
        <w:trPr>
          <w:trHeight w:val="37"/>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tcBorders>
          </w:tcPr>
          <w:p>
            <w:pPr>
              <w:spacing w:after="0"/>
              <w:rPr>
                <w:sz w:val="3"/>
                <w:szCs w:val="3"/>
                <w:color w:val="auto"/>
              </w:rPr>
            </w:pPr>
          </w:p>
        </w:tc>
      </w:tr>
      <w:tr>
        <w:trPr>
          <w:trHeight w:val="309"/>
        </w:trPr>
        <w:tc>
          <w:tcPr>
            <w:tcW w:w="4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50%</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0% - 100%</w:t>
            </w:r>
          </w:p>
        </w:tc>
      </w:tr>
      <w:tr>
        <w:trPr>
          <w:trHeight w:val="268"/>
        </w:trPr>
        <w:tc>
          <w:tcPr>
            <w:tcW w:w="4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55%</w:t>
            </w:r>
          </w:p>
        </w:tc>
        <w:tc>
          <w:tcPr>
            <w:tcW w:w="33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7"/>
              </w:rPr>
              <w:t>0% - 110%</w:t>
            </w:r>
          </w:p>
        </w:tc>
      </w:tr>
      <w:tr>
        <w:trPr>
          <w:trHeight w:val="36"/>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tcBorders>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purposes of the 2023 STI, the Compensation Committee selected two financial performance measures for our executive officers which were unchanged from 2022:</w:t>
      </w:r>
    </w:p>
    <w:p>
      <w:pPr>
        <w:spacing w:after="0" w:line="14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growth based on a four-year rolling sales growth target; and</w:t>
      </w:r>
    </w:p>
    <w:p>
      <w:pPr>
        <w:spacing w:after="0" w:line="1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Profitability based on a non-GAAP pre-tax income target.</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 xml:space="preserve">The Compensation Committee selected these two performance measures because we continue to believe sales growth reflects the overall market acceptance of our products and non-GAAP pre-tax income reflects how effectively management delivered our products to our customers during the year. A reconciliation of GAAP to non-GAAP pre-tax income used for the 2023 STI is included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to this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weighting of these corporate performance measures for purposes of the 2023 STI for each NEO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420" w:type="dxa"/>
            <w:vAlign w:val="bottom"/>
            <w:tcBorders>
              <w:bottom w:val="single" w:sz="8" w:color="2D53A6"/>
              <w:right w:val="single" w:sz="8" w:color="2D53A6"/>
            </w:tcBorders>
            <w:shd w:val="clear" w:color="auto" w:fill="2D53A6"/>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34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Sales Growth</w:t>
            </w:r>
          </w:p>
        </w:tc>
        <w:tc>
          <w:tcPr>
            <w:tcW w:w="33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Non-GAAP Pre-tax Income</w:t>
            </w:r>
          </w:p>
        </w:tc>
      </w:tr>
      <w:tr>
        <w:trPr>
          <w:trHeight w:val="274"/>
        </w:trPr>
        <w:tc>
          <w:tcPr>
            <w:tcW w:w="442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3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70%</w:t>
            </w:r>
          </w:p>
        </w:tc>
      </w:tr>
      <w:tr>
        <w:trPr>
          <w:trHeight w:val="37"/>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right w:val="single" w:sz="8" w:color="2D53A6"/>
            </w:tcBorders>
          </w:tcPr>
          <w:p>
            <w:pPr>
              <w:spacing w:after="0"/>
              <w:rPr>
                <w:sz w:val="3"/>
                <w:szCs w:val="3"/>
                <w:color w:val="auto"/>
              </w:rPr>
            </w:pPr>
          </w:p>
        </w:tc>
      </w:tr>
      <w:tr>
        <w:trPr>
          <w:trHeight w:val="309"/>
        </w:trPr>
        <w:tc>
          <w:tcPr>
            <w:tcW w:w="4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70%</w:t>
            </w:r>
          </w:p>
        </w:tc>
      </w:tr>
      <w:tr>
        <w:trPr>
          <w:trHeight w:val="267"/>
        </w:trPr>
        <w:tc>
          <w:tcPr>
            <w:tcW w:w="4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70%</w:t>
            </w:r>
          </w:p>
        </w:tc>
      </w:tr>
      <w:tr>
        <w:trPr>
          <w:trHeight w:val="37"/>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right w:val="single" w:sz="8" w:color="2D53A6"/>
            </w:tcBorders>
          </w:tcPr>
          <w:p>
            <w:pPr>
              <w:spacing w:after="0"/>
              <w:rPr>
                <w:sz w:val="3"/>
                <w:szCs w:val="3"/>
                <w:color w:val="auto"/>
              </w:rPr>
            </w:pPr>
          </w:p>
        </w:tc>
      </w:tr>
      <w:tr>
        <w:trPr>
          <w:trHeight w:val="309"/>
        </w:trPr>
        <w:tc>
          <w:tcPr>
            <w:tcW w:w="442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70%</w:t>
            </w:r>
          </w:p>
        </w:tc>
      </w:tr>
      <w:tr>
        <w:trPr>
          <w:trHeight w:val="268"/>
        </w:trPr>
        <w:tc>
          <w:tcPr>
            <w:tcW w:w="442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70%</w:t>
            </w:r>
          </w:p>
        </w:tc>
      </w:tr>
      <w:tr>
        <w:trPr>
          <w:trHeight w:val="36"/>
        </w:trPr>
        <w:tc>
          <w:tcPr>
            <w:tcW w:w="4420" w:type="dxa"/>
            <w:vAlign w:val="bottom"/>
            <w:tcBorders>
              <w:bottom w:val="single" w:sz="8" w:color="2D53A6"/>
              <w:right w:val="single" w:sz="8" w:color="2D53A6"/>
            </w:tcBorders>
          </w:tcPr>
          <w:p>
            <w:pPr>
              <w:spacing w:after="0"/>
              <w:rPr>
                <w:sz w:val="3"/>
                <w:szCs w:val="3"/>
                <w:color w:val="auto"/>
              </w:rPr>
            </w:pPr>
          </w:p>
        </w:tc>
        <w:tc>
          <w:tcPr>
            <w:tcW w:w="3460" w:type="dxa"/>
            <w:vAlign w:val="bottom"/>
            <w:tcBorders>
              <w:bottom w:val="single" w:sz="8" w:color="2D53A6"/>
              <w:right w:val="single" w:sz="8" w:color="2D53A6"/>
            </w:tcBorders>
          </w:tcPr>
          <w:p>
            <w:pPr>
              <w:spacing w:after="0"/>
              <w:rPr>
                <w:sz w:val="3"/>
                <w:szCs w:val="3"/>
                <w:color w:val="auto"/>
              </w:rPr>
            </w:pPr>
          </w:p>
        </w:tc>
        <w:tc>
          <w:tcPr>
            <w:tcW w:w="3360" w:type="dxa"/>
            <w:vAlign w:val="bottom"/>
            <w:tcBorders>
              <w:bottom w:val="single" w:sz="8" w:color="2D53A6"/>
              <w:right w:val="single" w:sz="8" w:color="2D53A6"/>
            </w:tcBorders>
          </w:tcPr>
          <w:p>
            <w:pPr>
              <w:spacing w:after="0"/>
              <w:rPr>
                <w:sz w:val="3"/>
                <w:szCs w:val="3"/>
                <w:color w:val="auto"/>
              </w:rPr>
            </w:pPr>
          </w:p>
        </w:tc>
      </w:tr>
    </w:tbl>
    <w:p>
      <w:pPr>
        <w:spacing w:after="0" w:line="18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For the 2023 STI plan, the Compensation Committee determined to keep the Sales Growth measure weighting at 30% to continue to incentivize the delivery of sales growth during an extended soft market and to keep the profitability weighting at 70%.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9400" w:type="dxa"/>
            <w:vAlign w:val="bottom"/>
            <w:tcBorders>
              <w:bottom w:val="single" w:sz="8" w:color="2D53A6"/>
              <w:right w:val="single" w:sz="8" w:color="2D53A6"/>
            </w:tcBorders>
            <w:gridSpan w:val="3"/>
            <w:shd w:val="clear" w:color="auto" w:fill="2D53A6"/>
          </w:tcPr>
          <w:p>
            <w:pPr>
              <w:ind w:left="2920"/>
              <w:spacing w:after="0"/>
              <w:rPr>
                <w:sz w:val="20"/>
                <w:szCs w:val="20"/>
                <w:color w:val="auto"/>
              </w:rPr>
            </w:pPr>
            <w:r>
              <w:rPr>
                <w:rFonts w:ascii="Arial" w:cs="Arial" w:eastAsia="Arial" w:hAnsi="Arial"/>
                <w:sz w:val="18"/>
                <w:szCs w:val="18"/>
                <w:b w:val="1"/>
                <w:bCs w:val="1"/>
                <w:color w:val="FFFFFF"/>
              </w:rPr>
              <w:t>2023 STI Performance Measure Targets and Achievement Scale</w:t>
            </w:r>
          </w:p>
        </w:tc>
        <w:tc>
          <w:tcPr>
            <w:tcW w:w="1840" w:type="dxa"/>
            <w:vAlign w:val="bottom"/>
            <w:tcBorders>
              <w:bottom w:val="single" w:sz="8" w:color="2D53A6"/>
            </w:tcBorders>
            <w:shd w:val="clear" w:color="auto" w:fill="2D53A6"/>
          </w:tcPr>
          <w:p>
            <w:pPr>
              <w:spacing w:after="0"/>
              <w:rPr>
                <w:sz w:val="24"/>
                <w:szCs w:val="24"/>
                <w:color w:val="auto"/>
              </w:rPr>
            </w:pPr>
          </w:p>
        </w:tc>
      </w:tr>
      <w:tr>
        <w:trPr>
          <w:trHeight w:val="282"/>
        </w:trPr>
        <w:tc>
          <w:tcPr>
            <w:tcW w:w="5500" w:type="dxa"/>
            <w:vAlign w:val="bottom"/>
            <w:tcBorders>
              <w:right w:val="single" w:sz="8" w:color="2D53A6"/>
            </w:tcBorders>
          </w:tcPr>
          <w:p>
            <w:pPr>
              <w:spacing w:after="0"/>
              <w:rPr>
                <w:sz w:val="24"/>
                <w:szCs w:val="24"/>
                <w:color w:val="auto"/>
              </w:rPr>
            </w:pPr>
          </w:p>
        </w:tc>
        <w:tc>
          <w:tcPr>
            <w:tcW w:w="1960" w:type="dxa"/>
            <w:vAlign w:val="bottom"/>
            <w:tcBorders>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1940" w:type="dxa"/>
            <w:vAlign w:val="bottom"/>
            <w:tcBorders>
              <w:right w:val="single" w:sz="8" w:color="2D53A6"/>
            </w:tcBorders>
          </w:tcPr>
          <w:p>
            <w:pPr>
              <w:ind w:left="700"/>
              <w:spacing w:after="0"/>
              <w:rPr>
                <w:sz w:val="20"/>
                <w:szCs w:val="20"/>
                <w:color w:val="auto"/>
              </w:rPr>
            </w:pPr>
            <w:r>
              <w:rPr>
                <w:rFonts w:ascii="Arial" w:cs="Arial" w:eastAsia="Arial" w:hAnsi="Arial"/>
                <w:sz w:val="18"/>
                <w:szCs w:val="18"/>
                <w:b w:val="1"/>
                <w:bCs w:val="1"/>
                <w:color w:val="auto"/>
              </w:rPr>
              <w:t>Target</w:t>
            </w:r>
          </w:p>
        </w:tc>
        <w:tc>
          <w:tcPr>
            <w:tcW w:w="1840" w:type="dxa"/>
            <w:vAlign w:val="bottom"/>
          </w:tcPr>
          <w:p>
            <w:pPr>
              <w:ind w:left="500"/>
              <w:spacing w:after="0"/>
              <w:rPr>
                <w:sz w:val="20"/>
                <w:szCs w:val="20"/>
                <w:color w:val="auto"/>
              </w:rPr>
            </w:pPr>
            <w:r>
              <w:rPr>
                <w:rFonts w:ascii="Arial" w:cs="Arial" w:eastAsia="Arial" w:hAnsi="Arial"/>
                <w:sz w:val="18"/>
                <w:szCs w:val="18"/>
                <w:b w:val="1"/>
                <w:bCs w:val="1"/>
                <w:color w:val="auto"/>
              </w:rPr>
              <w:t>Maximum</w:t>
            </w:r>
          </w:p>
        </w:tc>
      </w:tr>
      <w:tr>
        <w:trPr>
          <w:trHeight w:val="29"/>
        </w:trPr>
        <w:tc>
          <w:tcPr>
            <w:tcW w:w="550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tcBorders>
          </w:tcPr>
          <w:p>
            <w:pPr>
              <w:spacing w:after="0"/>
              <w:rPr>
                <w:sz w:val="2"/>
                <w:szCs w:val="2"/>
                <w:color w:val="auto"/>
              </w:rPr>
            </w:pPr>
          </w:p>
        </w:tc>
      </w:tr>
      <w:tr>
        <w:trPr>
          <w:trHeight w:val="275"/>
        </w:trPr>
        <w:tc>
          <w:tcPr>
            <w:tcW w:w="5500" w:type="dxa"/>
            <w:vAlign w:val="bottom"/>
            <w:tcBorders>
              <w:right w:val="single" w:sz="8" w:color="2D53A6"/>
            </w:tcBorders>
          </w:tcPr>
          <w:p>
            <w:pPr>
              <w:ind w:left="60"/>
              <w:spacing w:after="0"/>
              <w:rPr>
                <w:sz w:val="20"/>
                <w:szCs w:val="20"/>
                <w:color w:val="auto"/>
              </w:rPr>
            </w:pPr>
            <w:r>
              <w:rPr>
                <w:rFonts w:ascii="Arial" w:cs="Arial" w:eastAsia="Arial" w:hAnsi="Arial"/>
                <w:sz w:val="18"/>
                <w:szCs w:val="18"/>
                <w:b w:val="1"/>
                <w:bCs w:val="1"/>
                <w:color w:val="auto"/>
              </w:rPr>
              <w:t>Performance to 4-Year Rolling Sales Growth</w:t>
            </w:r>
          </w:p>
        </w:tc>
        <w:tc>
          <w:tcPr>
            <w:tcW w:w="1960" w:type="dxa"/>
            <w:vAlign w:val="bottom"/>
            <w:tcBorders>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1940" w:type="dxa"/>
            <w:vAlign w:val="bottom"/>
            <w:tcBorders>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&gt;10%</w:t>
            </w:r>
          </w:p>
        </w:tc>
      </w:tr>
      <w:tr>
        <w:trPr>
          <w:trHeight w:val="28"/>
        </w:trPr>
        <w:tc>
          <w:tcPr>
            <w:tcW w:w="550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tcBorders>
          </w:tcPr>
          <w:p>
            <w:pPr>
              <w:spacing w:after="0"/>
              <w:rPr>
                <w:sz w:val="2"/>
                <w:szCs w:val="2"/>
                <w:color w:val="auto"/>
              </w:rPr>
            </w:pPr>
          </w:p>
        </w:tc>
      </w:tr>
      <w:tr>
        <w:trPr>
          <w:trHeight w:val="309"/>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Payout Level Earned</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200%</w:t>
            </w:r>
          </w:p>
        </w:tc>
      </w:tr>
      <w:tr>
        <w:trPr>
          <w:trHeight w:val="276"/>
        </w:trPr>
        <w:tc>
          <w:tcPr>
            <w:tcW w:w="5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b w:val="1"/>
                <w:bCs w:val="1"/>
                <w:color w:val="auto"/>
              </w:rPr>
              <w:t>Performance to Non-GAAP Pre-tax Income</w:t>
            </w:r>
          </w:p>
        </w:tc>
        <w:tc>
          <w:tcPr>
            <w:tcW w:w="1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rPr>
              <w:t>&lt;5% Pretax Income</w:t>
            </w:r>
          </w:p>
        </w:tc>
        <w:tc>
          <w:tcPr>
            <w:tcW w:w="1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15%</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b w:val="1"/>
                <w:bCs w:val="1"/>
                <w:color w:val="auto"/>
              </w:rPr>
              <w:t>&gt;22.5%</w:t>
            </w:r>
          </w:p>
        </w:tc>
      </w:tr>
      <w:tr>
        <w:trPr>
          <w:trHeight w:val="28"/>
        </w:trPr>
        <w:tc>
          <w:tcPr>
            <w:tcW w:w="550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tcBorders>
          </w:tcPr>
          <w:p>
            <w:pPr>
              <w:spacing w:after="0"/>
              <w:rPr>
                <w:sz w:val="2"/>
                <w:szCs w:val="2"/>
                <w:color w:val="auto"/>
              </w:rPr>
            </w:pPr>
          </w:p>
        </w:tc>
      </w:tr>
      <w:tr>
        <w:trPr>
          <w:trHeight w:val="284"/>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Payout Level Earned</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200%</w:t>
            </w:r>
          </w:p>
        </w:tc>
      </w:tr>
      <w:tr>
        <w:trPr>
          <w:trHeight w:val="20"/>
        </w:trPr>
        <w:tc>
          <w:tcPr>
            <w:tcW w:w="5500" w:type="dxa"/>
            <w:vAlign w:val="bottom"/>
            <w:tcBorders>
              <w:right w:val="single" w:sz="8" w:color="2D53A6"/>
            </w:tcBorders>
            <w:shd w:val="clear" w:color="auto" w:fill="2D53A6"/>
          </w:tcPr>
          <w:p>
            <w:pPr>
              <w:spacing w:after="0" w:line="20" w:lineRule="exact"/>
              <w:rPr>
                <w:sz w:val="1"/>
                <w:szCs w:val="1"/>
                <w:color w:val="auto"/>
              </w:rPr>
            </w:pPr>
          </w:p>
        </w:tc>
        <w:tc>
          <w:tcPr>
            <w:tcW w:w="1960" w:type="dxa"/>
            <w:vAlign w:val="bottom"/>
            <w:tcBorders>
              <w:right w:val="single" w:sz="8" w:color="2D53A6"/>
            </w:tcBorders>
            <w:shd w:val="clear" w:color="auto" w:fill="2D53A6"/>
          </w:tcPr>
          <w:p>
            <w:pPr>
              <w:spacing w:after="0" w:line="20" w:lineRule="exact"/>
              <w:rPr>
                <w:sz w:val="1"/>
                <w:szCs w:val="1"/>
                <w:color w:val="auto"/>
              </w:rPr>
            </w:pPr>
          </w:p>
        </w:tc>
        <w:tc>
          <w:tcPr>
            <w:tcW w:w="1940" w:type="dxa"/>
            <w:vAlign w:val="bottom"/>
            <w:tcBorders>
              <w:right w:val="single" w:sz="8" w:color="2D53A6"/>
            </w:tcBorders>
            <w:shd w:val="clear" w:color="auto" w:fill="2D53A6"/>
          </w:tcPr>
          <w:p>
            <w:pPr>
              <w:spacing w:after="0" w:line="20" w:lineRule="exact"/>
              <w:rPr>
                <w:sz w:val="1"/>
                <w:szCs w:val="1"/>
                <w:color w:val="auto"/>
              </w:rPr>
            </w:pPr>
          </w:p>
        </w:tc>
        <w:tc>
          <w:tcPr>
            <w:tcW w:w="1840" w:type="dxa"/>
            <w:vAlign w:val="bottom"/>
            <w:shd w:val="clear" w:color="auto" w:fill="2D53A6"/>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19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With respect to the target levels for sales, the Compensation Committee believed that, at the time, the target level for each performance measure was set, these target levels would be challenging and difficult, but achievable under normal business conditions with significant effort and skill, and strong execution. For 2023, the Compensation Committee expected that these target levels would be difficult to achieve because they would require delivery of results in uncertain market conditions (including the extended market downturn and inflationary pressures on costs), adroitly executing our business strategy, the development and acceptance by customers of new products, and successful entry into certain new markets in a highly competitive and volatile environment.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Short-Term Incentive Plan Decisions</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Following the end of 2023, the Compensation Committee compared our actual financial performance to the target performance levels established for the year and applied the incentive formula under the 2023 STI to our actual performance and determined to payout at a level of 95.7% for each of our NEOs.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determinations, the annual cash incentives paid to our NEOs for 2023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20" w:type="dxa"/>
            <w:vAlign w:val="bottom"/>
            <w:tcBorders>
              <w:bottom w:val="single" w:sz="8" w:color="2D53A6"/>
            </w:tcBorders>
            <w:shd w:val="clear" w:color="auto" w:fill="2D53A6"/>
          </w:tcPr>
          <w:p>
            <w:pPr>
              <w:spacing w:after="0"/>
              <w:rPr>
                <w:sz w:val="24"/>
                <w:szCs w:val="24"/>
                <w:color w:val="auto"/>
              </w:rPr>
            </w:pPr>
          </w:p>
        </w:tc>
        <w:tc>
          <w:tcPr>
            <w:tcW w:w="5260" w:type="dxa"/>
            <w:vAlign w:val="bottom"/>
            <w:tcBorders>
              <w:bottom w:val="single" w:sz="8" w:color="2D53A6"/>
              <w:right w:val="single" w:sz="8" w:color="2D53A6"/>
            </w:tcBorders>
            <w:gridSpan w:val="4"/>
            <w:shd w:val="clear" w:color="auto" w:fill="2D53A6"/>
          </w:tcPr>
          <w:p>
            <w:pPr>
              <w:jc w:val="center"/>
              <w:ind w:right="170"/>
              <w:spacing w:after="0"/>
              <w:rPr>
                <w:sz w:val="20"/>
                <w:szCs w:val="20"/>
                <w:color w:val="auto"/>
              </w:rPr>
            </w:pPr>
            <w:r>
              <w:rPr>
                <w:rFonts w:ascii="Arial" w:cs="Arial" w:eastAsia="Arial" w:hAnsi="Arial"/>
                <w:sz w:val="18"/>
                <w:szCs w:val="18"/>
                <w:b w:val="1"/>
                <w:bCs w:val="1"/>
                <w:color w:val="FFFFFF"/>
              </w:rPr>
              <w:t>Actual Achievement of 2023 STI Performance Measures</w:t>
            </w:r>
          </w:p>
        </w:tc>
        <w:tc>
          <w:tcPr>
            <w:tcW w:w="1460" w:type="dxa"/>
            <w:vAlign w:val="bottom"/>
            <w:tcBorders>
              <w:bottom w:val="single" w:sz="8" w:color="2D53A6"/>
              <w:right w:val="single" w:sz="8" w:color="2D53A6"/>
            </w:tcBorders>
            <w:shd w:val="clear" w:color="auto" w:fill="2D53A6"/>
          </w:tcPr>
          <w:p>
            <w:pPr>
              <w:spacing w:after="0"/>
              <w:rPr>
                <w:sz w:val="24"/>
                <w:szCs w:val="24"/>
                <w:color w:val="auto"/>
              </w:rPr>
            </w:pPr>
          </w:p>
        </w:tc>
        <w:tc>
          <w:tcPr>
            <w:tcW w:w="1400" w:type="dxa"/>
            <w:vAlign w:val="bottom"/>
            <w:tcBorders>
              <w:bottom w:val="single" w:sz="8" w:color="2D53A6"/>
            </w:tcBorders>
            <w:shd w:val="clear" w:color="auto" w:fill="2D53A6"/>
          </w:tcPr>
          <w:p>
            <w:pPr>
              <w:spacing w:after="0"/>
              <w:rPr>
                <w:sz w:val="24"/>
                <w:szCs w:val="24"/>
                <w:color w:val="auto"/>
              </w:rPr>
            </w:pPr>
          </w:p>
        </w:tc>
      </w:tr>
      <w:tr>
        <w:trPr>
          <w:trHeight w:val="282"/>
        </w:trPr>
        <w:tc>
          <w:tcPr>
            <w:tcW w:w="3120" w:type="dxa"/>
            <w:vAlign w:val="bottom"/>
          </w:tcPr>
          <w:p>
            <w:pPr>
              <w:spacing w:after="0"/>
              <w:rPr>
                <w:sz w:val="24"/>
                <w:szCs w:val="24"/>
                <w:color w:val="auto"/>
              </w:rPr>
            </w:pPr>
          </w:p>
        </w:tc>
        <w:tc>
          <w:tcPr>
            <w:tcW w:w="760" w:type="dxa"/>
            <w:vAlign w:val="bottom"/>
            <w:tcBorders>
              <w:right w:val="single" w:sz="8" w:color="2D53A6"/>
            </w:tcBorders>
          </w:tcPr>
          <w:p>
            <w:pPr>
              <w:spacing w:after="0"/>
              <w:rPr>
                <w:sz w:val="24"/>
                <w:szCs w:val="24"/>
                <w:color w:val="auto"/>
              </w:rPr>
            </w:pPr>
          </w:p>
        </w:tc>
        <w:tc>
          <w:tcPr>
            <w:tcW w:w="1500" w:type="dxa"/>
            <w:vAlign w:val="bottom"/>
            <w:tcBorders>
              <w:right w:val="single" w:sz="8" w:color="2D53A6"/>
            </w:tcBorders>
          </w:tcPr>
          <w:p>
            <w:pPr>
              <w:ind w:left="320"/>
              <w:spacing w:after="0"/>
              <w:rPr>
                <w:sz w:val="20"/>
                <w:szCs w:val="20"/>
                <w:color w:val="auto"/>
              </w:rPr>
            </w:pPr>
            <w:r>
              <w:rPr>
                <w:rFonts w:ascii="Arial" w:cs="Arial" w:eastAsia="Arial" w:hAnsi="Arial"/>
                <w:sz w:val="18"/>
                <w:szCs w:val="18"/>
                <w:b w:val="1"/>
                <w:bCs w:val="1"/>
                <w:color w:val="auto"/>
              </w:rPr>
              <w:t>Dr. Müller</w:t>
            </w:r>
          </w:p>
        </w:tc>
        <w:tc>
          <w:tcPr>
            <w:tcW w:w="1500" w:type="dxa"/>
            <w:vAlign w:val="bottom"/>
            <w:tcBorders>
              <w:right w:val="single" w:sz="8" w:color="2D53A6"/>
            </w:tcBorders>
          </w:tcPr>
          <w:p>
            <w:pPr>
              <w:ind w:left="320"/>
              <w:spacing w:after="0"/>
              <w:rPr>
                <w:sz w:val="20"/>
                <w:szCs w:val="20"/>
                <w:color w:val="auto"/>
              </w:rPr>
            </w:pPr>
            <w:r>
              <w:rPr>
                <w:rFonts w:ascii="Arial" w:cs="Arial" w:eastAsia="Arial" w:hAnsi="Arial"/>
                <w:sz w:val="18"/>
                <w:szCs w:val="18"/>
                <w:b w:val="1"/>
                <w:bCs w:val="1"/>
                <w:color w:val="auto"/>
              </w:rPr>
              <w:t>Mr. Jones</w:t>
            </w:r>
          </w:p>
        </w:tc>
        <w:tc>
          <w:tcPr>
            <w:tcW w:w="1500" w:type="dxa"/>
            <w:vAlign w:val="bottom"/>
            <w:tcBorders>
              <w:right w:val="single" w:sz="8" w:color="2D53A6"/>
            </w:tcBorders>
          </w:tcPr>
          <w:p>
            <w:pPr>
              <w:ind w:left="200"/>
              <w:spacing w:after="0"/>
              <w:rPr>
                <w:sz w:val="20"/>
                <w:szCs w:val="20"/>
                <w:color w:val="auto"/>
              </w:rPr>
            </w:pPr>
            <w:r>
              <w:rPr>
                <w:rFonts w:ascii="Arial" w:cs="Arial" w:eastAsia="Arial" w:hAnsi="Arial"/>
                <w:sz w:val="18"/>
                <w:szCs w:val="18"/>
                <w:b w:val="1"/>
                <w:bCs w:val="1"/>
                <w:color w:val="auto"/>
              </w:rPr>
              <w:t>Mr. Bohrson</w:t>
            </w:r>
          </w:p>
        </w:tc>
        <w:tc>
          <w:tcPr>
            <w:tcW w:w="1460" w:type="dxa"/>
            <w:vAlign w:val="bottom"/>
            <w:tcBorders>
              <w:right w:val="single" w:sz="8" w:color="2D53A6"/>
            </w:tcBorders>
          </w:tcPr>
          <w:p>
            <w:pPr>
              <w:ind w:left="200"/>
              <w:spacing w:after="0"/>
              <w:rPr>
                <w:sz w:val="20"/>
                <w:szCs w:val="20"/>
                <w:color w:val="auto"/>
              </w:rPr>
            </w:pPr>
            <w:r>
              <w:rPr>
                <w:rFonts w:ascii="Arial" w:cs="Arial" w:eastAsia="Arial" w:hAnsi="Arial"/>
                <w:sz w:val="18"/>
                <w:szCs w:val="18"/>
                <w:b w:val="1"/>
                <w:bCs w:val="1"/>
                <w:color w:val="auto"/>
              </w:rPr>
              <w:t>Mr. Kampfer</w:t>
            </w:r>
          </w:p>
        </w:tc>
        <w:tc>
          <w:tcPr>
            <w:tcW w:w="1400" w:type="dxa"/>
            <w:vAlign w:val="bottom"/>
          </w:tcPr>
          <w:p>
            <w:pPr>
              <w:ind w:left="260"/>
              <w:spacing w:after="0"/>
              <w:rPr>
                <w:sz w:val="20"/>
                <w:szCs w:val="20"/>
                <w:color w:val="auto"/>
              </w:rPr>
            </w:pPr>
            <w:r>
              <w:rPr>
                <w:rFonts w:ascii="Arial" w:cs="Arial" w:eastAsia="Arial" w:hAnsi="Arial"/>
                <w:sz w:val="18"/>
                <w:szCs w:val="18"/>
                <w:b w:val="1"/>
                <w:bCs w:val="1"/>
                <w:color w:val="auto"/>
              </w:rPr>
              <w:t>Mr. Lawee</w:t>
            </w:r>
          </w:p>
        </w:tc>
      </w:tr>
      <w:tr>
        <w:trPr>
          <w:trHeight w:val="29"/>
        </w:trPr>
        <w:tc>
          <w:tcPr>
            <w:tcW w:w="3120" w:type="dxa"/>
            <w:vAlign w:val="bottom"/>
            <w:tcBorders>
              <w:bottom w:val="single" w:sz="8" w:color="2D53A6"/>
            </w:tcBorders>
          </w:tcPr>
          <w:p>
            <w:pPr>
              <w:spacing w:after="0"/>
              <w:rPr>
                <w:sz w:val="2"/>
                <w:szCs w:val="2"/>
                <w:color w:val="auto"/>
              </w:rPr>
            </w:pPr>
          </w:p>
        </w:tc>
        <w:tc>
          <w:tcPr>
            <w:tcW w:w="76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r>
      <w:tr>
        <w:trPr>
          <w:trHeight w:val="268"/>
        </w:trPr>
        <w:tc>
          <w:tcPr>
            <w:tcW w:w="3120" w:type="dxa"/>
            <w:vAlign w:val="bottom"/>
          </w:tcPr>
          <w:p>
            <w:pPr>
              <w:ind w:left="60"/>
              <w:spacing w:after="0"/>
              <w:rPr>
                <w:sz w:val="20"/>
                <w:szCs w:val="20"/>
                <w:color w:val="auto"/>
              </w:rPr>
            </w:pPr>
            <w:r>
              <w:rPr>
                <w:rFonts w:ascii="Arial" w:cs="Arial" w:eastAsia="Arial" w:hAnsi="Arial"/>
                <w:sz w:val="18"/>
                <w:szCs w:val="18"/>
                <w:color w:val="auto"/>
              </w:rPr>
              <w:t xml:space="preserve">4-year Rolling Sales Growth </w:t>
            </w:r>
            <w:r>
              <w:rPr>
                <w:rFonts w:ascii="Arial" w:cs="Arial" w:eastAsia="Arial" w:hAnsi="Arial"/>
                <w:sz w:val="14"/>
                <w:szCs w:val="14"/>
                <w:color w:val="auto"/>
              </w:rPr>
              <w:t>(1)</w:t>
            </w:r>
          </w:p>
        </w:tc>
        <w:tc>
          <w:tcPr>
            <w:tcW w:w="760" w:type="dxa"/>
            <w:vAlign w:val="bottom"/>
            <w:tcBorders>
              <w:right w:val="single" w:sz="8" w:color="2D53A6"/>
            </w:tcBorders>
          </w:tcPr>
          <w:p>
            <w:pPr>
              <w:spacing w:after="0"/>
              <w:rPr>
                <w:sz w:val="23"/>
                <w:szCs w:val="23"/>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1.8%</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1.8%</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1.8%</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1.8%</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1.8%</w:t>
            </w:r>
          </w:p>
        </w:tc>
      </w:tr>
      <w:tr>
        <w:trPr>
          <w:trHeight w:val="36"/>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r>
        <w:trPr>
          <w:trHeight w:val="268"/>
        </w:trPr>
        <w:tc>
          <w:tcPr>
            <w:tcW w:w="3120" w:type="dxa"/>
            <w:vAlign w:val="bottom"/>
          </w:tcPr>
          <w:p>
            <w:pPr>
              <w:ind w:left="60"/>
              <w:spacing w:after="0"/>
              <w:rPr>
                <w:sz w:val="20"/>
                <w:szCs w:val="20"/>
                <w:color w:val="auto"/>
              </w:rPr>
            </w:pPr>
            <w:r>
              <w:rPr>
                <w:rFonts w:ascii="Arial" w:cs="Arial" w:eastAsia="Arial" w:hAnsi="Arial"/>
                <w:sz w:val="18"/>
                <w:szCs w:val="18"/>
                <w:color w:val="auto"/>
              </w:rPr>
              <w:t xml:space="preserve">Goal Payout % </w:t>
            </w:r>
            <w:r>
              <w:rPr>
                <w:rFonts w:ascii="Arial" w:cs="Arial" w:eastAsia="Arial" w:hAnsi="Arial"/>
                <w:sz w:val="14"/>
                <w:szCs w:val="14"/>
                <w:color w:val="auto"/>
              </w:rPr>
              <w:t>(2)</w:t>
            </w:r>
          </w:p>
        </w:tc>
        <w:tc>
          <w:tcPr>
            <w:tcW w:w="760" w:type="dxa"/>
            <w:vAlign w:val="bottom"/>
            <w:tcBorders>
              <w:right w:val="single" w:sz="8" w:color="2D53A6"/>
            </w:tcBorders>
          </w:tcPr>
          <w:p>
            <w:pPr>
              <w:spacing w:after="0"/>
              <w:rPr>
                <w:sz w:val="23"/>
                <w:szCs w:val="23"/>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36.3%</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36.3%</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36.3%</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36.3%</w:t>
            </w:r>
          </w:p>
        </w:tc>
        <w:tc>
          <w:tcPr>
            <w:tcW w:w="1400" w:type="dxa"/>
            <w:vAlign w:val="bottom"/>
          </w:tcPr>
          <w:p>
            <w:pPr>
              <w:jc w:val="center"/>
              <w:spacing w:after="0"/>
              <w:rPr>
                <w:sz w:val="20"/>
                <w:szCs w:val="20"/>
                <w:color w:val="auto"/>
              </w:rPr>
            </w:pPr>
            <w:r>
              <w:rPr>
                <w:rFonts w:ascii="Arial" w:cs="Arial" w:eastAsia="Arial" w:hAnsi="Arial"/>
                <w:sz w:val="18"/>
                <w:szCs w:val="18"/>
                <w:color w:val="auto"/>
              </w:rPr>
              <w:t>36.3%</w:t>
            </w:r>
          </w:p>
        </w:tc>
      </w:tr>
      <w:tr>
        <w:trPr>
          <w:trHeight w:val="37"/>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r>
        <w:trPr>
          <w:trHeight w:val="268"/>
        </w:trPr>
        <w:tc>
          <w:tcPr>
            <w:tcW w:w="3120" w:type="dxa"/>
            <w:vAlign w:val="bottom"/>
          </w:tcPr>
          <w:p>
            <w:pPr>
              <w:ind w:left="60"/>
              <w:spacing w:after="0"/>
              <w:rPr>
                <w:sz w:val="20"/>
                <w:szCs w:val="20"/>
                <w:color w:val="auto"/>
              </w:rPr>
            </w:pPr>
            <w:r>
              <w:rPr>
                <w:rFonts w:ascii="Arial" w:cs="Arial" w:eastAsia="Arial" w:hAnsi="Arial"/>
                <w:sz w:val="18"/>
                <w:szCs w:val="18"/>
                <w:color w:val="auto"/>
              </w:rPr>
              <w:t xml:space="preserve">Non-GAAP Pre-tax Income </w:t>
            </w:r>
            <w:r>
              <w:rPr>
                <w:rFonts w:ascii="Arial" w:cs="Arial" w:eastAsia="Arial" w:hAnsi="Arial"/>
                <w:sz w:val="14"/>
                <w:szCs w:val="14"/>
                <w:color w:val="auto"/>
              </w:rPr>
              <w:t>(3)</w:t>
            </w:r>
          </w:p>
        </w:tc>
        <w:tc>
          <w:tcPr>
            <w:tcW w:w="760" w:type="dxa"/>
            <w:vAlign w:val="bottom"/>
            <w:tcBorders>
              <w:right w:val="single" w:sz="8" w:color="2D53A6"/>
            </w:tcBorders>
          </w:tcPr>
          <w:p>
            <w:pPr>
              <w:spacing w:after="0"/>
              <w:rPr>
                <w:sz w:val="23"/>
                <w:szCs w:val="23"/>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16.6%</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16.6%</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16.6%</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16.6%</w:t>
            </w:r>
          </w:p>
        </w:tc>
        <w:tc>
          <w:tcPr>
            <w:tcW w:w="1400" w:type="dxa"/>
            <w:vAlign w:val="bottom"/>
          </w:tcPr>
          <w:p>
            <w:pPr>
              <w:jc w:val="center"/>
              <w:spacing w:after="0"/>
              <w:rPr>
                <w:sz w:val="20"/>
                <w:szCs w:val="20"/>
                <w:color w:val="auto"/>
              </w:rPr>
            </w:pPr>
            <w:r>
              <w:rPr>
                <w:rFonts w:ascii="Arial" w:cs="Arial" w:eastAsia="Arial" w:hAnsi="Arial"/>
                <w:sz w:val="18"/>
                <w:szCs w:val="18"/>
                <w:color w:val="auto"/>
              </w:rPr>
              <w:t>16.6%</w:t>
            </w:r>
          </w:p>
        </w:tc>
      </w:tr>
      <w:tr>
        <w:trPr>
          <w:trHeight w:val="36"/>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r>
        <w:trPr>
          <w:trHeight w:val="268"/>
        </w:trPr>
        <w:tc>
          <w:tcPr>
            <w:tcW w:w="3120" w:type="dxa"/>
            <w:vAlign w:val="bottom"/>
          </w:tcPr>
          <w:p>
            <w:pPr>
              <w:ind w:left="60"/>
              <w:spacing w:after="0"/>
              <w:rPr>
                <w:sz w:val="20"/>
                <w:szCs w:val="20"/>
                <w:color w:val="auto"/>
              </w:rPr>
            </w:pPr>
            <w:r>
              <w:rPr>
                <w:rFonts w:ascii="Arial" w:cs="Arial" w:eastAsia="Arial" w:hAnsi="Arial"/>
                <w:sz w:val="18"/>
                <w:szCs w:val="18"/>
                <w:color w:val="auto"/>
              </w:rPr>
              <w:t xml:space="preserve">Goal Payout % </w:t>
            </w:r>
            <w:r>
              <w:rPr>
                <w:rFonts w:ascii="Arial" w:cs="Arial" w:eastAsia="Arial" w:hAnsi="Arial"/>
                <w:sz w:val="14"/>
                <w:szCs w:val="14"/>
                <w:color w:val="auto"/>
              </w:rPr>
              <w:t>(3)</w:t>
            </w:r>
          </w:p>
        </w:tc>
        <w:tc>
          <w:tcPr>
            <w:tcW w:w="760" w:type="dxa"/>
            <w:vAlign w:val="bottom"/>
            <w:tcBorders>
              <w:right w:val="single" w:sz="8" w:color="2D53A6"/>
            </w:tcBorders>
          </w:tcPr>
          <w:p>
            <w:pPr>
              <w:spacing w:after="0"/>
              <w:rPr>
                <w:sz w:val="23"/>
                <w:szCs w:val="23"/>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121.1%</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121.1%</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121.1%</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121.1%</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121.1%</w:t>
            </w:r>
          </w:p>
        </w:tc>
      </w:tr>
      <w:tr>
        <w:trPr>
          <w:trHeight w:val="37"/>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r>
        <w:trPr>
          <w:trHeight w:val="309"/>
        </w:trPr>
        <w:tc>
          <w:tcPr>
            <w:tcW w:w="3120" w:type="dxa"/>
            <w:vAlign w:val="bottom"/>
            <w:tcBorders>
              <w:bottom w:val="single" w:sz="8" w:color="E6E6E6"/>
            </w:tcBorders>
            <w:shd w:val="clear" w:color="auto" w:fill="E6E6E6"/>
          </w:tcPr>
          <w:p>
            <w:pPr>
              <w:spacing w:after="0"/>
              <w:rPr>
                <w:sz w:val="24"/>
                <w:szCs w:val="24"/>
                <w:color w:val="auto"/>
              </w:rPr>
            </w:pPr>
          </w:p>
        </w:tc>
        <w:tc>
          <w:tcPr>
            <w:tcW w:w="5260" w:type="dxa"/>
            <w:vAlign w:val="bottom"/>
            <w:tcBorders>
              <w:bottom w:val="single" w:sz="8" w:color="E6E6E6"/>
              <w:right w:val="single" w:sz="8" w:color="E6E6E6"/>
            </w:tcBorders>
            <w:gridSpan w:val="4"/>
            <w:shd w:val="clear" w:color="auto" w:fill="E6E6E6"/>
          </w:tcPr>
          <w:p>
            <w:pPr>
              <w:jc w:val="center"/>
              <w:ind w:right="170"/>
              <w:spacing w:after="0"/>
              <w:rPr>
                <w:sz w:val="20"/>
                <w:szCs w:val="20"/>
                <w:color w:val="auto"/>
              </w:rPr>
            </w:pPr>
            <w:r>
              <w:rPr>
                <w:rFonts w:ascii="Arial" w:cs="Arial" w:eastAsia="Arial" w:hAnsi="Arial"/>
                <w:sz w:val="18"/>
                <w:szCs w:val="18"/>
                <w:b w:val="1"/>
                <w:bCs w:val="1"/>
                <w:color w:val="auto"/>
                <w:w w:val="99"/>
              </w:rPr>
              <w:t>Actual Amount of Fiscal Year 2023 STI Cash Incentives</w:t>
            </w:r>
          </w:p>
        </w:tc>
        <w:tc>
          <w:tcPr>
            <w:tcW w:w="1460" w:type="dxa"/>
            <w:vAlign w:val="bottom"/>
            <w:tcBorders>
              <w:bottom w:val="single" w:sz="8" w:color="E6E6E6"/>
              <w:right w:val="single" w:sz="8" w:color="E6E6E6"/>
            </w:tcBorders>
            <w:shd w:val="clear" w:color="auto" w:fill="E6E6E6"/>
          </w:tcPr>
          <w:p>
            <w:pPr>
              <w:spacing w:after="0"/>
              <w:rPr>
                <w:sz w:val="24"/>
                <w:szCs w:val="24"/>
                <w:color w:val="auto"/>
              </w:rPr>
            </w:pPr>
          </w:p>
        </w:tc>
        <w:tc>
          <w:tcPr>
            <w:tcW w:w="1400" w:type="dxa"/>
            <w:vAlign w:val="bottom"/>
            <w:tcBorders>
              <w:bottom w:val="single" w:sz="8" w:color="E6E6E6"/>
            </w:tcBorders>
            <w:shd w:val="clear" w:color="auto" w:fill="E6E6E6"/>
          </w:tcPr>
          <w:p>
            <w:pPr>
              <w:spacing w:after="0"/>
              <w:rPr>
                <w:sz w:val="24"/>
                <w:szCs w:val="24"/>
                <w:color w:val="auto"/>
              </w:rPr>
            </w:pPr>
          </w:p>
        </w:tc>
      </w:tr>
      <w:tr>
        <w:trPr>
          <w:trHeight w:val="267"/>
        </w:trPr>
        <w:tc>
          <w:tcPr>
            <w:tcW w:w="3120" w:type="dxa"/>
            <w:vAlign w:val="bottom"/>
            <w:tcBorders>
              <w:top w:val="single" w:sz="8" w:color="2D53A6"/>
            </w:tcBorders>
          </w:tcPr>
          <w:p>
            <w:pPr>
              <w:ind w:left="60"/>
              <w:spacing w:after="0"/>
              <w:rPr>
                <w:sz w:val="20"/>
                <w:szCs w:val="20"/>
                <w:color w:val="auto"/>
              </w:rPr>
            </w:pPr>
            <w:r>
              <w:rPr>
                <w:rFonts w:ascii="Arial" w:cs="Arial" w:eastAsia="Arial" w:hAnsi="Arial"/>
                <w:sz w:val="18"/>
                <w:szCs w:val="18"/>
                <w:color w:val="auto"/>
              </w:rPr>
              <w:t>Non-Equity Incentive Award Payable</w:t>
            </w:r>
          </w:p>
        </w:tc>
        <w:tc>
          <w:tcPr>
            <w:tcW w:w="760" w:type="dxa"/>
            <w:vAlign w:val="bottom"/>
            <w:tcBorders>
              <w:top w:val="single" w:sz="8" w:color="2D53A6"/>
              <w:right w:val="single" w:sz="8" w:color="2D53A6"/>
            </w:tcBorders>
          </w:tcPr>
          <w:p>
            <w:pPr>
              <w:spacing w:after="0"/>
              <w:rPr>
                <w:sz w:val="23"/>
                <w:szCs w:val="23"/>
                <w:color w:val="auto"/>
              </w:rPr>
            </w:pPr>
          </w:p>
        </w:tc>
        <w:tc>
          <w:tcPr>
            <w:tcW w:w="15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$752,378</w:t>
            </w:r>
          </w:p>
        </w:tc>
        <w:tc>
          <w:tcPr>
            <w:tcW w:w="15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$326,445</w:t>
            </w:r>
          </w:p>
        </w:tc>
        <w:tc>
          <w:tcPr>
            <w:tcW w:w="15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8"/>
              </w:rPr>
              <w:t>$304,921</w:t>
            </w:r>
          </w:p>
        </w:tc>
        <w:tc>
          <w:tcPr>
            <w:tcW w:w="1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8"/>
              </w:rPr>
              <w:t>$193,715</w:t>
            </w:r>
          </w:p>
        </w:tc>
        <w:tc>
          <w:tcPr>
            <w:tcW w:w="14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$176,256</w:t>
            </w:r>
          </w:p>
        </w:tc>
      </w:tr>
      <w:tr>
        <w:trPr>
          <w:trHeight w:val="37"/>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r>
        <w:trPr>
          <w:trHeight w:val="268"/>
        </w:trPr>
        <w:tc>
          <w:tcPr>
            <w:tcW w:w="3120" w:type="dxa"/>
            <w:vAlign w:val="bottom"/>
          </w:tcPr>
          <w:p>
            <w:pPr>
              <w:ind w:left="60"/>
              <w:spacing w:after="0"/>
              <w:rPr>
                <w:sz w:val="20"/>
                <w:szCs w:val="20"/>
                <w:color w:val="auto"/>
              </w:rPr>
            </w:pPr>
            <w:r>
              <w:rPr>
                <w:rFonts w:ascii="Arial" w:cs="Arial" w:eastAsia="Arial" w:hAnsi="Arial"/>
                <w:sz w:val="18"/>
                <w:szCs w:val="18"/>
                <w:color w:val="auto"/>
              </w:rPr>
              <w:t>% Targeted Award Amount</w:t>
            </w:r>
          </w:p>
        </w:tc>
        <w:tc>
          <w:tcPr>
            <w:tcW w:w="760" w:type="dxa"/>
            <w:vAlign w:val="bottom"/>
            <w:tcBorders>
              <w:right w:val="single" w:sz="8" w:color="2D53A6"/>
            </w:tcBorders>
          </w:tcPr>
          <w:p>
            <w:pPr>
              <w:spacing w:after="0"/>
              <w:rPr>
                <w:sz w:val="23"/>
                <w:szCs w:val="23"/>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95.7%</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95.7%</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95.7%</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95.7%</w:t>
            </w:r>
          </w:p>
        </w:tc>
        <w:tc>
          <w:tcPr>
            <w:tcW w:w="1400" w:type="dxa"/>
            <w:vAlign w:val="bottom"/>
          </w:tcPr>
          <w:p>
            <w:pPr>
              <w:jc w:val="center"/>
              <w:spacing w:after="0"/>
              <w:rPr>
                <w:sz w:val="20"/>
                <w:szCs w:val="20"/>
                <w:color w:val="auto"/>
              </w:rPr>
            </w:pPr>
            <w:r>
              <w:rPr>
                <w:rFonts w:ascii="Arial" w:cs="Arial" w:eastAsia="Arial" w:hAnsi="Arial"/>
                <w:sz w:val="18"/>
                <w:szCs w:val="18"/>
                <w:color w:val="auto"/>
              </w:rPr>
              <w:t>95.7%</w:t>
            </w:r>
          </w:p>
        </w:tc>
      </w:tr>
      <w:tr>
        <w:trPr>
          <w:trHeight w:val="37"/>
        </w:trPr>
        <w:tc>
          <w:tcPr>
            <w:tcW w:w="3120" w:type="dxa"/>
            <w:vAlign w:val="bottom"/>
            <w:tcBorders>
              <w:bottom w:val="single" w:sz="8" w:color="2D53A6"/>
            </w:tcBorders>
          </w:tcPr>
          <w:p>
            <w:pPr>
              <w:spacing w:after="0"/>
              <w:rPr>
                <w:sz w:val="3"/>
                <w:szCs w:val="3"/>
                <w:color w:val="auto"/>
              </w:rPr>
            </w:pPr>
          </w:p>
        </w:tc>
        <w:tc>
          <w:tcPr>
            <w:tcW w:w="76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500" w:type="dxa"/>
            <w:vAlign w:val="bottom"/>
            <w:tcBorders>
              <w:bottom w:val="single" w:sz="8" w:color="2D53A6"/>
              <w:right w:val="single" w:sz="8" w:color="2D53A6"/>
            </w:tcBorders>
          </w:tcPr>
          <w:p>
            <w:pPr>
              <w:spacing w:after="0"/>
              <w:rPr>
                <w:sz w:val="3"/>
                <w:szCs w:val="3"/>
                <w:color w:val="auto"/>
              </w:rPr>
            </w:pPr>
          </w:p>
        </w:tc>
        <w:tc>
          <w:tcPr>
            <w:tcW w:w="1460" w:type="dxa"/>
            <w:vAlign w:val="bottom"/>
            <w:tcBorders>
              <w:bottom w:val="single" w:sz="8" w:color="2D53A6"/>
              <w:right w:val="single" w:sz="8" w:color="2D53A6"/>
            </w:tcBorders>
          </w:tcPr>
          <w:p>
            <w:pPr>
              <w:spacing w:after="0"/>
              <w:rPr>
                <w:sz w:val="3"/>
                <w:szCs w:val="3"/>
                <w:color w:val="auto"/>
              </w:rPr>
            </w:pPr>
          </w:p>
        </w:tc>
        <w:tc>
          <w:tcPr>
            <w:tcW w:w="1400" w:type="dxa"/>
            <w:vAlign w:val="bottom"/>
            <w:tcBorders>
              <w:bottom w:val="single" w:sz="8" w:color="2D53A6"/>
            </w:tcBorders>
          </w:tcPr>
          <w:p>
            <w:pPr>
              <w:spacing w:after="0"/>
              <w:rPr>
                <w:sz w:val="3"/>
                <w:szCs w:val="3"/>
                <w:color w:val="auto"/>
              </w:rPr>
            </w:pPr>
          </w:p>
        </w:tc>
      </w:tr>
    </w:tbl>
    <w:p>
      <w:pPr>
        <w:spacing w:after="0" w:line="19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2023 4-year Rolling Sales Growth rate of 1.8% is calculated as follows: the result of the sum of each year’s net sales from 2020 through 2023 (in thousands: $636,007,</w:t>
      </w:r>
    </w:p>
    <w:p>
      <w:pPr>
        <w:spacing w:after="0" w:line="15" w:lineRule="exact"/>
        <w:rPr>
          <w:rFonts w:ascii="Arial" w:cs="Arial" w:eastAsia="Arial" w:hAnsi="Arial"/>
          <w:sz w:val="14"/>
          <w:szCs w:val="14"/>
          <w:color w:val="auto"/>
        </w:rPr>
      </w:pPr>
    </w:p>
    <w:p>
      <w:pPr>
        <w:ind w:left="340" w:right="420"/>
        <w:spacing w:after="0" w:line="241" w:lineRule="auto"/>
        <w:rPr>
          <w:rFonts w:ascii="Arial" w:cs="Arial" w:eastAsia="Arial" w:hAnsi="Arial"/>
          <w:sz w:val="14"/>
          <w:szCs w:val="14"/>
          <w:color w:val="auto"/>
        </w:rPr>
      </w:pPr>
      <w:r>
        <w:rPr>
          <w:rFonts w:ascii="Arial" w:cs="Arial" w:eastAsia="Arial" w:hAnsi="Arial"/>
          <w:sz w:val="14"/>
          <w:szCs w:val="14"/>
          <w:color w:val="auto"/>
        </w:rPr>
        <w:t>$887,214, $812,775, $636,322, respectively), less the sum of each year’s net sales from 2019 through 2022 (in thousands: $583,329, $636,007, $887,214, $812,775 respectively), divided by the sum of each year’s net sales from 2019 through 2022.</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4-year Rolling Sales Growth result is weighted at 30% of the total 2023 STI Target Award Amount</w:t>
      </w:r>
    </w:p>
    <w:p>
      <w:pPr>
        <w:spacing w:after="0" w:line="1" w:lineRule="exact"/>
        <w:rPr>
          <w:rFonts w:ascii="Arial" w:cs="Arial" w:eastAsia="Arial" w:hAnsi="Arial"/>
          <w:sz w:val="14"/>
          <w:szCs w:val="14"/>
          <w:color w:val="auto"/>
        </w:rPr>
      </w:pPr>
    </w:p>
    <w:p>
      <w:pPr>
        <w:jc w:val="both"/>
        <w:ind w:left="340" w:right="600" w:hanging="332"/>
        <w:spacing w:after="0" w:line="252"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2023 GAAP Pre-tax Income was $45,816 (in thousands) which is 7.2% of net sales of $636,322 (in thousands). 2023 non-GAAP Pre-tax Income was $105,600 (in thousands) which is 16.6% of net sales of $636,322 (in thousands). A reconciliation of GAAP to non-GAAP pre-tax income is included in Appendix A to this 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780"/>
        <w:spacing w:after="0" w:line="469" w:lineRule="auto"/>
        <w:rPr>
          <w:sz w:val="20"/>
          <w:szCs w:val="20"/>
          <w:color w:val="auto"/>
        </w:rPr>
      </w:pPr>
      <w:r>
        <w:rPr>
          <w:rFonts w:ascii="Arial" w:cs="Arial" w:eastAsia="Arial" w:hAnsi="Arial"/>
          <w:sz w:val="18"/>
          <w:szCs w:val="18"/>
          <w:color w:val="auto"/>
        </w:rPr>
        <w:t xml:space="preserve">The annual cash incentives paid to our NEOs for 2023 are set forth in the “2023 Summary Compensation Table” below. </w:t>
      </w:r>
      <w:r>
        <w:rPr>
          <w:rFonts w:ascii="Arial" w:cs="Arial" w:eastAsia="Arial" w:hAnsi="Arial"/>
          <w:sz w:val="18"/>
          <w:szCs w:val="18"/>
          <w:i w:val="1"/>
          <w:iCs w:val="1"/>
          <w:color w:val="auto"/>
        </w:rPr>
        <w:t>Long-Term Incentive Compensation</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March 14, 2023,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strengthen the emphasis on performance-based compensation, of, the weighting of PSU awards would be increased to 60% of the total annual equity awards and the weighting of RSU awards would be reduced to 40% of the total annual equity awards.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right w:val="single" w:sz="8" w:color="2D53A6"/>
            </w:tcBorders>
            <w:shd w:val="clear" w:color="auto" w:fill="2D53A6"/>
          </w:tcPr>
          <w:p>
            <w:pPr>
              <w:spacing w:after="0"/>
              <w:rPr>
                <w:sz w:val="20"/>
                <w:szCs w:val="20"/>
                <w:color w:val="auto"/>
              </w:rPr>
            </w:pP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8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Total Face</w:t>
            </w:r>
          </w:p>
        </w:tc>
        <w:tc>
          <w:tcPr>
            <w:tcW w:w="0" w:type="dxa"/>
            <w:vAlign w:val="bottom"/>
          </w:tcPr>
          <w:p>
            <w:pPr>
              <w:spacing w:after="0"/>
              <w:rPr>
                <w:sz w:val="1"/>
                <w:szCs w:val="1"/>
                <w:color w:val="auto"/>
              </w:rPr>
            </w:pPr>
          </w:p>
        </w:tc>
      </w:tr>
      <w:tr>
        <w:trPr>
          <w:trHeight w:val="203"/>
        </w:trPr>
        <w:tc>
          <w:tcPr>
            <w:tcW w:w="5500" w:type="dxa"/>
            <w:vAlign w:val="bottom"/>
            <w:tcBorders>
              <w:right w:val="single" w:sz="8" w:color="2D53A6"/>
            </w:tcBorders>
            <w:vMerge w:val="restart"/>
            <w:shd w:val="clear" w:color="auto" w:fill="2D53A6"/>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Restricted</w:t>
            </w:r>
          </w:p>
        </w:tc>
        <w:tc>
          <w:tcPr>
            <w:tcW w:w="194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Performance</w:t>
            </w:r>
          </w:p>
        </w:tc>
        <w:tc>
          <w:tcPr>
            <w:tcW w:w="1840" w:type="dxa"/>
            <w:vAlign w:val="bottom"/>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Value of Stock</w:t>
            </w:r>
          </w:p>
        </w:tc>
        <w:tc>
          <w:tcPr>
            <w:tcW w:w="0" w:type="dxa"/>
            <w:vAlign w:val="bottom"/>
          </w:tcPr>
          <w:p>
            <w:pPr>
              <w:spacing w:after="0"/>
              <w:rPr>
                <w:sz w:val="1"/>
                <w:szCs w:val="1"/>
                <w:color w:val="auto"/>
              </w:rPr>
            </w:pPr>
          </w:p>
        </w:tc>
      </w:tr>
      <w:tr>
        <w:trPr>
          <w:trHeight w:val="139"/>
        </w:trPr>
        <w:tc>
          <w:tcPr>
            <w:tcW w:w="5500" w:type="dxa"/>
            <w:vAlign w:val="bottom"/>
            <w:tcBorders>
              <w:right w:val="single" w:sz="8" w:color="2D53A6"/>
            </w:tcBorders>
            <w:vMerge w:val="continue"/>
            <w:shd w:val="clear" w:color="auto" w:fill="2D53A6"/>
          </w:tcPr>
          <w:p>
            <w:pPr>
              <w:spacing w:after="0"/>
              <w:rPr>
                <w:sz w:val="12"/>
                <w:szCs w:val="12"/>
                <w:color w:val="auto"/>
              </w:rPr>
            </w:pPr>
          </w:p>
        </w:tc>
        <w:tc>
          <w:tcPr>
            <w:tcW w:w="196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Stock Units</w:t>
            </w:r>
          </w:p>
        </w:tc>
        <w:tc>
          <w:tcPr>
            <w:tcW w:w="19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Stock Units</w:t>
            </w:r>
          </w:p>
        </w:tc>
        <w:tc>
          <w:tcPr>
            <w:tcW w:w="184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Units at Time</w:t>
            </w:r>
          </w:p>
        </w:tc>
        <w:tc>
          <w:tcPr>
            <w:tcW w:w="0" w:type="dxa"/>
            <w:vAlign w:val="bottom"/>
          </w:tcPr>
          <w:p>
            <w:pPr>
              <w:spacing w:after="0"/>
              <w:rPr>
                <w:sz w:val="1"/>
                <w:szCs w:val="1"/>
                <w:color w:val="auto"/>
              </w:rPr>
            </w:pPr>
          </w:p>
        </w:tc>
      </w:tr>
      <w:tr>
        <w:trPr>
          <w:trHeight w:val="64"/>
        </w:trPr>
        <w:tc>
          <w:tcPr>
            <w:tcW w:w="5500" w:type="dxa"/>
            <w:vAlign w:val="bottom"/>
            <w:tcBorders>
              <w:right w:val="single" w:sz="8" w:color="2D53A6"/>
            </w:tcBorders>
            <w:shd w:val="clear" w:color="auto" w:fill="2D53A6"/>
          </w:tcPr>
          <w:p>
            <w:pPr>
              <w:spacing w:after="0"/>
              <w:rPr>
                <w:sz w:val="5"/>
                <w:szCs w:val="5"/>
                <w:color w:val="auto"/>
              </w:rPr>
            </w:pPr>
          </w:p>
        </w:tc>
        <w:tc>
          <w:tcPr>
            <w:tcW w:w="1960" w:type="dxa"/>
            <w:vAlign w:val="bottom"/>
            <w:tcBorders>
              <w:right w:val="single" w:sz="8" w:color="2D53A6"/>
            </w:tcBorders>
            <w:vMerge w:val="continue"/>
            <w:shd w:val="clear" w:color="auto" w:fill="2D53A6"/>
          </w:tcPr>
          <w:p>
            <w:pPr>
              <w:spacing w:after="0"/>
              <w:rPr>
                <w:sz w:val="5"/>
                <w:szCs w:val="5"/>
                <w:color w:val="auto"/>
              </w:rPr>
            </w:pPr>
          </w:p>
        </w:tc>
        <w:tc>
          <w:tcPr>
            <w:tcW w:w="1940" w:type="dxa"/>
            <w:vAlign w:val="bottom"/>
            <w:tcBorders>
              <w:right w:val="single" w:sz="8" w:color="2D53A6"/>
            </w:tcBorders>
            <w:vMerge w:val="continue"/>
            <w:shd w:val="clear" w:color="auto" w:fill="2D53A6"/>
          </w:tcPr>
          <w:p>
            <w:pPr>
              <w:spacing w:after="0"/>
              <w:rPr>
                <w:sz w:val="5"/>
                <w:szCs w:val="5"/>
                <w:color w:val="auto"/>
              </w:rPr>
            </w:pPr>
          </w:p>
        </w:tc>
        <w:tc>
          <w:tcPr>
            <w:tcW w:w="1840" w:type="dxa"/>
            <w:vAlign w:val="bottom"/>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2D53A6"/>
              <w:right w:val="single" w:sz="8" w:color="2D53A6"/>
            </w:tcBorders>
            <w:shd w:val="clear" w:color="auto" w:fill="2D53A6"/>
          </w:tcPr>
          <w:p>
            <w:pPr>
              <w:spacing w:after="0"/>
              <w:rPr>
                <w:sz w:val="23"/>
                <w:szCs w:val="23"/>
                <w:color w:val="auto"/>
              </w:rPr>
            </w:pPr>
          </w:p>
        </w:tc>
        <w:tc>
          <w:tcPr>
            <w:tcW w:w="19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Granted</w:t>
            </w:r>
          </w:p>
        </w:tc>
        <w:tc>
          <w:tcPr>
            <w:tcW w:w="194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Granted </w:t>
            </w:r>
            <w:r>
              <w:rPr>
                <w:rFonts w:ascii="Arial" w:cs="Arial" w:eastAsia="Arial" w:hAnsi="Arial"/>
                <w:sz w:val="14"/>
                <w:szCs w:val="14"/>
                <w:b w:val="1"/>
                <w:bCs w:val="1"/>
                <w:color w:val="FFFFFF"/>
              </w:rPr>
              <w:t>(1)</w:t>
            </w:r>
          </w:p>
        </w:tc>
        <w:tc>
          <w:tcPr>
            <w:tcW w:w="184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of Grant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274"/>
        </w:trPr>
        <w:tc>
          <w:tcPr>
            <w:tcW w:w="550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9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44,004</w:t>
            </w:r>
          </w:p>
        </w:tc>
        <w:tc>
          <w:tcPr>
            <w:tcW w:w="19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66,006</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$4,093,472</w:t>
            </w:r>
          </w:p>
        </w:tc>
        <w:tc>
          <w:tcPr>
            <w:tcW w:w="0" w:type="dxa"/>
            <w:vAlign w:val="bottom"/>
          </w:tcPr>
          <w:p>
            <w:pPr>
              <w:spacing w:after="0"/>
              <w:rPr>
                <w:sz w:val="1"/>
                <w:szCs w:val="1"/>
                <w:color w:val="auto"/>
              </w:rPr>
            </w:pPr>
          </w:p>
        </w:tc>
      </w:tr>
      <w:tr>
        <w:trPr>
          <w:trHeight w:val="36"/>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8"/>
              </w:rPr>
              <w:t>14,521</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21,782</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$1,350,835</w:t>
            </w:r>
          </w:p>
        </w:tc>
        <w:tc>
          <w:tcPr>
            <w:tcW w:w="0" w:type="dxa"/>
            <w:vAlign w:val="bottom"/>
          </w:tcPr>
          <w:p>
            <w:pPr>
              <w:spacing w:after="0"/>
              <w:rPr>
                <w:sz w:val="1"/>
                <w:szCs w:val="1"/>
                <w:color w:val="auto"/>
              </w:rPr>
            </w:pPr>
          </w:p>
        </w:tc>
      </w:tr>
      <w:tr>
        <w:trPr>
          <w:trHeight w:val="268"/>
        </w:trPr>
        <w:tc>
          <w:tcPr>
            <w:tcW w:w="5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8"/>
              </w:rPr>
              <w:t>11,001</w:t>
            </w:r>
          </w:p>
        </w:tc>
        <w:tc>
          <w:tcPr>
            <w:tcW w:w="1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16,501</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$1,023,349</w:t>
            </w:r>
          </w:p>
        </w:tc>
        <w:tc>
          <w:tcPr>
            <w:tcW w:w="0" w:type="dxa"/>
            <w:vAlign w:val="bottom"/>
          </w:tcPr>
          <w:p>
            <w:pPr>
              <w:spacing w:after="0"/>
              <w:rPr>
                <w:sz w:val="1"/>
                <w:szCs w:val="1"/>
                <w:color w:val="auto"/>
              </w:rPr>
            </w:pPr>
          </w:p>
        </w:tc>
      </w:tr>
      <w:tr>
        <w:trPr>
          <w:trHeight w:val="37"/>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5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6,600</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9,900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$613,965</w:t>
            </w:r>
          </w:p>
        </w:tc>
        <w:tc>
          <w:tcPr>
            <w:tcW w:w="0" w:type="dxa"/>
            <w:vAlign w:val="bottom"/>
          </w:tcPr>
          <w:p>
            <w:pPr>
              <w:spacing w:after="0"/>
              <w:rPr>
                <w:sz w:val="1"/>
                <w:szCs w:val="1"/>
                <w:color w:val="auto"/>
              </w:rPr>
            </w:pPr>
          </w:p>
        </w:tc>
      </w:tr>
      <w:tr>
        <w:trPr>
          <w:trHeight w:val="268"/>
        </w:trPr>
        <w:tc>
          <w:tcPr>
            <w:tcW w:w="5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1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4,620</w:t>
            </w:r>
          </w:p>
        </w:tc>
        <w:tc>
          <w:tcPr>
            <w:tcW w:w="1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7"/>
              </w:rPr>
              <w:t>6,930</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$429,776</w:t>
            </w:r>
          </w:p>
        </w:tc>
        <w:tc>
          <w:tcPr>
            <w:tcW w:w="0" w:type="dxa"/>
            <w:vAlign w:val="bottom"/>
          </w:tcPr>
          <w:p>
            <w:pPr>
              <w:spacing w:after="0"/>
              <w:rPr>
                <w:sz w:val="1"/>
                <w:szCs w:val="1"/>
                <w:color w:val="auto"/>
              </w:rPr>
            </w:pPr>
          </w:p>
        </w:tc>
      </w:tr>
      <w:tr>
        <w:trPr>
          <w:trHeight w:val="37"/>
        </w:trPr>
        <w:tc>
          <w:tcPr>
            <w:tcW w:w="5500" w:type="dxa"/>
            <w:vAlign w:val="bottom"/>
            <w:tcBorders>
              <w:bottom w:val="single" w:sz="8" w:color="2D53A6"/>
              <w:right w:val="single" w:sz="8" w:color="2D53A6"/>
            </w:tcBorders>
          </w:tcPr>
          <w:p>
            <w:pPr>
              <w:spacing w:after="0"/>
              <w:rPr>
                <w:sz w:val="3"/>
                <w:szCs w:val="3"/>
                <w:color w:val="auto"/>
              </w:rPr>
            </w:pPr>
          </w:p>
        </w:tc>
        <w:tc>
          <w:tcPr>
            <w:tcW w:w="1960" w:type="dxa"/>
            <w:vAlign w:val="bottom"/>
            <w:tcBorders>
              <w:bottom w:val="single" w:sz="8" w:color="2D53A6"/>
              <w:right w:val="single" w:sz="8" w:color="2D53A6"/>
            </w:tcBorders>
          </w:tcPr>
          <w:p>
            <w:pPr>
              <w:spacing w:after="0"/>
              <w:rPr>
                <w:sz w:val="3"/>
                <w:szCs w:val="3"/>
                <w:color w:val="auto"/>
              </w:rPr>
            </w:pPr>
          </w:p>
        </w:tc>
        <w:tc>
          <w:tcPr>
            <w:tcW w:w="1940" w:type="dxa"/>
            <w:vAlign w:val="bottom"/>
            <w:tcBorders>
              <w:bottom w:val="single" w:sz="8" w:color="2D53A6"/>
              <w:right w:val="single" w:sz="8" w:color="2D53A6"/>
            </w:tcBorders>
          </w:tcPr>
          <w:p>
            <w:pPr>
              <w:spacing w:after="0"/>
              <w:rPr>
                <w:sz w:val="3"/>
                <w:szCs w:val="3"/>
                <w:color w:val="auto"/>
              </w:rPr>
            </w:pPr>
          </w:p>
        </w:tc>
        <w:tc>
          <w:tcPr>
            <w:tcW w:w="184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PSUs granted at the target award level.</w:t>
      </w:r>
    </w:p>
    <w:p>
      <w:pPr>
        <w:spacing w:after="0" w:line="15" w:lineRule="exact"/>
        <w:rPr>
          <w:rFonts w:ascii="Arial" w:cs="Arial" w:eastAsia="Arial" w:hAnsi="Arial"/>
          <w:sz w:val="14"/>
          <w:szCs w:val="14"/>
          <w:color w:val="auto"/>
        </w:rPr>
      </w:pPr>
    </w:p>
    <w:p>
      <w:pPr>
        <w:ind w:left="340" w:right="200" w:hanging="332"/>
        <w:spacing w:after="0" w:line="264"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20-day average closing price of COHU common stock preceding the grant date of March 14, 2023 was $37.21. The amounts shown above are the grant date target face value for stock awards issued in the form of RSUs and PSUs granted in 2023 as calculated based on the $37.21 average closing price.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19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2023 vest at the rate of 25% of the shares of our common stock subject to the awards on each anniversary of the date of the grant.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 Awards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PSU Awards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2023, the Compensation Committee evaluated its historical use of custom peer groups as the Comparator Group for the TSR in PSU awards and determined that using a broader-based index of companies would better reflect the performance of Cohu’s TSR. Therefore, the PSU awards granted to our executive officers in March 2023 will be earned based on our TSR as compared to the Russell 2000 Index (“RUT”) measured over a three-year performance period beginning on the first day of our fiscal year 2023, with earned shares vesting fully on the third anniversary of the date of grant. The performance period for the 2023 PSU Awards was set at three years to enhance the long-term focus of the program.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methodology on how shares of our common stock may be earned under the 2023 PSU Awards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920" w:type="dxa"/>
            <w:vAlign w:val="bottom"/>
            <w:tcBorders>
              <w:bottom w:val="single" w:sz="8" w:color="2D53A6"/>
            </w:tcBorders>
            <w:shd w:val="clear" w:color="auto" w:fill="2D53A6"/>
          </w:tcPr>
          <w:p>
            <w:pPr>
              <w:ind w:left="60"/>
              <w:spacing w:after="0"/>
              <w:rPr>
                <w:sz w:val="20"/>
                <w:szCs w:val="20"/>
                <w:color w:val="auto"/>
              </w:rPr>
            </w:pPr>
            <w:r>
              <w:rPr>
                <w:rFonts w:ascii="Arial" w:cs="Arial" w:eastAsia="Arial" w:hAnsi="Arial"/>
                <w:sz w:val="18"/>
                <w:szCs w:val="18"/>
                <w:b w:val="1"/>
                <w:bCs w:val="1"/>
                <w:color w:val="FFFFFF"/>
              </w:rPr>
              <w:t>PSU Award Feature</w:t>
            </w:r>
          </w:p>
        </w:tc>
        <w:tc>
          <w:tcPr>
            <w:tcW w:w="7320" w:type="dxa"/>
            <w:vAlign w:val="bottom"/>
            <w:tcBorders>
              <w:bottom w:val="single" w:sz="8" w:color="2D53A6"/>
            </w:tcBorders>
            <w:shd w:val="clear" w:color="auto" w:fill="2D53A6"/>
          </w:tcPr>
          <w:p>
            <w:pPr>
              <w:ind w:left="60"/>
              <w:spacing w:after="0"/>
              <w:rPr>
                <w:sz w:val="20"/>
                <w:szCs w:val="20"/>
                <w:color w:val="auto"/>
              </w:rPr>
            </w:pPr>
            <w:r>
              <w:rPr>
                <w:rFonts w:ascii="Arial" w:cs="Arial" w:eastAsia="Arial" w:hAnsi="Arial"/>
                <w:sz w:val="18"/>
                <w:szCs w:val="18"/>
                <w:b w:val="1"/>
                <w:bCs w:val="1"/>
                <w:color w:val="FFFFFF"/>
              </w:rPr>
              <w:t>Description</w:t>
            </w:r>
          </w:p>
        </w:tc>
        <w:tc>
          <w:tcPr>
            <w:tcW w:w="0" w:type="dxa"/>
            <w:vAlign w:val="bottom"/>
          </w:tcPr>
          <w:p>
            <w:pPr>
              <w:spacing w:after="0"/>
              <w:rPr>
                <w:sz w:val="1"/>
                <w:szCs w:val="1"/>
                <w:color w:val="auto"/>
              </w:rPr>
            </w:pPr>
          </w:p>
        </w:tc>
      </w:tr>
      <w:tr>
        <w:trPr>
          <w:trHeight w:val="274"/>
        </w:trPr>
        <w:tc>
          <w:tcPr>
            <w:tcW w:w="3920" w:type="dxa"/>
            <w:vAlign w:val="bottom"/>
          </w:tcPr>
          <w:p>
            <w:pPr>
              <w:ind w:left="60"/>
              <w:spacing w:after="0"/>
              <w:rPr>
                <w:sz w:val="20"/>
                <w:szCs w:val="20"/>
                <w:color w:val="auto"/>
              </w:rPr>
            </w:pPr>
            <w:r>
              <w:rPr>
                <w:rFonts w:ascii="Arial" w:cs="Arial" w:eastAsia="Arial" w:hAnsi="Arial"/>
                <w:sz w:val="18"/>
                <w:szCs w:val="18"/>
                <w:color w:val="auto"/>
              </w:rPr>
              <w:t>Performance Period</w:t>
            </w:r>
          </w:p>
        </w:tc>
        <w:tc>
          <w:tcPr>
            <w:tcW w:w="7320" w:type="dxa"/>
            <w:vAlign w:val="bottom"/>
          </w:tcPr>
          <w:p>
            <w:pPr>
              <w:ind w:left="60"/>
              <w:spacing w:after="0"/>
              <w:rPr>
                <w:sz w:val="20"/>
                <w:szCs w:val="20"/>
                <w:color w:val="auto"/>
              </w:rPr>
            </w:pPr>
            <w:r>
              <w:rPr>
                <w:rFonts w:ascii="Arial" w:cs="Arial" w:eastAsia="Arial" w:hAnsi="Arial"/>
                <w:sz w:val="18"/>
                <w:szCs w:val="18"/>
                <w:color w:val="auto"/>
              </w:rPr>
              <w:t>Three fiscal years beginning on first day of 2023</w:t>
            </w:r>
          </w:p>
        </w:tc>
        <w:tc>
          <w:tcPr>
            <w:tcW w:w="0" w:type="dxa"/>
            <w:vAlign w:val="bottom"/>
          </w:tcPr>
          <w:p>
            <w:pPr>
              <w:spacing w:after="0"/>
              <w:rPr>
                <w:sz w:val="1"/>
                <w:szCs w:val="1"/>
                <w:color w:val="auto"/>
              </w:rPr>
            </w:pPr>
          </w:p>
        </w:tc>
      </w:tr>
      <w:tr>
        <w:trPr>
          <w:trHeight w:val="37"/>
        </w:trPr>
        <w:tc>
          <w:tcPr>
            <w:tcW w:w="3920" w:type="dxa"/>
            <w:vAlign w:val="bottom"/>
            <w:tcBorders>
              <w:bottom w:val="single" w:sz="8" w:color="2D53A6"/>
            </w:tcBorders>
          </w:tcPr>
          <w:p>
            <w:pPr>
              <w:spacing w:after="0"/>
              <w:rPr>
                <w:sz w:val="3"/>
                <w:szCs w:val="3"/>
                <w:color w:val="auto"/>
              </w:rPr>
            </w:pPr>
          </w:p>
        </w:tc>
        <w:tc>
          <w:tcPr>
            <w:tcW w:w="732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Performance Measure</w:t>
            </w:r>
          </w:p>
        </w:tc>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TSR performance relative to the Russell 2000 Index (“RUT”)</w:t>
            </w:r>
          </w:p>
        </w:tc>
        <w:tc>
          <w:tcPr>
            <w:tcW w:w="0" w:type="dxa"/>
            <w:vAlign w:val="bottom"/>
          </w:tcPr>
          <w:p>
            <w:pPr>
              <w:spacing w:after="0"/>
              <w:rPr>
                <w:sz w:val="1"/>
                <w:szCs w:val="1"/>
                <w:color w:val="auto"/>
              </w:rPr>
            </w:pPr>
          </w:p>
        </w:tc>
      </w:tr>
      <w:tr>
        <w:trPr>
          <w:trHeight w:val="231"/>
        </w:trPr>
        <w:tc>
          <w:tcPr>
            <w:tcW w:w="3920" w:type="dxa"/>
            <w:vAlign w:val="bottom"/>
            <w:tcBorders>
              <w:top w:val="single" w:sz="8" w:color="2D53A6"/>
            </w:tcBorders>
            <w:vMerge w:val="restart"/>
          </w:tcPr>
          <w:p>
            <w:pPr>
              <w:ind w:left="60"/>
              <w:spacing w:after="0"/>
              <w:rPr>
                <w:sz w:val="20"/>
                <w:szCs w:val="20"/>
                <w:color w:val="auto"/>
              </w:rPr>
            </w:pPr>
            <w:r>
              <w:rPr>
                <w:rFonts w:ascii="Arial" w:cs="Arial" w:eastAsia="Arial" w:hAnsi="Arial"/>
                <w:sz w:val="18"/>
                <w:szCs w:val="18"/>
                <w:color w:val="auto"/>
              </w:rPr>
              <w:t>Performance Scale</w:t>
            </w:r>
          </w:p>
        </w:tc>
        <w:tc>
          <w:tcPr>
            <w:tcW w:w="7320" w:type="dxa"/>
            <w:vAlign w:val="bottom"/>
            <w:tcBorders>
              <w:top w:val="single" w:sz="8" w:color="2D53A6"/>
            </w:tcBorders>
          </w:tcPr>
          <w:p>
            <w:pPr>
              <w:ind w:left="60"/>
              <w:spacing w:after="0"/>
              <w:rPr>
                <w:sz w:val="20"/>
                <w:szCs w:val="20"/>
                <w:color w:val="auto"/>
              </w:rPr>
            </w:pPr>
            <w:r>
              <w:rPr>
                <w:rFonts w:ascii="Arial" w:cs="Arial" w:eastAsia="Arial" w:hAnsi="Arial"/>
                <w:sz w:val="18"/>
                <w:szCs w:val="18"/>
                <w:color w:val="auto"/>
              </w:rPr>
              <w:t>2x spread between COHU and RUT measured and added or subtracted from target</w:t>
            </w:r>
          </w:p>
        </w:tc>
        <w:tc>
          <w:tcPr>
            <w:tcW w:w="0" w:type="dxa"/>
            <w:vAlign w:val="bottom"/>
          </w:tcPr>
          <w:p>
            <w:pPr>
              <w:spacing w:after="0"/>
              <w:rPr>
                <w:sz w:val="1"/>
                <w:szCs w:val="1"/>
                <w:color w:val="auto"/>
              </w:rPr>
            </w:pPr>
          </w:p>
        </w:tc>
      </w:tr>
      <w:tr>
        <w:trPr>
          <w:trHeight w:val="131"/>
        </w:trPr>
        <w:tc>
          <w:tcPr>
            <w:tcW w:w="3920" w:type="dxa"/>
            <w:vAlign w:val="bottom"/>
            <w:vMerge w:val="continue"/>
          </w:tcPr>
          <w:p>
            <w:pPr>
              <w:spacing w:after="0"/>
              <w:rPr>
                <w:sz w:val="11"/>
                <w:szCs w:val="11"/>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7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920" w:type="dxa"/>
            <w:vAlign w:val="bottom"/>
            <w:tcBorders>
              <w:bottom w:val="single" w:sz="8" w:color="2D53A6"/>
            </w:tcBorders>
          </w:tcPr>
          <w:p>
            <w:pPr>
              <w:spacing w:after="0"/>
              <w:rPr>
                <w:sz w:val="3"/>
                <w:szCs w:val="3"/>
                <w:color w:val="auto"/>
              </w:rPr>
            </w:pPr>
          </w:p>
        </w:tc>
        <w:tc>
          <w:tcPr>
            <w:tcW w:w="732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20" w:type="dxa"/>
            <w:vAlign w:val="bottom"/>
            <w:shd w:val="clear" w:color="auto" w:fill="E6E6E6"/>
          </w:tcPr>
          <w:p>
            <w:pPr>
              <w:spacing w:after="0"/>
              <w:rPr>
                <w:sz w:val="20"/>
                <w:szCs w:val="20"/>
                <w:color w:val="auto"/>
              </w:rPr>
            </w:pPr>
          </w:p>
        </w:tc>
        <w:tc>
          <w:tcPr>
            <w:tcW w:w="7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Net change in average closing price of COHU and RUT over the 20 trading-day period</w:t>
            </w:r>
          </w:p>
        </w:tc>
        <w:tc>
          <w:tcPr>
            <w:tcW w:w="0" w:type="dxa"/>
            <w:vAlign w:val="bottom"/>
          </w:tcPr>
          <w:p>
            <w:pPr>
              <w:spacing w:after="0"/>
              <w:rPr>
                <w:sz w:val="1"/>
                <w:szCs w:val="1"/>
                <w:color w:val="auto"/>
              </w:rPr>
            </w:pPr>
          </w:p>
        </w:tc>
      </w:tr>
      <w:tr>
        <w:trPr>
          <w:trHeight w:val="203"/>
        </w:trPr>
        <w:tc>
          <w:tcPr>
            <w:tcW w:w="392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rPr>
              <w:t>Performance Methodology</w:t>
            </w:r>
          </w:p>
        </w:tc>
        <w:tc>
          <w:tcPr>
            <w:tcW w:w="732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immediately preceding the beginning and end of the Performance Period. In the event that</w:t>
            </w:r>
          </w:p>
        </w:tc>
        <w:tc>
          <w:tcPr>
            <w:tcW w:w="0" w:type="dxa"/>
            <w:vAlign w:val="bottom"/>
          </w:tcPr>
          <w:p>
            <w:pPr>
              <w:spacing w:after="0"/>
              <w:rPr>
                <w:sz w:val="1"/>
                <w:szCs w:val="1"/>
                <w:color w:val="auto"/>
              </w:rPr>
            </w:pPr>
          </w:p>
        </w:tc>
      </w:tr>
      <w:tr>
        <w:trPr>
          <w:trHeight w:val="131"/>
        </w:trPr>
        <w:tc>
          <w:tcPr>
            <w:tcW w:w="3920" w:type="dxa"/>
            <w:vAlign w:val="bottom"/>
            <w:vMerge w:val="continue"/>
            <w:shd w:val="clear" w:color="auto" w:fill="E6E6E6"/>
          </w:tcPr>
          <w:p>
            <w:pPr>
              <w:spacing w:after="0"/>
              <w:rPr>
                <w:sz w:val="11"/>
                <w:szCs w:val="11"/>
                <w:color w:val="auto"/>
              </w:rPr>
            </w:pPr>
          </w:p>
        </w:tc>
        <w:tc>
          <w:tcPr>
            <w:tcW w:w="7320" w:type="dxa"/>
            <w:vAlign w:val="bottom"/>
            <w:vMerge w:val="restart"/>
            <w:shd w:val="clear" w:color="auto" w:fill="E6E6E6"/>
          </w:tcPr>
          <w:p>
            <w:pPr>
              <w:ind w:left="60"/>
              <w:spacing w:after="0" w:line="202" w:lineRule="exact"/>
              <w:rPr>
                <w:sz w:val="20"/>
                <w:szCs w:val="20"/>
                <w:color w:val="auto"/>
              </w:rPr>
            </w:pPr>
            <w:r>
              <w:rPr>
                <w:rFonts w:ascii="Arial" w:cs="Arial" w:eastAsia="Arial" w:hAnsi="Arial"/>
                <w:sz w:val="18"/>
                <w:szCs w:val="18"/>
                <w:color w:val="auto"/>
              </w:rPr>
              <w:t>both COHU and RUT TSRs are less than zero, the number of shares earned will not</w:t>
            </w:r>
          </w:p>
        </w:tc>
        <w:tc>
          <w:tcPr>
            <w:tcW w:w="0" w:type="dxa"/>
            <w:vAlign w:val="bottom"/>
          </w:tcPr>
          <w:p>
            <w:pPr>
              <w:spacing w:after="0"/>
              <w:rPr>
                <w:sz w:val="1"/>
                <w:szCs w:val="1"/>
                <w:color w:val="auto"/>
              </w:rPr>
            </w:pPr>
          </w:p>
        </w:tc>
      </w:tr>
      <w:tr>
        <w:trPr>
          <w:trHeight w:val="72"/>
        </w:trPr>
        <w:tc>
          <w:tcPr>
            <w:tcW w:w="3920" w:type="dxa"/>
            <w:vAlign w:val="bottom"/>
            <w:shd w:val="clear" w:color="auto" w:fill="E6E6E6"/>
          </w:tcPr>
          <w:p>
            <w:pPr>
              <w:spacing w:after="0"/>
              <w:rPr>
                <w:sz w:val="6"/>
                <w:szCs w:val="6"/>
                <w:color w:val="auto"/>
              </w:rPr>
            </w:pPr>
          </w:p>
        </w:tc>
        <w:tc>
          <w:tcPr>
            <w:tcW w:w="7320" w:type="dxa"/>
            <w:vAlign w:val="bottom"/>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3920" w:type="dxa"/>
            <w:vAlign w:val="bottom"/>
            <w:tcBorders>
              <w:bottom w:val="single" w:sz="8" w:color="E6E6E6"/>
            </w:tcBorders>
            <w:shd w:val="clear" w:color="auto" w:fill="E6E6E6"/>
          </w:tcPr>
          <w:p>
            <w:pPr>
              <w:spacing w:after="0"/>
              <w:rPr>
                <w:sz w:val="23"/>
                <w:szCs w:val="23"/>
                <w:color w:val="auto"/>
              </w:rPr>
            </w:pPr>
          </w:p>
        </w:tc>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exceed 100% of target.</w:t>
            </w:r>
          </w:p>
        </w:tc>
        <w:tc>
          <w:tcPr>
            <w:tcW w:w="0" w:type="dxa"/>
            <w:vAlign w:val="bottom"/>
          </w:tcPr>
          <w:p>
            <w:pPr>
              <w:spacing w:after="0"/>
              <w:rPr>
                <w:sz w:val="1"/>
                <w:szCs w:val="1"/>
                <w:color w:val="auto"/>
              </w:rPr>
            </w:pPr>
          </w:p>
        </w:tc>
      </w:tr>
      <w:tr>
        <w:trPr>
          <w:trHeight w:val="268"/>
        </w:trPr>
        <w:tc>
          <w:tcPr>
            <w:tcW w:w="3920" w:type="dxa"/>
            <w:vAlign w:val="bottom"/>
            <w:tcBorders>
              <w:top w:val="single" w:sz="8" w:color="2D53A6"/>
            </w:tcBorders>
          </w:tcPr>
          <w:p>
            <w:pPr>
              <w:ind w:left="60"/>
              <w:spacing w:after="0"/>
              <w:rPr>
                <w:sz w:val="20"/>
                <w:szCs w:val="20"/>
                <w:color w:val="auto"/>
              </w:rPr>
            </w:pPr>
            <w:r>
              <w:rPr>
                <w:rFonts w:ascii="Arial" w:cs="Arial" w:eastAsia="Arial" w:hAnsi="Arial"/>
                <w:sz w:val="18"/>
                <w:szCs w:val="18"/>
                <w:color w:val="auto"/>
              </w:rPr>
              <w:t>Range of PSUs Earnable</w:t>
            </w:r>
          </w:p>
        </w:tc>
        <w:tc>
          <w:tcPr>
            <w:tcW w:w="7320" w:type="dxa"/>
            <w:vAlign w:val="bottom"/>
            <w:tcBorders>
              <w:top w:val="single" w:sz="8" w:color="2D53A6"/>
            </w:tcBorders>
          </w:tcPr>
          <w:p>
            <w:pPr>
              <w:ind w:left="60"/>
              <w:spacing w:after="0"/>
              <w:rPr>
                <w:sz w:val="20"/>
                <w:szCs w:val="20"/>
                <w:color w:val="auto"/>
              </w:rPr>
            </w:pPr>
            <w:r>
              <w:rPr>
                <w:rFonts w:ascii="Arial" w:cs="Arial" w:eastAsia="Arial" w:hAnsi="Arial"/>
                <w:sz w:val="18"/>
                <w:szCs w:val="18"/>
                <w:color w:val="auto"/>
              </w:rPr>
              <w:t>0-200% of number of shares granted</w:t>
            </w:r>
          </w:p>
        </w:tc>
        <w:tc>
          <w:tcPr>
            <w:tcW w:w="0" w:type="dxa"/>
            <w:vAlign w:val="bottom"/>
          </w:tcPr>
          <w:p>
            <w:pPr>
              <w:spacing w:after="0"/>
              <w:rPr>
                <w:sz w:val="1"/>
                <w:szCs w:val="1"/>
                <w:color w:val="auto"/>
              </w:rPr>
            </w:pPr>
          </w:p>
        </w:tc>
      </w:tr>
      <w:tr>
        <w:trPr>
          <w:trHeight w:val="37"/>
        </w:trPr>
        <w:tc>
          <w:tcPr>
            <w:tcW w:w="3920" w:type="dxa"/>
            <w:vAlign w:val="bottom"/>
            <w:tcBorders>
              <w:bottom w:val="single" w:sz="8" w:color="2D53A6"/>
            </w:tcBorders>
          </w:tcPr>
          <w:p>
            <w:pPr>
              <w:spacing w:after="0"/>
              <w:rPr>
                <w:sz w:val="3"/>
                <w:szCs w:val="3"/>
                <w:color w:val="auto"/>
              </w:rPr>
            </w:pPr>
          </w:p>
        </w:tc>
        <w:tc>
          <w:tcPr>
            <w:tcW w:w="732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Vesting Period</w:t>
            </w:r>
          </w:p>
        </w:tc>
        <w:tc>
          <w:tcPr>
            <w:tcW w:w="7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100% on third anniversary of the date of the grant</w:t>
            </w:r>
          </w:p>
        </w:tc>
        <w:tc>
          <w:tcPr>
            <w:tcW w:w="0" w:type="dxa"/>
            <w:vAlign w:val="bottom"/>
          </w:tcPr>
          <w:p>
            <w:pPr>
              <w:spacing w:after="0"/>
              <w:rPr>
                <w:sz w:val="1"/>
                <w:szCs w:val="1"/>
                <w:color w:val="auto"/>
              </w:rPr>
            </w:pPr>
          </w:p>
        </w:tc>
      </w:tr>
      <w:tr>
        <w:trPr>
          <w:trHeight w:val="20"/>
        </w:trPr>
        <w:tc>
          <w:tcPr>
            <w:tcW w:w="3920" w:type="dxa"/>
            <w:vAlign w:val="bottom"/>
            <w:shd w:val="clear" w:color="auto" w:fill="2D53A6"/>
          </w:tcPr>
          <w:p>
            <w:pPr>
              <w:spacing w:after="0" w:line="20" w:lineRule="exact"/>
              <w:rPr>
                <w:sz w:val="1"/>
                <w:szCs w:val="1"/>
                <w:color w:val="auto"/>
              </w:rPr>
            </w:pPr>
          </w:p>
        </w:tc>
        <w:tc>
          <w:tcPr>
            <w:tcW w:w="73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PSU Award Results</w:t>
      </w:r>
    </w:p>
    <w:p>
      <w:pPr>
        <w:spacing w:after="0" w:line="1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2021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December 27, 2020 (the beginning of the Performance Period) and December 30, 2023 (the end of the Performance Period).</w:t>
      </w:r>
    </w:p>
    <w:p>
      <w:pPr>
        <w:spacing w:after="0" w:line="16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Following the end of 2023, the Compensation Committee compared our actual performance with respect to the RUT and the TSR result for the years 2021 through 2023 which was calculated to be -6.2% and, therefore, the number of shares of our common stock earned under the 2021 PSU awards was 87.6% of the target number of shares granted to each executive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9240" w:type="dxa"/>
            <w:vAlign w:val="bottom"/>
            <w:gridSpan w:val="5"/>
          </w:tcPr>
          <w:p>
            <w:pPr>
              <w:spacing w:after="0"/>
              <w:rPr>
                <w:sz w:val="20"/>
                <w:szCs w:val="20"/>
                <w:color w:val="auto"/>
              </w:rPr>
            </w:pPr>
            <w:r>
              <w:rPr>
                <w:rFonts w:ascii="Arial" w:cs="Arial" w:eastAsia="Arial" w:hAnsi="Arial"/>
                <w:sz w:val="18"/>
                <w:szCs w:val="18"/>
                <w:color w:val="auto"/>
              </w:rPr>
              <w:t>The number of shares of our common stock earned by our NEOs with respect to their 2021 PSU awards was: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00" w:type="dxa"/>
            <w:vAlign w:val="bottom"/>
            <w:shd w:val="clear" w:color="auto" w:fill="2D53A6"/>
          </w:tcPr>
          <w:p>
            <w:pPr>
              <w:spacing w:after="0"/>
              <w:rPr>
                <w:sz w:val="20"/>
                <w:szCs w:val="20"/>
                <w:color w:val="auto"/>
              </w:rPr>
            </w:pPr>
          </w:p>
        </w:tc>
        <w:tc>
          <w:tcPr>
            <w:tcW w:w="1780" w:type="dxa"/>
            <w:vAlign w:val="bottom"/>
            <w:tcBorders>
              <w:right w:val="single" w:sz="8" w:color="2D53A6"/>
            </w:tcBorders>
            <w:shd w:val="clear" w:color="auto" w:fill="2D53A6"/>
          </w:tcPr>
          <w:p>
            <w:pPr>
              <w:spacing w:after="0"/>
              <w:rPr>
                <w:sz w:val="20"/>
                <w:szCs w:val="20"/>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2040" w:type="dxa"/>
            <w:vAlign w:val="bottom"/>
            <w:tcBorders>
              <w:right w:val="single" w:sz="8" w:color="2D53A6"/>
            </w:tcBorders>
            <w:shd w:val="clear" w:color="auto" w:fill="2D53A6"/>
          </w:tcPr>
          <w:p>
            <w:pPr>
              <w:spacing w:after="0"/>
              <w:rPr>
                <w:sz w:val="20"/>
                <w:szCs w:val="20"/>
                <w:color w:val="auto"/>
              </w:rPr>
            </w:pPr>
          </w:p>
        </w:tc>
        <w:tc>
          <w:tcPr>
            <w:tcW w:w="2000" w:type="dxa"/>
            <w:vAlign w:val="bottom"/>
            <w:tcBorders>
              <w:right w:val="single" w:sz="8" w:color="2D53A6"/>
            </w:tcBorders>
            <w:shd w:val="clear" w:color="auto" w:fill="2D53A6"/>
          </w:tcPr>
          <w:p>
            <w:pPr>
              <w:spacing w:after="0"/>
              <w:rPr>
                <w:sz w:val="20"/>
                <w:szCs w:val="20"/>
                <w:color w:val="auto"/>
              </w:rPr>
            </w:pPr>
          </w:p>
        </w:tc>
        <w:tc>
          <w:tcPr>
            <w:tcW w:w="200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rPr>
              <w:t>Final Shares</w:t>
            </w:r>
          </w:p>
        </w:tc>
        <w:tc>
          <w:tcPr>
            <w:tcW w:w="0" w:type="dxa"/>
            <w:vAlign w:val="bottom"/>
          </w:tcPr>
          <w:p>
            <w:pPr>
              <w:spacing w:after="0"/>
              <w:rPr>
                <w:sz w:val="1"/>
                <w:szCs w:val="1"/>
                <w:color w:val="auto"/>
              </w:rPr>
            </w:pPr>
          </w:p>
        </w:tc>
      </w:tr>
      <w:tr>
        <w:trPr>
          <w:trHeight w:val="95"/>
        </w:trPr>
        <w:tc>
          <w:tcPr>
            <w:tcW w:w="1400" w:type="dxa"/>
            <w:vAlign w:val="bottom"/>
            <w:shd w:val="clear" w:color="auto" w:fill="2D53A6"/>
          </w:tcPr>
          <w:p>
            <w:pPr>
              <w:spacing w:after="0"/>
              <w:rPr>
                <w:sz w:val="8"/>
                <w:szCs w:val="8"/>
                <w:color w:val="auto"/>
              </w:rPr>
            </w:pPr>
          </w:p>
        </w:tc>
        <w:tc>
          <w:tcPr>
            <w:tcW w:w="1780" w:type="dxa"/>
            <w:vAlign w:val="bottom"/>
            <w:tcBorders>
              <w:right w:val="single" w:sz="8" w:color="2D53A6"/>
            </w:tcBorders>
            <w:shd w:val="clear" w:color="auto" w:fill="2D53A6"/>
          </w:tcPr>
          <w:p>
            <w:pPr>
              <w:spacing w:after="0"/>
              <w:rPr>
                <w:sz w:val="8"/>
                <w:szCs w:val="8"/>
                <w:color w:val="auto"/>
              </w:rPr>
            </w:pPr>
          </w:p>
        </w:tc>
        <w:tc>
          <w:tcPr>
            <w:tcW w:w="2020" w:type="dxa"/>
            <w:vAlign w:val="bottom"/>
            <w:tcBorders>
              <w:right w:val="single" w:sz="8" w:color="2D53A6"/>
            </w:tcBorders>
            <w:vMerge w:val="continue"/>
            <w:shd w:val="clear" w:color="auto" w:fill="2D53A6"/>
          </w:tcPr>
          <w:p>
            <w:pPr>
              <w:spacing w:after="0"/>
              <w:rPr>
                <w:sz w:val="8"/>
                <w:szCs w:val="8"/>
                <w:color w:val="auto"/>
              </w:rPr>
            </w:pPr>
          </w:p>
        </w:tc>
        <w:tc>
          <w:tcPr>
            <w:tcW w:w="2040" w:type="dxa"/>
            <w:vAlign w:val="bottom"/>
            <w:tcBorders>
              <w:right w:val="single" w:sz="8" w:color="2D53A6"/>
            </w:tcBorders>
            <w:shd w:val="clear" w:color="auto" w:fill="2D53A6"/>
          </w:tcPr>
          <w:p>
            <w:pPr>
              <w:spacing w:after="0"/>
              <w:rPr>
                <w:sz w:val="8"/>
                <w:szCs w:val="8"/>
                <w:color w:val="auto"/>
              </w:rPr>
            </w:pPr>
          </w:p>
        </w:tc>
        <w:tc>
          <w:tcPr>
            <w:tcW w:w="2000" w:type="dxa"/>
            <w:vAlign w:val="bottom"/>
            <w:tcBorders>
              <w:right w:val="single" w:sz="8" w:color="2D53A6"/>
            </w:tcBorders>
            <w:shd w:val="clear" w:color="auto" w:fill="2D53A6"/>
          </w:tcPr>
          <w:p>
            <w:pPr>
              <w:spacing w:after="0"/>
              <w:rPr>
                <w:sz w:val="8"/>
                <w:szCs w:val="8"/>
                <w:color w:val="auto"/>
              </w:rPr>
            </w:pPr>
          </w:p>
        </w:tc>
        <w:tc>
          <w:tcPr>
            <w:tcW w:w="200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Earned as a</w:t>
            </w:r>
          </w:p>
        </w:tc>
        <w:tc>
          <w:tcPr>
            <w:tcW w:w="0" w:type="dxa"/>
            <w:vAlign w:val="bottom"/>
          </w:tcPr>
          <w:p>
            <w:pPr>
              <w:spacing w:after="0"/>
              <w:rPr>
                <w:sz w:val="1"/>
                <w:szCs w:val="1"/>
                <w:color w:val="auto"/>
              </w:rPr>
            </w:pPr>
          </w:p>
        </w:tc>
      </w:tr>
      <w:tr>
        <w:trPr>
          <w:trHeight w:val="108"/>
        </w:trPr>
        <w:tc>
          <w:tcPr>
            <w:tcW w:w="1400" w:type="dxa"/>
            <w:vAlign w:val="bottom"/>
            <w:shd w:val="clear" w:color="auto" w:fill="2D53A6"/>
          </w:tcPr>
          <w:p>
            <w:pPr>
              <w:spacing w:after="0"/>
              <w:rPr>
                <w:sz w:val="9"/>
                <w:szCs w:val="9"/>
                <w:color w:val="auto"/>
              </w:rPr>
            </w:pPr>
          </w:p>
        </w:tc>
        <w:tc>
          <w:tcPr>
            <w:tcW w:w="17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Stock Unit Award</w:t>
            </w:r>
          </w:p>
        </w:tc>
        <w:tc>
          <w:tcPr>
            <w:tcW w:w="20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2021-23 TSR</w:t>
            </w:r>
          </w:p>
        </w:tc>
        <w:tc>
          <w:tcPr>
            <w:tcW w:w="200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Final Shares</w:t>
            </w: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180" w:type="dxa"/>
            <w:vAlign w:val="bottom"/>
            <w:tcBorders>
              <w:right w:val="single" w:sz="8" w:color="2D53A6"/>
            </w:tcBorders>
            <w:gridSpan w:val="2"/>
            <w:vMerge w:val="restart"/>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2020" w:type="dxa"/>
            <w:vAlign w:val="bottom"/>
            <w:tcBorders>
              <w:right w:val="single" w:sz="8" w:color="2D53A6"/>
            </w:tcBorders>
            <w:vMerge w:val="continue"/>
            <w:shd w:val="clear" w:color="auto" w:fill="2D53A6"/>
          </w:tcPr>
          <w:p>
            <w:pPr>
              <w:spacing w:after="0"/>
              <w:rPr>
                <w:sz w:val="8"/>
                <w:szCs w:val="8"/>
                <w:color w:val="auto"/>
              </w:rPr>
            </w:pPr>
          </w:p>
        </w:tc>
        <w:tc>
          <w:tcPr>
            <w:tcW w:w="204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gridSpan w:val="2"/>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(Target Number</w:t>
            </w:r>
          </w:p>
        </w:tc>
        <w:tc>
          <w:tcPr>
            <w:tcW w:w="20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 xml:space="preserve">Result </w:t>
            </w:r>
            <w:r>
              <w:rPr>
                <w:rFonts w:ascii="Arial" w:cs="Arial" w:eastAsia="Arial" w:hAnsi="Arial"/>
                <w:sz w:val="14"/>
                <w:szCs w:val="14"/>
                <w:b w:val="1"/>
                <w:bCs w:val="1"/>
                <w:color w:val="FFFFFF"/>
              </w:rPr>
              <w:t>(1)</w:t>
            </w:r>
          </w:p>
        </w:tc>
        <w:tc>
          <w:tcPr>
            <w:tcW w:w="200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Earned</w:t>
            </w: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00" w:type="dxa"/>
            <w:vAlign w:val="bottom"/>
            <w:shd w:val="clear" w:color="auto" w:fill="2D53A6"/>
          </w:tcPr>
          <w:p>
            <w:pPr>
              <w:spacing w:after="0"/>
              <w:rPr>
                <w:sz w:val="8"/>
                <w:szCs w:val="8"/>
                <w:color w:val="auto"/>
              </w:rPr>
            </w:pPr>
          </w:p>
        </w:tc>
        <w:tc>
          <w:tcPr>
            <w:tcW w:w="1780" w:type="dxa"/>
            <w:vAlign w:val="bottom"/>
            <w:tcBorders>
              <w:right w:val="single" w:sz="8" w:color="2D53A6"/>
            </w:tcBorders>
            <w:shd w:val="clear" w:color="auto" w:fill="2D53A6"/>
          </w:tcPr>
          <w:p>
            <w:pPr>
              <w:spacing w:after="0"/>
              <w:rPr>
                <w:sz w:val="8"/>
                <w:szCs w:val="8"/>
                <w:color w:val="auto"/>
              </w:rPr>
            </w:pPr>
          </w:p>
        </w:tc>
        <w:tc>
          <w:tcPr>
            <w:tcW w:w="2020" w:type="dxa"/>
            <w:vAlign w:val="bottom"/>
            <w:tcBorders>
              <w:right w:val="single" w:sz="8" w:color="2D53A6"/>
            </w:tcBorders>
            <w:vMerge w:val="continue"/>
            <w:shd w:val="clear" w:color="auto" w:fill="2D53A6"/>
          </w:tcPr>
          <w:p>
            <w:pPr>
              <w:spacing w:after="0"/>
              <w:rPr>
                <w:sz w:val="8"/>
                <w:szCs w:val="8"/>
                <w:color w:val="auto"/>
              </w:rPr>
            </w:pPr>
          </w:p>
        </w:tc>
        <w:tc>
          <w:tcPr>
            <w:tcW w:w="204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tcBorders>
              <w:right w:val="single" w:sz="8" w:color="2D53A6"/>
            </w:tcBorders>
            <w:vMerge w:val="continue"/>
            <w:shd w:val="clear" w:color="auto" w:fill="2D53A6"/>
          </w:tcPr>
          <w:p>
            <w:pPr>
              <w:spacing w:after="0"/>
              <w:rPr>
                <w:sz w:val="8"/>
                <w:szCs w:val="8"/>
                <w:color w:val="auto"/>
              </w:rPr>
            </w:pPr>
          </w:p>
        </w:tc>
        <w:tc>
          <w:tcPr>
            <w:tcW w:w="200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Target Number of</w:t>
            </w:r>
          </w:p>
        </w:tc>
        <w:tc>
          <w:tcPr>
            <w:tcW w:w="0" w:type="dxa"/>
            <w:vAlign w:val="bottom"/>
          </w:tcPr>
          <w:p>
            <w:pPr>
              <w:spacing w:after="0"/>
              <w:rPr>
                <w:sz w:val="1"/>
                <w:szCs w:val="1"/>
                <w:color w:val="auto"/>
              </w:rPr>
            </w:pPr>
          </w:p>
        </w:tc>
      </w:tr>
      <w:tr>
        <w:trPr>
          <w:trHeight w:val="108"/>
        </w:trPr>
        <w:tc>
          <w:tcPr>
            <w:tcW w:w="1400" w:type="dxa"/>
            <w:vAlign w:val="bottom"/>
            <w:shd w:val="clear" w:color="auto" w:fill="2D53A6"/>
          </w:tcPr>
          <w:p>
            <w:pPr>
              <w:spacing w:after="0"/>
              <w:rPr>
                <w:sz w:val="9"/>
                <w:szCs w:val="9"/>
                <w:color w:val="auto"/>
              </w:rPr>
            </w:pPr>
          </w:p>
        </w:tc>
        <w:tc>
          <w:tcPr>
            <w:tcW w:w="17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of Shares)</w:t>
            </w:r>
          </w:p>
        </w:tc>
        <w:tc>
          <w:tcPr>
            <w:tcW w:w="2040" w:type="dxa"/>
            <w:vAlign w:val="bottom"/>
            <w:tcBorders>
              <w:right w:val="single" w:sz="8" w:color="2D53A6"/>
            </w:tcBorders>
            <w:shd w:val="clear" w:color="auto" w:fill="2D53A6"/>
          </w:tcPr>
          <w:p>
            <w:pPr>
              <w:spacing w:after="0"/>
              <w:rPr>
                <w:sz w:val="9"/>
                <w:szCs w:val="9"/>
                <w:color w:val="auto"/>
              </w:rPr>
            </w:pPr>
          </w:p>
        </w:tc>
        <w:tc>
          <w:tcPr>
            <w:tcW w:w="2000" w:type="dxa"/>
            <w:vAlign w:val="bottom"/>
            <w:tcBorders>
              <w:right w:val="single" w:sz="8" w:color="2D53A6"/>
            </w:tcBorders>
            <w:shd w:val="clear" w:color="auto" w:fill="2D53A6"/>
          </w:tcPr>
          <w:p>
            <w:pPr>
              <w:spacing w:after="0"/>
              <w:rPr>
                <w:sz w:val="9"/>
                <w:szCs w:val="9"/>
                <w:color w:val="auto"/>
              </w:rPr>
            </w:pP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2D53A6"/>
          </w:tcPr>
          <w:p>
            <w:pPr>
              <w:spacing w:after="0"/>
              <w:rPr>
                <w:sz w:val="12"/>
                <w:szCs w:val="12"/>
                <w:color w:val="auto"/>
              </w:rPr>
            </w:pPr>
          </w:p>
        </w:tc>
        <w:tc>
          <w:tcPr>
            <w:tcW w:w="1780" w:type="dxa"/>
            <w:vAlign w:val="bottom"/>
            <w:tcBorders>
              <w:right w:val="single" w:sz="8" w:color="2D53A6"/>
            </w:tcBorders>
            <w:shd w:val="clear" w:color="auto" w:fill="2D53A6"/>
          </w:tcPr>
          <w:p>
            <w:pPr>
              <w:spacing w:after="0"/>
              <w:rPr>
                <w:sz w:val="12"/>
                <w:szCs w:val="12"/>
                <w:color w:val="auto"/>
              </w:rPr>
            </w:pPr>
          </w:p>
        </w:tc>
        <w:tc>
          <w:tcPr>
            <w:tcW w:w="2020" w:type="dxa"/>
            <w:vAlign w:val="bottom"/>
            <w:tcBorders>
              <w:right w:val="single" w:sz="8" w:color="2D53A6"/>
            </w:tcBorders>
            <w:vMerge w:val="continue"/>
            <w:shd w:val="clear" w:color="auto" w:fill="2D53A6"/>
          </w:tcPr>
          <w:p>
            <w:pPr>
              <w:spacing w:after="0"/>
              <w:rPr>
                <w:sz w:val="12"/>
                <w:szCs w:val="12"/>
                <w:color w:val="auto"/>
              </w:rPr>
            </w:pPr>
          </w:p>
        </w:tc>
        <w:tc>
          <w:tcPr>
            <w:tcW w:w="2040" w:type="dxa"/>
            <w:vAlign w:val="bottom"/>
            <w:tcBorders>
              <w:right w:val="single" w:sz="8" w:color="2D53A6"/>
            </w:tcBorders>
            <w:shd w:val="clear" w:color="auto" w:fill="2D53A6"/>
          </w:tcPr>
          <w:p>
            <w:pPr>
              <w:spacing w:after="0"/>
              <w:rPr>
                <w:sz w:val="12"/>
                <w:szCs w:val="12"/>
                <w:color w:val="auto"/>
              </w:rPr>
            </w:pPr>
          </w:p>
        </w:tc>
        <w:tc>
          <w:tcPr>
            <w:tcW w:w="2000" w:type="dxa"/>
            <w:vAlign w:val="bottom"/>
            <w:tcBorders>
              <w:right w:val="single" w:sz="8" w:color="2D53A6"/>
            </w:tcBorders>
            <w:shd w:val="clear" w:color="auto" w:fill="2D53A6"/>
          </w:tcPr>
          <w:p>
            <w:pPr>
              <w:spacing w:after="0"/>
              <w:rPr>
                <w:sz w:val="12"/>
                <w:szCs w:val="12"/>
                <w:color w:val="auto"/>
              </w:rPr>
            </w:pPr>
          </w:p>
        </w:tc>
        <w:tc>
          <w:tcPr>
            <w:tcW w:w="20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Shares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30"/>
        </w:trPr>
        <w:tc>
          <w:tcPr>
            <w:tcW w:w="1400" w:type="dxa"/>
            <w:vAlign w:val="bottom"/>
            <w:tcBorders>
              <w:bottom w:val="single" w:sz="8" w:color="2D53A6"/>
            </w:tcBorders>
            <w:shd w:val="clear" w:color="auto" w:fill="2D53A6"/>
          </w:tcPr>
          <w:p>
            <w:pPr>
              <w:spacing w:after="0"/>
              <w:rPr>
                <w:sz w:val="11"/>
                <w:szCs w:val="11"/>
                <w:color w:val="auto"/>
              </w:rPr>
            </w:pPr>
          </w:p>
        </w:tc>
        <w:tc>
          <w:tcPr>
            <w:tcW w:w="1780" w:type="dxa"/>
            <w:vAlign w:val="bottom"/>
            <w:tcBorders>
              <w:bottom w:val="single" w:sz="8" w:color="2D53A6"/>
              <w:right w:val="single" w:sz="8" w:color="2D53A6"/>
            </w:tcBorders>
            <w:shd w:val="clear" w:color="auto" w:fill="2D53A6"/>
          </w:tcPr>
          <w:p>
            <w:pPr>
              <w:spacing w:after="0"/>
              <w:rPr>
                <w:sz w:val="11"/>
                <w:szCs w:val="11"/>
                <w:color w:val="auto"/>
              </w:rPr>
            </w:pPr>
          </w:p>
        </w:tc>
        <w:tc>
          <w:tcPr>
            <w:tcW w:w="2020" w:type="dxa"/>
            <w:vAlign w:val="bottom"/>
            <w:tcBorders>
              <w:bottom w:val="single" w:sz="8" w:color="2D53A6"/>
              <w:right w:val="single" w:sz="8" w:color="2D53A6"/>
            </w:tcBorders>
            <w:shd w:val="clear" w:color="auto" w:fill="2D53A6"/>
          </w:tcPr>
          <w:p>
            <w:pPr>
              <w:spacing w:after="0"/>
              <w:rPr>
                <w:sz w:val="11"/>
                <w:szCs w:val="11"/>
                <w:color w:val="auto"/>
              </w:rPr>
            </w:pPr>
          </w:p>
        </w:tc>
        <w:tc>
          <w:tcPr>
            <w:tcW w:w="2040" w:type="dxa"/>
            <w:vAlign w:val="bottom"/>
            <w:tcBorders>
              <w:bottom w:val="single" w:sz="8" w:color="2D53A6"/>
              <w:right w:val="single" w:sz="8" w:color="2D53A6"/>
            </w:tcBorders>
            <w:shd w:val="clear" w:color="auto" w:fill="2D53A6"/>
          </w:tcPr>
          <w:p>
            <w:pPr>
              <w:spacing w:after="0"/>
              <w:rPr>
                <w:sz w:val="11"/>
                <w:szCs w:val="11"/>
                <w:color w:val="auto"/>
              </w:rPr>
            </w:pPr>
          </w:p>
        </w:tc>
        <w:tc>
          <w:tcPr>
            <w:tcW w:w="2000" w:type="dxa"/>
            <w:vAlign w:val="bottom"/>
            <w:tcBorders>
              <w:bottom w:val="single" w:sz="8" w:color="2D53A6"/>
              <w:right w:val="single" w:sz="8" w:color="2D53A6"/>
            </w:tcBorders>
            <w:shd w:val="clear" w:color="auto" w:fill="2D53A6"/>
          </w:tcPr>
          <w:p>
            <w:pPr>
              <w:spacing w:after="0"/>
              <w:rPr>
                <w:sz w:val="11"/>
                <w:szCs w:val="11"/>
                <w:color w:val="auto"/>
              </w:rPr>
            </w:pPr>
          </w:p>
        </w:tc>
        <w:tc>
          <w:tcPr>
            <w:tcW w:w="2000" w:type="dxa"/>
            <w:vAlign w:val="bottom"/>
            <w:tcBorders>
              <w:bottom w:val="single" w:sz="8" w:color="2D53A6"/>
            </w:tcBorders>
            <w:vMerge w:val="continue"/>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80" w:type="dxa"/>
            <w:vAlign w:val="bottom"/>
            <w:tcBorders>
              <w:right w:val="single" w:sz="8" w:color="2D53A6"/>
            </w:tcBorders>
            <w:gridSpan w:val="2"/>
          </w:tcPr>
          <w:p>
            <w:pPr>
              <w:ind w:left="60"/>
              <w:spacing w:after="0"/>
              <w:rPr>
                <w:sz w:val="20"/>
                <w:szCs w:val="20"/>
                <w:color w:val="auto"/>
              </w:rPr>
            </w:pPr>
            <w:r>
              <w:rPr>
                <w:rFonts w:ascii="Arial" w:cs="Arial" w:eastAsia="Arial" w:hAnsi="Arial"/>
                <w:sz w:val="18"/>
                <w:szCs w:val="18"/>
                <w:color w:val="auto"/>
              </w:rPr>
              <w:t>Luis A. Müller</w:t>
            </w:r>
          </w:p>
        </w:tc>
        <w:tc>
          <w:tcPr>
            <w:tcW w:w="20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28,604</w:t>
            </w:r>
          </w:p>
        </w:tc>
        <w:tc>
          <w:tcPr>
            <w:tcW w:w="20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-6.2%</w:t>
            </w:r>
          </w:p>
        </w:tc>
        <w:tc>
          <w:tcPr>
            <w:tcW w:w="20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25,057</w:t>
            </w:r>
          </w:p>
        </w:tc>
        <w:tc>
          <w:tcPr>
            <w:tcW w:w="2000" w:type="dxa"/>
            <w:vAlign w:val="bottom"/>
          </w:tcPr>
          <w:p>
            <w:pPr>
              <w:jc w:val="center"/>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7"/>
        </w:trPr>
        <w:tc>
          <w:tcPr>
            <w:tcW w:w="1400" w:type="dxa"/>
            <w:vAlign w:val="bottom"/>
            <w:tcBorders>
              <w:bottom w:val="single" w:sz="8" w:color="2D53A6"/>
            </w:tcBorders>
          </w:tcPr>
          <w:p>
            <w:pPr>
              <w:spacing w:after="0"/>
              <w:rPr>
                <w:sz w:val="3"/>
                <w:szCs w:val="3"/>
                <w:color w:val="auto"/>
              </w:rPr>
            </w:pPr>
          </w:p>
        </w:tc>
        <w:tc>
          <w:tcPr>
            <w:tcW w:w="1780" w:type="dxa"/>
            <w:vAlign w:val="bottom"/>
            <w:tcBorders>
              <w:bottom w:val="single" w:sz="8" w:color="2D53A6"/>
              <w:right w:val="single" w:sz="8" w:color="2D53A6"/>
            </w:tcBorders>
          </w:tcPr>
          <w:p>
            <w:pPr>
              <w:spacing w:after="0"/>
              <w:rPr>
                <w:sz w:val="3"/>
                <w:szCs w:val="3"/>
                <w:color w:val="auto"/>
              </w:rPr>
            </w:pPr>
          </w:p>
        </w:tc>
        <w:tc>
          <w:tcPr>
            <w:tcW w:w="2020" w:type="dxa"/>
            <w:vAlign w:val="bottom"/>
            <w:tcBorders>
              <w:bottom w:val="single" w:sz="8" w:color="2D53A6"/>
              <w:right w:val="single" w:sz="8" w:color="2D53A6"/>
            </w:tcBorders>
          </w:tcPr>
          <w:p>
            <w:pPr>
              <w:spacing w:after="0"/>
              <w:rPr>
                <w:sz w:val="3"/>
                <w:szCs w:val="3"/>
                <w:color w:val="auto"/>
              </w:rPr>
            </w:pPr>
          </w:p>
        </w:tc>
        <w:tc>
          <w:tcPr>
            <w:tcW w:w="204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180" w:type="dxa"/>
            <w:vAlign w:val="bottom"/>
            <w:tcBorders>
              <w:bottom w:val="single" w:sz="8" w:color="E6E6E6"/>
              <w:right w:val="single" w:sz="8" w:color="2D53A6"/>
            </w:tcBorders>
            <w:gridSpan w:val="2"/>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20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9,382</w:t>
            </w:r>
          </w:p>
        </w:tc>
        <w:tc>
          <w:tcPr>
            <w:tcW w:w="20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-6.2%</w:t>
            </w:r>
          </w:p>
        </w:tc>
        <w:tc>
          <w:tcPr>
            <w:tcW w:w="20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8,218</w:t>
            </w:r>
          </w:p>
        </w:tc>
        <w:tc>
          <w:tcPr>
            <w:tcW w:w="20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68"/>
        </w:trPr>
        <w:tc>
          <w:tcPr>
            <w:tcW w:w="3180" w:type="dxa"/>
            <w:vAlign w:val="bottom"/>
            <w:tcBorders>
              <w:top w:val="single" w:sz="8" w:color="2D53A6"/>
              <w:right w:val="single" w:sz="8" w:color="2D53A6"/>
            </w:tcBorders>
            <w:gridSpan w:val="2"/>
          </w:tcPr>
          <w:p>
            <w:pPr>
              <w:ind w:left="60"/>
              <w:spacing w:after="0"/>
              <w:rPr>
                <w:sz w:val="20"/>
                <w:szCs w:val="20"/>
                <w:color w:val="auto"/>
              </w:rPr>
            </w:pPr>
            <w:r>
              <w:rPr>
                <w:rFonts w:ascii="Arial" w:cs="Arial" w:eastAsia="Arial" w:hAnsi="Arial"/>
                <w:sz w:val="18"/>
                <w:szCs w:val="18"/>
                <w:color w:val="auto"/>
              </w:rPr>
              <w:t>Christopher G. Bohrson</w:t>
            </w:r>
          </w:p>
        </w:tc>
        <w:tc>
          <w:tcPr>
            <w:tcW w:w="20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6,178</w:t>
            </w:r>
          </w:p>
        </w:tc>
        <w:tc>
          <w:tcPr>
            <w:tcW w:w="20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-6.2%</w:t>
            </w:r>
          </w:p>
        </w:tc>
        <w:tc>
          <w:tcPr>
            <w:tcW w:w="20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5,411</w:t>
            </w:r>
          </w:p>
        </w:tc>
        <w:tc>
          <w:tcPr>
            <w:tcW w:w="20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6"/>
        </w:trPr>
        <w:tc>
          <w:tcPr>
            <w:tcW w:w="1400" w:type="dxa"/>
            <w:vAlign w:val="bottom"/>
            <w:tcBorders>
              <w:bottom w:val="single" w:sz="8" w:color="2D53A6"/>
            </w:tcBorders>
          </w:tcPr>
          <w:p>
            <w:pPr>
              <w:spacing w:after="0"/>
              <w:rPr>
                <w:sz w:val="3"/>
                <w:szCs w:val="3"/>
                <w:color w:val="auto"/>
              </w:rPr>
            </w:pPr>
          </w:p>
        </w:tc>
        <w:tc>
          <w:tcPr>
            <w:tcW w:w="1780" w:type="dxa"/>
            <w:vAlign w:val="bottom"/>
            <w:tcBorders>
              <w:bottom w:val="single" w:sz="8" w:color="2D53A6"/>
              <w:right w:val="single" w:sz="8" w:color="2D53A6"/>
            </w:tcBorders>
          </w:tcPr>
          <w:p>
            <w:pPr>
              <w:spacing w:after="0"/>
              <w:rPr>
                <w:sz w:val="3"/>
                <w:szCs w:val="3"/>
                <w:color w:val="auto"/>
              </w:rPr>
            </w:pPr>
          </w:p>
        </w:tc>
        <w:tc>
          <w:tcPr>
            <w:tcW w:w="2020" w:type="dxa"/>
            <w:vAlign w:val="bottom"/>
            <w:tcBorders>
              <w:bottom w:val="single" w:sz="8" w:color="2D53A6"/>
              <w:right w:val="single" w:sz="8" w:color="2D53A6"/>
            </w:tcBorders>
          </w:tcPr>
          <w:p>
            <w:pPr>
              <w:spacing w:after="0"/>
              <w:rPr>
                <w:sz w:val="3"/>
                <w:szCs w:val="3"/>
                <w:color w:val="auto"/>
              </w:rPr>
            </w:pPr>
          </w:p>
        </w:tc>
        <w:tc>
          <w:tcPr>
            <w:tcW w:w="204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180" w:type="dxa"/>
            <w:vAlign w:val="bottom"/>
            <w:tcBorders>
              <w:bottom w:val="single" w:sz="8" w:color="E6E6E6"/>
              <w:right w:val="single" w:sz="8" w:color="2D53A6"/>
            </w:tcBorders>
            <w:gridSpan w:val="2"/>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20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4,576</w:t>
            </w:r>
          </w:p>
        </w:tc>
        <w:tc>
          <w:tcPr>
            <w:tcW w:w="20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-6.2%</w:t>
            </w:r>
          </w:p>
        </w:tc>
        <w:tc>
          <w:tcPr>
            <w:tcW w:w="20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4,008</w:t>
            </w:r>
          </w:p>
        </w:tc>
        <w:tc>
          <w:tcPr>
            <w:tcW w:w="20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68"/>
        </w:trPr>
        <w:tc>
          <w:tcPr>
            <w:tcW w:w="3180" w:type="dxa"/>
            <w:vAlign w:val="bottom"/>
            <w:tcBorders>
              <w:top w:val="single" w:sz="8" w:color="2D53A6"/>
              <w:right w:val="single" w:sz="8" w:color="2D53A6"/>
            </w:tcBorders>
            <w:gridSpan w:val="2"/>
          </w:tcPr>
          <w:p>
            <w:pPr>
              <w:ind w:left="60"/>
              <w:spacing w:after="0"/>
              <w:rPr>
                <w:sz w:val="20"/>
                <w:szCs w:val="20"/>
                <w:color w:val="auto"/>
              </w:rPr>
            </w:pPr>
            <w:r>
              <w:rPr>
                <w:rFonts w:ascii="Arial" w:cs="Arial" w:eastAsia="Arial" w:hAnsi="Arial"/>
                <w:sz w:val="18"/>
                <w:szCs w:val="18"/>
                <w:color w:val="auto"/>
              </w:rPr>
              <w:t>Ian P. Lawee</w:t>
            </w:r>
          </w:p>
        </w:tc>
        <w:tc>
          <w:tcPr>
            <w:tcW w:w="20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4,004</w:t>
            </w:r>
          </w:p>
        </w:tc>
        <w:tc>
          <w:tcPr>
            <w:tcW w:w="20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-6.2%</w:t>
            </w:r>
          </w:p>
        </w:tc>
        <w:tc>
          <w:tcPr>
            <w:tcW w:w="20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3,507</w:t>
            </w:r>
          </w:p>
        </w:tc>
        <w:tc>
          <w:tcPr>
            <w:tcW w:w="20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7"/>
        </w:trPr>
        <w:tc>
          <w:tcPr>
            <w:tcW w:w="1400" w:type="dxa"/>
            <w:vAlign w:val="bottom"/>
            <w:tcBorders>
              <w:bottom w:val="single" w:sz="8" w:color="2D53A6"/>
            </w:tcBorders>
          </w:tcPr>
          <w:p>
            <w:pPr>
              <w:spacing w:after="0"/>
              <w:rPr>
                <w:sz w:val="3"/>
                <w:szCs w:val="3"/>
                <w:color w:val="auto"/>
              </w:rPr>
            </w:pPr>
          </w:p>
        </w:tc>
        <w:tc>
          <w:tcPr>
            <w:tcW w:w="1780" w:type="dxa"/>
            <w:vAlign w:val="bottom"/>
            <w:tcBorders>
              <w:bottom w:val="single" w:sz="8" w:color="2D53A6"/>
              <w:right w:val="single" w:sz="8" w:color="2D53A6"/>
            </w:tcBorders>
          </w:tcPr>
          <w:p>
            <w:pPr>
              <w:spacing w:after="0"/>
              <w:rPr>
                <w:sz w:val="3"/>
                <w:szCs w:val="3"/>
                <w:color w:val="auto"/>
              </w:rPr>
            </w:pPr>
          </w:p>
        </w:tc>
        <w:tc>
          <w:tcPr>
            <w:tcW w:w="2020" w:type="dxa"/>
            <w:vAlign w:val="bottom"/>
            <w:tcBorders>
              <w:bottom w:val="single" w:sz="8" w:color="2D53A6"/>
              <w:right w:val="single" w:sz="8" w:color="2D53A6"/>
            </w:tcBorders>
          </w:tcPr>
          <w:p>
            <w:pPr>
              <w:spacing w:after="0"/>
              <w:rPr>
                <w:sz w:val="3"/>
                <w:szCs w:val="3"/>
                <w:color w:val="auto"/>
              </w:rPr>
            </w:pPr>
          </w:p>
        </w:tc>
        <w:tc>
          <w:tcPr>
            <w:tcW w:w="204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right w:val="single" w:sz="8" w:color="2D53A6"/>
            </w:tcBorders>
          </w:tcPr>
          <w:p>
            <w:pPr>
              <w:spacing w:after="0"/>
              <w:rPr>
                <w:sz w:val="3"/>
                <w:szCs w:val="3"/>
                <w:color w:val="auto"/>
              </w:rPr>
            </w:pPr>
          </w:p>
        </w:tc>
        <w:tc>
          <w:tcPr>
            <w:tcW w:w="200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COHU TSR (-4.2%) compared to RUT TSR (+2.0%)</w:t>
      </w:r>
    </w:p>
    <w:p>
      <w:pPr>
        <w:spacing w:after="0" w:line="5" w:lineRule="exact"/>
        <w:rPr>
          <w:rFonts w:ascii="Arial" w:cs="Arial" w:eastAsia="Arial" w:hAnsi="Arial"/>
          <w:sz w:val="14"/>
          <w:szCs w:val="14"/>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100% + (2 times (RUT TSR - COHU TSR)), which for 2023, was 100% + (2 times (- 6.2%)) = 87.6%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Benefits and Section 401(k) Plan</w:t>
      </w:r>
    </w:p>
    <w:p>
      <w:pPr>
        <w:spacing w:after="0" w:line="19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The annual limit, which is indexed, was $330,000 for 2023.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“2023 Nonqualified Deferred Compensation” below.</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2023 are immediately vested and our matching contribution was at the rate of 50% of the first 8% of employee pre-tax contributions to the plan. Generally, during 2023 the maximum annual amount that any participant could contribute to the 401(k) Plan was $22,500 unless aged 50 or more which allows participants to make an additional $7,500 in “catch-up” contributions and our maximum matching contribution was $13,200.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2023,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6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Each year, we informally review our U.S. based benefit programs against our peers with data provided by Aon, our health and welfare benefits broker of record, and by Retirement Benefits Group,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6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analyze changes to our benefit programs in light of the overall objectives of the programs, including the effectiveness of their incentive and retention features.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60" w:type="dxa"/>
            <w:vAlign w:val="bottom"/>
            <w:gridSpan w:val="2"/>
          </w:tcPr>
          <w:p>
            <w:pPr>
              <w:spacing w:after="0"/>
              <w:rPr>
                <w:sz w:val="20"/>
                <w:szCs w:val="20"/>
                <w:color w:val="auto"/>
              </w:rPr>
            </w:pPr>
            <w:r>
              <w:rPr>
                <w:rFonts w:ascii="Arial" w:cs="Arial" w:eastAsia="Arial" w:hAnsi="Arial"/>
                <w:sz w:val="18"/>
                <w:szCs w:val="18"/>
                <w:color w:val="auto"/>
              </w:rPr>
              <w:t>During 2023, we provided our NEOs with automobile expense reimbursement or allowances as follows:</w:t>
            </w:r>
          </w:p>
        </w:tc>
        <w:tc>
          <w:tcPr>
            <w:tcW w:w="2780" w:type="dxa"/>
            <w:vAlign w:val="bottom"/>
          </w:tcPr>
          <w:p>
            <w:pPr>
              <w:spacing w:after="0"/>
              <w:rPr>
                <w:sz w:val="20"/>
                <w:szCs w:val="20"/>
                <w:color w:val="auto"/>
              </w:rPr>
            </w:pPr>
          </w:p>
        </w:tc>
      </w:tr>
      <w:tr>
        <w:trPr>
          <w:trHeight w:val="185"/>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304"/>
        </w:trPr>
        <w:tc>
          <w:tcPr>
            <w:tcW w:w="8460" w:type="dxa"/>
            <w:vAlign w:val="bottom"/>
            <w:tcBorders>
              <w:bottom w:val="single" w:sz="8" w:color="2D53A6"/>
            </w:tcBorders>
            <w:gridSpan w:val="2"/>
            <w:shd w:val="clear" w:color="auto" w:fill="2D53A6"/>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2780" w:type="dxa"/>
            <w:vAlign w:val="bottom"/>
            <w:tcBorders>
              <w:bottom w:val="single" w:sz="8" w:color="2D53A6"/>
            </w:tcBorders>
            <w:shd w:val="clear" w:color="auto" w:fill="2D53A6"/>
          </w:tcPr>
          <w:p>
            <w:pPr>
              <w:jc w:val="center"/>
              <w:ind w:right="190"/>
              <w:spacing w:after="0"/>
              <w:rPr>
                <w:sz w:val="20"/>
                <w:szCs w:val="20"/>
                <w:color w:val="auto"/>
              </w:rPr>
            </w:pPr>
            <w:r>
              <w:rPr>
                <w:rFonts w:ascii="Arial" w:cs="Arial" w:eastAsia="Arial" w:hAnsi="Arial"/>
                <w:sz w:val="18"/>
                <w:szCs w:val="18"/>
                <w:b w:val="1"/>
                <w:bCs w:val="1"/>
                <w:color w:val="FFFFFF"/>
              </w:rPr>
              <w:t>Annual Auto Allowance</w:t>
            </w:r>
          </w:p>
        </w:tc>
      </w:tr>
      <w:tr>
        <w:trPr>
          <w:trHeight w:val="274"/>
        </w:trPr>
        <w:tc>
          <w:tcPr>
            <w:tcW w:w="820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260" w:type="dxa"/>
            <w:vAlign w:val="bottom"/>
          </w:tcPr>
          <w:p>
            <w:pPr>
              <w:spacing w:after="0"/>
              <w:rPr>
                <w:sz w:val="23"/>
                <w:szCs w:val="23"/>
                <w:color w:val="auto"/>
              </w:rPr>
            </w:pPr>
          </w:p>
        </w:tc>
        <w:tc>
          <w:tcPr>
            <w:tcW w:w="2780" w:type="dxa"/>
            <w:vAlign w:val="bottom"/>
          </w:tcPr>
          <w:p>
            <w:pPr>
              <w:jc w:val="center"/>
              <w:ind w:right="190"/>
              <w:spacing w:after="0"/>
              <w:rPr>
                <w:sz w:val="20"/>
                <w:szCs w:val="20"/>
                <w:color w:val="auto"/>
              </w:rPr>
            </w:pPr>
            <w:r>
              <w:rPr>
                <w:rFonts w:ascii="Arial" w:cs="Arial" w:eastAsia="Arial" w:hAnsi="Arial"/>
                <w:sz w:val="18"/>
                <w:szCs w:val="18"/>
                <w:color w:val="auto"/>
                <w:w w:val="98"/>
              </w:rPr>
              <w:t>$9,000</w:t>
            </w:r>
          </w:p>
        </w:tc>
      </w:tr>
      <w:tr>
        <w:trPr>
          <w:trHeight w:val="37"/>
        </w:trPr>
        <w:tc>
          <w:tcPr>
            <w:tcW w:w="8200" w:type="dxa"/>
            <w:vAlign w:val="bottom"/>
            <w:tcBorders>
              <w:bottom w:val="single" w:sz="8" w:color="2D53A6"/>
              <w:right w:val="single" w:sz="8" w:color="2D53A6"/>
            </w:tcBorders>
          </w:tcPr>
          <w:p>
            <w:pPr>
              <w:spacing w:after="0"/>
              <w:rPr>
                <w:sz w:val="3"/>
                <w:szCs w:val="3"/>
                <w:color w:val="auto"/>
              </w:rPr>
            </w:pPr>
          </w:p>
        </w:tc>
        <w:tc>
          <w:tcPr>
            <w:tcW w:w="260" w:type="dxa"/>
            <w:vAlign w:val="bottom"/>
            <w:tcBorders>
              <w:bottom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r>
      <w:tr>
        <w:trPr>
          <w:trHeight w:val="309"/>
        </w:trPr>
        <w:tc>
          <w:tcPr>
            <w:tcW w:w="8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260" w:type="dxa"/>
            <w:vAlign w:val="bottom"/>
            <w:tcBorders>
              <w:bottom w:val="single" w:sz="8" w:color="E6E6E6"/>
            </w:tcBorders>
            <w:shd w:val="clear" w:color="auto" w:fill="E6E6E6"/>
          </w:tcPr>
          <w:p>
            <w:pPr>
              <w:spacing w:after="0"/>
              <w:rPr>
                <w:sz w:val="24"/>
                <w:szCs w:val="24"/>
                <w:color w:val="auto"/>
              </w:rPr>
            </w:pPr>
          </w:p>
        </w:tc>
        <w:tc>
          <w:tcPr>
            <w:tcW w:w="2780" w:type="dxa"/>
            <w:vAlign w:val="bottom"/>
            <w:tcBorders>
              <w:bottom w:val="single" w:sz="8" w:color="E6E6E6"/>
            </w:tcBorders>
            <w:shd w:val="clear" w:color="auto" w:fill="E6E6E6"/>
          </w:tcPr>
          <w:p>
            <w:pPr>
              <w:jc w:val="center"/>
              <w:ind w:right="190"/>
              <w:spacing w:after="0"/>
              <w:rPr>
                <w:sz w:val="20"/>
                <w:szCs w:val="20"/>
                <w:color w:val="auto"/>
              </w:rPr>
            </w:pPr>
            <w:r>
              <w:rPr>
                <w:rFonts w:ascii="Arial" w:cs="Arial" w:eastAsia="Arial" w:hAnsi="Arial"/>
                <w:sz w:val="18"/>
                <w:szCs w:val="18"/>
                <w:color w:val="auto"/>
                <w:w w:val="98"/>
              </w:rPr>
              <w:t>$6,000</w:t>
            </w:r>
          </w:p>
        </w:tc>
      </w:tr>
      <w:tr>
        <w:trPr>
          <w:trHeight w:val="268"/>
        </w:trPr>
        <w:tc>
          <w:tcPr>
            <w:tcW w:w="8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260" w:type="dxa"/>
            <w:vAlign w:val="bottom"/>
            <w:tcBorders>
              <w:top w:val="single" w:sz="8" w:color="2D53A6"/>
            </w:tcBorders>
          </w:tcPr>
          <w:p>
            <w:pPr>
              <w:spacing w:after="0"/>
              <w:rPr>
                <w:sz w:val="23"/>
                <w:szCs w:val="23"/>
                <w:color w:val="auto"/>
              </w:rPr>
            </w:pPr>
          </w:p>
        </w:tc>
        <w:tc>
          <w:tcPr>
            <w:tcW w:w="2780" w:type="dxa"/>
            <w:vAlign w:val="bottom"/>
            <w:tcBorders>
              <w:top w:val="single" w:sz="8" w:color="2D53A6"/>
            </w:tcBorders>
          </w:tcPr>
          <w:p>
            <w:pPr>
              <w:jc w:val="center"/>
              <w:ind w:right="190"/>
              <w:spacing w:after="0"/>
              <w:rPr>
                <w:sz w:val="20"/>
                <w:szCs w:val="20"/>
                <w:color w:val="auto"/>
              </w:rPr>
            </w:pPr>
            <w:r>
              <w:rPr>
                <w:rFonts w:ascii="Arial" w:cs="Arial" w:eastAsia="Arial" w:hAnsi="Arial"/>
                <w:sz w:val="18"/>
                <w:szCs w:val="18"/>
                <w:color w:val="auto"/>
                <w:w w:val="98"/>
              </w:rPr>
              <w:t>$6,000</w:t>
            </w:r>
          </w:p>
        </w:tc>
      </w:tr>
      <w:tr>
        <w:trPr>
          <w:trHeight w:val="36"/>
        </w:trPr>
        <w:tc>
          <w:tcPr>
            <w:tcW w:w="8200" w:type="dxa"/>
            <w:vAlign w:val="bottom"/>
            <w:tcBorders>
              <w:bottom w:val="single" w:sz="8" w:color="2D53A6"/>
              <w:right w:val="single" w:sz="8" w:color="2D53A6"/>
            </w:tcBorders>
          </w:tcPr>
          <w:p>
            <w:pPr>
              <w:spacing w:after="0"/>
              <w:rPr>
                <w:sz w:val="3"/>
                <w:szCs w:val="3"/>
                <w:color w:val="auto"/>
              </w:rPr>
            </w:pPr>
          </w:p>
        </w:tc>
        <w:tc>
          <w:tcPr>
            <w:tcW w:w="260" w:type="dxa"/>
            <w:vAlign w:val="bottom"/>
            <w:tcBorders>
              <w:bottom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r>
      <w:tr>
        <w:trPr>
          <w:trHeight w:val="309"/>
        </w:trPr>
        <w:tc>
          <w:tcPr>
            <w:tcW w:w="82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260" w:type="dxa"/>
            <w:vAlign w:val="bottom"/>
            <w:tcBorders>
              <w:bottom w:val="single" w:sz="8" w:color="E6E6E6"/>
            </w:tcBorders>
            <w:shd w:val="clear" w:color="auto" w:fill="E6E6E6"/>
          </w:tcPr>
          <w:p>
            <w:pPr>
              <w:spacing w:after="0"/>
              <w:rPr>
                <w:sz w:val="24"/>
                <w:szCs w:val="24"/>
                <w:color w:val="auto"/>
              </w:rPr>
            </w:pPr>
          </w:p>
        </w:tc>
        <w:tc>
          <w:tcPr>
            <w:tcW w:w="2780" w:type="dxa"/>
            <w:vAlign w:val="bottom"/>
            <w:tcBorders>
              <w:bottom w:val="single" w:sz="8" w:color="E6E6E6"/>
            </w:tcBorders>
            <w:shd w:val="clear" w:color="auto" w:fill="E6E6E6"/>
          </w:tcPr>
          <w:p>
            <w:pPr>
              <w:jc w:val="center"/>
              <w:ind w:right="190"/>
              <w:spacing w:after="0"/>
              <w:rPr>
                <w:sz w:val="20"/>
                <w:szCs w:val="20"/>
                <w:color w:val="auto"/>
              </w:rPr>
            </w:pPr>
            <w:r>
              <w:rPr>
                <w:rFonts w:ascii="Arial" w:cs="Arial" w:eastAsia="Arial" w:hAnsi="Arial"/>
                <w:sz w:val="18"/>
                <w:szCs w:val="18"/>
                <w:color w:val="auto"/>
                <w:w w:val="98"/>
              </w:rPr>
              <w:t>$6,000</w:t>
            </w:r>
          </w:p>
        </w:tc>
      </w:tr>
      <w:tr>
        <w:trPr>
          <w:trHeight w:val="268"/>
        </w:trPr>
        <w:tc>
          <w:tcPr>
            <w:tcW w:w="82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260" w:type="dxa"/>
            <w:vAlign w:val="bottom"/>
            <w:tcBorders>
              <w:top w:val="single" w:sz="8" w:color="2D53A6"/>
            </w:tcBorders>
          </w:tcPr>
          <w:p>
            <w:pPr>
              <w:spacing w:after="0"/>
              <w:rPr>
                <w:sz w:val="23"/>
                <w:szCs w:val="23"/>
                <w:color w:val="auto"/>
              </w:rPr>
            </w:pPr>
          </w:p>
        </w:tc>
        <w:tc>
          <w:tcPr>
            <w:tcW w:w="2780" w:type="dxa"/>
            <w:vAlign w:val="bottom"/>
            <w:tcBorders>
              <w:top w:val="single" w:sz="8" w:color="2D53A6"/>
            </w:tcBorders>
          </w:tcPr>
          <w:p>
            <w:pPr>
              <w:jc w:val="center"/>
              <w:ind w:right="190"/>
              <w:spacing w:after="0"/>
              <w:rPr>
                <w:sz w:val="20"/>
                <w:szCs w:val="20"/>
                <w:color w:val="auto"/>
              </w:rPr>
            </w:pPr>
            <w:r>
              <w:rPr>
                <w:rFonts w:ascii="Arial" w:cs="Arial" w:eastAsia="Arial" w:hAnsi="Arial"/>
                <w:sz w:val="18"/>
                <w:szCs w:val="18"/>
                <w:color w:val="auto"/>
                <w:w w:val="98"/>
              </w:rPr>
              <w:t>$6,000</w:t>
            </w:r>
          </w:p>
        </w:tc>
      </w:tr>
      <w:tr>
        <w:trPr>
          <w:trHeight w:val="37"/>
        </w:trPr>
        <w:tc>
          <w:tcPr>
            <w:tcW w:w="8200" w:type="dxa"/>
            <w:vAlign w:val="bottom"/>
            <w:tcBorders>
              <w:bottom w:val="single" w:sz="8" w:color="2D53A6"/>
              <w:right w:val="single" w:sz="8" w:color="2D53A6"/>
            </w:tcBorders>
          </w:tcPr>
          <w:p>
            <w:pPr>
              <w:spacing w:after="0"/>
              <w:rPr>
                <w:sz w:val="3"/>
                <w:szCs w:val="3"/>
                <w:color w:val="auto"/>
              </w:rPr>
            </w:pPr>
          </w:p>
        </w:tc>
        <w:tc>
          <w:tcPr>
            <w:tcW w:w="260" w:type="dxa"/>
            <w:vAlign w:val="bottom"/>
            <w:tcBorders>
              <w:bottom w:val="single" w:sz="8" w:color="2D53A6"/>
            </w:tcBorders>
          </w:tcPr>
          <w:p>
            <w:pPr>
              <w:spacing w:after="0"/>
              <w:rPr>
                <w:sz w:val="3"/>
                <w:szCs w:val="3"/>
                <w:color w:val="auto"/>
              </w:rPr>
            </w:pPr>
          </w:p>
        </w:tc>
        <w:tc>
          <w:tcPr>
            <w:tcW w:w="2780" w:type="dxa"/>
            <w:vAlign w:val="bottom"/>
            <w:tcBorders>
              <w:bottom w:val="single" w:sz="8" w:color="2D53A6"/>
            </w:tcBorders>
          </w:tcPr>
          <w:p>
            <w:pPr>
              <w:spacing w:after="0"/>
              <w:rPr>
                <w:sz w:val="3"/>
                <w:szCs w:val="3"/>
                <w:color w:val="auto"/>
              </w:rPr>
            </w:pPr>
          </w:p>
        </w:tc>
      </w:tr>
    </w:tbl>
    <w:p>
      <w:pPr>
        <w:spacing w:after="0" w:line="18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Employment Agreements</w:t>
      </w:r>
    </w:p>
    <w:p>
      <w:pPr>
        <w:spacing w:after="0" w:line="2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do not have employment agreements with our NEOs. The material terms of stock awards granted to our NEOs in 2023 and performance-based cash incentives earned by our NEOs for 2023 are described in more detail in “Long-Term Incentive Compensation” and “Short-Term Incentive Plan”, respectively, above.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Post-Employment Compensation</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Other Compensation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19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640" w:type="dxa"/>
            <w:vAlign w:val="bottom"/>
            <w:tcBorders>
              <w:bottom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rPr>
              <w:t>Individual Subject to Stock Ownership Policy</w:t>
            </w:r>
          </w:p>
        </w:tc>
        <w:tc>
          <w:tcPr>
            <w:tcW w:w="5600" w:type="dxa"/>
            <w:vAlign w:val="bottom"/>
            <w:tcBorders>
              <w:bottom w:val="single" w:sz="8" w:color="2D53A6"/>
            </w:tcBorders>
            <w:shd w:val="clear" w:color="auto" w:fill="2D53A6"/>
          </w:tcPr>
          <w:p>
            <w:pPr>
              <w:ind w:left="20"/>
              <w:spacing w:after="0"/>
              <w:rPr>
                <w:sz w:val="20"/>
                <w:szCs w:val="20"/>
                <w:color w:val="auto"/>
              </w:rPr>
            </w:pPr>
            <w:r>
              <w:rPr>
                <w:rFonts w:ascii="Arial" w:cs="Arial" w:eastAsia="Arial" w:hAnsi="Arial"/>
                <w:sz w:val="18"/>
                <w:szCs w:val="18"/>
                <w:b w:val="1"/>
                <w:bCs w:val="1"/>
                <w:color w:val="FFFFFF"/>
              </w:rPr>
              <w:t>Minimum Required Level of Stock Ownership</w:t>
            </w:r>
          </w:p>
        </w:tc>
      </w:tr>
      <w:tr>
        <w:trPr>
          <w:trHeight w:val="261"/>
        </w:trPr>
        <w:tc>
          <w:tcPr>
            <w:tcW w:w="56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ind w:left="20"/>
              <w:spacing w:after="0"/>
              <w:rPr>
                <w:sz w:val="20"/>
                <w:szCs w:val="20"/>
                <w:color w:val="auto"/>
              </w:rPr>
            </w:pPr>
            <w:r>
              <w:rPr>
                <w:rFonts w:ascii="Arial" w:cs="Arial" w:eastAsia="Arial" w:hAnsi="Arial"/>
                <w:sz w:val="18"/>
                <w:szCs w:val="18"/>
                <w:color w:val="auto"/>
              </w:rPr>
              <w:t>Three times annual base salary</w:t>
            </w:r>
          </w:p>
        </w:tc>
      </w:tr>
      <w:tr>
        <w:trPr>
          <w:trHeight w:val="23"/>
        </w:trPr>
        <w:tc>
          <w:tcPr>
            <w:tcW w:w="5640" w:type="dxa"/>
            <w:vAlign w:val="bottom"/>
            <w:tcBorders>
              <w:bottom w:val="single" w:sz="8" w:color="2D53A6"/>
              <w:right w:val="single" w:sz="8" w:color="2D53A6"/>
            </w:tcBorders>
          </w:tcPr>
          <w:p>
            <w:pPr>
              <w:spacing w:after="0"/>
              <w:rPr>
                <w:sz w:val="2"/>
                <w:szCs w:val="2"/>
                <w:color w:val="auto"/>
              </w:rPr>
            </w:pPr>
          </w:p>
        </w:tc>
        <w:tc>
          <w:tcPr>
            <w:tcW w:w="5600" w:type="dxa"/>
            <w:vAlign w:val="bottom"/>
            <w:tcBorders>
              <w:bottom w:val="single" w:sz="8" w:color="2D53A6"/>
            </w:tcBorders>
          </w:tcPr>
          <w:p>
            <w:pPr>
              <w:spacing w:after="0"/>
              <w:rPr>
                <w:sz w:val="2"/>
                <w:szCs w:val="2"/>
                <w:color w:val="auto"/>
              </w:rPr>
            </w:pPr>
          </w:p>
        </w:tc>
      </w:tr>
      <w:tr>
        <w:trPr>
          <w:trHeight w:val="282"/>
        </w:trPr>
        <w:tc>
          <w:tcPr>
            <w:tcW w:w="56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Chief Financial Officer</w:t>
            </w:r>
          </w:p>
        </w:tc>
        <w:tc>
          <w:tcPr>
            <w:tcW w:w="56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Two times annual base salary</w:t>
            </w:r>
          </w:p>
        </w:tc>
      </w:tr>
      <w:tr>
        <w:trPr>
          <w:trHeight w:val="254"/>
        </w:trPr>
        <w:tc>
          <w:tcPr>
            <w:tcW w:w="56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All other executive officers</w:t>
            </w:r>
          </w:p>
        </w:tc>
        <w:tc>
          <w:tcPr>
            <w:tcW w:w="5600" w:type="dxa"/>
            <w:vAlign w:val="bottom"/>
            <w:tcBorders>
              <w:top w:val="single" w:sz="8" w:color="2D53A6"/>
            </w:tcBorders>
          </w:tcPr>
          <w:p>
            <w:pPr>
              <w:ind w:left="20"/>
              <w:spacing w:after="0"/>
              <w:rPr>
                <w:sz w:val="20"/>
                <w:szCs w:val="20"/>
                <w:color w:val="auto"/>
              </w:rPr>
            </w:pPr>
            <w:r>
              <w:rPr>
                <w:rFonts w:ascii="Arial" w:cs="Arial" w:eastAsia="Arial" w:hAnsi="Arial"/>
                <w:sz w:val="18"/>
                <w:szCs w:val="18"/>
                <w:color w:val="auto"/>
              </w:rPr>
              <w:t>One times annual base salary</w:t>
            </w:r>
          </w:p>
        </w:tc>
      </w:tr>
      <w:tr>
        <w:trPr>
          <w:trHeight w:val="23"/>
        </w:trPr>
        <w:tc>
          <w:tcPr>
            <w:tcW w:w="5640" w:type="dxa"/>
            <w:vAlign w:val="bottom"/>
            <w:tcBorders>
              <w:bottom w:val="single" w:sz="8" w:color="2D53A6"/>
              <w:right w:val="single" w:sz="8" w:color="2D53A6"/>
            </w:tcBorders>
          </w:tcPr>
          <w:p>
            <w:pPr>
              <w:spacing w:after="0"/>
              <w:rPr>
                <w:sz w:val="2"/>
                <w:szCs w:val="2"/>
                <w:color w:val="auto"/>
              </w:rPr>
            </w:pPr>
          </w:p>
        </w:tc>
        <w:tc>
          <w:tcPr>
            <w:tcW w:w="5600" w:type="dxa"/>
            <w:vAlign w:val="bottom"/>
            <w:tcBorders>
              <w:bottom w:val="single" w:sz="8" w:color="2D53A6"/>
            </w:tcBorders>
          </w:tcPr>
          <w:p>
            <w:pPr>
              <w:spacing w:after="0"/>
              <w:rPr>
                <w:sz w:val="2"/>
                <w:szCs w:val="2"/>
                <w:color w:val="auto"/>
              </w:rPr>
            </w:pPr>
          </w:p>
        </w:tc>
      </w:tr>
    </w:tbl>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2023, each of our NEOs was compliant with the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for Recovery of Erroneously Awarded Incentive Compensation</w:t>
      </w:r>
    </w:p>
    <w:p>
      <w:pPr>
        <w:spacing w:after="0" w:line="19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 Grant Policy</w:t>
      </w: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6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Equity Awards Upon Retirement</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Hedging or Pledging</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Tax and Accounting Considerations</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6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Taxation of </w:t>
      </w:r>
      <w:r>
        <w:rPr>
          <w:rFonts w:ascii="Arial" w:cs="Arial" w:eastAsia="Arial" w:hAnsi="Arial"/>
          <w:sz w:val="18"/>
          <w:szCs w:val="18"/>
          <w:color w:val="auto"/>
        </w:rPr>
        <w:t>“</w:t>
      </w:r>
      <w:r>
        <w:rPr>
          <w:rFonts w:ascii="Arial" w:cs="Arial" w:eastAsia="Arial" w:hAnsi="Arial"/>
          <w:sz w:val="18"/>
          <w:szCs w:val="18"/>
          <w:i w:val="1"/>
          <w:iCs w:val="1"/>
          <w:color w:val="auto"/>
        </w:rPr>
        <w:t>Parachute</w:t>
      </w:r>
      <w:r>
        <w:rPr>
          <w:rFonts w:ascii="Arial" w:cs="Arial" w:eastAsia="Arial" w:hAnsi="Arial"/>
          <w:sz w:val="18"/>
          <w:szCs w:val="18"/>
          <w:color w:val="auto"/>
        </w:rPr>
        <w:t>”</w:t>
      </w:r>
      <w:r>
        <w:rPr>
          <w:rFonts w:ascii="Arial" w:cs="Arial" w:eastAsia="Arial" w:hAnsi="Arial"/>
          <w:sz w:val="18"/>
          <w:szCs w:val="18"/>
          <w:i w:val="1"/>
          <w:iCs w:val="1"/>
          <w:color w:val="auto"/>
        </w:rPr>
        <w:t xml:space="preserve"> Payments</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9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 Report</w:t>
      </w:r>
    </w:p>
    <w:p>
      <w:pPr>
        <w:spacing w:after="0" w:line="20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2023. Based on such review and discussions, the Committee recommended to the Board, and the Board has approved, that the Compensation Discussion and Analysis be included in Cohu’s proxy statement for its 2024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Compensation Committee.</w:t>
      </w:r>
    </w:p>
    <w:p>
      <w:pPr>
        <w:spacing w:after="0" w:line="198" w:lineRule="exact"/>
        <w:rPr>
          <w:sz w:val="20"/>
          <w:szCs w:val="20"/>
          <w:color w:val="auto"/>
        </w:rPr>
      </w:pPr>
    </w:p>
    <w:p>
      <w:pPr>
        <w:ind w:left="2600"/>
        <w:spacing w:after="0"/>
        <w:tabs>
          <w:tab w:leader="none" w:pos="5120" w:val="left"/>
          <w:tab w:leader="none" w:pos="7100" w:val="left"/>
        </w:tabs>
        <w:rPr>
          <w:sz w:val="20"/>
          <w:szCs w:val="20"/>
          <w:color w:val="auto"/>
        </w:rPr>
      </w:pPr>
      <w:r>
        <w:rPr>
          <w:rFonts w:ascii="Arial" w:cs="Arial" w:eastAsia="Arial" w:hAnsi="Arial"/>
          <w:sz w:val="18"/>
          <w:szCs w:val="18"/>
          <w:color w:val="auto"/>
        </w:rPr>
        <w:t>Steven J. Bilodeau (Chair)</w:t>
      </w:r>
      <w:r>
        <w:rPr>
          <w:sz w:val="20"/>
          <w:szCs w:val="20"/>
          <w:color w:val="auto"/>
        </w:rPr>
        <w:tab/>
      </w:r>
      <w:r>
        <w:rPr>
          <w:rFonts w:ascii="Arial" w:cs="Arial" w:eastAsia="Arial" w:hAnsi="Arial"/>
          <w:sz w:val="18"/>
          <w:szCs w:val="18"/>
          <w:color w:val="auto"/>
        </w:rPr>
        <w:t>Andreas W. Mattes</w:t>
      </w:r>
      <w:r>
        <w:rPr>
          <w:sz w:val="20"/>
          <w:szCs w:val="20"/>
          <w:color w:val="auto"/>
        </w:rPr>
        <w:tab/>
      </w:r>
      <w:r>
        <w:rPr>
          <w:rFonts w:ascii="Arial" w:cs="Arial" w:eastAsia="Arial" w:hAnsi="Arial"/>
          <w:sz w:val="17"/>
          <w:szCs w:val="17"/>
          <w:color w:val="auto"/>
        </w:rPr>
        <w:t>Nina L. Richardson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Summary Compensation Table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information for fiscal year 2023 for our NEOs.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20" w:type="dxa"/>
            <w:vAlign w:val="bottom"/>
            <w:tcBorders>
              <w:left w:val="single" w:sz="8" w:color="2D53A6"/>
              <w:right w:val="single" w:sz="8" w:color="2D53A6"/>
            </w:tcBorders>
            <w:shd w:val="clear" w:color="auto" w:fill="2D53A6"/>
          </w:tcPr>
          <w:p>
            <w:pPr>
              <w:spacing w:after="0"/>
              <w:rPr>
                <w:sz w:val="14"/>
                <w:szCs w:val="14"/>
                <w:color w:val="auto"/>
              </w:rPr>
            </w:pPr>
          </w:p>
        </w:tc>
        <w:tc>
          <w:tcPr>
            <w:tcW w:w="20" w:type="dxa"/>
            <w:vAlign w:val="bottom"/>
            <w:shd w:val="clear" w:color="auto" w:fill="2D53A6"/>
          </w:tcPr>
          <w:p>
            <w:pPr>
              <w:spacing w:after="0"/>
              <w:rPr>
                <w:sz w:val="14"/>
                <w:szCs w:val="14"/>
                <w:color w:val="auto"/>
              </w:rPr>
            </w:pPr>
          </w:p>
        </w:tc>
        <w:tc>
          <w:tcPr>
            <w:tcW w:w="1080" w:type="dxa"/>
            <w:vAlign w:val="bottom"/>
            <w:tcBorders>
              <w:right w:val="single" w:sz="8" w:color="2D53A6"/>
            </w:tcBorders>
            <w:shd w:val="clear" w:color="auto" w:fill="2D53A6"/>
          </w:tcPr>
          <w:p>
            <w:pPr>
              <w:spacing w:after="0"/>
              <w:rPr>
                <w:sz w:val="14"/>
                <w:szCs w:val="14"/>
                <w:color w:val="auto"/>
              </w:rPr>
            </w:pPr>
          </w:p>
        </w:tc>
        <w:tc>
          <w:tcPr>
            <w:tcW w:w="1080" w:type="dxa"/>
            <w:vAlign w:val="bottom"/>
            <w:tcBorders>
              <w:right w:val="single" w:sz="8" w:color="2D53A6"/>
            </w:tcBorders>
            <w:shd w:val="clear" w:color="auto" w:fill="2D53A6"/>
          </w:tcPr>
          <w:p>
            <w:pPr>
              <w:spacing w:after="0"/>
              <w:rPr>
                <w:sz w:val="14"/>
                <w:szCs w:val="14"/>
                <w:color w:val="auto"/>
              </w:rPr>
            </w:pPr>
          </w:p>
        </w:tc>
        <w:tc>
          <w:tcPr>
            <w:tcW w:w="11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Non-Equity</w:t>
            </w:r>
          </w:p>
        </w:tc>
        <w:tc>
          <w:tcPr>
            <w:tcW w:w="11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All Other</w:t>
            </w:r>
          </w:p>
        </w:tc>
        <w:tc>
          <w:tcPr>
            <w:tcW w:w="96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820" w:type="dxa"/>
            <w:vAlign w:val="bottom"/>
            <w:tcBorders>
              <w:left w:val="single" w:sz="8" w:color="2D53A6"/>
              <w:right w:val="single" w:sz="8" w:color="2D53A6"/>
            </w:tcBorders>
            <w:shd w:val="clear" w:color="auto" w:fill="2D53A6"/>
          </w:tcPr>
          <w:p>
            <w:pPr>
              <w:spacing w:after="0"/>
              <w:rPr>
                <w:sz w:val="7"/>
                <w:szCs w:val="7"/>
                <w:color w:val="auto"/>
              </w:rPr>
            </w:pPr>
          </w:p>
        </w:tc>
        <w:tc>
          <w:tcPr>
            <w:tcW w:w="20" w:type="dxa"/>
            <w:vAlign w:val="bottom"/>
            <w:shd w:val="clear" w:color="auto" w:fill="2D53A6"/>
          </w:tcPr>
          <w:p>
            <w:pPr>
              <w:spacing w:after="0"/>
              <w:rPr>
                <w:sz w:val="7"/>
                <w:szCs w:val="7"/>
                <w:color w:val="auto"/>
              </w:rPr>
            </w:pPr>
          </w:p>
        </w:tc>
        <w:tc>
          <w:tcPr>
            <w:tcW w:w="1080" w:type="dxa"/>
            <w:vAlign w:val="bottom"/>
            <w:tcBorders>
              <w:right w:val="single" w:sz="8" w:color="2D53A6"/>
            </w:tcBorders>
            <w:shd w:val="clear" w:color="auto" w:fill="2D53A6"/>
          </w:tcPr>
          <w:p>
            <w:pPr>
              <w:spacing w:after="0"/>
              <w:rPr>
                <w:sz w:val="7"/>
                <w:szCs w:val="7"/>
                <w:color w:val="auto"/>
              </w:rPr>
            </w:pPr>
          </w:p>
        </w:tc>
        <w:tc>
          <w:tcPr>
            <w:tcW w:w="1080" w:type="dxa"/>
            <w:vAlign w:val="bottom"/>
            <w:tcBorders>
              <w:right w:val="single" w:sz="8" w:color="2D53A6"/>
            </w:tcBorders>
            <w:vMerge w:val="restart"/>
            <w:shd w:val="clear" w:color="auto" w:fill="2D53A6"/>
          </w:tcPr>
          <w:p>
            <w:pPr>
              <w:ind w:left="320"/>
              <w:spacing w:after="0"/>
              <w:rPr>
                <w:sz w:val="20"/>
                <w:szCs w:val="20"/>
                <w:color w:val="auto"/>
              </w:rPr>
            </w:pPr>
            <w:r>
              <w:rPr>
                <w:rFonts w:ascii="Arial" w:cs="Arial" w:eastAsia="Arial" w:hAnsi="Arial"/>
                <w:sz w:val="14"/>
                <w:szCs w:val="14"/>
                <w:b w:val="1"/>
                <w:bCs w:val="1"/>
                <w:color w:val="FFFFFF"/>
              </w:rPr>
              <w:t>Salary</w:t>
            </w:r>
          </w:p>
        </w:tc>
        <w:tc>
          <w:tcPr>
            <w:tcW w:w="1120" w:type="dxa"/>
            <w:vAlign w:val="bottom"/>
            <w:tcBorders>
              <w:right w:val="single" w:sz="8" w:color="2D53A6"/>
            </w:tcBorders>
            <w:vMerge w:val="continue"/>
            <w:shd w:val="clear" w:color="auto" w:fill="2D53A6"/>
          </w:tcPr>
          <w:p>
            <w:pPr>
              <w:spacing w:after="0"/>
              <w:rPr>
                <w:sz w:val="7"/>
                <w:szCs w:val="7"/>
                <w:color w:val="auto"/>
              </w:rPr>
            </w:pPr>
          </w:p>
        </w:tc>
        <w:tc>
          <w:tcPr>
            <w:tcW w:w="1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1100" w:type="dxa"/>
            <w:vAlign w:val="bottom"/>
            <w:tcBorders>
              <w:right w:val="single" w:sz="8" w:color="2D53A6"/>
            </w:tcBorders>
            <w:vMerge w:val="continue"/>
            <w:shd w:val="clear" w:color="auto" w:fill="2D53A6"/>
          </w:tcPr>
          <w:p>
            <w:pPr>
              <w:spacing w:after="0"/>
              <w:rPr>
                <w:sz w:val="7"/>
                <w:szCs w:val="7"/>
                <w:color w:val="auto"/>
              </w:rPr>
            </w:pPr>
          </w:p>
        </w:tc>
        <w:tc>
          <w:tcPr>
            <w:tcW w:w="960" w:type="dxa"/>
            <w:vAlign w:val="bottom"/>
            <w:tcBorders>
              <w:right w:val="single" w:sz="8" w:color="2D53A6"/>
            </w:tcBorders>
            <w:vMerge w:val="restart"/>
            <w:shd w:val="clear" w:color="auto" w:fill="2D53A6"/>
          </w:tcPr>
          <w:p>
            <w:pPr>
              <w:ind w:left="3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4820" w:type="dxa"/>
            <w:vAlign w:val="bottom"/>
            <w:tcBorders>
              <w:left w:val="single" w:sz="8" w:color="2D53A6"/>
              <w:right w:val="single" w:sz="8" w:color="2D53A6"/>
            </w:tcBorders>
            <w:vMerge w:val="restart"/>
            <w:shd w:val="clear" w:color="auto" w:fill="2D53A6"/>
          </w:tcPr>
          <w:p>
            <w:pPr>
              <w:ind w:left="20"/>
              <w:spacing w:after="0" w:line="159" w:lineRule="exact"/>
              <w:rPr>
                <w:sz w:val="20"/>
                <w:szCs w:val="20"/>
                <w:color w:val="auto"/>
              </w:rPr>
            </w:pPr>
            <w:r>
              <w:rPr>
                <w:rFonts w:ascii="Arial" w:cs="Arial" w:eastAsia="Arial" w:hAnsi="Arial"/>
                <w:sz w:val="14"/>
                <w:szCs w:val="14"/>
                <w:b w:val="1"/>
                <w:bCs w:val="1"/>
                <w:color w:val="FFFFFF"/>
              </w:rPr>
              <w:t>Named Executive Officer</w:t>
            </w:r>
          </w:p>
        </w:tc>
        <w:tc>
          <w:tcPr>
            <w:tcW w:w="20" w:type="dxa"/>
            <w:vAlign w:val="bottom"/>
            <w:shd w:val="clear" w:color="auto" w:fill="2D53A6"/>
          </w:tcPr>
          <w:p>
            <w:pPr>
              <w:spacing w:after="0"/>
              <w:rPr>
                <w:sz w:val="7"/>
                <w:szCs w:val="7"/>
                <w:color w:val="auto"/>
              </w:rPr>
            </w:pPr>
          </w:p>
        </w:tc>
        <w:tc>
          <w:tcPr>
            <w:tcW w:w="1080" w:type="dxa"/>
            <w:vAlign w:val="bottom"/>
            <w:tcBorders>
              <w:right w:val="single" w:sz="8" w:color="2D53A6"/>
            </w:tcBorders>
            <w:vMerge w:val="restart"/>
            <w:shd w:val="clear" w:color="auto" w:fill="2D53A6"/>
          </w:tcPr>
          <w:p>
            <w:pPr>
              <w:ind w:left="360"/>
              <w:spacing w:after="0" w:line="159" w:lineRule="exact"/>
              <w:rPr>
                <w:sz w:val="20"/>
                <w:szCs w:val="20"/>
                <w:color w:val="auto"/>
              </w:rPr>
            </w:pPr>
            <w:r>
              <w:rPr>
                <w:rFonts w:ascii="Arial" w:cs="Arial" w:eastAsia="Arial" w:hAnsi="Arial"/>
                <w:sz w:val="14"/>
                <w:szCs w:val="14"/>
                <w:b w:val="1"/>
                <w:bCs w:val="1"/>
                <w:color w:val="FFFFFF"/>
              </w:rPr>
              <w:t>Year</w:t>
            </w:r>
          </w:p>
        </w:tc>
        <w:tc>
          <w:tcPr>
            <w:tcW w:w="1080" w:type="dxa"/>
            <w:vAlign w:val="bottom"/>
            <w:tcBorders>
              <w:right w:val="single" w:sz="8" w:color="2D53A6"/>
            </w:tcBorders>
            <w:vMerge w:val="continue"/>
            <w:shd w:val="clear" w:color="auto" w:fill="2D53A6"/>
          </w:tcPr>
          <w:p>
            <w:pPr>
              <w:spacing w:after="0"/>
              <w:rPr>
                <w:sz w:val="7"/>
                <w:szCs w:val="7"/>
                <w:color w:val="auto"/>
              </w:rPr>
            </w:pPr>
          </w:p>
        </w:tc>
        <w:tc>
          <w:tcPr>
            <w:tcW w:w="112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1060" w:type="dxa"/>
            <w:vAlign w:val="bottom"/>
            <w:tcBorders>
              <w:right w:val="single" w:sz="8" w:color="2D53A6"/>
            </w:tcBorders>
            <w:vMerge w:val="continue"/>
            <w:shd w:val="clear" w:color="auto" w:fill="2D53A6"/>
          </w:tcPr>
          <w:p>
            <w:pPr>
              <w:spacing w:after="0"/>
              <w:rPr>
                <w:sz w:val="7"/>
                <w:szCs w:val="7"/>
                <w:color w:val="auto"/>
              </w:rPr>
            </w:pPr>
          </w:p>
        </w:tc>
        <w:tc>
          <w:tcPr>
            <w:tcW w:w="110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Comp.</w:t>
            </w:r>
          </w:p>
        </w:tc>
        <w:tc>
          <w:tcPr>
            <w:tcW w:w="9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820" w:type="dxa"/>
            <w:vAlign w:val="bottom"/>
            <w:tcBorders>
              <w:left w:val="single" w:sz="8" w:color="2D53A6"/>
              <w:right w:val="single" w:sz="8" w:color="2D53A6"/>
            </w:tcBorders>
            <w:vMerge w:val="continue"/>
            <w:shd w:val="clear" w:color="auto" w:fill="2D53A6"/>
          </w:tcPr>
          <w:p>
            <w:pPr>
              <w:spacing w:after="0"/>
              <w:rPr>
                <w:sz w:val="6"/>
                <w:szCs w:val="6"/>
                <w:color w:val="auto"/>
              </w:rPr>
            </w:pPr>
          </w:p>
        </w:tc>
        <w:tc>
          <w:tcPr>
            <w:tcW w:w="20" w:type="dxa"/>
            <w:vAlign w:val="bottom"/>
            <w:shd w:val="clear" w:color="auto" w:fill="2D53A6"/>
          </w:tcPr>
          <w:p>
            <w:pPr>
              <w:spacing w:after="0"/>
              <w:rPr>
                <w:sz w:val="6"/>
                <w:szCs w:val="6"/>
                <w:color w:val="auto"/>
              </w:rPr>
            </w:pPr>
          </w:p>
        </w:tc>
        <w:tc>
          <w:tcPr>
            <w:tcW w:w="1080" w:type="dxa"/>
            <w:vAlign w:val="bottom"/>
            <w:tcBorders>
              <w:right w:val="single" w:sz="8" w:color="2D53A6"/>
            </w:tcBorders>
            <w:vMerge w:val="continue"/>
            <w:shd w:val="clear" w:color="auto" w:fill="2D53A6"/>
          </w:tcPr>
          <w:p>
            <w:pPr>
              <w:spacing w:after="0"/>
              <w:rPr>
                <w:sz w:val="6"/>
                <w:szCs w:val="6"/>
                <w:color w:val="auto"/>
              </w:rPr>
            </w:pPr>
          </w:p>
        </w:tc>
        <w:tc>
          <w:tcPr>
            <w:tcW w:w="108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1120" w:type="dxa"/>
            <w:vAlign w:val="bottom"/>
            <w:tcBorders>
              <w:right w:val="single" w:sz="8" w:color="2D53A6"/>
            </w:tcBorders>
            <w:vMerge w:val="continue"/>
            <w:shd w:val="clear" w:color="auto" w:fill="2D53A6"/>
          </w:tcPr>
          <w:p>
            <w:pPr>
              <w:spacing w:after="0"/>
              <w:rPr>
                <w:sz w:val="6"/>
                <w:szCs w:val="6"/>
                <w:color w:val="auto"/>
              </w:rPr>
            </w:pPr>
          </w:p>
        </w:tc>
        <w:tc>
          <w:tcPr>
            <w:tcW w:w="10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Plan Comp.</w:t>
            </w:r>
          </w:p>
        </w:tc>
        <w:tc>
          <w:tcPr>
            <w:tcW w:w="1100" w:type="dxa"/>
            <w:vAlign w:val="bottom"/>
            <w:tcBorders>
              <w:right w:val="single" w:sz="8" w:color="2D53A6"/>
            </w:tcBorders>
            <w:vMerge w:val="continue"/>
            <w:shd w:val="clear" w:color="auto" w:fill="2D53A6"/>
          </w:tcPr>
          <w:p>
            <w:pPr>
              <w:spacing w:after="0"/>
              <w:rPr>
                <w:sz w:val="6"/>
                <w:szCs w:val="6"/>
                <w:color w:val="auto"/>
              </w:rPr>
            </w:pPr>
          </w:p>
        </w:tc>
        <w:tc>
          <w:tcPr>
            <w:tcW w:w="9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1"/>
        </w:trPr>
        <w:tc>
          <w:tcPr>
            <w:tcW w:w="4820" w:type="dxa"/>
            <w:vAlign w:val="bottom"/>
            <w:tcBorders>
              <w:left w:val="single" w:sz="8" w:color="2D53A6"/>
              <w:right w:val="single" w:sz="8" w:color="2D53A6"/>
            </w:tcBorders>
            <w:shd w:val="clear" w:color="auto" w:fill="2D53A6"/>
          </w:tcPr>
          <w:p>
            <w:pPr>
              <w:spacing w:after="0"/>
              <w:rPr>
                <w:sz w:val="7"/>
                <w:szCs w:val="7"/>
                <w:color w:val="auto"/>
              </w:rPr>
            </w:pPr>
          </w:p>
        </w:tc>
        <w:tc>
          <w:tcPr>
            <w:tcW w:w="20" w:type="dxa"/>
            <w:vAlign w:val="bottom"/>
            <w:shd w:val="clear" w:color="auto" w:fill="2D53A6"/>
          </w:tcPr>
          <w:p>
            <w:pPr>
              <w:spacing w:after="0"/>
              <w:rPr>
                <w:sz w:val="7"/>
                <w:szCs w:val="7"/>
                <w:color w:val="auto"/>
              </w:rPr>
            </w:pPr>
          </w:p>
        </w:tc>
        <w:tc>
          <w:tcPr>
            <w:tcW w:w="1080" w:type="dxa"/>
            <w:vAlign w:val="bottom"/>
            <w:tcBorders>
              <w:right w:val="single" w:sz="8" w:color="2D53A6"/>
            </w:tcBorders>
            <w:shd w:val="clear" w:color="auto" w:fill="2D53A6"/>
          </w:tcPr>
          <w:p>
            <w:pPr>
              <w:spacing w:after="0"/>
              <w:rPr>
                <w:sz w:val="7"/>
                <w:szCs w:val="7"/>
                <w:color w:val="auto"/>
              </w:rPr>
            </w:pPr>
          </w:p>
        </w:tc>
        <w:tc>
          <w:tcPr>
            <w:tcW w:w="1080" w:type="dxa"/>
            <w:vAlign w:val="bottom"/>
            <w:tcBorders>
              <w:right w:val="single" w:sz="8" w:color="2D53A6"/>
            </w:tcBorders>
            <w:vMerge w:val="continue"/>
            <w:shd w:val="clear" w:color="auto" w:fill="2D53A6"/>
          </w:tcPr>
          <w:p>
            <w:pPr>
              <w:spacing w:after="0"/>
              <w:rPr>
                <w:sz w:val="7"/>
                <w:szCs w:val="7"/>
                <w:color w:val="auto"/>
              </w:rPr>
            </w:pPr>
          </w:p>
        </w:tc>
        <w:tc>
          <w:tcPr>
            <w:tcW w:w="1120" w:type="dxa"/>
            <w:vAlign w:val="bottom"/>
            <w:tcBorders>
              <w:right w:val="single" w:sz="8" w:color="2D53A6"/>
            </w:tcBorders>
            <w:vMerge w:val="restart"/>
            <w:shd w:val="clear" w:color="auto" w:fill="2D53A6"/>
          </w:tcPr>
          <w:p>
            <w:pPr>
              <w:jc w:val="center"/>
              <w:spacing w:after="0" w:line="229" w:lineRule="exact"/>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23"/>
                <w:szCs w:val="23"/>
                <w:b w:val="1"/>
                <w:bCs w:val="1"/>
                <w:color w:val="FFFFFF"/>
                <w:vertAlign w:val="superscript"/>
              </w:rPr>
              <w:t>(1)</w:t>
            </w:r>
          </w:p>
        </w:tc>
        <w:tc>
          <w:tcPr>
            <w:tcW w:w="1060" w:type="dxa"/>
            <w:vAlign w:val="bottom"/>
            <w:tcBorders>
              <w:right w:val="single" w:sz="8" w:color="2D53A6"/>
            </w:tcBorders>
            <w:vMerge w:val="continue"/>
            <w:shd w:val="clear" w:color="auto" w:fill="2D53A6"/>
          </w:tcPr>
          <w:p>
            <w:pPr>
              <w:spacing w:after="0"/>
              <w:rPr>
                <w:sz w:val="7"/>
                <w:szCs w:val="7"/>
                <w:color w:val="auto"/>
              </w:rPr>
            </w:pPr>
          </w:p>
        </w:tc>
        <w:tc>
          <w:tcPr>
            <w:tcW w:w="1100" w:type="dxa"/>
            <w:vAlign w:val="bottom"/>
            <w:tcBorders>
              <w:right w:val="single" w:sz="8" w:color="2D53A6"/>
            </w:tcBorders>
            <w:vMerge w:val="restart"/>
            <w:shd w:val="clear" w:color="auto" w:fill="2D53A6"/>
          </w:tcPr>
          <w:p>
            <w:pPr>
              <w:jc w:val="center"/>
              <w:spacing w:after="0" w:line="229" w:lineRule="exact"/>
              <w:rPr>
                <w:sz w:val="20"/>
                <w:szCs w:val="20"/>
                <w:color w:val="auto"/>
              </w:rPr>
            </w:pPr>
            <w:r>
              <w:rPr>
                <w:rFonts w:ascii="Arial" w:cs="Arial" w:eastAsia="Arial" w:hAnsi="Arial"/>
                <w:sz w:val="14"/>
                <w:szCs w:val="14"/>
                <w:b w:val="1"/>
                <w:bCs w:val="1"/>
                <w:color w:val="FFFFFF"/>
                <w:w w:val="90"/>
              </w:rPr>
              <w:t xml:space="preserve">($) </w:t>
            </w:r>
            <w:r>
              <w:rPr>
                <w:rFonts w:ascii="Arial" w:cs="Arial" w:eastAsia="Arial" w:hAnsi="Arial"/>
                <w:sz w:val="23"/>
                <w:szCs w:val="23"/>
                <w:b w:val="1"/>
                <w:bCs w:val="1"/>
                <w:color w:val="FFFFFF"/>
                <w:w w:val="90"/>
                <w:vertAlign w:val="superscript"/>
              </w:rPr>
              <w:t>(3)</w:t>
            </w:r>
          </w:p>
        </w:tc>
        <w:tc>
          <w:tcPr>
            <w:tcW w:w="9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820" w:type="dxa"/>
            <w:vAlign w:val="bottom"/>
            <w:tcBorders>
              <w:left w:val="single" w:sz="8" w:color="2D53A6"/>
              <w:bottom w:val="single" w:sz="8" w:color="2D53A6"/>
              <w:right w:val="single" w:sz="8" w:color="2D53A6"/>
            </w:tcBorders>
            <w:shd w:val="clear" w:color="auto" w:fill="2D53A6"/>
          </w:tcPr>
          <w:p>
            <w:pPr>
              <w:spacing w:after="0"/>
              <w:rPr>
                <w:sz w:val="16"/>
                <w:szCs w:val="16"/>
                <w:color w:val="auto"/>
              </w:rPr>
            </w:pPr>
          </w:p>
        </w:tc>
        <w:tc>
          <w:tcPr>
            <w:tcW w:w="20" w:type="dxa"/>
            <w:vAlign w:val="bottom"/>
            <w:tcBorders>
              <w:bottom w:val="single" w:sz="8" w:color="2D53A6"/>
            </w:tcBorders>
            <w:shd w:val="clear" w:color="auto" w:fill="2D53A6"/>
          </w:tcPr>
          <w:p>
            <w:pPr>
              <w:spacing w:after="0"/>
              <w:rPr>
                <w:sz w:val="16"/>
                <w:szCs w:val="16"/>
                <w:color w:val="auto"/>
              </w:rPr>
            </w:pPr>
          </w:p>
        </w:tc>
        <w:tc>
          <w:tcPr>
            <w:tcW w:w="1080" w:type="dxa"/>
            <w:vAlign w:val="bottom"/>
            <w:tcBorders>
              <w:bottom w:val="single" w:sz="8" w:color="2D53A6"/>
              <w:right w:val="single" w:sz="8" w:color="2D53A6"/>
            </w:tcBorders>
            <w:shd w:val="clear" w:color="auto" w:fill="2D53A6"/>
          </w:tcPr>
          <w:p>
            <w:pPr>
              <w:spacing w:after="0"/>
              <w:rPr>
                <w:sz w:val="16"/>
                <w:szCs w:val="16"/>
                <w:color w:val="auto"/>
              </w:rPr>
            </w:pPr>
          </w:p>
        </w:tc>
        <w:tc>
          <w:tcPr>
            <w:tcW w:w="1080" w:type="dxa"/>
            <w:vAlign w:val="bottom"/>
            <w:tcBorders>
              <w:bottom w:val="single" w:sz="8" w:color="2D53A6"/>
              <w:right w:val="single" w:sz="8" w:color="2D53A6"/>
            </w:tcBorders>
            <w:shd w:val="clear" w:color="auto" w:fill="2D53A6"/>
          </w:tcPr>
          <w:p>
            <w:pPr>
              <w:spacing w:after="0"/>
              <w:rPr>
                <w:sz w:val="16"/>
                <w:szCs w:val="16"/>
                <w:color w:val="auto"/>
              </w:rPr>
            </w:pPr>
          </w:p>
        </w:tc>
        <w:tc>
          <w:tcPr>
            <w:tcW w:w="1120" w:type="dxa"/>
            <w:vAlign w:val="bottom"/>
            <w:tcBorders>
              <w:bottom w:val="single" w:sz="8" w:color="2D53A6"/>
              <w:right w:val="single" w:sz="8" w:color="2D53A6"/>
            </w:tcBorders>
            <w:vMerge w:val="continue"/>
            <w:shd w:val="clear" w:color="auto" w:fill="2D53A6"/>
          </w:tcPr>
          <w:p>
            <w:pPr>
              <w:spacing w:after="0"/>
              <w:rPr>
                <w:sz w:val="16"/>
                <w:szCs w:val="16"/>
                <w:color w:val="auto"/>
              </w:rPr>
            </w:pPr>
          </w:p>
        </w:tc>
        <w:tc>
          <w:tcPr>
            <w:tcW w:w="1060" w:type="dxa"/>
            <w:vAlign w:val="bottom"/>
            <w:tcBorders>
              <w:bottom w:val="single" w:sz="8" w:color="2D53A6"/>
              <w:right w:val="single" w:sz="8" w:color="2D53A6"/>
            </w:tcBorders>
            <w:shd w:val="clear" w:color="auto" w:fill="2D53A6"/>
          </w:tcPr>
          <w:p>
            <w:pPr>
              <w:jc w:val="center"/>
              <w:spacing w:after="0" w:line="172"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9"/>
                <w:szCs w:val="19"/>
                <w:b w:val="1"/>
                <w:bCs w:val="1"/>
                <w:color w:val="FFFFFF"/>
                <w:vertAlign w:val="superscript"/>
              </w:rPr>
              <w:t>(2)</w:t>
            </w:r>
          </w:p>
        </w:tc>
        <w:tc>
          <w:tcPr>
            <w:tcW w:w="1100" w:type="dxa"/>
            <w:vAlign w:val="bottom"/>
            <w:tcBorders>
              <w:bottom w:val="single" w:sz="8" w:color="2D53A6"/>
              <w:right w:val="single" w:sz="8" w:color="2D53A6"/>
            </w:tcBorders>
            <w:vMerge w:val="continue"/>
            <w:shd w:val="clear" w:color="auto" w:fill="2D53A6"/>
          </w:tcPr>
          <w:p>
            <w:pPr>
              <w:spacing w:after="0"/>
              <w:rPr>
                <w:sz w:val="16"/>
                <w:szCs w:val="16"/>
                <w:color w:val="auto"/>
              </w:rPr>
            </w:pPr>
          </w:p>
        </w:tc>
        <w:tc>
          <w:tcPr>
            <w:tcW w:w="960" w:type="dxa"/>
            <w:vAlign w:val="bottom"/>
            <w:tcBorders>
              <w:bottom w:val="single" w:sz="8" w:color="2D53A6"/>
              <w:right w:val="single" w:sz="8" w:color="2D53A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Borders>
              <w:left w:val="single" w:sz="8" w:color="2D53A6"/>
              <w:right w:val="single" w:sz="8" w:color="2D53A6"/>
            </w:tcBorders>
          </w:tcPr>
          <w:p>
            <w:pPr>
              <w:ind w:left="20"/>
              <w:spacing w:after="0" w:line="133" w:lineRule="exact"/>
              <w:rPr>
                <w:sz w:val="20"/>
                <w:szCs w:val="20"/>
                <w:color w:val="auto"/>
              </w:rPr>
            </w:pPr>
            <w:r>
              <w:rPr>
                <w:rFonts w:ascii="Arial" w:cs="Arial" w:eastAsia="Arial" w:hAnsi="Arial"/>
                <w:sz w:val="14"/>
                <w:szCs w:val="14"/>
                <w:color w:val="auto"/>
              </w:rPr>
              <w:t>Luis A. Müller</w:t>
            </w:r>
          </w:p>
        </w:tc>
        <w:tc>
          <w:tcPr>
            <w:tcW w:w="20" w:type="dxa"/>
            <w:vAlign w:val="bottom"/>
          </w:tcPr>
          <w:p>
            <w:pPr>
              <w:spacing w:after="0"/>
              <w:rPr>
                <w:sz w:val="11"/>
                <w:szCs w:val="11"/>
                <w:color w:val="auto"/>
              </w:rPr>
            </w:pPr>
          </w:p>
        </w:tc>
        <w:tc>
          <w:tcPr>
            <w:tcW w:w="1080" w:type="dxa"/>
            <w:vAlign w:val="bottom"/>
            <w:tcBorders>
              <w:right w:val="single" w:sz="8" w:color="2D53A6"/>
            </w:tcBorders>
          </w:tcPr>
          <w:p>
            <w:pPr>
              <w:ind w:left="360"/>
              <w:spacing w:after="0" w:line="133" w:lineRule="exact"/>
              <w:rPr>
                <w:sz w:val="20"/>
                <w:szCs w:val="20"/>
                <w:color w:val="auto"/>
              </w:rPr>
            </w:pPr>
            <w:r>
              <w:rPr>
                <w:rFonts w:ascii="Arial" w:cs="Arial" w:eastAsia="Arial" w:hAnsi="Arial"/>
                <w:sz w:val="14"/>
                <w:szCs w:val="14"/>
                <w:color w:val="auto"/>
              </w:rPr>
              <w:t>2023</w:t>
            </w:r>
          </w:p>
        </w:tc>
        <w:tc>
          <w:tcPr>
            <w:tcW w:w="1080" w:type="dxa"/>
            <w:vAlign w:val="bottom"/>
            <w:tcBorders>
              <w:right w:val="single" w:sz="8" w:color="2D53A6"/>
            </w:tcBorders>
          </w:tcPr>
          <w:p>
            <w:pPr>
              <w:jc w:val="center"/>
              <w:spacing w:after="0" w:line="133" w:lineRule="exact"/>
              <w:rPr>
                <w:sz w:val="20"/>
                <w:szCs w:val="20"/>
                <w:color w:val="auto"/>
              </w:rPr>
            </w:pPr>
            <w:r>
              <w:rPr>
                <w:rFonts w:ascii="Arial" w:cs="Arial" w:eastAsia="Arial" w:hAnsi="Arial"/>
                <w:sz w:val="14"/>
                <w:szCs w:val="14"/>
                <w:color w:val="auto"/>
              </w:rPr>
              <w:t>708,846</w:t>
            </w:r>
          </w:p>
        </w:tc>
        <w:tc>
          <w:tcPr>
            <w:tcW w:w="1120" w:type="dxa"/>
            <w:vAlign w:val="bottom"/>
            <w:tcBorders>
              <w:right w:val="single" w:sz="8" w:color="2D53A6"/>
            </w:tcBorders>
          </w:tcPr>
          <w:p>
            <w:pPr>
              <w:jc w:val="right"/>
              <w:ind w:right="188"/>
              <w:spacing w:after="0" w:line="133" w:lineRule="exact"/>
              <w:rPr>
                <w:sz w:val="20"/>
                <w:szCs w:val="20"/>
                <w:color w:val="auto"/>
              </w:rPr>
            </w:pPr>
            <w:r>
              <w:rPr>
                <w:rFonts w:ascii="Arial" w:cs="Arial" w:eastAsia="Arial" w:hAnsi="Arial"/>
                <w:sz w:val="14"/>
                <w:szCs w:val="14"/>
                <w:color w:val="auto"/>
              </w:rPr>
              <w:t>5,051,219</w:t>
            </w:r>
          </w:p>
        </w:tc>
        <w:tc>
          <w:tcPr>
            <w:tcW w:w="1060" w:type="dxa"/>
            <w:vAlign w:val="bottom"/>
            <w:tcBorders>
              <w:right w:val="single" w:sz="8" w:color="2D53A6"/>
            </w:tcBorders>
          </w:tcPr>
          <w:p>
            <w:pPr>
              <w:jc w:val="center"/>
              <w:spacing w:after="0" w:line="133" w:lineRule="exact"/>
              <w:rPr>
                <w:sz w:val="20"/>
                <w:szCs w:val="20"/>
                <w:color w:val="auto"/>
              </w:rPr>
            </w:pPr>
            <w:r>
              <w:rPr>
                <w:rFonts w:ascii="Arial" w:cs="Arial" w:eastAsia="Arial" w:hAnsi="Arial"/>
                <w:sz w:val="14"/>
                <w:szCs w:val="14"/>
                <w:color w:val="auto"/>
              </w:rPr>
              <w:t>752,378</w:t>
            </w:r>
          </w:p>
        </w:tc>
        <w:tc>
          <w:tcPr>
            <w:tcW w:w="1100" w:type="dxa"/>
            <w:vAlign w:val="bottom"/>
            <w:tcBorders>
              <w:right w:val="single" w:sz="8" w:color="2D53A6"/>
            </w:tcBorders>
          </w:tcPr>
          <w:p>
            <w:pPr>
              <w:jc w:val="center"/>
              <w:spacing w:after="0" w:line="133" w:lineRule="exact"/>
              <w:rPr>
                <w:sz w:val="20"/>
                <w:szCs w:val="20"/>
                <w:color w:val="auto"/>
              </w:rPr>
            </w:pPr>
            <w:r>
              <w:rPr>
                <w:rFonts w:ascii="Arial" w:cs="Arial" w:eastAsia="Arial" w:hAnsi="Arial"/>
                <w:sz w:val="14"/>
                <w:szCs w:val="14"/>
                <w:color w:val="auto"/>
              </w:rPr>
              <w:t>24,164</w:t>
            </w:r>
          </w:p>
        </w:tc>
        <w:tc>
          <w:tcPr>
            <w:tcW w:w="960" w:type="dxa"/>
            <w:vAlign w:val="bottom"/>
            <w:tcBorders>
              <w:right w:val="single" w:sz="8" w:color="2D53A6"/>
            </w:tcBorders>
          </w:tcPr>
          <w:p>
            <w:pPr>
              <w:jc w:val="center"/>
              <w:spacing w:after="0" w:line="133" w:lineRule="exact"/>
              <w:rPr>
                <w:sz w:val="20"/>
                <w:szCs w:val="20"/>
                <w:color w:val="auto"/>
              </w:rPr>
            </w:pPr>
            <w:r>
              <w:rPr>
                <w:rFonts w:ascii="Arial" w:cs="Arial" w:eastAsia="Arial" w:hAnsi="Arial"/>
                <w:sz w:val="14"/>
                <w:szCs w:val="14"/>
                <w:color w:val="auto"/>
              </w:rPr>
              <w:t>6,536,607</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President &amp;</w:t>
            </w:r>
          </w:p>
        </w:tc>
        <w:tc>
          <w:tcPr>
            <w:tcW w:w="1100" w:type="dxa"/>
            <w:vAlign w:val="bottom"/>
            <w:tcBorders>
              <w:right w:val="single" w:sz="8" w:color="2D53A6"/>
            </w:tcBorders>
            <w:gridSpan w:val="2"/>
          </w:tcPr>
          <w:p>
            <w:pPr>
              <w:ind w:left="380"/>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667,307</w:t>
            </w:r>
          </w:p>
        </w:tc>
        <w:tc>
          <w:tcPr>
            <w:tcW w:w="1120" w:type="dxa"/>
            <w:vAlign w:val="bottom"/>
            <w:tcBorders>
              <w:right w:val="single" w:sz="8" w:color="2D53A6"/>
            </w:tcBorders>
          </w:tcPr>
          <w:p>
            <w:pPr>
              <w:jc w:val="right"/>
              <w:ind w:right="188"/>
              <w:spacing w:after="0"/>
              <w:rPr>
                <w:sz w:val="20"/>
                <w:szCs w:val="20"/>
                <w:color w:val="auto"/>
              </w:rPr>
            </w:pPr>
            <w:r>
              <w:rPr>
                <w:rFonts w:ascii="Arial" w:cs="Arial" w:eastAsia="Arial" w:hAnsi="Arial"/>
                <w:sz w:val="14"/>
                <w:szCs w:val="14"/>
                <w:color w:val="auto"/>
              </w:rPr>
              <w:t>3,321,901</w:t>
            </w:r>
          </w:p>
        </w:tc>
        <w:tc>
          <w:tcPr>
            <w:tcW w:w="1060" w:type="dxa"/>
            <w:vAlign w:val="bottom"/>
            <w:tcBorders>
              <w:right w:val="single" w:sz="8" w:color="2D53A6"/>
            </w:tcBorders>
          </w:tcPr>
          <w:p>
            <w:pPr>
              <w:jc w:val="right"/>
              <w:ind w:right="189"/>
              <w:spacing w:after="0"/>
              <w:rPr>
                <w:sz w:val="20"/>
                <w:szCs w:val="20"/>
                <w:color w:val="auto"/>
              </w:rPr>
            </w:pPr>
            <w:r>
              <w:rPr>
                <w:rFonts w:ascii="Arial" w:cs="Arial" w:eastAsia="Arial" w:hAnsi="Arial"/>
                <w:sz w:val="14"/>
                <w:szCs w:val="14"/>
                <w:color w:val="auto"/>
              </w:rPr>
              <w:t>1,303,528</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22,550</w:t>
            </w:r>
          </w:p>
        </w:tc>
        <w:tc>
          <w:tcPr>
            <w:tcW w:w="9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5,315,286</w:t>
            </w:r>
          </w:p>
        </w:tc>
        <w:tc>
          <w:tcPr>
            <w:tcW w:w="0" w:type="dxa"/>
            <w:vAlign w:val="bottom"/>
          </w:tcPr>
          <w:p>
            <w:pPr>
              <w:spacing w:after="0"/>
              <w:rPr>
                <w:sz w:val="1"/>
                <w:szCs w:val="1"/>
                <w:color w:val="auto"/>
              </w:rPr>
            </w:pPr>
          </w:p>
        </w:tc>
      </w:tr>
      <w:tr>
        <w:trPr>
          <w:trHeight w:val="171"/>
        </w:trPr>
        <w:tc>
          <w:tcPr>
            <w:tcW w:w="482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100" w:type="dxa"/>
            <w:vAlign w:val="bottom"/>
            <w:tcBorders>
              <w:bottom w:val="single" w:sz="8" w:color="2D53A6"/>
              <w:right w:val="single" w:sz="8" w:color="2D53A6"/>
            </w:tcBorders>
            <w:gridSpan w:val="2"/>
          </w:tcPr>
          <w:p>
            <w:pPr>
              <w:ind w:left="38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619,231</w:t>
            </w:r>
          </w:p>
        </w:tc>
        <w:tc>
          <w:tcPr>
            <w:tcW w:w="1120" w:type="dxa"/>
            <w:vAlign w:val="bottom"/>
            <w:tcBorders>
              <w:bottom w:val="single" w:sz="8" w:color="2D53A6"/>
              <w:right w:val="single" w:sz="8" w:color="2D53A6"/>
            </w:tcBorders>
          </w:tcPr>
          <w:p>
            <w:pPr>
              <w:jc w:val="right"/>
              <w:ind w:right="188"/>
              <w:spacing w:after="0"/>
              <w:rPr>
                <w:sz w:val="20"/>
                <w:szCs w:val="20"/>
                <w:color w:val="auto"/>
              </w:rPr>
            </w:pPr>
            <w:r>
              <w:rPr>
                <w:rFonts w:ascii="Arial" w:cs="Arial" w:eastAsia="Arial" w:hAnsi="Arial"/>
                <w:sz w:val="14"/>
                <w:szCs w:val="14"/>
                <w:color w:val="auto"/>
              </w:rPr>
              <w:t>2,891,579</w:t>
            </w:r>
          </w:p>
        </w:tc>
        <w:tc>
          <w:tcPr>
            <w:tcW w:w="1060" w:type="dxa"/>
            <w:vAlign w:val="bottom"/>
            <w:tcBorders>
              <w:bottom w:val="single" w:sz="8" w:color="2D53A6"/>
              <w:right w:val="single" w:sz="8" w:color="2D53A6"/>
            </w:tcBorders>
          </w:tcPr>
          <w:p>
            <w:pPr>
              <w:jc w:val="right"/>
              <w:ind w:right="189"/>
              <w:spacing w:after="0"/>
              <w:rPr>
                <w:sz w:val="20"/>
                <w:szCs w:val="20"/>
                <w:color w:val="auto"/>
              </w:rPr>
            </w:pPr>
            <w:r>
              <w:rPr>
                <w:rFonts w:ascii="Arial" w:cs="Arial" w:eastAsia="Arial" w:hAnsi="Arial"/>
                <w:sz w:val="14"/>
                <w:szCs w:val="14"/>
                <w:color w:val="auto"/>
              </w:rPr>
              <w:t>1,049,282</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22,324</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4,582,416</w:t>
            </w:r>
          </w:p>
        </w:tc>
        <w:tc>
          <w:tcPr>
            <w:tcW w:w="0" w:type="dxa"/>
            <w:vAlign w:val="bottom"/>
          </w:tcPr>
          <w:p>
            <w:pPr>
              <w:spacing w:after="0"/>
              <w:rPr>
                <w:sz w:val="1"/>
                <w:szCs w:val="1"/>
                <w:color w:val="auto"/>
              </w:rPr>
            </w:pPr>
          </w:p>
        </w:tc>
      </w:tr>
      <w:tr>
        <w:trPr>
          <w:trHeight w:val="156"/>
        </w:trPr>
        <w:tc>
          <w:tcPr>
            <w:tcW w:w="4820" w:type="dxa"/>
            <w:vAlign w:val="bottom"/>
            <w:tcBorders>
              <w:left w:val="single" w:sz="8" w:color="2D53A6"/>
              <w:right w:val="single" w:sz="8" w:color="2D53A6"/>
            </w:tcBorders>
            <w:shd w:val="clear" w:color="auto" w:fill="E6E6E6"/>
          </w:tcPr>
          <w:p>
            <w:pPr>
              <w:ind w:left="20"/>
              <w:spacing w:after="0" w:line="155" w:lineRule="exact"/>
              <w:rPr>
                <w:sz w:val="20"/>
                <w:szCs w:val="20"/>
                <w:color w:val="auto"/>
              </w:rPr>
            </w:pPr>
            <w:r>
              <w:rPr>
                <w:rFonts w:ascii="Arial" w:cs="Arial" w:eastAsia="Arial" w:hAnsi="Arial"/>
                <w:sz w:val="14"/>
                <w:szCs w:val="14"/>
                <w:color w:val="auto"/>
              </w:rPr>
              <w:t>Jeffrey D. Jones</w:t>
            </w:r>
          </w:p>
        </w:tc>
        <w:tc>
          <w:tcPr>
            <w:tcW w:w="1100" w:type="dxa"/>
            <w:vAlign w:val="bottom"/>
            <w:tcBorders>
              <w:right w:val="single" w:sz="8" w:color="2D53A6"/>
            </w:tcBorders>
            <w:gridSpan w:val="2"/>
            <w:shd w:val="clear" w:color="auto" w:fill="E6E6E6"/>
          </w:tcPr>
          <w:p>
            <w:pPr>
              <w:ind w:left="380"/>
              <w:spacing w:after="0" w:line="155" w:lineRule="exact"/>
              <w:rPr>
                <w:sz w:val="20"/>
                <w:szCs w:val="20"/>
                <w:color w:val="auto"/>
              </w:rPr>
            </w:pPr>
            <w:r>
              <w:rPr>
                <w:rFonts w:ascii="Arial" w:cs="Arial" w:eastAsia="Arial" w:hAnsi="Arial"/>
                <w:sz w:val="14"/>
                <w:szCs w:val="14"/>
                <w:color w:val="auto"/>
              </w:rPr>
              <w:t>2023</w:t>
            </w:r>
          </w:p>
        </w:tc>
        <w:tc>
          <w:tcPr>
            <w:tcW w:w="108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452,231</w:t>
            </w:r>
          </w:p>
        </w:tc>
        <w:tc>
          <w:tcPr>
            <w:tcW w:w="1120" w:type="dxa"/>
            <w:vAlign w:val="bottom"/>
            <w:tcBorders>
              <w:right w:val="single" w:sz="8" w:color="2D53A6"/>
            </w:tcBorders>
            <w:shd w:val="clear" w:color="auto" w:fill="E6E6E6"/>
          </w:tcPr>
          <w:p>
            <w:pPr>
              <w:jc w:val="right"/>
              <w:ind w:right="188"/>
              <w:spacing w:after="0" w:line="155" w:lineRule="exact"/>
              <w:rPr>
                <w:sz w:val="20"/>
                <w:szCs w:val="20"/>
                <w:color w:val="auto"/>
              </w:rPr>
            </w:pPr>
            <w:r>
              <w:rPr>
                <w:rFonts w:ascii="Arial" w:cs="Arial" w:eastAsia="Arial" w:hAnsi="Arial"/>
                <w:sz w:val="14"/>
                <w:szCs w:val="14"/>
                <w:color w:val="auto"/>
              </w:rPr>
              <w:t>1,666,891</w:t>
            </w:r>
          </w:p>
        </w:tc>
        <w:tc>
          <w:tcPr>
            <w:tcW w:w="106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326,445</w:t>
            </w:r>
          </w:p>
        </w:tc>
        <w:tc>
          <w:tcPr>
            <w:tcW w:w="110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21,043</w:t>
            </w:r>
          </w:p>
        </w:tc>
        <w:tc>
          <w:tcPr>
            <w:tcW w:w="96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2,466,610</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Sr. Vice President, Finance &amp;</w:t>
            </w:r>
          </w:p>
        </w:tc>
        <w:tc>
          <w:tcPr>
            <w:tcW w:w="1100" w:type="dxa"/>
            <w:vAlign w:val="bottom"/>
            <w:tcBorders>
              <w:right w:val="single" w:sz="8" w:color="2D53A6"/>
            </w:tcBorders>
            <w:gridSpan w:val="2"/>
            <w:shd w:val="clear" w:color="auto" w:fill="E6E6E6"/>
          </w:tcPr>
          <w:p>
            <w:pPr>
              <w:ind w:left="380"/>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432,846</w:t>
            </w:r>
          </w:p>
        </w:tc>
        <w:tc>
          <w:tcPr>
            <w:tcW w:w="1120" w:type="dxa"/>
            <w:vAlign w:val="bottom"/>
            <w:tcBorders>
              <w:right w:val="single" w:sz="8" w:color="2D53A6"/>
            </w:tcBorders>
            <w:shd w:val="clear" w:color="auto" w:fill="E6E6E6"/>
          </w:tcPr>
          <w:p>
            <w:pPr>
              <w:jc w:val="right"/>
              <w:ind w:right="188"/>
              <w:spacing w:after="0"/>
              <w:rPr>
                <w:sz w:val="20"/>
                <w:szCs w:val="20"/>
                <w:color w:val="auto"/>
              </w:rPr>
            </w:pPr>
            <w:r>
              <w:rPr>
                <w:rFonts w:ascii="Arial" w:cs="Arial" w:eastAsia="Arial" w:hAnsi="Arial"/>
                <w:sz w:val="14"/>
                <w:szCs w:val="14"/>
                <w:color w:val="auto"/>
              </w:rPr>
              <w:t>1,074,088</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590,740</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19,381</w:t>
            </w:r>
          </w:p>
        </w:tc>
        <w:tc>
          <w:tcPr>
            <w:tcW w:w="9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w w:val="99"/>
              </w:rPr>
              <w:t>2,117,055</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1100" w:type="dxa"/>
            <w:vAlign w:val="bottom"/>
            <w:tcBorders>
              <w:bottom w:val="single" w:sz="8" w:color="2D53A6"/>
              <w:right w:val="single" w:sz="8" w:color="2D53A6"/>
            </w:tcBorders>
            <w:gridSpan w:val="2"/>
            <w:shd w:val="clear" w:color="auto" w:fill="E6E6E6"/>
          </w:tcPr>
          <w:p>
            <w:pPr>
              <w:ind w:left="38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404,232</w:t>
            </w:r>
          </w:p>
        </w:tc>
        <w:tc>
          <w:tcPr>
            <w:tcW w:w="1120" w:type="dxa"/>
            <w:vAlign w:val="bottom"/>
            <w:tcBorders>
              <w:bottom w:val="single" w:sz="8" w:color="2D53A6"/>
              <w:right w:val="single" w:sz="8" w:color="2D53A6"/>
            </w:tcBorders>
            <w:shd w:val="clear" w:color="auto" w:fill="E6E6E6"/>
          </w:tcPr>
          <w:p>
            <w:pPr>
              <w:jc w:val="right"/>
              <w:ind w:right="188"/>
              <w:spacing w:after="0"/>
              <w:rPr>
                <w:sz w:val="20"/>
                <w:szCs w:val="20"/>
                <w:color w:val="auto"/>
              </w:rPr>
            </w:pPr>
            <w:r>
              <w:rPr>
                <w:rFonts w:ascii="Arial" w:cs="Arial" w:eastAsia="Arial" w:hAnsi="Arial"/>
                <w:sz w:val="14"/>
                <w:szCs w:val="14"/>
                <w:color w:val="auto"/>
              </w:rPr>
              <w:t>948,426</w:t>
            </w:r>
          </w:p>
        </w:tc>
        <w:tc>
          <w:tcPr>
            <w:tcW w:w="1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481,830</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19,000</w:t>
            </w:r>
          </w:p>
        </w:tc>
        <w:tc>
          <w:tcPr>
            <w:tcW w:w="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1,853,488</w:t>
            </w:r>
          </w:p>
        </w:tc>
        <w:tc>
          <w:tcPr>
            <w:tcW w:w="0" w:type="dxa"/>
            <w:vAlign w:val="bottom"/>
          </w:tcPr>
          <w:p>
            <w:pPr>
              <w:spacing w:after="0"/>
              <w:rPr>
                <w:sz w:val="1"/>
                <w:szCs w:val="1"/>
                <w:color w:val="auto"/>
              </w:rPr>
            </w:pPr>
          </w:p>
        </w:tc>
      </w:tr>
      <w:tr>
        <w:trPr>
          <w:trHeight w:val="146"/>
        </w:trPr>
        <w:tc>
          <w:tcPr>
            <w:tcW w:w="4820" w:type="dxa"/>
            <w:vAlign w:val="bottom"/>
            <w:tcBorders>
              <w:left w:val="single" w:sz="8" w:color="2D53A6"/>
              <w:right w:val="single" w:sz="8" w:color="2D53A6"/>
            </w:tcBorders>
          </w:tcPr>
          <w:p>
            <w:pPr>
              <w:ind w:left="20"/>
              <w:spacing w:after="0" w:line="147" w:lineRule="exact"/>
              <w:rPr>
                <w:sz w:val="20"/>
                <w:szCs w:val="20"/>
                <w:color w:val="auto"/>
              </w:rPr>
            </w:pPr>
            <w:r>
              <w:rPr>
                <w:rFonts w:ascii="Arial" w:cs="Arial" w:eastAsia="Arial" w:hAnsi="Arial"/>
                <w:sz w:val="14"/>
                <w:szCs w:val="14"/>
                <w:color w:val="auto"/>
              </w:rPr>
              <w:t>Christopher G. Bohrson</w:t>
            </w:r>
          </w:p>
        </w:tc>
        <w:tc>
          <w:tcPr>
            <w:tcW w:w="1100" w:type="dxa"/>
            <w:vAlign w:val="bottom"/>
            <w:tcBorders>
              <w:right w:val="single" w:sz="8" w:color="2D53A6"/>
            </w:tcBorders>
            <w:gridSpan w:val="2"/>
          </w:tcPr>
          <w:p>
            <w:pPr>
              <w:ind w:left="380"/>
              <w:spacing w:after="0" w:line="147" w:lineRule="exact"/>
              <w:rPr>
                <w:sz w:val="20"/>
                <w:szCs w:val="20"/>
                <w:color w:val="auto"/>
              </w:rPr>
            </w:pPr>
            <w:r>
              <w:rPr>
                <w:rFonts w:ascii="Arial" w:cs="Arial" w:eastAsia="Arial" w:hAnsi="Arial"/>
                <w:sz w:val="14"/>
                <w:szCs w:val="14"/>
                <w:color w:val="auto"/>
              </w:rPr>
              <w:t>2023</w:t>
            </w:r>
          </w:p>
        </w:tc>
        <w:tc>
          <w:tcPr>
            <w:tcW w:w="108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418,846</w:t>
            </w:r>
          </w:p>
        </w:tc>
        <w:tc>
          <w:tcPr>
            <w:tcW w:w="1120" w:type="dxa"/>
            <w:vAlign w:val="bottom"/>
            <w:tcBorders>
              <w:right w:val="single" w:sz="8" w:color="2D53A6"/>
            </w:tcBorders>
          </w:tcPr>
          <w:p>
            <w:pPr>
              <w:jc w:val="right"/>
              <w:ind w:right="188"/>
              <w:spacing w:after="0" w:line="147" w:lineRule="exact"/>
              <w:rPr>
                <w:sz w:val="20"/>
                <w:szCs w:val="20"/>
                <w:color w:val="auto"/>
              </w:rPr>
            </w:pPr>
            <w:r>
              <w:rPr>
                <w:rFonts w:ascii="Arial" w:cs="Arial" w:eastAsia="Arial" w:hAnsi="Arial"/>
                <w:sz w:val="14"/>
                <w:szCs w:val="14"/>
                <w:color w:val="auto"/>
              </w:rPr>
              <w:t>1,262,779</w:t>
            </w:r>
          </w:p>
        </w:tc>
        <w:tc>
          <w:tcPr>
            <w:tcW w:w="106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304,921</w:t>
            </w:r>
          </w:p>
        </w:tc>
        <w:tc>
          <w:tcPr>
            <w:tcW w:w="110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20,962</w:t>
            </w:r>
          </w:p>
        </w:tc>
        <w:tc>
          <w:tcPr>
            <w:tcW w:w="96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2,007,508</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Sr. Vice President,</w:t>
            </w:r>
          </w:p>
        </w:tc>
        <w:tc>
          <w:tcPr>
            <w:tcW w:w="1100" w:type="dxa"/>
            <w:vAlign w:val="bottom"/>
            <w:tcBorders>
              <w:right w:val="single" w:sz="8" w:color="2D53A6"/>
            </w:tcBorders>
            <w:gridSpan w:val="2"/>
          </w:tcPr>
          <w:p>
            <w:pPr>
              <w:ind w:left="380"/>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382,077</w:t>
            </w:r>
          </w:p>
        </w:tc>
        <w:tc>
          <w:tcPr>
            <w:tcW w:w="1120" w:type="dxa"/>
            <w:vAlign w:val="bottom"/>
            <w:tcBorders>
              <w:right w:val="single" w:sz="8" w:color="2D53A6"/>
            </w:tcBorders>
          </w:tcPr>
          <w:p>
            <w:pPr>
              <w:jc w:val="right"/>
              <w:ind w:right="188"/>
              <w:spacing w:after="0"/>
              <w:rPr>
                <w:sz w:val="20"/>
                <w:szCs w:val="20"/>
                <w:color w:val="auto"/>
              </w:rPr>
            </w:pPr>
            <w:r>
              <w:rPr>
                <w:rFonts w:ascii="Arial" w:cs="Arial" w:eastAsia="Arial" w:hAnsi="Arial"/>
                <w:sz w:val="14"/>
                <w:szCs w:val="14"/>
                <w:color w:val="auto"/>
              </w:rPr>
              <w:t>708,669</w:t>
            </w:r>
          </w:p>
        </w:tc>
        <w:tc>
          <w:tcPr>
            <w:tcW w:w="10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520,446</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19,240</w:t>
            </w:r>
          </w:p>
        </w:tc>
        <w:tc>
          <w:tcPr>
            <w:tcW w:w="9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1,630,432</w:t>
            </w:r>
          </w:p>
        </w:tc>
        <w:tc>
          <w:tcPr>
            <w:tcW w:w="0" w:type="dxa"/>
            <w:vAlign w:val="bottom"/>
          </w:tcPr>
          <w:p>
            <w:pPr>
              <w:spacing w:after="0"/>
              <w:rPr>
                <w:sz w:val="1"/>
                <w:szCs w:val="1"/>
                <w:color w:val="auto"/>
              </w:rPr>
            </w:pPr>
          </w:p>
        </w:tc>
      </w:tr>
      <w:tr>
        <w:trPr>
          <w:trHeight w:val="171"/>
        </w:trPr>
        <w:tc>
          <w:tcPr>
            <w:tcW w:w="482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Chief Customer Officer</w:t>
            </w:r>
          </w:p>
        </w:tc>
        <w:tc>
          <w:tcPr>
            <w:tcW w:w="1100" w:type="dxa"/>
            <w:vAlign w:val="bottom"/>
            <w:tcBorders>
              <w:bottom w:val="single" w:sz="8" w:color="2D53A6"/>
              <w:right w:val="single" w:sz="8" w:color="2D53A6"/>
            </w:tcBorders>
            <w:gridSpan w:val="2"/>
          </w:tcPr>
          <w:p>
            <w:pPr>
              <w:ind w:left="38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362,923</w:t>
            </w:r>
          </w:p>
        </w:tc>
        <w:tc>
          <w:tcPr>
            <w:tcW w:w="1120" w:type="dxa"/>
            <w:vAlign w:val="bottom"/>
            <w:tcBorders>
              <w:bottom w:val="single" w:sz="8" w:color="2D53A6"/>
              <w:right w:val="single" w:sz="8" w:color="2D53A6"/>
            </w:tcBorders>
          </w:tcPr>
          <w:p>
            <w:pPr>
              <w:jc w:val="right"/>
              <w:ind w:right="188"/>
              <w:spacing w:after="0"/>
              <w:rPr>
                <w:sz w:val="20"/>
                <w:szCs w:val="20"/>
                <w:color w:val="auto"/>
              </w:rPr>
            </w:pPr>
            <w:r>
              <w:rPr>
                <w:rFonts w:ascii="Arial" w:cs="Arial" w:eastAsia="Arial" w:hAnsi="Arial"/>
                <w:sz w:val="14"/>
                <w:szCs w:val="14"/>
                <w:color w:val="auto"/>
              </w:rPr>
              <w:t>624,534</w:t>
            </w:r>
          </w:p>
        </w:tc>
        <w:tc>
          <w:tcPr>
            <w:tcW w:w="1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430,122</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18,919</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1,436,498</w:t>
            </w:r>
          </w:p>
        </w:tc>
        <w:tc>
          <w:tcPr>
            <w:tcW w:w="0" w:type="dxa"/>
            <w:vAlign w:val="bottom"/>
          </w:tcPr>
          <w:p>
            <w:pPr>
              <w:spacing w:after="0"/>
              <w:rPr>
                <w:sz w:val="1"/>
                <w:szCs w:val="1"/>
                <w:color w:val="auto"/>
              </w:rPr>
            </w:pPr>
          </w:p>
        </w:tc>
      </w:tr>
      <w:tr>
        <w:trPr>
          <w:trHeight w:val="156"/>
        </w:trPr>
        <w:tc>
          <w:tcPr>
            <w:tcW w:w="4820" w:type="dxa"/>
            <w:vAlign w:val="bottom"/>
            <w:tcBorders>
              <w:left w:val="single" w:sz="8" w:color="2D53A6"/>
              <w:right w:val="single" w:sz="8" w:color="2D53A6"/>
            </w:tcBorders>
            <w:shd w:val="clear" w:color="auto" w:fill="E6E6E6"/>
          </w:tcPr>
          <w:p>
            <w:pPr>
              <w:ind w:left="20"/>
              <w:spacing w:after="0" w:line="155" w:lineRule="exact"/>
              <w:rPr>
                <w:sz w:val="20"/>
                <w:szCs w:val="20"/>
                <w:color w:val="auto"/>
              </w:rPr>
            </w:pPr>
            <w:r>
              <w:rPr>
                <w:rFonts w:ascii="Arial" w:cs="Arial" w:eastAsia="Arial" w:hAnsi="Arial"/>
                <w:sz w:val="14"/>
                <w:szCs w:val="14"/>
                <w:color w:val="auto"/>
              </w:rPr>
              <w:t>Thomas D. Kampfer</w:t>
            </w:r>
          </w:p>
        </w:tc>
        <w:tc>
          <w:tcPr>
            <w:tcW w:w="1100" w:type="dxa"/>
            <w:vAlign w:val="bottom"/>
            <w:tcBorders>
              <w:right w:val="single" w:sz="8" w:color="2D53A6"/>
            </w:tcBorders>
            <w:gridSpan w:val="2"/>
            <w:shd w:val="clear" w:color="auto" w:fill="E6E6E6"/>
          </w:tcPr>
          <w:p>
            <w:pPr>
              <w:ind w:left="380"/>
              <w:spacing w:after="0" w:line="155" w:lineRule="exact"/>
              <w:rPr>
                <w:sz w:val="20"/>
                <w:szCs w:val="20"/>
                <w:color w:val="auto"/>
              </w:rPr>
            </w:pPr>
            <w:r>
              <w:rPr>
                <w:rFonts w:ascii="Arial" w:cs="Arial" w:eastAsia="Arial" w:hAnsi="Arial"/>
                <w:sz w:val="14"/>
                <w:szCs w:val="14"/>
                <w:color w:val="auto"/>
              </w:rPr>
              <w:t>2023</w:t>
            </w:r>
          </w:p>
        </w:tc>
        <w:tc>
          <w:tcPr>
            <w:tcW w:w="108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400,846</w:t>
            </w:r>
          </w:p>
        </w:tc>
        <w:tc>
          <w:tcPr>
            <w:tcW w:w="1120" w:type="dxa"/>
            <w:vAlign w:val="bottom"/>
            <w:tcBorders>
              <w:right w:val="single" w:sz="8" w:color="2D53A6"/>
            </w:tcBorders>
            <w:shd w:val="clear" w:color="auto" w:fill="E6E6E6"/>
          </w:tcPr>
          <w:p>
            <w:pPr>
              <w:jc w:val="right"/>
              <w:ind w:right="188"/>
              <w:spacing w:after="0" w:line="155" w:lineRule="exact"/>
              <w:rPr>
                <w:sz w:val="20"/>
                <w:szCs w:val="20"/>
                <w:color w:val="auto"/>
              </w:rPr>
            </w:pPr>
            <w:r>
              <w:rPr>
                <w:rFonts w:ascii="Arial" w:cs="Arial" w:eastAsia="Arial" w:hAnsi="Arial"/>
                <w:sz w:val="14"/>
                <w:szCs w:val="14"/>
                <w:color w:val="auto"/>
              </w:rPr>
              <w:t>757,614</w:t>
            </w:r>
          </w:p>
        </w:tc>
        <w:tc>
          <w:tcPr>
            <w:tcW w:w="106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193,715</w:t>
            </w:r>
          </w:p>
        </w:tc>
        <w:tc>
          <w:tcPr>
            <w:tcW w:w="110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20,908</w:t>
            </w:r>
          </w:p>
        </w:tc>
        <w:tc>
          <w:tcPr>
            <w:tcW w:w="960" w:type="dxa"/>
            <w:vAlign w:val="bottom"/>
            <w:tcBorders>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1,373,083</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Sr. Vice President, Corp. Development,</w:t>
            </w:r>
          </w:p>
        </w:tc>
        <w:tc>
          <w:tcPr>
            <w:tcW w:w="1100" w:type="dxa"/>
            <w:vAlign w:val="bottom"/>
            <w:tcBorders>
              <w:right w:val="single" w:sz="8" w:color="2D53A6"/>
            </w:tcBorders>
            <w:gridSpan w:val="2"/>
            <w:shd w:val="clear" w:color="auto" w:fill="E6E6E6"/>
          </w:tcPr>
          <w:p>
            <w:pPr>
              <w:ind w:left="380"/>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374,462</w:t>
            </w:r>
          </w:p>
        </w:tc>
        <w:tc>
          <w:tcPr>
            <w:tcW w:w="1120" w:type="dxa"/>
            <w:vAlign w:val="bottom"/>
            <w:tcBorders>
              <w:right w:val="single" w:sz="8" w:color="2D53A6"/>
            </w:tcBorders>
            <w:shd w:val="clear" w:color="auto" w:fill="E6E6E6"/>
          </w:tcPr>
          <w:p>
            <w:pPr>
              <w:jc w:val="right"/>
              <w:ind w:right="188"/>
              <w:spacing w:after="0"/>
              <w:rPr>
                <w:sz w:val="20"/>
                <w:szCs w:val="20"/>
                <w:color w:val="auto"/>
              </w:rPr>
            </w:pPr>
            <w:r>
              <w:rPr>
                <w:rFonts w:ascii="Arial" w:cs="Arial" w:eastAsia="Arial" w:hAnsi="Arial"/>
                <w:sz w:val="14"/>
                <w:szCs w:val="14"/>
                <w:color w:val="auto"/>
              </w:rPr>
              <w:t>525,929</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364,988</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19,221</w:t>
            </w:r>
          </w:p>
        </w:tc>
        <w:tc>
          <w:tcPr>
            <w:tcW w:w="9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1,284,600</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General Counsel &amp; Secretary</w:t>
            </w:r>
          </w:p>
        </w:tc>
        <w:tc>
          <w:tcPr>
            <w:tcW w:w="1100" w:type="dxa"/>
            <w:vAlign w:val="bottom"/>
            <w:tcBorders>
              <w:bottom w:val="single" w:sz="8" w:color="2D53A6"/>
              <w:right w:val="single" w:sz="8" w:color="2D53A6"/>
            </w:tcBorders>
            <w:gridSpan w:val="2"/>
            <w:shd w:val="clear" w:color="auto" w:fill="E6E6E6"/>
          </w:tcPr>
          <w:p>
            <w:pPr>
              <w:ind w:left="38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351,154</w:t>
            </w:r>
          </w:p>
        </w:tc>
        <w:tc>
          <w:tcPr>
            <w:tcW w:w="1120" w:type="dxa"/>
            <w:vAlign w:val="bottom"/>
            <w:tcBorders>
              <w:bottom w:val="single" w:sz="8" w:color="2D53A6"/>
              <w:right w:val="single" w:sz="8" w:color="2D53A6"/>
            </w:tcBorders>
            <w:shd w:val="clear" w:color="auto" w:fill="E6E6E6"/>
          </w:tcPr>
          <w:p>
            <w:pPr>
              <w:jc w:val="right"/>
              <w:ind w:right="188"/>
              <w:spacing w:after="0"/>
              <w:rPr>
                <w:sz w:val="20"/>
                <w:szCs w:val="20"/>
                <w:color w:val="auto"/>
              </w:rPr>
            </w:pPr>
            <w:r>
              <w:rPr>
                <w:rFonts w:ascii="Arial" w:cs="Arial" w:eastAsia="Arial" w:hAnsi="Arial"/>
                <w:sz w:val="14"/>
                <w:szCs w:val="14"/>
                <w:color w:val="auto"/>
              </w:rPr>
              <w:t>462,588</w:t>
            </w:r>
          </w:p>
        </w:tc>
        <w:tc>
          <w:tcPr>
            <w:tcW w:w="1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297,996</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18,786</w:t>
            </w:r>
          </w:p>
        </w:tc>
        <w:tc>
          <w:tcPr>
            <w:tcW w:w="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1,130,524</w:t>
            </w:r>
          </w:p>
        </w:tc>
        <w:tc>
          <w:tcPr>
            <w:tcW w:w="0" w:type="dxa"/>
            <w:vAlign w:val="bottom"/>
          </w:tcPr>
          <w:p>
            <w:pPr>
              <w:spacing w:after="0"/>
              <w:rPr>
                <w:sz w:val="1"/>
                <w:szCs w:val="1"/>
                <w:color w:val="auto"/>
              </w:rPr>
            </w:pPr>
          </w:p>
        </w:tc>
      </w:tr>
      <w:tr>
        <w:trPr>
          <w:trHeight w:val="146"/>
        </w:trPr>
        <w:tc>
          <w:tcPr>
            <w:tcW w:w="4820" w:type="dxa"/>
            <w:vAlign w:val="bottom"/>
            <w:tcBorders>
              <w:left w:val="single" w:sz="8" w:color="2D53A6"/>
              <w:right w:val="single" w:sz="8" w:color="2D53A6"/>
            </w:tcBorders>
          </w:tcPr>
          <w:p>
            <w:pPr>
              <w:ind w:left="20"/>
              <w:spacing w:after="0" w:line="146" w:lineRule="exact"/>
              <w:rPr>
                <w:sz w:val="20"/>
                <w:szCs w:val="20"/>
                <w:color w:val="auto"/>
              </w:rPr>
            </w:pPr>
            <w:r>
              <w:rPr>
                <w:rFonts w:ascii="Arial" w:cs="Arial" w:eastAsia="Arial" w:hAnsi="Arial"/>
                <w:sz w:val="11"/>
                <w:szCs w:val="11"/>
                <w:color w:val="auto"/>
              </w:rPr>
              <w:t xml:space="preserve">Ian P. Lawee </w:t>
            </w:r>
            <w:r>
              <w:rPr>
                <w:rFonts w:ascii="Arial" w:cs="Arial" w:eastAsia="Arial" w:hAnsi="Arial"/>
                <w:sz w:val="16"/>
                <w:szCs w:val="16"/>
                <w:color w:val="auto"/>
                <w:vertAlign w:val="superscript"/>
              </w:rPr>
              <w:t>(4)</w:t>
            </w:r>
          </w:p>
        </w:tc>
        <w:tc>
          <w:tcPr>
            <w:tcW w:w="1100" w:type="dxa"/>
            <w:vAlign w:val="bottom"/>
            <w:tcBorders>
              <w:right w:val="single" w:sz="8" w:color="2D53A6"/>
            </w:tcBorders>
            <w:gridSpan w:val="2"/>
          </w:tcPr>
          <w:p>
            <w:pPr>
              <w:ind w:left="380"/>
              <w:spacing w:after="0" w:line="147" w:lineRule="exact"/>
              <w:rPr>
                <w:sz w:val="20"/>
                <w:szCs w:val="20"/>
                <w:color w:val="auto"/>
              </w:rPr>
            </w:pPr>
            <w:r>
              <w:rPr>
                <w:rFonts w:ascii="Arial" w:cs="Arial" w:eastAsia="Arial" w:hAnsi="Arial"/>
                <w:sz w:val="14"/>
                <w:szCs w:val="14"/>
                <w:color w:val="auto"/>
              </w:rPr>
              <w:t>2023</w:t>
            </w:r>
          </w:p>
        </w:tc>
        <w:tc>
          <w:tcPr>
            <w:tcW w:w="108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333,923</w:t>
            </w:r>
          </w:p>
        </w:tc>
        <w:tc>
          <w:tcPr>
            <w:tcW w:w="1120" w:type="dxa"/>
            <w:vAlign w:val="bottom"/>
            <w:tcBorders>
              <w:right w:val="single" w:sz="8" w:color="2D53A6"/>
            </w:tcBorders>
          </w:tcPr>
          <w:p>
            <w:pPr>
              <w:jc w:val="right"/>
              <w:ind w:right="188"/>
              <w:spacing w:after="0" w:line="147" w:lineRule="exact"/>
              <w:rPr>
                <w:sz w:val="20"/>
                <w:szCs w:val="20"/>
                <w:color w:val="auto"/>
              </w:rPr>
            </w:pPr>
            <w:r>
              <w:rPr>
                <w:rFonts w:ascii="Arial" w:cs="Arial" w:eastAsia="Arial" w:hAnsi="Arial"/>
                <w:sz w:val="14"/>
                <w:szCs w:val="14"/>
                <w:color w:val="auto"/>
              </w:rPr>
              <w:t>530,330</w:t>
            </w:r>
          </w:p>
        </w:tc>
        <w:tc>
          <w:tcPr>
            <w:tcW w:w="106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176,256</w:t>
            </w:r>
          </w:p>
        </w:tc>
        <w:tc>
          <w:tcPr>
            <w:tcW w:w="110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20,719</w:t>
            </w:r>
          </w:p>
        </w:tc>
        <w:tc>
          <w:tcPr>
            <w:tcW w:w="960" w:type="dxa"/>
            <w:vAlign w:val="bottom"/>
            <w:tcBorders>
              <w:right w:val="single" w:sz="8" w:color="2D53A6"/>
            </w:tcBorders>
          </w:tcPr>
          <w:p>
            <w:pPr>
              <w:jc w:val="center"/>
              <w:spacing w:after="0" w:line="147" w:lineRule="exact"/>
              <w:rPr>
                <w:sz w:val="20"/>
                <w:szCs w:val="20"/>
                <w:color w:val="auto"/>
              </w:rPr>
            </w:pPr>
            <w:r>
              <w:rPr>
                <w:rFonts w:ascii="Arial" w:cs="Arial" w:eastAsia="Arial" w:hAnsi="Arial"/>
                <w:sz w:val="14"/>
                <w:szCs w:val="14"/>
                <w:color w:val="auto"/>
              </w:rPr>
              <w:t>1,061,228</w:t>
            </w:r>
          </w:p>
        </w:tc>
        <w:tc>
          <w:tcPr>
            <w:tcW w:w="0" w:type="dxa"/>
            <w:vAlign w:val="bottom"/>
          </w:tcPr>
          <w:p>
            <w:pPr>
              <w:spacing w:after="0"/>
              <w:rPr>
                <w:sz w:val="1"/>
                <w:szCs w:val="1"/>
                <w:color w:val="auto"/>
              </w:rPr>
            </w:pPr>
          </w:p>
        </w:tc>
      </w:tr>
      <w:tr>
        <w:trPr>
          <w:trHeight w:val="162"/>
        </w:trPr>
        <w:tc>
          <w:tcPr>
            <w:tcW w:w="4820" w:type="dxa"/>
            <w:vAlign w:val="bottom"/>
            <w:tcBorders>
              <w:left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Sr. Vice President &amp; General Manager,</w:t>
            </w:r>
          </w:p>
        </w:tc>
        <w:tc>
          <w:tcPr>
            <w:tcW w:w="1100" w:type="dxa"/>
            <w:vAlign w:val="bottom"/>
            <w:tcBorders>
              <w:right w:val="single" w:sz="8" w:color="2D53A6"/>
            </w:tcBorders>
            <w:gridSpan w:val="2"/>
          </w:tcPr>
          <w:p>
            <w:pPr>
              <w:ind w:left="380"/>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319,539</w:t>
            </w:r>
          </w:p>
        </w:tc>
        <w:tc>
          <w:tcPr>
            <w:tcW w:w="1120" w:type="dxa"/>
            <w:vAlign w:val="bottom"/>
            <w:tcBorders>
              <w:right w:val="single" w:sz="8" w:color="2D53A6"/>
            </w:tcBorders>
          </w:tcPr>
          <w:p>
            <w:pPr>
              <w:jc w:val="right"/>
              <w:ind w:right="188"/>
              <w:spacing w:after="0"/>
              <w:rPr>
                <w:sz w:val="20"/>
                <w:szCs w:val="20"/>
                <w:color w:val="auto"/>
              </w:rPr>
            </w:pPr>
            <w:r>
              <w:rPr>
                <w:rFonts w:ascii="Arial" w:cs="Arial" w:eastAsia="Arial" w:hAnsi="Arial"/>
                <w:sz w:val="14"/>
                <w:szCs w:val="14"/>
                <w:color w:val="auto"/>
              </w:rPr>
              <w:t>465,056</w:t>
            </w:r>
          </w:p>
        </w:tc>
        <w:tc>
          <w:tcPr>
            <w:tcW w:w="10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348,380</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19,086</w:t>
            </w:r>
          </w:p>
        </w:tc>
        <w:tc>
          <w:tcPr>
            <w:tcW w:w="9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1,152,061</w:t>
            </w:r>
          </w:p>
        </w:tc>
        <w:tc>
          <w:tcPr>
            <w:tcW w:w="0" w:type="dxa"/>
            <w:vAlign w:val="bottom"/>
          </w:tcPr>
          <w:p>
            <w:pPr>
              <w:spacing w:after="0"/>
              <w:rPr>
                <w:sz w:val="1"/>
                <w:szCs w:val="1"/>
                <w:color w:val="auto"/>
              </w:rPr>
            </w:pPr>
          </w:p>
        </w:tc>
      </w:tr>
      <w:tr>
        <w:trPr>
          <w:trHeight w:val="171"/>
        </w:trPr>
        <w:tc>
          <w:tcPr>
            <w:tcW w:w="482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Semiconductor Test Group</w:t>
            </w:r>
          </w:p>
        </w:tc>
        <w:tc>
          <w:tcPr>
            <w:tcW w:w="1100" w:type="dxa"/>
            <w:vAlign w:val="bottom"/>
            <w:tcBorders>
              <w:bottom w:val="single" w:sz="8" w:color="2D53A6"/>
              <w:right w:val="single" w:sz="8" w:color="2D53A6"/>
            </w:tcBorders>
            <w:gridSpan w:val="2"/>
          </w:tcPr>
          <w:p>
            <w:pPr>
              <w:ind w:left="38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308,333</w:t>
            </w:r>
          </w:p>
        </w:tc>
        <w:tc>
          <w:tcPr>
            <w:tcW w:w="1120" w:type="dxa"/>
            <w:vAlign w:val="bottom"/>
            <w:tcBorders>
              <w:bottom w:val="single" w:sz="8" w:color="2D53A6"/>
              <w:right w:val="single" w:sz="8" w:color="2D53A6"/>
            </w:tcBorders>
          </w:tcPr>
          <w:p>
            <w:pPr>
              <w:jc w:val="right"/>
              <w:ind w:right="188"/>
              <w:spacing w:after="0"/>
              <w:rPr>
                <w:sz w:val="20"/>
                <w:szCs w:val="20"/>
                <w:color w:val="auto"/>
              </w:rPr>
            </w:pPr>
            <w:r>
              <w:rPr>
                <w:rFonts w:ascii="Arial" w:cs="Arial" w:eastAsia="Arial" w:hAnsi="Arial"/>
                <w:sz w:val="14"/>
                <w:szCs w:val="14"/>
                <w:color w:val="auto"/>
              </w:rPr>
              <w:t>404,765</w:t>
            </w:r>
          </w:p>
        </w:tc>
        <w:tc>
          <w:tcPr>
            <w:tcW w:w="1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288,091</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18,991</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1,020,180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60" w:hanging="332"/>
        <w:spacing w:after="0" w:line="246"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NEOs. Instead, the amounts shown above are the grant date fair value for stock awards issued in the form of RSUs and PSUs granted in fiscal years 2023, 2022, and 2021,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30, 2023,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30, 2023. Assuming the highest level of performance conditions are achieved, the grant date fair values for performance-based stock awards made in 2023 would be $6,827,661, $2,253,130, $1,706,863, $1,024,056 and $716,839 for Dr. Müller and Messrs. Jones, Bohrson, Kampfer and Lawee, respectively. Using the same assumptions, for 2022 they would be $3,643,835, $1,178,181, $777,348, $576,899 and $510,126 and in 2021 they would be $3,283,167, $1,076,866, $709,111, $525,233 and $459,579 for Dr. Müller and Messrs. Jones, Bohrson, Kampfer and Lawee, respectively.</w:t>
      </w:r>
    </w:p>
    <w:p>
      <w:pPr>
        <w:spacing w:after="0" w:line="40" w:lineRule="exact"/>
        <w:rPr>
          <w:rFonts w:ascii="Arial" w:cs="Arial" w:eastAsia="Arial" w:hAnsi="Arial"/>
          <w:sz w:val="14"/>
          <w:szCs w:val="14"/>
          <w:color w:val="auto"/>
        </w:rPr>
      </w:pPr>
    </w:p>
    <w:p>
      <w:pPr>
        <w:ind w:left="340" w:right="240" w:hanging="332"/>
        <w:spacing w:after="0" w:line="28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consist of performance-based cash incentives received by the NEO earned for services rendered in 2023, 2022, and 2021. Such amounts were paid under the 2005 Plan in February or March of the following fiscal year.</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shown in this column reflect the following for each NEO:</w:t>
      </w:r>
    </w:p>
    <w:p>
      <w:pPr>
        <w:spacing w:after="0" w:line="68" w:lineRule="exact"/>
        <w:rPr>
          <w:rFonts w:ascii="Arial" w:cs="Arial" w:eastAsia="Arial" w:hAnsi="Arial"/>
          <w:sz w:val="14"/>
          <w:szCs w:val="14"/>
          <w:color w:val="auto"/>
        </w:rPr>
      </w:pPr>
    </w:p>
    <w:p>
      <w:pPr>
        <w:ind w:left="660" w:right="80" w:hanging="328"/>
        <w:spacing w:after="0" w:line="285" w:lineRule="auto"/>
        <w:tabs>
          <w:tab w:leader="none" w:pos="6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For U.S. based NEOs, includes amounts of Cohu’s matching contributions in 2023 under the Cohu 401(k) Plan (which is more fully described elsewhere herein under the heading “Retirement Benefits Under the 401(k) Plan, Executive Perquisites and Generally Available Benefits”).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The value attributable to life insurance benefits provided by Cohu (such amount is taxable to the recipient).</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Monthly automobile expense allowance paid by Cohu (such amount is taxable to the recipient).</w:t>
      </w:r>
    </w:p>
    <w:p>
      <w:pPr>
        <w:spacing w:after="0" w:line="82" w:lineRule="exact"/>
        <w:rPr>
          <w:rFonts w:ascii="Arial" w:cs="Arial" w:eastAsia="Arial" w:hAnsi="Arial"/>
          <w:sz w:val="14"/>
          <w:szCs w:val="14"/>
          <w:color w:val="auto"/>
        </w:rPr>
      </w:pPr>
    </w:p>
    <w:p>
      <w:pPr>
        <w:ind w:left="660" w:right="60" w:hanging="328"/>
        <w:spacing w:after="0" w:line="285" w:lineRule="auto"/>
        <w:tabs>
          <w:tab w:leader="none" w:pos="6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Except as noted above, the amount attributable to each such perquisite or benefit for each NEO does not exceed the greater of $25,000 or 10% of the total amount of perquisites and personal benefits received by such NEO.</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Ian Lawee served as a NEO for a portion of 2023.</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Pay Versus Performance</w:t>
      </w:r>
    </w:p>
    <w:p>
      <w:pPr>
        <w:spacing w:after="0" w:line="1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Pay Versus Performance Table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Actually Paid (</w:t>
      </w:r>
      <w:r>
        <w:rPr>
          <w:rFonts w:ascii="Arial" w:cs="Arial" w:eastAsia="Arial" w:hAnsi="Arial"/>
          <w:sz w:val="22"/>
          <w:szCs w:val="22"/>
          <w:color w:val="auto"/>
        </w:rPr>
        <w:t>“</w:t>
      </w:r>
      <w:r>
        <w:rPr>
          <w:rFonts w:ascii="Arial" w:cs="Arial" w:eastAsia="Arial" w:hAnsi="Arial"/>
          <w:sz w:val="22"/>
          <w:szCs w:val="22"/>
          <w:b w:val="1"/>
          <w:bCs w:val="1"/>
          <w:color w:val="auto"/>
        </w:rPr>
        <w:t>CAP</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80" w:type="dxa"/>
            <w:vAlign w:val="bottom"/>
            <w:tcBorders>
              <w:left w:val="single" w:sz="8" w:color="2D53A6"/>
              <w:right w:val="single" w:sz="8" w:color="2D53A6"/>
            </w:tcBorders>
            <w:shd w:val="clear" w:color="auto" w:fill="2D53A6"/>
          </w:tcPr>
          <w:p>
            <w:pPr>
              <w:spacing w:after="0"/>
              <w:rPr>
                <w:sz w:val="14"/>
                <w:szCs w:val="14"/>
                <w:color w:val="auto"/>
              </w:rPr>
            </w:pPr>
          </w:p>
        </w:tc>
        <w:tc>
          <w:tcPr>
            <w:tcW w:w="1380" w:type="dxa"/>
            <w:vAlign w:val="bottom"/>
            <w:tcBorders>
              <w:right w:val="single" w:sz="8" w:color="2D53A6"/>
            </w:tcBorders>
            <w:shd w:val="clear" w:color="auto" w:fill="2D53A6"/>
          </w:tcPr>
          <w:p>
            <w:pPr>
              <w:spacing w:after="0"/>
              <w:rPr>
                <w:sz w:val="14"/>
                <w:szCs w:val="14"/>
                <w:color w:val="auto"/>
              </w:rPr>
            </w:pPr>
          </w:p>
        </w:tc>
        <w:tc>
          <w:tcPr>
            <w:tcW w:w="1380" w:type="dxa"/>
            <w:vAlign w:val="bottom"/>
            <w:tcBorders>
              <w:right w:val="single" w:sz="8" w:color="2D53A6"/>
            </w:tcBorders>
            <w:shd w:val="clear" w:color="auto" w:fill="2D53A6"/>
          </w:tcPr>
          <w:p>
            <w:pPr>
              <w:spacing w:after="0"/>
              <w:rPr>
                <w:sz w:val="14"/>
                <w:szCs w:val="14"/>
                <w:color w:val="auto"/>
              </w:rPr>
            </w:pP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w:t>
            </w:r>
          </w:p>
        </w:tc>
        <w:tc>
          <w:tcPr>
            <w:tcW w:w="132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spacing w:after="0"/>
              <w:rPr>
                <w:sz w:val="14"/>
                <w:szCs w:val="14"/>
                <w:color w:val="auto"/>
              </w:rPr>
            </w:pPr>
          </w:p>
        </w:tc>
        <w:tc>
          <w:tcPr>
            <w:tcW w:w="1100" w:type="dxa"/>
            <w:vAlign w:val="bottom"/>
            <w:tcBorders>
              <w:right w:val="single" w:sz="8" w:color="2D53A6"/>
            </w:tcBorders>
            <w:shd w:val="clear" w:color="auto" w:fill="2D53A6"/>
          </w:tcPr>
          <w:p>
            <w:pPr>
              <w:spacing w:after="0"/>
              <w:rPr>
                <w:sz w:val="14"/>
                <w:szCs w:val="14"/>
                <w:color w:val="auto"/>
              </w:rPr>
            </w:pPr>
          </w:p>
        </w:tc>
        <w:tc>
          <w:tcPr>
            <w:tcW w:w="136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2D53A6"/>
              <w:right w:val="single" w:sz="8" w:color="2D53A6"/>
            </w:tcBorders>
            <w:shd w:val="clear" w:color="auto" w:fill="2D53A6"/>
          </w:tcPr>
          <w:p>
            <w:pPr>
              <w:spacing w:after="0"/>
              <w:rPr>
                <w:sz w:val="14"/>
                <w:szCs w:val="14"/>
                <w:color w:val="auto"/>
              </w:rPr>
            </w:pP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380" w:type="dxa"/>
            <w:vAlign w:val="bottom"/>
            <w:tcBorders>
              <w:right w:val="single" w:sz="8" w:color="2D53A6"/>
            </w:tcBorders>
            <w:shd w:val="clear" w:color="auto" w:fill="2D53A6"/>
          </w:tcPr>
          <w:p>
            <w:pPr>
              <w:spacing w:after="0"/>
              <w:rPr>
                <w:sz w:val="14"/>
                <w:szCs w:val="14"/>
                <w:color w:val="auto"/>
              </w:rPr>
            </w:pP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w:t>
            </w: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Peer Group</w:t>
            </w:r>
          </w:p>
        </w:tc>
        <w:tc>
          <w:tcPr>
            <w:tcW w:w="1100" w:type="dxa"/>
            <w:vAlign w:val="bottom"/>
            <w:tcBorders>
              <w:right w:val="single" w:sz="8" w:color="2D53A6"/>
            </w:tcBorders>
            <w:shd w:val="clear" w:color="auto" w:fill="2D53A6"/>
          </w:tcPr>
          <w:p>
            <w:pPr>
              <w:spacing w:after="0"/>
              <w:rPr>
                <w:sz w:val="14"/>
                <w:szCs w:val="14"/>
                <w:color w:val="auto"/>
              </w:rPr>
            </w:pPr>
          </w:p>
        </w:tc>
        <w:tc>
          <w:tcPr>
            <w:tcW w:w="136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2D53A6"/>
              <w:right w:val="single" w:sz="8" w:color="2D53A6"/>
            </w:tcBorders>
            <w:shd w:val="clear" w:color="auto" w:fill="2D53A6"/>
          </w:tcPr>
          <w:p>
            <w:pPr>
              <w:spacing w:after="0"/>
              <w:rPr>
                <w:sz w:val="14"/>
                <w:szCs w:val="14"/>
                <w:color w:val="auto"/>
              </w:rPr>
            </w:pP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Share-</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Share-</w:t>
            </w:r>
          </w:p>
        </w:tc>
        <w:tc>
          <w:tcPr>
            <w:tcW w:w="1100" w:type="dxa"/>
            <w:vAlign w:val="bottom"/>
            <w:tcBorders>
              <w:right w:val="single" w:sz="8" w:color="2D53A6"/>
            </w:tcBorders>
            <w:shd w:val="clear" w:color="auto" w:fill="2D53A6"/>
          </w:tcPr>
          <w:p>
            <w:pPr>
              <w:spacing w:after="0"/>
              <w:rPr>
                <w:sz w:val="14"/>
                <w:szCs w:val="14"/>
                <w:color w:val="auto"/>
              </w:rPr>
            </w:pPr>
          </w:p>
        </w:tc>
        <w:tc>
          <w:tcPr>
            <w:tcW w:w="136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2D53A6"/>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3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3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3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3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holder Return</w:t>
            </w:r>
          </w:p>
        </w:tc>
        <w:tc>
          <w:tcPr>
            <w:tcW w:w="13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holder Return</w:t>
            </w:r>
          </w:p>
        </w:tc>
        <w:tc>
          <w:tcPr>
            <w:tcW w:w="110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Net</w:t>
            </w: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Non-GAAP Pre-</w:t>
            </w:r>
          </w:p>
        </w:tc>
        <w:tc>
          <w:tcPr>
            <w:tcW w:w="0" w:type="dxa"/>
            <w:vAlign w:val="bottom"/>
          </w:tcPr>
          <w:p>
            <w:pPr>
              <w:spacing w:after="0"/>
              <w:rPr>
                <w:sz w:val="1"/>
                <w:szCs w:val="1"/>
                <w:color w:val="auto"/>
              </w:rPr>
            </w:pPr>
          </w:p>
        </w:tc>
      </w:tr>
      <w:tr>
        <w:trPr>
          <w:trHeight w:val="162"/>
        </w:trPr>
        <w:tc>
          <w:tcPr>
            <w:tcW w:w="680" w:type="dxa"/>
            <w:vAlign w:val="bottom"/>
            <w:tcBorders>
              <w:left w:val="single" w:sz="8" w:color="2D53A6"/>
              <w:right w:val="single" w:sz="8" w:color="2D53A6"/>
            </w:tcBorders>
            <w:vMerge w:val="continue"/>
            <w:shd w:val="clear" w:color="auto" w:fill="2D53A6"/>
          </w:tcPr>
          <w:p>
            <w:pPr>
              <w:spacing w:after="0"/>
              <w:rPr>
                <w:sz w:val="14"/>
                <w:szCs w:val="14"/>
                <w:color w:val="auto"/>
              </w:rPr>
            </w:pPr>
          </w:p>
        </w:tc>
        <w:tc>
          <w:tcPr>
            <w:tcW w:w="138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CEO </w:t>
            </w:r>
            <w:r>
              <w:rPr>
                <w:rFonts w:ascii="Arial" w:cs="Arial" w:eastAsia="Arial" w:hAnsi="Arial"/>
                <w:sz w:val="18"/>
                <w:szCs w:val="18"/>
                <w:b w:val="1"/>
                <w:bCs w:val="1"/>
                <w:color w:val="FFFFFF"/>
                <w:vertAlign w:val="superscript"/>
              </w:rPr>
              <w:t>(1)</w:t>
            </w:r>
          </w:p>
        </w:tc>
        <w:tc>
          <w:tcPr>
            <w:tcW w:w="138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CEO </w:t>
            </w:r>
            <w:r>
              <w:rPr>
                <w:rFonts w:ascii="Arial" w:cs="Arial" w:eastAsia="Arial" w:hAnsi="Arial"/>
                <w:sz w:val="18"/>
                <w:szCs w:val="18"/>
                <w:b w:val="1"/>
                <w:bCs w:val="1"/>
                <w:color w:val="FFFFFF"/>
                <w:vertAlign w:val="superscript"/>
              </w:rPr>
              <w:t>(2)</w:t>
            </w:r>
          </w:p>
        </w:tc>
        <w:tc>
          <w:tcPr>
            <w:tcW w:w="136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Other NEOs </w:t>
            </w:r>
            <w:r>
              <w:rPr>
                <w:rFonts w:ascii="Arial" w:cs="Arial" w:eastAsia="Arial" w:hAnsi="Arial"/>
                <w:sz w:val="18"/>
                <w:szCs w:val="18"/>
                <w:b w:val="1"/>
                <w:bCs w:val="1"/>
                <w:color w:val="FFFFFF"/>
                <w:vertAlign w:val="superscript"/>
              </w:rPr>
              <w:t>(3)</w:t>
            </w:r>
          </w:p>
        </w:tc>
        <w:tc>
          <w:tcPr>
            <w:tcW w:w="132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Other NEOs </w:t>
            </w:r>
            <w:r>
              <w:rPr>
                <w:rFonts w:ascii="Arial" w:cs="Arial" w:eastAsia="Arial" w:hAnsi="Arial"/>
                <w:sz w:val="18"/>
                <w:szCs w:val="18"/>
                <w:b w:val="1"/>
                <w:bCs w:val="1"/>
                <w:color w:val="FFFFFF"/>
                <w:vertAlign w:val="superscript"/>
              </w:rPr>
              <w:t>(4)</w:t>
            </w:r>
          </w:p>
        </w:tc>
        <w:tc>
          <w:tcPr>
            <w:tcW w:w="1340" w:type="dxa"/>
            <w:vAlign w:val="bottom"/>
            <w:tcBorders>
              <w:right w:val="single" w:sz="8" w:color="2D53A6"/>
            </w:tcBorders>
            <w:shd w:val="clear" w:color="auto" w:fill="2D53A6"/>
          </w:tcPr>
          <w:p>
            <w:pPr>
              <w:jc w:val="right"/>
              <w:ind w:right="529"/>
              <w:spacing w:after="0"/>
              <w:rPr>
                <w:sz w:val="20"/>
                <w:szCs w:val="20"/>
                <w:color w:val="auto"/>
              </w:rPr>
            </w:pPr>
            <w:r>
              <w:rPr>
                <w:rFonts w:ascii="Arial" w:cs="Arial" w:eastAsia="Arial" w:hAnsi="Arial"/>
                <w:sz w:val="12"/>
                <w:szCs w:val="12"/>
                <w:b w:val="1"/>
                <w:bCs w:val="1"/>
                <w:color w:val="FFFFFF"/>
              </w:rPr>
              <w:t>(5)</w:t>
            </w:r>
          </w:p>
        </w:tc>
        <w:tc>
          <w:tcPr>
            <w:tcW w:w="1320" w:type="dxa"/>
            <w:vAlign w:val="bottom"/>
            <w:tcBorders>
              <w:right w:val="single" w:sz="8" w:color="2D53A6"/>
            </w:tcBorders>
            <w:shd w:val="clear" w:color="auto" w:fill="2D53A6"/>
          </w:tcPr>
          <w:p>
            <w:pPr>
              <w:jc w:val="right"/>
              <w:ind w:right="529"/>
              <w:spacing w:after="0"/>
              <w:rPr>
                <w:sz w:val="20"/>
                <w:szCs w:val="20"/>
                <w:color w:val="auto"/>
              </w:rPr>
            </w:pPr>
            <w:r>
              <w:rPr>
                <w:rFonts w:ascii="Arial" w:cs="Arial" w:eastAsia="Arial" w:hAnsi="Arial"/>
                <w:sz w:val="12"/>
                <w:szCs w:val="12"/>
                <w:b w:val="1"/>
                <w:bCs w:val="1"/>
                <w:color w:val="FFFFFF"/>
              </w:rPr>
              <w:t>(6)</w:t>
            </w:r>
          </w:p>
        </w:tc>
        <w:tc>
          <w:tcPr>
            <w:tcW w:w="110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Income </w:t>
            </w:r>
            <w:r>
              <w:rPr>
                <w:rFonts w:ascii="Arial" w:cs="Arial" w:eastAsia="Arial" w:hAnsi="Arial"/>
                <w:sz w:val="18"/>
                <w:szCs w:val="18"/>
                <w:b w:val="1"/>
                <w:bCs w:val="1"/>
                <w:color w:val="FFFFFF"/>
                <w:vertAlign w:val="superscript"/>
              </w:rPr>
              <w:t>(7)</w:t>
            </w:r>
          </w:p>
        </w:tc>
        <w:tc>
          <w:tcPr>
            <w:tcW w:w="1360" w:type="dxa"/>
            <w:vAlign w:val="bottom"/>
            <w:tcBorders>
              <w:right w:val="single" w:sz="8" w:color="2D53A6"/>
            </w:tcBorders>
            <w:vMerge w:val="continue"/>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80" w:type="dxa"/>
            <w:vAlign w:val="bottom"/>
            <w:tcBorders>
              <w:left w:val="single" w:sz="8" w:color="2D53A6"/>
              <w:right w:val="single" w:sz="8" w:color="2D53A6"/>
            </w:tcBorders>
            <w:shd w:val="clear" w:color="auto" w:fill="2D53A6"/>
          </w:tcPr>
          <w:p>
            <w:pPr>
              <w:spacing w:after="0"/>
              <w:rPr>
                <w:sz w:val="15"/>
                <w:szCs w:val="15"/>
                <w:color w:val="auto"/>
              </w:rPr>
            </w:pPr>
          </w:p>
        </w:tc>
        <w:tc>
          <w:tcPr>
            <w:tcW w:w="1380" w:type="dxa"/>
            <w:vAlign w:val="bottom"/>
            <w:tcBorders>
              <w:right w:val="single" w:sz="8" w:color="2D53A6"/>
            </w:tcBorders>
            <w:shd w:val="clear" w:color="auto" w:fill="2D53A6"/>
          </w:tcPr>
          <w:p>
            <w:pPr>
              <w:ind w:left="600"/>
              <w:spacing w:after="0"/>
              <w:rPr>
                <w:sz w:val="20"/>
                <w:szCs w:val="20"/>
                <w:color w:val="auto"/>
              </w:rPr>
            </w:pPr>
            <w:r>
              <w:rPr>
                <w:rFonts w:ascii="Arial" w:cs="Arial" w:eastAsia="Arial" w:hAnsi="Arial"/>
                <w:sz w:val="14"/>
                <w:szCs w:val="14"/>
                <w:b w:val="1"/>
                <w:bCs w:val="1"/>
                <w:color w:val="FFFFFF"/>
              </w:rPr>
              <w:t>($)</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tcBorders>
              <w:right w:val="single" w:sz="8" w:color="2D53A6"/>
            </w:tcBorders>
            <w:shd w:val="clear" w:color="auto" w:fill="2D53A6"/>
          </w:tcPr>
          <w:p>
            <w:pPr>
              <w:jc w:val="right"/>
              <w:ind w:right="509"/>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2D53A6"/>
            </w:tcBorders>
            <w:shd w:val="clear" w:color="auto" w:fill="2D53A6"/>
          </w:tcPr>
          <w:p>
            <w:pPr>
              <w:jc w:val="right"/>
              <w:ind w:right="509"/>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($M)</w:t>
            </w:r>
          </w:p>
        </w:tc>
        <w:tc>
          <w:tcPr>
            <w:tcW w:w="136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tax Income </w:t>
            </w:r>
            <w:r>
              <w:rPr>
                <w:rFonts w:ascii="Arial" w:cs="Arial" w:eastAsia="Arial" w:hAnsi="Arial"/>
                <w:sz w:val="20"/>
                <w:szCs w:val="20"/>
                <w:b w:val="1"/>
                <w:bCs w:val="1"/>
                <w:color w:val="FFFFFF"/>
                <w:vertAlign w:val="superscript"/>
              </w:rPr>
              <w:t>(8)</w:t>
            </w:r>
          </w:p>
        </w:tc>
        <w:tc>
          <w:tcPr>
            <w:tcW w:w="0" w:type="dxa"/>
            <w:vAlign w:val="bottom"/>
          </w:tcPr>
          <w:p>
            <w:pPr>
              <w:spacing w:after="0"/>
              <w:rPr>
                <w:sz w:val="1"/>
                <w:szCs w:val="1"/>
                <w:color w:val="auto"/>
              </w:rPr>
            </w:pPr>
          </w:p>
        </w:tc>
      </w:tr>
      <w:tr>
        <w:trPr>
          <w:trHeight w:val="175"/>
        </w:trPr>
        <w:tc>
          <w:tcPr>
            <w:tcW w:w="68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t>
            </w:r>
          </w:p>
        </w:tc>
        <w:tc>
          <w:tcPr>
            <w:tcW w:w="1380" w:type="dxa"/>
            <w:vAlign w:val="bottom"/>
            <w:tcBorders>
              <w:right w:val="single" w:sz="8" w:color="2D53A6"/>
            </w:tcBorders>
            <w:shd w:val="clear" w:color="auto" w:fill="2D53A6"/>
          </w:tcPr>
          <w:p>
            <w:pPr>
              <w:ind w:left="600"/>
              <w:spacing w:after="0"/>
              <w:rPr>
                <w:sz w:val="20"/>
                <w:szCs w:val="20"/>
                <w:color w:val="auto"/>
              </w:rPr>
            </w:pPr>
            <w:r>
              <w:rPr>
                <w:rFonts w:ascii="Arial" w:cs="Arial" w:eastAsia="Arial" w:hAnsi="Arial"/>
                <w:sz w:val="14"/>
                <w:szCs w:val="14"/>
                <w:b w:val="1"/>
                <w:bCs w:val="1"/>
                <w:color w:val="FFFFFF"/>
              </w:rPr>
              <w:t>(b)</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w:t>
            </w: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(d)</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(e)</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(f)</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w:t>
            </w:r>
          </w:p>
        </w:tc>
        <w:tc>
          <w:tcPr>
            <w:tcW w:w="11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(h)</w:t>
            </w:r>
          </w:p>
        </w:tc>
        <w:tc>
          <w:tcPr>
            <w:tcW w:w="1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0"/>
              </w:rPr>
              <w:t>(i)</w:t>
            </w:r>
          </w:p>
        </w:tc>
        <w:tc>
          <w:tcPr>
            <w:tcW w:w="0" w:type="dxa"/>
            <w:vAlign w:val="bottom"/>
          </w:tcPr>
          <w:p>
            <w:pPr>
              <w:spacing w:after="0"/>
              <w:rPr>
                <w:sz w:val="1"/>
                <w:szCs w:val="1"/>
                <w:color w:val="auto"/>
              </w:rPr>
            </w:pPr>
          </w:p>
        </w:tc>
      </w:tr>
      <w:tr>
        <w:trPr>
          <w:trHeight w:val="162"/>
        </w:trPr>
        <w:tc>
          <w:tcPr>
            <w:tcW w:w="68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2D53A6"/>
              <w:right w:val="single" w:sz="8" w:color="2D53A6"/>
            </w:tcBorders>
          </w:tcPr>
          <w:p>
            <w:pPr>
              <w:ind w:left="620"/>
              <w:spacing w:after="0"/>
              <w:rPr>
                <w:sz w:val="20"/>
                <w:szCs w:val="20"/>
                <w:color w:val="auto"/>
              </w:rPr>
            </w:pPr>
            <w:r>
              <w:rPr>
                <w:rFonts w:ascii="Arial" w:cs="Arial" w:eastAsia="Arial" w:hAnsi="Arial"/>
                <w:sz w:val="14"/>
                <w:szCs w:val="14"/>
                <w:color w:val="auto"/>
              </w:rPr>
              <w:t>6,536,607</w:t>
            </w:r>
          </w:p>
        </w:tc>
        <w:tc>
          <w:tcPr>
            <w:tcW w:w="13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3,579,668</w:t>
            </w:r>
          </w:p>
        </w:tc>
        <w:tc>
          <w:tcPr>
            <w:tcW w:w="1360" w:type="dxa"/>
            <w:vAlign w:val="bottom"/>
            <w:tcBorders>
              <w:bottom w:val="single" w:sz="8" w:color="2D53A6"/>
              <w:right w:val="single" w:sz="8" w:color="2D53A6"/>
            </w:tcBorders>
          </w:tcPr>
          <w:p>
            <w:pPr>
              <w:jc w:val="right"/>
              <w:ind w:right="29"/>
              <w:spacing w:after="0"/>
              <w:rPr>
                <w:sz w:val="20"/>
                <w:szCs w:val="20"/>
                <w:color w:val="auto"/>
              </w:rPr>
            </w:pPr>
            <w:r>
              <w:rPr>
                <w:rFonts w:ascii="Arial" w:cs="Arial" w:eastAsia="Arial" w:hAnsi="Arial"/>
                <w:sz w:val="14"/>
                <w:szCs w:val="14"/>
                <w:color w:val="auto"/>
              </w:rPr>
              <w:t>1,727,107</w:t>
            </w:r>
          </w:p>
        </w:tc>
        <w:tc>
          <w:tcPr>
            <w:tcW w:w="1320" w:type="dxa"/>
            <w:vAlign w:val="bottom"/>
            <w:tcBorders>
              <w:bottom w:val="single" w:sz="8" w:color="2D53A6"/>
              <w:right w:val="single" w:sz="8" w:color="2D53A6"/>
            </w:tcBorders>
          </w:tcPr>
          <w:p>
            <w:pPr>
              <w:jc w:val="right"/>
              <w:ind w:right="29"/>
              <w:spacing w:after="0"/>
              <w:rPr>
                <w:sz w:val="20"/>
                <w:szCs w:val="20"/>
                <w:color w:val="auto"/>
              </w:rPr>
            </w:pPr>
            <w:r>
              <w:rPr>
                <w:rFonts w:ascii="Arial" w:cs="Arial" w:eastAsia="Arial" w:hAnsi="Arial"/>
                <w:sz w:val="14"/>
                <w:szCs w:val="14"/>
                <w:color w:val="auto"/>
              </w:rPr>
              <w:t>1,468,472</w:t>
            </w:r>
          </w:p>
        </w:tc>
        <w:tc>
          <w:tcPr>
            <w:tcW w:w="134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159.14</w:t>
            </w:r>
          </w:p>
        </w:tc>
        <w:tc>
          <w:tcPr>
            <w:tcW w:w="13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191.07</w:t>
            </w:r>
          </w:p>
        </w:tc>
        <w:tc>
          <w:tcPr>
            <w:tcW w:w="1100" w:type="dxa"/>
            <w:vAlign w:val="bottom"/>
            <w:tcBorders>
              <w:bottom w:val="single" w:sz="8" w:color="2D53A6"/>
              <w:right w:val="single" w:sz="8" w:color="2D53A6"/>
            </w:tcBorders>
          </w:tcPr>
          <w:p>
            <w:pPr>
              <w:jc w:val="right"/>
              <w:ind w:right="50"/>
              <w:spacing w:after="0"/>
              <w:rPr>
                <w:sz w:val="20"/>
                <w:szCs w:val="20"/>
                <w:color w:val="auto"/>
              </w:rPr>
            </w:pPr>
            <w:r>
              <w:rPr>
                <w:rFonts w:ascii="Arial" w:cs="Arial" w:eastAsia="Arial" w:hAnsi="Arial"/>
                <w:sz w:val="14"/>
                <w:szCs w:val="14"/>
                <w:color w:val="auto"/>
              </w:rPr>
              <w:t>28.2</w:t>
            </w:r>
          </w:p>
        </w:tc>
        <w:tc>
          <w:tcPr>
            <w:tcW w:w="13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55"/>
        </w:trPr>
        <w:tc>
          <w:tcPr>
            <w:tcW w:w="680" w:type="dxa"/>
            <w:vAlign w:val="bottom"/>
            <w:tcBorders>
              <w:left w:val="single" w:sz="8" w:color="2D53A6"/>
              <w:bottom w:val="single" w:sz="8" w:color="2D53A6"/>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2022</w:t>
            </w:r>
          </w:p>
        </w:tc>
        <w:tc>
          <w:tcPr>
            <w:tcW w:w="1380" w:type="dxa"/>
            <w:vAlign w:val="bottom"/>
            <w:tcBorders>
              <w:bottom w:val="single" w:sz="8" w:color="2D53A6"/>
              <w:right w:val="single" w:sz="8" w:color="2D53A6"/>
            </w:tcBorders>
            <w:shd w:val="clear" w:color="auto" w:fill="E6E6E6"/>
          </w:tcPr>
          <w:p>
            <w:pPr>
              <w:ind w:left="620"/>
              <w:spacing w:after="0" w:line="155" w:lineRule="exact"/>
              <w:rPr>
                <w:sz w:val="20"/>
                <w:szCs w:val="20"/>
                <w:color w:val="auto"/>
              </w:rPr>
            </w:pPr>
            <w:r>
              <w:rPr>
                <w:rFonts w:ascii="Arial" w:cs="Arial" w:eastAsia="Arial" w:hAnsi="Arial"/>
                <w:sz w:val="14"/>
                <w:szCs w:val="14"/>
                <w:color w:val="auto"/>
              </w:rPr>
              <w:t>5,315,286</w:t>
            </w:r>
          </w:p>
        </w:tc>
        <w:tc>
          <w:tcPr>
            <w:tcW w:w="138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5,406,262</w:t>
            </w:r>
          </w:p>
        </w:tc>
        <w:tc>
          <w:tcPr>
            <w:tcW w:w="136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1,546,037</w:t>
            </w:r>
          </w:p>
        </w:tc>
        <w:tc>
          <w:tcPr>
            <w:tcW w:w="132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1,547,883</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144.12</w:t>
            </w:r>
          </w:p>
        </w:tc>
        <w:tc>
          <w:tcPr>
            <w:tcW w:w="132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137.78</w:t>
            </w:r>
          </w:p>
        </w:tc>
        <w:tc>
          <w:tcPr>
            <w:tcW w:w="1100" w:type="dxa"/>
            <w:vAlign w:val="bottom"/>
            <w:tcBorders>
              <w:bottom w:val="single" w:sz="8" w:color="2D53A6"/>
              <w:right w:val="single" w:sz="8" w:color="2D53A6"/>
            </w:tcBorders>
            <w:shd w:val="clear" w:color="auto" w:fill="E6E6E6"/>
          </w:tcPr>
          <w:p>
            <w:pPr>
              <w:jc w:val="right"/>
              <w:ind w:right="50"/>
              <w:spacing w:after="0" w:line="155" w:lineRule="exact"/>
              <w:rPr>
                <w:sz w:val="20"/>
                <w:szCs w:val="20"/>
                <w:color w:val="auto"/>
              </w:rPr>
            </w:pPr>
            <w:r>
              <w:rPr>
                <w:rFonts w:ascii="Arial" w:cs="Arial" w:eastAsia="Arial" w:hAnsi="Arial"/>
                <w:sz w:val="14"/>
                <w:szCs w:val="14"/>
                <w:color w:val="auto"/>
              </w:rPr>
              <w:t>96.8</w:t>
            </w:r>
          </w:p>
        </w:tc>
        <w:tc>
          <w:tcPr>
            <w:tcW w:w="13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6"/>
        </w:trPr>
        <w:tc>
          <w:tcPr>
            <w:tcW w:w="680" w:type="dxa"/>
            <w:vAlign w:val="bottom"/>
            <w:tcBorders>
              <w:left w:val="single" w:sz="8" w:color="2D53A6"/>
              <w:bottom w:val="single" w:sz="8" w:color="2D53A6"/>
              <w:right w:val="single" w:sz="8" w:color="2D53A6"/>
            </w:tcBorders>
          </w:tcPr>
          <w:p>
            <w:pPr>
              <w:jc w:val="center"/>
              <w:spacing w:after="0" w:line="155" w:lineRule="exact"/>
              <w:rPr>
                <w:sz w:val="20"/>
                <w:szCs w:val="20"/>
                <w:color w:val="auto"/>
              </w:rPr>
            </w:pPr>
            <w:r>
              <w:rPr>
                <w:rFonts w:ascii="Arial" w:cs="Arial" w:eastAsia="Arial" w:hAnsi="Arial"/>
                <w:sz w:val="14"/>
                <w:szCs w:val="14"/>
                <w:color w:val="auto"/>
              </w:rPr>
              <w:t>2021</w:t>
            </w:r>
          </w:p>
        </w:tc>
        <w:tc>
          <w:tcPr>
            <w:tcW w:w="1380" w:type="dxa"/>
            <w:vAlign w:val="bottom"/>
            <w:tcBorders>
              <w:bottom w:val="single" w:sz="8" w:color="2D53A6"/>
              <w:right w:val="single" w:sz="8" w:color="2D53A6"/>
            </w:tcBorders>
          </w:tcPr>
          <w:p>
            <w:pPr>
              <w:ind w:left="620"/>
              <w:spacing w:after="0" w:line="155" w:lineRule="exact"/>
              <w:rPr>
                <w:sz w:val="20"/>
                <w:szCs w:val="20"/>
                <w:color w:val="auto"/>
              </w:rPr>
            </w:pPr>
            <w:r>
              <w:rPr>
                <w:rFonts w:ascii="Arial" w:cs="Arial" w:eastAsia="Arial" w:hAnsi="Arial"/>
                <w:sz w:val="14"/>
                <w:szCs w:val="14"/>
                <w:color w:val="auto"/>
              </w:rPr>
              <w:t>4,582,416</w:t>
            </w:r>
          </w:p>
        </w:tc>
        <w:tc>
          <w:tcPr>
            <w:tcW w:w="138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959,803</w:t>
            </w:r>
          </w:p>
        </w:tc>
        <w:tc>
          <w:tcPr>
            <w:tcW w:w="136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1,360,173</w:t>
            </w:r>
          </w:p>
        </w:tc>
        <w:tc>
          <w:tcPr>
            <w:tcW w:w="132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597,988</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170.92</w:t>
            </w:r>
          </w:p>
        </w:tc>
        <w:tc>
          <w:tcPr>
            <w:tcW w:w="132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183.27</w:t>
            </w:r>
          </w:p>
        </w:tc>
        <w:tc>
          <w:tcPr>
            <w:tcW w:w="1100" w:type="dxa"/>
            <w:vAlign w:val="bottom"/>
            <w:tcBorders>
              <w:bottom w:val="single" w:sz="8" w:color="2D53A6"/>
              <w:right w:val="single" w:sz="8" w:color="2D53A6"/>
            </w:tcBorders>
          </w:tcPr>
          <w:p>
            <w:pPr>
              <w:jc w:val="right"/>
              <w:ind w:right="50"/>
              <w:spacing w:after="0" w:line="155" w:lineRule="exact"/>
              <w:rPr>
                <w:sz w:val="20"/>
                <w:szCs w:val="20"/>
                <w:color w:val="auto"/>
              </w:rPr>
            </w:pPr>
            <w:r>
              <w:rPr>
                <w:rFonts w:ascii="Arial" w:cs="Arial" w:eastAsia="Arial" w:hAnsi="Arial"/>
                <w:sz w:val="14"/>
                <w:szCs w:val="14"/>
                <w:color w:val="auto"/>
              </w:rPr>
              <w:t>167.3</w:t>
            </w:r>
          </w:p>
        </w:tc>
        <w:tc>
          <w:tcPr>
            <w:tcW w:w="136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56"/>
        </w:trPr>
        <w:tc>
          <w:tcPr>
            <w:tcW w:w="680" w:type="dxa"/>
            <w:vAlign w:val="bottom"/>
            <w:tcBorders>
              <w:left w:val="single" w:sz="8" w:color="2D53A6"/>
              <w:bottom w:val="single" w:sz="8" w:color="2D53A6"/>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2020</w:t>
            </w:r>
          </w:p>
        </w:tc>
        <w:tc>
          <w:tcPr>
            <w:tcW w:w="1380" w:type="dxa"/>
            <w:vAlign w:val="bottom"/>
            <w:tcBorders>
              <w:bottom w:val="single" w:sz="8" w:color="2D53A6"/>
              <w:right w:val="single" w:sz="8" w:color="2D53A6"/>
            </w:tcBorders>
            <w:shd w:val="clear" w:color="auto" w:fill="E6E6E6"/>
          </w:tcPr>
          <w:p>
            <w:pPr>
              <w:ind w:left="620"/>
              <w:spacing w:after="0" w:line="155" w:lineRule="exact"/>
              <w:rPr>
                <w:sz w:val="20"/>
                <w:szCs w:val="20"/>
                <w:color w:val="auto"/>
              </w:rPr>
            </w:pPr>
            <w:r>
              <w:rPr>
                <w:rFonts w:ascii="Arial" w:cs="Arial" w:eastAsia="Arial" w:hAnsi="Arial"/>
                <w:sz w:val="14"/>
                <w:szCs w:val="14"/>
                <w:color w:val="auto"/>
              </w:rPr>
              <w:t>3,315,895</w:t>
            </w:r>
          </w:p>
        </w:tc>
        <w:tc>
          <w:tcPr>
            <w:tcW w:w="138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12,097,614</w:t>
            </w:r>
          </w:p>
        </w:tc>
        <w:tc>
          <w:tcPr>
            <w:tcW w:w="136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1,093,312</w:t>
            </w:r>
          </w:p>
        </w:tc>
        <w:tc>
          <w:tcPr>
            <w:tcW w:w="132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3,117,583</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174.25</w:t>
            </w:r>
          </w:p>
        </w:tc>
        <w:tc>
          <w:tcPr>
            <w:tcW w:w="132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128.00</w:t>
            </w:r>
          </w:p>
        </w:tc>
        <w:tc>
          <w:tcPr>
            <w:tcW w:w="110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(13.8)</w:t>
            </w:r>
          </w:p>
        </w:tc>
        <w:tc>
          <w:tcPr>
            <w:tcW w:w="13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40" w:hanging="332"/>
        <w:spacing w:after="0" w:line="25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Dr. Müller, our Chief Executive Officer (“CEO”) for each corresponding year in the “Total” column of the Summary Compensation Table in each applicable year.</w:t>
      </w:r>
    </w:p>
    <w:p>
      <w:pPr>
        <w:spacing w:after="0" w:line="1" w:lineRule="exact"/>
        <w:rPr>
          <w:rFonts w:ascii="Arial" w:cs="Arial" w:eastAsia="Arial" w:hAnsi="Arial"/>
          <w:sz w:val="14"/>
          <w:szCs w:val="14"/>
          <w:color w:val="auto"/>
        </w:rPr>
      </w:pPr>
    </w:p>
    <w:p>
      <w:pPr>
        <w:jc w:val="both"/>
        <w:ind w:left="340" w:right="40" w:hanging="332"/>
        <w:spacing w:after="0" w:line="24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p>
      <w:pPr>
        <w:spacing w:after="0" w:line="1" w:lineRule="exact"/>
        <w:rPr>
          <w:rFonts w:ascii="Arial" w:cs="Arial" w:eastAsia="Arial" w:hAnsi="Arial"/>
          <w:sz w:val="14"/>
          <w:szCs w:val="14"/>
          <w:color w:val="auto"/>
        </w:rPr>
      </w:pPr>
    </w:p>
    <w:p>
      <w:pPr>
        <w:ind w:left="340" w:right="40" w:hanging="332"/>
        <w:spacing w:after="0" w:line="242"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2023, 2022 and 2021 are as follows: Mr. Jeffrey Jones, Mr. Christopher Bohrson, Mr. Thomas Kampfer and Mr. Ian Lawee. The NEOs included for purpose of calculating the average amounts and “compensation actually paid” in 2020 are as follows: Mr. Jeffrey Jones, Mr. Christopher Bohrson, Mr. Thomas Kampfer and Mr. Pascal Ronde.</w:t>
      </w:r>
    </w:p>
    <w:p>
      <w:pPr>
        <w:spacing w:after="0" w:line="160" w:lineRule="exact"/>
        <w:rPr>
          <w:rFonts w:ascii="Arial" w:cs="Arial" w:eastAsia="Arial" w:hAnsi="Arial"/>
          <w:sz w:val="14"/>
          <w:szCs w:val="14"/>
          <w:color w:val="auto"/>
        </w:rPr>
      </w:pPr>
    </w:p>
    <w:p>
      <w:pPr>
        <w:jc w:val="both"/>
        <w:ind w:left="340" w:right="180" w:hanging="332"/>
        <w:spacing w:after="0" w:line="24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Cumulative TSR is calculated assuming a $100 investment in Cohu’s common stock, on December 29, 2019.</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2023 Annual Report on Form 10-K and is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Photronics, Inc., Smart Global Holdings,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2020, 2021 and 2022 when the Peer Group included National Instruments Corporation was 130.92, 171.53 and 124.23 respectively.</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Cohu’s audited financial statements for the applicable year.</w:t>
      </w:r>
    </w:p>
    <w:p>
      <w:pPr>
        <w:spacing w:after="0" w:line="1"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color w:val="auto"/>
        </w:rPr>
        <w:t>To calculate the CAP, the following amounts were deducted from and added to the Summary Compensation Table (“SCT”) total compensation.</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SCT Total to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780" w:type="dxa"/>
            <w:vAlign w:val="bottom"/>
            <w:tcBorders>
              <w:left w:val="single" w:sz="8" w:color="2D53A6"/>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w:t>
            </w:r>
          </w:p>
        </w:tc>
        <w:tc>
          <w:tcPr>
            <w:tcW w:w="164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 Change</w:t>
            </w:r>
          </w:p>
        </w:tc>
        <w:tc>
          <w:tcPr>
            <w:tcW w:w="1680" w:type="dxa"/>
            <w:vAlign w:val="bottom"/>
            <w:tcBorders>
              <w:right w:val="single" w:sz="8" w:color="2D53A6"/>
            </w:tcBorders>
            <w:shd w:val="clear" w:color="auto" w:fill="2D53A6"/>
          </w:tcPr>
          <w:p>
            <w:pPr>
              <w:spacing w:after="0"/>
              <w:rPr>
                <w:sz w:val="14"/>
                <w:szCs w:val="14"/>
                <w:color w:val="auto"/>
              </w:rPr>
            </w:pPr>
          </w:p>
        </w:tc>
        <w:tc>
          <w:tcPr>
            <w:tcW w:w="158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2D53A6"/>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640" w:type="dxa"/>
            <w:vAlign w:val="bottom"/>
            <w:tcBorders>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spacing w:after="0"/>
              <w:rPr>
                <w:sz w:val="14"/>
                <w:szCs w:val="14"/>
                <w:color w:val="auto"/>
              </w:rPr>
            </w:pP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the Actuarial</w:t>
            </w:r>
          </w:p>
        </w:tc>
        <w:tc>
          <w:tcPr>
            <w:tcW w:w="1680" w:type="dxa"/>
            <w:vAlign w:val="bottom"/>
            <w:tcBorders>
              <w:right w:val="single" w:sz="8" w:color="2D53A6"/>
            </w:tcBorders>
            <w:shd w:val="clear" w:color="auto" w:fill="2D53A6"/>
          </w:tcPr>
          <w:p>
            <w:pPr>
              <w:spacing w:after="0"/>
              <w:rPr>
                <w:sz w:val="14"/>
                <w:szCs w:val="14"/>
                <w:color w:val="auto"/>
              </w:rPr>
            </w:pPr>
          </w:p>
        </w:tc>
        <w:tc>
          <w:tcPr>
            <w:tcW w:w="158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2D53A6"/>
              <w:right w:val="single" w:sz="8" w:color="2D53A6"/>
            </w:tcBorders>
            <w:shd w:val="clear" w:color="auto" w:fill="2D53A6"/>
          </w:tcPr>
          <w:p>
            <w:pPr>
              <w:spacing w:after="0"/>
              <w:rPr>
                <w:sz w:val="14"/>
                <w:szCs w:val="14"/>
                <w:color w:val="auto"/>
              </w:rPr>
            </w:pP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640" w:type="dxa"/>
            <w:vAlign w:val="bottom"/>
            <w:tcBorders>
              <w:right w:val="single" w:sz="8" w:color="2D53A6"/>
            </w:tcBorders>
            <w:shd w:val="clear" w:color="auto" w:fill="2D53A6"/>
          </w:tcPr>
          <w:p>
            <w:pPr>
              <w:jc w:val="right"/>
              <w:ind w:right="150"/>
              <w:spacing w:after="0"/>
              <w:rPr>
                <w:sz w:val="20"/>
                <w:szCs w:val="20"/>
                <w:color w:val="auto"/>
              </w:rPr>
            </w:pPr>
            <w:r>
              <w:rPr>
                <w:rFonts w:ascii="Arial" w:cs="Arial" w:eastAsia="Arial" w:hAnsi="Arial"/>
                <w:sz w:val="14"/>
                <w:szCs w:val="14"/>
                <w:b w:val="1"/>
                <w:bCs w:val="1"/>
                <w:color w:val="FFFFFF"/>
              </w:rPr>
              <w:t>Reported Value of</w:t>
            </w:r>
          </w:p>
        </w:tc>
        <w:tc>
          <w:tcPr>
            <w:tcW w:w="1680" w:type="dxa"/>
            <w:vAlign w:val="bottom"/>
            <w:tcBorders>
              <w:right w:val="single" w:sz="8" w:color="2D53A6"/>
            </w:tcBorders>
            <w:shd w:val="clear" w:color="auto" w:fill="2D53A6"/>
          </w:tcPr>
          <w:p>
            <w:pPr>
              <w:spacing w:after="0"/>
              <w:rPr>
                <w:sz w:val="14"/>
                <w:szCs w:val="14"/>
                <w:color w:val="auto"/>
              </w:rPr>
            </w:pP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680" w:type="dxa"/>
            <w:vAlign w:val="bottom"/>
            <w:tcBorders>
              <w:right w:val="single" w:sz="8" w:color="2D53A6"/>
            </w:tcBorders>
            <w:shd w:val="clear" w:color="auto" w:fill="2D53A6"/>
          </w:tcPr>
          <w:p>
            <w:pPr>
              <w:spacing w:after="0"/>
              <w:rPr>
                <w:sz w:val="14"/>
                <w:szCs w:val="14"/>
                <w:color w:val="auto"/>
              </w:rPr>
            </w:pPr>
          </w:p>
        </w:tc>
        <w:tc>
          <w:tcPr>
            <w:tcW w:w="158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80" w:type="dxa"/>
            <w:vAlign w:val="bottom"/>
            <w:tcBorders>
              <w:left w:val="single" w:sz="8" w:color="2D53A6"/>
              <w:right w:val="single" w:sz="8" w:color="2D53A6"/>
            </w:tcBorders>
            <w:vMerge w:val="restart"/>
            <w:shd w:val="clear" w:color="auto" w:fill="2D53A6"/>
          </w:tcPr>
          <w:p>
            <w:pPr>
              <w:ind w:left="240"/>
              <w:spacing w:after="0"/>
              <w:rPr>
                <w:sz w:val="20"/>
                <w:szCs w:val="20"/>
                <w:color w:val="auto"/>
              </w:rPr>
            </w:pPr>
            <w:r>
              <w:rPr>
                <w:rFonts w:ascii="Arial" w:cs="Arial" w:eastAsia="Arial" w:hAnsi="Arial"/>
                <w:sz w:val="14"/>
                <w:szCs w:val="14"/>
                <w:b w:val="1"/>
                <w:bCs w:val="1"/>
                <w:color w:val="FFFFFF"/>
              </w:rPr>
              <w:t>Year</w:t>
            </w:r>
          </w:p>
        </w:tc>
        <w:tc>
          <w:tcPr>
            <w:tcW w:w="16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640" w:type="dxa"/>
            <w:vAlign w:val="bottom"/>
            <w:tcBorders>
              <w:right w:val="single" w:sz="8" w:color="2D53A6"/>
            </w:tcBorders>
            <w:shd w:val="clear" w:color="auto" w:fill="2D53A6"/>
          </w:tcPr>
          <w:p>
            <w:pPr>
              <w:jc w:val="right"/>
              <w:ind w:right="270"/>
              <w:spacing w:after="0" w:line="159" w:lineRule="exact"/>
              <w:rPr>
                <w:sz w:val="20"/>
                <w:szCs w:val="20"/>
                <w:color w:val="auto"/>
              </w:rPr>
            </w:pPr>
            <w:r>
              <w:rPr>
                <w:rFonts w:ascii="Arial" w:cs="Arial" w:eastAsia="Arial" w:hAnsi="Arial"/>
                <w:sz w:val="14"/>
                <w:szCs w:val="14"/>
                <w:b w:val="1"/>
                <w:bCs w:val="1"/>
                <w:color w:val="FFFFFF"/>
              </w:rPr>
              <w:t>Equity Awards</w:t>
            </w:r>
          </w:p>
        </w:tc>
        <w:tc>
          <w:tcPr>
            <w:tcW w:w="16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Equity Award</w:t>
            </w:r>
          </w:p>
        </w:tc>
        <w:tc>
          <w:tcPr>
            <w:tcW w:w="16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Pension Benefits</w:t>
            </w:r>
          </w:p>
        </w:tc>
        <w:tc>
          <w:tcPr>
            <w:tcW w:w="1680" w:type="dxa"/>
            <w:vAlign w:val="bottom"/>
            <w:tcBorders>
              <w:right w:val="single" w:sz="8" w:color="2D53A6"/>
            </w:tcBorders>
            <w:shd w:val="clear" w:color="auto" w:fill="2D53A6"/>
          </w:tcPr>
          <w:p>
            <w:pPr>
              <w:ind w:left="220"/>
              <w:spacing w:after="0" w:line="159" w:lineRule="exact"/>
              <w:rPr>
                <w:sz w:val="20"/>
                <w:szCs w:val="20"/>
                <w:color w:val="auto"/>
              </w:rPr>
            </w:pPr>
            <w:r>
              <w:rPr>
                <w:rFonts w:ascii="Arial" w:cs="Arial" w:eastAsia="Arial" w:hAnsi="Arial"/>
                <w:sz w:val="14"/>
                <w:szCs w:val="14"/>
                <w:b w:val="1"/>
                <w:bCs w:val="1"/>
                <w:color w:val="FFFFFF"/>
              </w:rPr>
              <w:t>Pension Benefits</w:t>
            </w:r>
          </w:p>
        </w:tc>
        <w:tc>
          <w:tcPr>
            <w:tcW w:w="1580" w:type="dxa"/>
            <w:vAlign w:val="bottom"/>
            <w:tcBorders>
              <w:right w:val="single" w:sz="8" w:color="2D53A6"/>
            </w:tcBorders>
            <w:vMerge w:val="restart"/>
            <w:shd w:val="clear" w:color="auto" w:fill="2D53A6"/>
          </w:tcPr>
          <w:p>
            <w:pPr>
              <w:jc w:val="right"/>
              <w:ind w:right="308"/>
              <w:spacing w:after="0"/>
              <w:rPr>
                <w:sz w:val="20"/>
                <w:szCs w:val="20"/>
                <w:color w:val="auto"/>
              </w:rPr>
            </w:pPr>
            <w:r>
              <w:rPr>
                <w:rFonts w:ascii="Arial" w:cs="Arial" w:eastAsia="Arial" w:hAnsi="Arial"/>
                <w:sz w:val="14"/>
                <w:szCs w:val="14"/>
                <w:b w:val="1"/>
                <w:bCs w:val="1"/>
                <w:color w:val="FFFFFF"/>
              </w:rPr>
              <w:t>CAP to CEO</w:t>
            </w:r>
          </w:p>
        </w:tc>
        <w:tc>
          <w:tcPr>
            <w:tcW w:w="0" w:type="dxa"/>
            <w:vAlign w:val="bottom"/>
          </w:tcPr>
          <w:p>
            <w:pPr>
              <w:spacing w:after="0"/>
              <w:rPr>
                <w:sz w:val="1"/>
                <w:szCs w:val="1"/>
                <w:color w:val="auto"/>
              </w:rPr>
            </w:pPr>
          </w:p>
        </w:tc>
      </w:tr>
      <w:tr>
        <w:trPr>
          <w:trHeight w:val="174"/>
        </w:trPr>
        <w:tc>
          <w:tcPr>
            <w:tcW w:w="780" w:type="dxa"/>
            <w:vAlign w:val="bottom"/>
            <w:tcBorders>
              <w:left w:val="single" w:sz="8" w:color="2D53A6"/>
              <w:right w:val="single" w:sz="8" w:color="2D53A6"/>
            </w:tcBorders>
            <w:vMerge w:val="continue"/>
            <w:shd w:val="clear" w:color="auto" w:fill="2D53A6"/>
          </w:tcPr>
          <w:p>
            <w:pPr>
              <w:spacing w:after="0"/>
              <w:rPr>
                <w:sz w:val="15"/>
                <w:szCs w:val="15"/>
                <w:color w:val="auto"/>
              </w:rPr>
            </w:pP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CEO</w:t>
            </w:r>
          </w:p>
        </w:tc>
        <w:tc>
          <w:tcPr>
            <w:tcW w:w="1640" w:type="dxa"/>
            <w:vAlign w:val="bottom"/>
            <w:tcBorders>
              <w:right w:val="single" w:sz="8" w:color="2D53A6"/>
            </w:tcBorders>
            <w:shd w:val="clear" w:color="auto" w:fill="2D53A6"/>
          </w:tcPr>
          <w:p>
            <w:pPr>
              <w:jc w:val="right"/>
              <w:ind w:right="690"/>
              <w:spacing w:after="0"/>
              <w:rPr>
                <w:sz w:val="20"/>
                <w:szCs w:val="20"/>
                <w:color w:val="auto"/>
              </w:rPr>
            </w:pPr>
            <w:r>
              <w:rPr>
                <w:rFonts w:ascii="Arial" w:cs="Arial" w:eastAsia="Arial" w:hAnsi="Arial"/>
                <w:sz w:val="12"/>
                <w:szCs w:val="12"/>
                <w:b w:val="1"/>
                <w:bCs w:val="1"/>
                <w:color w:val="FFFFFF"/>
              </w:rPr>
              <w:t>(1)</w:t>
            </w:r>
          </w:p>
        </w:tc>
        <w:tc>
          <w:tcPr>
            <w:tcW w:w="168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Adjustments </w:t>
            </w:r>
            <w:r>
              <w:rPr>
                <w:rFonts w:ascii="Arial" w:cs="Arial" w:eastAsia="Arial" w:hAnsi="Arial"/>
                <w:sz w:val="20"/>
                <w:szCs w:val="20"/>
                <w:b w:val="1"/>
                <w:bCs w:val="1"/>
                <w:color w:val="FFFFFF"/>
                <w:vertAlign w:val="superscript"/>
              </w:rPr>
              <w:t>(2)</w:t>
            </w:r>
          </w:p>
        </w:tc>
        <w:tc>
          <w:tcPr>
            <w:tcW w:w="1640" w:type="dxa"/>
            <w:vAlign w:val="bottom"/>
            <w:tcBorders>
              <w:right w:val="single" w:sz="8" w:color="2D53A6"/>
            </w:tcBorders>
            <w:shd w:val="clear" w:color="auto" w:fill="2D53A6"/>
          </w:tcPr>
          <w:p>
            <w:pPr>
              <w:jc w:val="right"/>
              <w:ind w:right="689"/>
              <w:spacing w:after="0"/>
              <w:rPr>
                <w:sz w:val="20"/>
                <w:szCs w:val="20"/>
                <w:color w:val="auto"/>
              </w:rPr>
            </w:pPr>
            <w:r>
              <w:rPr>
                <w:rFonts w:ascii="Arial" w:cs="Arial" w:eastAsia="Arial" w:hAnsi="Arial"/>
                <w:sz w:val="12"/>
                <w:szCs w:val="12"/>
                <w:b w:val="1"/>
                <w:bCs w:val="1"/>
                <w:color w:val="FFFFFF"/>
              </w:rPr>
              <w:t>(3)</w:t>
            </w:r>
          </w:p>
        </w:tc>
        <w:tc>
          <w:tcPr>
            <w:tcW w:w="1680" w:type="dxa"/>
            <w:vAlign w:val="bottom"/>
            <w:tcBorders>
              <w:right w:val="single" w:sz="8" w:color="2D53A6"/>
            </w:tcBorders>
            <w:shd w:val="clear" w:color="auto" w:fill="2D53A6"/>
          </w:tcPr>
          <w:p>
            <w:pPr>
              <w:ind w:left="740"/>
              <w:spacing w:after="0"/>
              <w:rPr>
                <w:sz w:val="20"/>
                <w:szCs w:val="20"/>
                <w:color w:val="auto"/>
              </w:rPr>
            </w:pPr>
            <w:r>
              <w:rPr>
                <w:rFonts w:ascii="Arial" w:cs="Arial" w:eastAsia="Arial" w:hAnsi="Arial"/>
                <w:sz w:val="12"/>
                <w:szCs w:val="12"/>
                <w:b w:val="1"/>
                <w:bCs w:val="1"/>
                <w:color w:val="FFFFFF"/>
              </w:rPr>
              <w:t>(3)</w:t>
            </w:r>
          </w:p>
        </w:tc>
        <w:tc>
          <w:tcPr>
            <w:tcW w:w="1580" w:type="dxa"/>
            <w:vAlign w:val="bottom"/>
            <w:tcBorders>
              <w:right w:val="single" w:sz="8" w:color="2D53A6"/>
            </w:tcBorders>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2D53A6"/>
              <w:right w:val="single" w:sz="8" w:color="2D53A6"/>
            </w:tcBorders>
            <w:shd w:val="clear" w:color="auto" w:fill="2D53A6"/>
          </w:tcPr>
          <w:p>
            <w:pPr>
              <w:spacing w:after="0"/>
              <w:rPr>
                <w:sz w:val="15"/>
                <w:szCs w:val="15"/>
                <w:color w:val="auto"/>
              </w:rPr>
            </w:pP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right w:val="single" w:sz="8" w:color="2D53A6"/>
            </w:tcBorders>
            <w:shd w:val="clear" w:color="auto" w:fill="2D53A6"/>
          </w:tcPr>
          <w:p>
            <w:pPr>
              <w:jc w:val="right"/>
              <w:ind w:right="670"/>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right w:val="single" w:sz="8" w:color="2D53A6"/>
            </w:tcBorders>
            <w:shd w:val="clear" w:color="auto" w:fill="2D53A6"/>
          </w:tcPr>
          <w:p>
            <w:pPr>
              <w:jc w:val="right"/>
              <w:ind w:right="669"/>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ind w:left="740"/>
              <w:spacing w:after="0"/>
              <w:rPr>
                <w:sz w:val="20"/>
                <w:szCs w:val="20"/>
                <w:color w:val="auto"/>
              </w:rPr>
            </w:pPr>
            <w:r>
              <w:rPr>
                <w:rFonts w:ascii="Arial" w:cs="Arial" w:eastAsia="Arial" w:hAnsi="Arial"/>
                <w:sz w:val="14"/>
                <w:szCs w:val="14"/>
                <w:b w:val="1"/>
                <w:bCs w:val="1"/>
                <w:color w:val="FFFFFF"/>
              </w:rPr>
              <w:t>($)</w:t>
            </w:r>
          </w:p>
        </w:tc>
        <w:tc>
          <w:tcPr>
            <w:tcW w:w="1580" w:type="dxa"/>
            <w:vAlign w:val="bottom"/>
            <w:tcBorders>
              <w:right w:val="single" w:sz="8" w:color="2D53A6"/>
            </w:tcBorders>
            <w:shd w:val="clear" w:color="auto" w:fill="2D53A6"/>
          </w:tcPr>
          <w:p>
            <w:pPr>
              <w:jc w:val="right"/>
              <w:ind w:right="6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780" w:type="dxa"/>
            <w:vAlign w:val="bottom"/>
            <w:tcBorders>
              <w:left w:val="single" w:sz="8" w:color="2D53A6"/>
              <w:bottom w:val="single" w:sz="8" w:color="2D53A6"/>
              <w:right w:val="single" w:sz="8" w:color="2D53A6"/>
            </w:tcBorders>
          </w:tcPr>
          <w:p>
            <w:pPr>
              <w:ind w:left="240"/>
              <w:spacing w:after="0"/>
              <w:rPr>
                <w:sz w:val="20"/>
                <w:szCs w:val="20"/>
                <w:color w:val="auto"/>
              </w:rPr>
            </w:pPr>
            <w:r>
              <w:rPr>
                <w:rFonts w:ascii="Arial" w:cs="Arial" w:eastAsia="Arial" w:hAnsi="Arial"/>
                <w:sz w:val="14"/>
                <w:szCs w:val="14"/>
                <w:color w:val="auto"/>
              </w:rPr>
              <w:t>2023</w:t>
            </w:r>
          </w:p>
        </w:tc>
        <w:tc>
          <w:tcPr>
            <w:tcW w:w="16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6,536,607</w:t>
            </w:r>
          </w:p>
        </w:tc>
        <w:tc>
          <w:tcPr>
            <w:tcW w:w="1640" w:type="dxa"/>
            <w:vAlign w:val="bottom"/>
            <w:tcBorders>
              <w:bottom w:val="single" w:sz="8" w:color="2D53A6"/>
              <w:right w:val="single" w:sz="8" w:color="2D53A6"/>
            </w:tcBorders>
          </w:tcPr>
          <w:p>
            <w:pPr>
              <w:jc w:val="right"/>
              <w:ind w:right="10"/>
              <w:spacing w:after="0"/>
              <w:rPr>
                <w:sz w:val="20"/>
                <w:szCs w:val="20"/>
                <w:color w:val="auto"/>
              </w:rPr>
            </w:pPr>
            <w:r>
              <w:rPr>
                <w:rFonts w:ascii="Arial" w:cs="Arial" w:eastAsia="Arial" w:hAnsi="Arial"/>
                <w:sz w:val="14"/>
                <w:szCs w:val="14"/>
                <w:color w:val="auto"/>
              </w:rPr>
              <w:t>(5,051,219)</w:t>
            </w:r>
          </w:p>
        </w:tc>
        <w:tc>
          <w:tcPr>
            <w:tcW w:w="168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2,094,280</w:t>
            </w:r>
          </w:p>
        </w:tc>
        <w:tc>
          <w:tcPr>
            <w:tcW w:w="1640" w:type="dxa"/>
            <w:vAlign w:val="bottom"/>
            <w:tcBorders>
              <w:bottom w:val="single" w:sz="8" w:color="2D53A6"/>
              <w:right w:val="single" w:sz="8" w:color="2D53A6"/>
            </w:tcBorders>
          </w:tcPr>
          <w:p>
            <w:pPr>
              <w:ind w:left="1320"/>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2D53A6"/>
              <w:right w:val="single" w:sz="8" w:color="2D53A6"/>
            </w:tcBorders>
          </w:tcPr>
          <w:p>
            <w:pPr>
              <w:ind w:left="1360"/>
              <w:spacing w:after="0"/>
              <w:rPr>
                <w:sz w:val="20"/>
                <w:szCs w:val="20"/>
                <w:color w:val="auto"/>
              </w:rPr>
            </w:pPr>
            <w:r>
              <w:rPr>
                <w:rFonts w:ascii="Arial" w:cs="Arial" w:eastAsia="Arial" w:hAnsi="Arial"/>
                <w:sz w:val="14"/>
                <w:szCs w:val="14"/>
                <w:color w:val="auto"/>
              </w:rPr>
              <w:t>N/A</w:t>
            </w:r>
          </w:p>
        </w:tc>
        <w:tc>
          <w:tcPr>
            <w:tcW w:w="15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3,579,668</w:t>
            </w:r>
          </w:p>
        </w:tc>
        <w:tc>
          <w:tcPr>
            <w:tcW w:w="0" w:type="dxa"/>
            <w:vAlign w:val="bottom"/>
          </w:tcPr>
          <w:p>
            <w:pPr>
              <w:spacing w:after="0"/>
              <w:rPr>
                <w:sz w:val="1"/>
                <w:szCs w:val="1"/>
                <w:color w:val="auto"/>
              </w:rPr>
            </w:pPr>
          </w:p>
        </w:tc>
      </w:tr>
      <w:tr>
        <w:trPr>
          <w:trHeight w:val="155"/>
        </w:trPr>
        <w:tc>
          <w:tcPr>
            <w:tcW w:w="780" w:type="dxa"/>
            <w:vAlign w:val="bottom"/>
            <w:tcBorders>
              <w:left w:val="single" w:sz="8" w:color="2D53A6"/>
              <w:bottom w:val="single" w:sz="8" w:color="2D53A6"/>
              <w:right w:val="single" w:sz="8" w:color="2D53A6"/>
            </w:tcBorders>
            <w:shd w:val="clear" w:color="auto" w:fill="E6E6E6"/>
          </w:tcPr>
          <w:p>
            <w:pPr>
              <w:ind w:left="240"/>
              <w:spacing w:after="0" w:line="155" w:lineRule="exact"/>
              <w:rPr>
                <w:sz w:val="20"/>
                <w:szCs w:val="20"/>
                <w:color w:val="auto"/>
              </w:rPr>
            </w:pPr>
            <w:r>
              <w:rPr>
                <w:rFonts w:ascii="Arial" w:cs="Arial" w:eastAsia="Arial" w:hAnsi="Arial"/>
                <w:sz w:val="14"/>
                <w:szCs w:val="14"/>
                <w:color w:val="auto"/>
              </w:rPr>
              <w:t>2022</w:t>
            </w:r>
          </w:p>
        </w:tc>
        <w:tc>
          <w:tcPr>
            <w:tcW w:w="16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5,315,286</w:t>
            </w:r>
          </w:p>
        </w:tc>
        <w:tc>
          <w:tcPr>
            <w:tcW w:w="1640" w:type="dxa"/>
            <w:vAlign w:val="bottom"/>
            <w:tcBorders>
              <w:bottom w:val="single" w:sz="8" w:color="2D53A6"/>
              <w:right w:val="single" w:sz="8" w:color="2D53A6"/>
            </w:tcBorders>
            <w:shd w:val="clear" w:color="auto" w:fill="E6E6E6"/>
          </w:tcPr>
          <w:p>
            <w:pPr>
              <w:jc w:val="right"/>
              <w:ind w:right="10"/>
              <w:spacing w:after="0" w:line="155" w:lineRule="exact"/>
              <w:rPr>
                <w:sz w:val="20"/>
                <w:szCs w:val="20"/>
                <w:color w:val="auto"/>
              </w:rPr>
            </w:pPr>
            <w:r>
              <w:rPr>
                <w:rFonts w:ascii="Arial" w:cs="Arial" w:eastAsia="Arial" w:hAnsi="Arial"/>
                <w:sz w:val="14"/>
                <w:szCs w:val="14"/>
                <w:color w:val="auto"/>
              </w:rPr>
              <w:t>(3,321,901)</w:t>
            </w:r>
          </w:p>
        </w:tc>
        <w:tc>
          <w:tcPr>
            <w:tcW w:w="168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3,412,877</w:t>
            </w:r>
          </w:p>
        </w:tc>
        <w:tc>
          <w:tcPr>
            <w:tcW w:w="164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80" w:type="dxa"/>
            <w:vAlign w:val="bottom"/>
            <w:tcBorders>
              <w:bottom w:val="single" w:sz="8" w:color="2D53A6"/>
              <w:right w:val="single" w:sz="8" w:color="2D53A6"/>
            </w:tcBorders>
            <w:shd w:val="clear" w:color="auto" w:fill="E6E6E6"/>
          </w:tcPr>
          <w:p>
            <w:pPr>
              <w:ind w:left="1360"/>
              <w:spacing w:after="0" w:line="155" w:lineRule="exact"/>
              <w:rPr>
                <w:sz w:val="20"/>
                <w:szCs w:val="20"/>
                <w:color w:val="auto"/>
              </w:rPr>
            </w:pPr>
            <w:r>
              <w:rPr>
                <w:rFonts w:ascii="Arial" w:cs="Arial" w:eastAsia="Arial" w:hAnsi="Arial"/>
                <w:sz w:val="14"/>
                <w:szCs w:val="14"/>
                <w:color w:val="auto"/>
              </w:rPr>
              <w:t>N/A</w:t>
            </w:r>
          </w:p>
        </w:tc>
        <w:tc>
          <w:tcPr>
            <w:tcW w:w="15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5,406,262</w:t>
            </w:r>
          </w:p>
        </w:tc>
        <w:tc>
          <w:tcPr>
            <w:tcW w:w="0" w:type="dxa"/>
            <w:vAlign w:val="bottom"/>
          </w:tcPr>
          <w:p>
            <w:pPr>
              <w:spacing w:after="0"/>
              <w:rPr>
                <w:sz w:val="1"/>
                <w:szCs w:val="1"/>
                <w:color w:val="auto"/>
              </w:rPr>
            </w:pPr>
          </w:p>
        </w:tc>
      </w:tr>
      <w:tr>
        <w:trPr>
          <w:trHeight w:val="156"/>
        </w:trPr>
        <w:tc>
          <w:tcPr>
            <w:tcW w:w="780" w:type="dxa"/>
            <w:vAlign w:val="bottom"/>
            <w:tcBorders>
              <w:left w:val="single" w:sz="8" w:color="2D53A6"/>
              <w:bottom w:val="single" w:sz="8" w:color="2D53A6"/>
              <w:right w:val="single" w:sz="8" w:color="2D53A6"/>
            </w:tcBorders>
          </w:tcPr>
          <w:p>
            <w:pPr>
              <w:ind w:left="240"/>
              <w:spacing w:after="0" w:line="155" w:lineRule="exact"/>
              <w:rPr>
                <w:sz w:val="20"/>
                <w:szCs w:val="20"/>
                <w:color w:val="auto"/>
              </w:rPr>
            </w:pPr>
            <w:r>
              <w:rPr>
                <w:rFonts w:ascii="Arial" w:cs="Arial" w:eastAsia="Arial" w:hAnsi="Arial"/>
                <w:sz w:val="14"/>
                <w:szCs w:val="14"/>
                <w:color w:val="auto"/>
              </w:rPr>
              <w:t>2021</w:t>
            </w:r>
          </w:p>
        </w:tc>
        <w:tc>
          <w:tcPr>
            <w:tcW w:w="16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4,582,416</w:t>
            </w:r>
          </w:p>
        </w:tc>
        <w:tc>
          <w:tcPr>
            <w:tcW w:w="1640" w:type="dxa"/>
            <w:vAlign w:val="bottom"/>
            <w:tcBorders>
              <w:bottom w:val="single" w:sz="8" w:color="2D53A6"/>
              <w:right w:val="single" w:sz="8" w:color="2D53A6"/>
            </w:tcBorders>
          </w:tcPr>
          <w:p>
            <w:pPr>
              <w:jc w:val="right"/>
              <w:ind w:right="10"/>
              <w:spacing w:after="0" w:line="155" w:lineRule="exact"/>
              <w:rPr>
                <w:sz w:val="20"/>
                <w:szCs w:val="20"/>
                <w:color w:val="auto"/>
              </w:rPr>
            </w:pPr>
            <w:r>
              <w:rPr>
                <w:rFonts w:ascii="Arial" w:cs="Arial" w:eastAsia="Arial" w:hAnsi="Arial"/>
                <w:sz w:val="14"/>
                <w:szCs w:val="14"/>
                <w:color w:val="auto"/>
              </w:rPr>
              <w:t>(2,891,579)</w:t>
            </w:r>
          </w:p>
        </w:tc>
        <w:tc>
          <w:tcPr>
            <w:tcW w:w="168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(731,034)</w:t>
            </w:r>
          </w:p>
        </w:tc>
        <w:tc>
          <w:tcPr>
            <w:tcW w:w="1640" w:type="dxa"/>
            <w:vAlign w:val="bottom"/>
            <w:tcBorders>
              <w:bottom w:val="single" w:sz="8" w:color="2D53A6"/>
              <w:right w:val="single" w:sz="8" w:color="2D53A6"/>
            </w:tcBorders>
          </w:tcPr>
          <w:p>
            <w:pPr>
              <w:ind w:left="1320"/>
              <w:spacing w:after="0" w:line="155" w:lineRule="exact"/>
              <w:rPr>
                <w:sz w:val="20"/>
                <w:szCs w:val="20"/>
                <w:color w:val="auto"/>
              </w:rPr>
            </w:pPr>
            <w:r>
              <w:rPr>
                <w:rFonts w:ascii="Arial" w:cs="Arial" w:eastAsia="Arial" w:hAnsi="Arial"/>
                <w:sz w:val="14"/>
                <w:szCs w:val="14"/>
                <w:color w:val="auto"/>
              </w:rPr>
              <w:t>N/A</w:t>
            </w:r>
          </w:p>
        </w:tc>
        <w:tc>
          <w:tcPr>
            <w:tcW w:w="1680" w:type="dxa"/>
            <w:vAlign w:val="bottom"/>
            <w:tcBorders>
              <w:bottom w:val="single" w:sz="8" w:color="2D53A6"/>
              <w:right w:val="single" w:sz="8" w:color="2D53A6"/>
            </w:tcBorders>
          </w:tcPr>
          <w:p>
            <w:pPr>
              <w:ind w:left="1360"/>
              <w:spacing w:after="0" w:line="155" w:lineRule="exact"/>
              <w:rPr>
                <w:sz w:val="20"/>
                <w:szCs w:val="20"/>
                <w:color w:val="auto"/>
              </w:rPr>
            </w:pPr>
            <w:r>
              <w:rPr>
                <w:rFonts w:ascii="Arial" w:cs="Arial" w:eastAsia="Arial" w:hAnsi="Arial"/>
                <w:sz w:val="14"/>
                <w:szCs w:val="14"/>
                <w:color w:val="auto"/>
              </w:rPr>
              <w:t>N/A</w:t>
            </w:r>
          </w:p>
        </w:tc>
        <w:tc>
          <w:tcPr>
            <w:tcW w:w="15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959,803</w:t>
            </w:r>
          </w:p>
        </w:tc>
        <w:tc>
          <w:tcPr>
            <w:tcW w:w="0" w:type="dxa"/>
            <w:vAlign w:val="bottom"/>
          </w:tcPr>
          <w:p>
            <w:pPr>
              <w:spacing w:after="0"/>
              <w:rPr>
                <w:sz w:val="1"/>
                <w:szCs w:val="1"/>
                <w:color w:val="auto"/>
              </w:rPr>
            </w:pPr>
          </w:p>
        </w:tc>
      </w:tr>
      <w:tr>
        <w:trPr>
          <w:trHeight w:val="155"/>
        </w:trPr>
        <w:tc>
          <w:tcPr>
            <w:tcW w:w="780" w:type="dxa"/>
            <w:vAlign w:val="bottom"/>
            <w:tcBorders>
              <w:left w:val="single" w:sz="8" w:color="2D53A6"/>
              <w:bottom w:val="single" w:sz="8" w:color="2D53A6"/>
              <w:right w:val="single" w:sz="8" w:color="2D53A6"/>
            </w:tcBorders>
            <w:shd w:val="clear" w:color="auto" w:fill="E6E6E6"/>
          </w:tcPr>
          <w:p>
            <w:pPr>
              <w:ind w:left="240"/>
              <w:spacing w:after="0" w:line="155" w:lineRule="exact"/>
              <w:rPr>
                <w:sz w:val="20"/>
                <w:szCs w:val="20"/>
                <w:color w:val="auto"/>
              </w:rPr>
            </w:pPr>
            <w:r>
              <w:rPr>
                <w:rFonts w:ascii="Arial" w:cs="Arial" w:eastAsia="Arial" w:hAnsi="Arial"/>
                <w:sz w:val="14"/>
                <w:szCs w:val="14"/>
                <w:color w:val="auto"/>
              </w:rPr>
              <w:t>2020</w:t>
            </w:r>
          </w:p>
        </w:tc>
        <w:tc>
          <w:tcPr>
            <w:tcW w:w="16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3,315,895</w:t>
            </w:r>
          </w:p>
        </w:tc>
        <w:tc>
          <w:tcPr>
            <w:tcW w:w="1640" w:type="dxa"/>
            <w:vAlign w:val="bottom"/>
            <w:tcBorders>
              <w:bottom w:val="single" w:sz="8" w:color="2D53A6"/>
              <w:right w:val="single" w:sz="8" w:color="2D53A6"/>
            </w:tcBorders>
            <w:shd w:val="clear" w:color="auto" w:fill="E6E6E6"/>
          </w:tcPr>
          <w:p>
            <w:pPr>
              <w:jc w:val="right"/>
              <w:ind w:right="10"/>
              <w:spacing w:after="0" w:line="155" w:lineRule="exact"/>
              <w:rPr>
                <w:sz w:val="20"/>
                <w:szCs w:val="20"/>
                <w:color w:val="auto"/>
              </w:rPr>
            </w:pPr>
            <w:r>
              <w:rPr>
                <w:rFonts w:ascii="Arial" w:cs="Arial" w:eastAsia="Arial" w:hAnsi="Arial"/>
                <w:sz w:val="14"/>
                <w:szCs w:val="14"/>
                <w:color w:val="auto"/>
              </w:rPr>
              <w:t>(2,138,683)</w:t>
            </w:r>
          </w:p>
        </w:tc>
        <w:tc>
          <w:tcPr>
            <w:tcW w:w="168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10,920,402</w:t>
            </w:r>
          </w:p>
        </w:tc>
        <w:tc>
          <w:tcPr>
            <w:tcW w:w="1640" w:type="dxa"/>
            <w:vAlign w:val="bottom"/>
            <w:tcBorders>
              <w:bottom w:val="single" w:sz="8" w:color="2D53A6"/>
              <w:right w:val="single" w:sz="8" w:color="2D53A6"/>
            </w:tcBorders>
            <w:shd w:val="clear" w:color="auto" w:fill="E6E6E6"/>
          </w:tcPr>
          <w:p>
            <w:pPr>
              <w:ind w:left="1320"/>
              <w:spacing w:after="0" w:line="155" w:lineRule="exact"/>
              <w:rPr>
                <w:sz w:val="20"/>
                <w:szCs w:val="20"/>
                <w:color w:val="auto"/>
              </w:rPr>
            </w:pPr>
            <w:r>
              <w:rPr>
                <w:rFonts w:ascii="Arial" w:cs="Arial" w:eastAsia="Arial" w:hAnsi="Arial"/>
                <w:sz w:val="14"/>
                <w:szCs w:val="14"/>
                <w:color w:val="auto"/>
              </w:rPr>
              <w:t>N/A</w:t>
            </w:r>
          </w:p>
        </w:tc>
        <w:tc>
          <w:tcPr>
            <w:tcW w:w="1680" w:type="dxa"/>
            <w:vAlign w:val="bottom"/>
            <w:tcBorders>
              <w:bottom w:val="single" w:sz="8" w:color="2D53A6"/>
              <w:right w:val="single" w:sz="8" w:color="2D53A6"/>
            </w:tcBorders>
            <w:shd w:val="clear" w:color="auto" w:fill="E6E6E6"/>
          </w:tcPr>
          <w:p>
            <w:pPr>
              <w:ind w:left="1360"/>
              <w:spacing w:after="0" w:line="155" w:lineRule="exact"/>
              <w:rPr>
                <w:sz w:val="20"/>
                <w:szCs w:val="20"/>
                <w:color w:val="auto"/>
              </w:rPr>
            </w:pPr>
            <w:r>
              <w:rPr>
                <w:rFonts w:ascii="Arial" w:cs="Arial" w:eastAsia="Arial" w:hAnsi="Arial"/>
                <w:sz w:val="14"/>
                <w:szCs w:val="14"/>
                <w:color w:val="auto"/>
              </w:rPr>
              <w:t>N/A</w:t>
            </w:r>
          </w:p>
        </w:tc>
        <w:tc>
          <w:tcPr>
            <w:tcW w:w="15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12,097,614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amounts reported in the “Stock Awards” column in the SCT for each applicable year.</w:t>
      </w:r>
    </w:p>
    <w:p>
      <w:pPr>
        <w:spacing w:after="0" w:line="68" w:lineRule="exact"/>
        <w:rPr>
          <w:rFonts w:ascii="Arial" w:cs="Arial" w:eastAsia="Arial" w:hAnsi="Arial"/>
          <w:sz w:val="14"/>
          <w:szCs w:val="14"/>
          <w:color w:val="auto"/>
        </w:rPr>
      </w:pPr>
    </w:p>
    <w:p>
      <w:pPr>
        <w:ind w:left="340" w:hanging="332"/>
        <w:spacing w:after="0" w:line="246"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40"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Neither the CEO nor any other NEO has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Equity Component of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Dividends or</w:t>
            </w:r>
          </w:p>
        </w:tc>
        <w:tc>
          <w:tcPr>
            <w:tcW w:w="140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 End</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Earnings Paid</w:t>
            </w:r>
          </w:p>
        </w:tc>
        <w:tc>
          <w:tcPr>
            <w:tcW w:w="140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the Prior Year of</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on Stock or Option</w:t>
            </w:r>
          </w:p>
        </w:tc>
        <w:tc>
          <w:tcPr>
            <w:tcW w:w="140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Equity Awards</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 that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not</w:t>
            </w:r>
          </w:p>
        </w:tc>
        <w:tc>
          <w:tcPr>
            <w:tcW w:w="140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Outstanding and</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in Prior</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Failed to Meet Vesting</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Otherwise Reflected</w:t>
            </w:r>
          </w:p>
        </w:tc>
        <w:tc>
          <w:tcPr>
            <w:tcW w:w="140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End Fair Value of</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Unvested Equity</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 Vested</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Years that Vested in</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Conditions in the</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Fair Value or Total</w:t>
            </w:r>
          </w:p>
        </w:tc>
        <w:tc>
          <w:tcPr>
            <w:tcW w:w="14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Equity Award</w:t>
            </w:r>
          </w:p>
        </w:tc>
      </w:tr>
      <w:tr>
        <w:trPr>
          <w:trHeight w:val="171"/>
        </w:trPr>
        <w:tc>
          <w:tcPr>
            <w:tcW w:w="760" w:type="dxa"/>
            <w:vAlign w:val="bottom"/>
            <w:tcBorders>
              <w:left w:val="single" w:sz="8" w:color="2D53A6"/>
              <w:right w:val="single" w:sz="8" w:color="2D53A6"/>
            </w:tcBorders>
            <w:shd w:val="clear" w:color="auto" w:fill="2D53A6"/>
          </w:tcPr>
          <w:p>
            <w:pPr>
              <w:ind w:left="220"/>
              <w:spacing w:after="0"/>
              <w:rPr>
                <w:sz w:val="20"/>
                <w:szCs w:val="20"/>
                <w:color w:val="auto"/>
              </w:rPr>
            </w:pPr>
            <w:r>
              <w:rPr>
                <w:rFonts w:ascii="Arial" w:cs="Arial" w:eastAsia="Arial" w:hAnsi="Arial"/>
                <w:sz w:val="14"/>
                <w:szCs w:val="14"/>
                <w:b w:val="1"/>
                <w:bCs w:val="1"/>
                <w:color w:val="FFFFFF"/>
              </w:rPr>
              <w:t>Year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the 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4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75"/>
        </w:trPr>
        <w:tc>
          <w:tcPr>
            <w:tcW w:w="760" w:type="dxa"/>
            <w:vAlign w:val="bottom"/>
            <w:tcBorders>
              <w:left w:val="single" w:sz="8" w:color="2D53A6"/>
              <w:right w:val="single" w:sz="8" w:color="2D53A6"/>
            </w:tcBorders>
            <w:shd w:val="clear" w:color="auto" w:fill="2D53A6"/>
          </w:tcPr>
          <w:p>
            <w:pPr>
              <w:spacing w:after="0"/>
              <w:rPr>
                <w:sz w:val="15"/>
                <w:szCs w:val="15"/>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auto"/>
              </w:rPr>
              <w:t>($)</w:t>
            </w:r>
          </w:p>
        </w:tc>
      </w:tr>
      <w:tr>
        <w:trPr>
          <w:trHeight w:val="162"/>
        </w:trPr>
        <w:tc>
          <w:tcPr>
            <w:tcW w:w="76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4"/>
                <w:szCs w:val="14"/>
                <w:color w:val="auto"/>
              </w:rPr>
              <w:t>2023</w:t>
            </w:r>
          </w:p>
        </w:tc>
        <w:tc>
          <w:tcPr>
            <w:tcW w:w="15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1,557,302</w:t>
            </w:r>
          </w:p>
        </w:tc>
        <w:tc>
          <w:tcPr>
            <w:tcW w:w="150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252,541</w:t>
            </w:r>
          </w:p>
        </w:tc>
        <w:tc>
          <w:tcPr>
            <w:tcW w:w="152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284,437</w:t>
            </w:r>
          </w:p>
        </w:tc>
        <w:tc>
          <w:tcPr>
            <w:tcW w:w="152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2,094,280</w:t>
            </w:r>
          </w:p>
        </w:tc>
      </w:tr>
      <w:tr>
        <w:trPr>
          <w:trHeight w:val="155"/>
        </w:trPr>
        <w:tc>
          <w:tcPr>
            <w:tcW w:w="760" w:type="dxa"/>
            <w:vAlign w:val="bottom"/>
            <w:tcBorders>
              <w:left w:val="single" w:sz="8" w:color="2D53A6"/>
              <w:bottom w:val="single" w:sz="8" w:color="2D53A6"/>
              <w:right w:val="single" w:sz="8" w:color="2D53A6"/>
            </w:tcBorders>
            <w:shd w:val="clear" w:color="auto" w:fill="E6E6E6"/>
          </w:tcPr>
          <w:p>
            <w:pPr>
              <w:ind w:left="220"/>
              <w:spacing w:after="0" w:line="155" w:lineRule="exact"/>
              <w:rPr>
                <w:sz w:val="20"/>
                <w:szCs w:val="20"/>
                <w:color w:val="auto"/>
              </w:rPr>
            </w:pPr>
            <w:r>
              <w:rPr>
                <w:rFonts w:ascii="Arial" w:cs="Arial" w:eastAsia="Arial" w:hAnsi="Arial"/>
                <w:sz w:val="14"/>
                <w:szCs w:val="14"/>
                <w:color w:val="auto"/>
              </w:rPr>
              <w:t>2022</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4,186,241</w:t>
            </w:r>
          </w:p>
        </w:tc>
        <w:tc>
          <w:tcPr>
            <w:tcW w:w="150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(287,392)</w:t>
            </w:r>
          </w:p>
        </w:tc>
        <w:tc>
          <w:tcPr>
            <w:tcW w:w="15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63,290</w:t>
            </w:r>
          </w:p>
        </w:tc>
        <w:tc>
          <w:tcPr>
            <w:tcW w:w="15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(549,262)</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3,412,877</w:t>
            </w:r>
          </w:p>
        </w:tc>
      </w:tr>
      <w:tr>
        <w:trPr>
          <w:trHeight w:val="155"/>
        </w:trPr>
        <w:tc>
          <w:tcPr>
            <w:tcW w:w="760" w:type="dxa"/>
            <w:vAlign w:val="bottom"/>
            <w:tcBorders>
              <w:left w:val="single" w:sz="8" w:color="2D53A6"/>
              <w:bottom w:val="single" w:sz="8" w:color="2D53A6"/>
              <w:right w:val="single" w:sz="8" w:color="2D53A6"/>
            </w:tcBorders>
          </w:tcPr>
          <w:p>
            <w:pPr>
              <w:ind w:left="220"/>
              <w:spacing w:after="0" w:line="155" w:lineRule="exact"/>
              <w:rPr>
                <w:sz w:val="20"/>
                <w:szCs w:val="20"/>
                <w:color w:val="auto"/>
              </w:rPr>
            </w:pPr>
            <w:r>
              <w:rPr>
                <w:rFonts w:ascii="Arial" w:cs="Arial" w:eastAsia="Arial" w:hAnsi="Arial"/>
                <w:sz w:val="14"/>
                <w:szCs w:val="14"/>
                <w:color w:val="auto"/>
              </w:rPr>
              <w:t>2021</w:t>
            </w:r>
          </w:p>
        </w:tc>
        <w:tc>
          <w:tcPr>
            <w:tcW w:w="15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2,406,454</w:t>
            </w:r>
          </w:p>
        </w:tc>
        <w:tc>
          <w:tcPr>
            <w:tcW w:w="150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(3,329,004)</w:t>
            </w:r>
          </w:p>
        </w:tc>
        <w:tc>
          <w:tcPr>
            <w:tcW w:w="152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191,516</w:t>
            </w:r>
          </w:p>
        </w:tc>
        <w:tc>
          <w:tcPr>
            <w:tcW w:w="152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(731,034)</w:t>
            </w:r>
          </w:p>
        </w:tc>
      </w:tr>
      <w:tr>
        <w:trPr>
          <w:trHeight w:val="155"/>
        </w:trPr>
        <w:tc>
          <w:tcPr>
            <w:tcW w:w="760" w:type="dxa"/>
            <w:vAlign w:val="bottom"/>
            <w:tcBorders>
              <w:left w:val="single" w:sz="8" w:color="2D53A6"/>
              <w:bottom w:val="single" w:sz="8" w:color="2D53A6"/>
              <w:right w:val="single" w:sz="8" w:color="2D53A6"/>
            </w:tcBorders>
            <w:shd w:val="clear" w:color="auto" w:fill="E6E6E6"/>
          </w:tcPr>
          <w:p>
            <w:pPr>
              <w:ind w:left="220"/>
              <w:spacing w:after="0" w:line="155" w:lineRule="exact"/>
              <w:rPr>
                <w:sz w:val="20"/>
                <w:szCs w:val="20"/>
                <w:color w:val="auto"/>
              </w:rPr>
            </w:pPr>
            <w:r>
              <w:rPr>
                <w:rFonts w:ascii="Arial" w:cs="Arial" w:eastAsia="Arial" w:hAnsi="Arial"/>
                <w:sz w:val="14"/>
                <w:szCs w:val="14"/>
                <w:color w:val="auto"/>
              </w:rPr>
              <w:t>2020</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7,919,582</w:t>
            </w:r>
          </w:p>
        </w:tc>
        <w:tc>
          <w:tcPr>
            <w:tcW w:w="150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3,665,406</w:t>
            </w:r>
          </w:p>
        </w:tc>
        <w:tc>
          <w:tcPr>
            <w:tcW w:w="15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(473,527)</w:t>
            </w:r>
          </w:p>
        </w:tc>
        <w:tc>
          <w:tcPr>
            <w:tcW w:w="152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(191,059)</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10,920,402</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Other NEOs SCT Total to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760" w:type="dxa"/>
            <w:vAlign w:val="bottom"/>
            <w:tcBorders>
              <w:right w:val="single" w:sz="8" w:color="2D53A6"/>
            </w:tcBorders>
            <w:shd w:val="clear" w:color="auto" w:fill="2D53A6"/>
          </w:tcPr>
          <w:p>
            <w:pPr>
              <w:spacing w:after="0"/>
              <w:rPr>
                <w:sz w:val="14"/>
                <w:szCs w:val="14"/>
                <w:color w:val="auto"/>
              </w:rPr>
            </w:pPr>
          </w:p>
        </w:tc>
        <w:tc>
          <w:tcPr>
            <w:tcW w:w="176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74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62"/>
        </w:trPr>
        <w:tc>
          <w:tcPr>
            <w:tcW w:w="760" w:type="dxa"/>
            <w:vAlign w:val="bottom"/>
            <w:tcBorders>
              <w:left w:val="single" w:sz="8" w:color="2D53A6"/>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 Compensation</w:t>
            </w:r>
          </w:p>
        </w:tc>
        <w:tc>
          <w:tcPr>
            <w:tcW w:w="1760" w:type="dxa"/>
            <w:vAlign w:val="bottom"/>
            <w:tcBorders>
              <w:right w:val="single" w:sz="8" w:color="2D53A6"/>
            </w:tcBorders>
            <w:shd w:val="clear" w:color="auto" w:fill="2D53A6"/>
          </w:tcPr>
          <w:p>
            <w:pPr>
              <w:spacing w:after="0"/>
              <w:rPr>
                <w:sz w:val="14"/>
                <w:szCs w:val="14"/>
                <w:color w:val="auto"/>
              </w:rPr>
            </w:pPr>
          </w:p>
        </w:tc>
        <w:tc>
          <w:tcPr>
            <w:tcW w:w="176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right"/>
              <w:ind w:right="28"/>
              <w:spacing w:after="0"/>
              <w:rPr>
                <w:sz w:val="20"/>
                <w:szCs w:val="20"/>
                <w:color w:val="auto"/>
              </w:rPr>
            </w:pPr>
            <w:r>
              <w:rPr>
                <w:rFonts w:ascii="Arial" w:cs="Arial" w:eastAsia="Arial" w:hAnsi="Arial"/>
                <w:sz w:val="14"/>
                <w:szCs w:val="14"/>
                <w:b w:val="1"/>
                <w:bCs w:val="1"/>
                <w:color w:val="FFFFFF"/>
              </w:rPr>
              <w:t>Change in the Actuarial</w:t>
            </w:r>
          </w:p>
        </w:tc>
        <w:tc>
          <w:tcPr>
            <w:tcW w:w="1740" w:type="dxa"/>
            <w:vAlign w:val="bottom"/>
            <w:tcBorders>
              <w:right w:val="single" w:sz="8" w:color="2D53A6"/>
            </w:tcBorders>
            <w:shd w:val="clear" w:color="auto" w:fill="2D53A6"/>
          </w:tcPr>
          <w:p>
            <w:pPr>
              <w:spacing w:after="0"/>
              <w:rPr>
                <w:sz w:val="14"/>
                <w:szCs w:val="14"/>
                <w:color w:val="auto"/>
              </w:rPr>
            </w:pPr>
          </w:p>
        </w:tc>
        <w:tc>
          <w:tcPr>
            <w:tcW w:w="1660" w:type="dxa"/>
            <w:vAlign w:val="bottom"/>
            <w:tcBorders>
              <w:right w:val="single" w:sz="8" w:color="2D53A6"/>
            </w:tcBorders>
            <w:shd w:val="clear" w:color="auto" w:fill="2D53A6"/>
          </w:tcPr>
          <w:p>
            <w:pPr>
              <w:spacing w:after="0"/>
              <w:rPr>
                <w:sz w:val="14"/>
                <w:szCs w:val="14"/>
                <w:color w:val="auto"/>
              </w:rPr>
            </w:pPr>
          </w:p>
        </w:tc>
      </w:tr>
      <w:tr>
        <w:trPr>
          <w:trHeight w:val="159"/>
        </w:trPr>
        <w:tc>
          <w:tcPr>
            <w:tcW w:w="760" w:type="dxa"/>
            <w:vAlign w:val="bottom"/>
            <w:tcBorders>
              <w:left w:val="single" w:sz="8" w:color="2D53A6"/>
              <w:right w:val="single" w:sz="8" w:color="2D53A6"/>
            </w:tcBorders>
            <w:shd w:val="clear" w:color="auto" w:fill="2D53A6"/>
          </w:tcPr>
          <w:p>
            <w:pPr>
              <w:spacing w:after="0"/>
              <w:rPr>
                <w:sz w:val="13"/>
                <w:szCs w:val="13"/>
                <w:color w:val="auto"/>
              </w:rPr>
            </w:pP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 Other</w:t>
            </w:r>
          </w:p>
        </w:tc>
        <w:tc>
          <w:tcPr>
            <w:tcW w:w="17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Reported Value</w:t>
            </w:r>
          </w:p>
        </w:tc>
        <w:tc>
          <w:tcPr>
            <w:tcW w:w="17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Equity Award</w:t>
            </w: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Present Value of Pension</w:t>
            </w:r>
          </w:p>
        </w:tc>
        <w:tc>
          <w:tcPr>
            <w:tcW w:w="17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Pension</w:t>
            </w:r>
          </w:p>
        </w:tc>
        <w:tc>
          <w:tcPr>
            <w:tcW w:w="166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CAP to Other</w:t>
            </w:r>
          </w:p>
        </w:tc>
      </w:tr>
      <w:tr>
        <w:trPr>
          <w:trHeight w:val="174"/>
        </w:trPr>
        <w:tc>
          <w:tcPr>
            <w:tcW w:w="760" w:type="dxa"/>
            <w:vAlign w:val="bottom"/>
            <w:tcBorders>
              <w:left w:val="single" w:sz="8" w:color="2D53A6"/>
              <w:right w:val="single" w:sz="8" w:color="2D53A6"/>
            </w:tcBorders>
            <w:shd w:val="clear" w:color="auto" w:fill="2D53A6"/>
          </w:tcPr>
          <w:p>
            <w:pPr>
              <w:ind w:left="220"/>
              <w:spacing w:after="0"/>
              <w:rPr>
                <w:sz w:val="20"/>
                <w:szCs w:val="20"/>
                <w:color w:val="auto"/>
              </w:rPr>
            </w:pPr>
            <w:r>
              <w:rPr>
                <w:rFonts w:ascii="Arial" w:cs="Arial" w:eastAsia="Arial" w:hAnsi="Arial"/>
                <w:sz w:val="14"/>
                <w:szCs w:val="14"/>
                <w:b w:val="1"/>
                <w:bCs w:val="1"/>
                <w:color w:val="FFFFFF"/>
              </w:rPr>
              <w:t>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NEOs</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Equity Awards</w:t>
            </w:r>
          </w:p>
        </w:tc>
        <w:tc>
          <w:tcPr>
            <w:tcW w:w="176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Adjustments </w:t>
            </w:r>
            <w:r>
              <w:rPr>
                <w:rFonts w:ascii="Arial" w:cs="Arial" w:eastAsia="Arial" w:hAnsi="Arial"/>
                <w:sz w:val="20"/>
                <w:szCs w:val="20"/>
                <w:b w:val="1"/>
                <w:bCs w:val="1"/>
                <w:color w:val="FFFFFF"/>
                <w:vertAlign w:val="superscript"/>
              </w:rPr>
              <w:t>(1)</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NEOs</w:t>
            </w:r>
          </w:p>
        </w:tc>
      </w:tr>
      <w:tr>
        <w:trPr>
          <w:trHeight w:val="175"/>
        </w:trPr>
        <w:tc>
          <w:tcPr>
            <w:tcW w:w="760" w:type="dxa"/>
            <w:vAlign w:val="bottom"/>
            <w:tcBorders>
              <w:left w:val="single" w:sz="8" w:color="2D53A6"/>
              <w:right w:val="single" w:sz="8" w:color="2D53A6"/>
            </w:tcBorders>
            <w:shd w:val="clear" w:color="auto" w:fill="2D53A6"/>
          </w:tcPr>
          <w:p>
            <w:pPr>
              <w:spacing w:after="0"/>
              <w:rPr>
                <w:sz w:val="15"/>
                <w:szCs w:val="15"/>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76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4"/>
                <w:szCs w:val="14"/>
                <w:color w:val="auto"/>
              </w:rPr>
              <w:t>2023</w:t>
            </w:r>
          </w:p>
        </w:tc>
        <w:tc>
          <w:tcPr>
            <w:tcW w:w="17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1,727,107</w:t>
            </w:r>
          </w:p>
        </w:tc>
        <w:tc>
          <w:tcPr>
            <w:tcW w:w="17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(1,054,404)</w:t>
            </w:r>
          </w:p>
        </w:tc>
        <w:tc>
          <w:tcPr>
            <w:tcW w:w="176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795,769</w:t>
            </w:r>
          </w:p>
        </w:tc>
        <w:tc>
          <w:tcPr>
            <w:tcW w:w="178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N/A</w:t>
            </w:r>
          </w:p>
        </w:tc>
        <w:tc>
          <w:tcPr>
            <w:tcW w:w="1740" w:type="dxa"/>
            <w:vAlign w:val="bottom"/>
            <w:tcBorders>
              <w:bottom w:val="single" w:sz="8" w:color="2D53A6"/>
              <w:right w:val="single" w:sz="8" w:color="2D53A6"/>
            </w:tcBorders>
          </w:tcPr>
          <w:p>
            <w:pPr>
              <w:ind w:left="1400"/>
              <w:spacing w:after="0"/>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1,468,472</w:t>
            </w:r>
          </w:p>
        </w:tc>
      </w:tr>
      <w:tr>
        <w:trPr>
          <w:trHeight w:val="155"/>
        </w:trPr>
        <w:tc>
          <w:tcPr>
            <w:tcW w:w="760" w:type="dxa"/>
            <w:vAlign w:val="bottom"/>
            <w:tcBorders>
              <w:left w:val="single" w:sz="8" w:color="2D53A6"/>
              <w:bottom w:val="single" w:sz="8" w:color="2D53A6"/>
              <w:right w:val="single" w:sz="8" w:color="2D53A6"/>
            </w:tcBorders>
            <w:shd w:val="clear" w:color="auto" w:fill="E6E6E6"/>
          </w:tcPr>
          <w:p>
            <w:pPr>
              <w:ind w:left="220"/>
              <w:spacing w:after="0" w:line="155" w:lineRule="exact"/>
              <w:rPr>
                <w:sz w:val="20"/>
                <w:szCs w:val="20"/>
                <w:color w:val="auto"/>
              </w:rPr>
            </w:pPr>
            <w:r>
              <w:rPr>
                <w:rFonts w:ascii="Arial" w:cs="Arial" w:eastAsia="Arial" w:hAnsi="Arial"/>
                <w:sz w:val="14"/>
                <w:szCs w:val="14"/>
                <w:color w:val="auto"/>
              </w:rPr>
              <w:t>2022</w:t>
            </w:r>
          </w:p>
        </w:tc>
        <w:tc>
          <w:tcPr>
            <w:tcW w:w="1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1,546,037</w:t>
            </w:r>
          </w:p>
        </w:tc>
        <w:tc>
          <w:tcPr>
            <w:tcW w:w="17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(693,436)</w:t>
            </w:r>
          </w:p>
        </w:tc>
        <w:tc>
          <w:tcPr>
            <w:tcW w:w="17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695,282</w:t>
            </w:r>
          </w:p>
        </w:tc>
        <w:tc>
          <w:tcPr>
            <w:tcW w:w="17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N/A</w:t>
            </w:r>
          </w:p>
        </w:tc>
        <w:tc>
          <w:tcPr>
            <w:tcW w:w="1740" w:type="dxa"/>
            <w:vAlign w:val="bottom"/>
            <w:tcBorders>
              <w:bottom w:val="single" w:sz="8" w:color="2D53A6"/>
              <w:right w:val="single" w:sz="8" w:color="2D53A6"/>
            </w:tcBorders>
            <w:shd w:val="clear" w:color="auto" w:fill="E6E6E6"/>
          </w:tcPr>
          <w:p>
            <w:pPr>
              <w:ind w:left="140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1,547,883</w:t>
            </w:r>
          </w:p>
        </w:tc>
      </w:tr>
      <w:tr>
        <w:trPr>
          <w:trHeight w:val="155"/>
        </w:trPr>
        <w:tc>
          <w:tcPr>
            <w:tcW w:w="760" w:type="dxa"/>
            <w:vAlign w:val="bottom"/>
            <w:tcBorders>
              <w:left w:val="single" w:sz="8" w:color="2D53A6"/>
              <w:bottom w:val="single" w:sz="8" w:color="2D53A6"/>
              <w:right w:val="single" w:sz="8" w:color="2D53A6"/>
            </w:tcBorders>
          </w:tcPr>
          <w:p>
            <w:pPr>
              <w:ind w:left="220"/>
              <w:spacing w:after="0" w:line="155" w:lineRule="exact"/>
              <w:rPr>
                <w:sz w:val="20"/>
                <w:szCs w:val="20"/>
                <w:color w:val="auto"/>
              </w:rPr>
            </w:pPr>
            <w:r>
              <w:rPr>
                <w:rFonts w:ascii="Arial" w:cs="Arial" w:eastAsia="Arial" w:hAnsi="Arial"/>
                <w:sz w:val="14"/>
                <w:szCs w:val="14"/>
                <w:color w:val="auto"/>
              </w:rPr>
              <w:t>2021</w:t>
            </w:r>
          </w:p>
        </w:tc>
        <w:tc>
          <w:tcPr>
            <w:tcW w:w="1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1,360,173</w:t>
            </w:r>
          </w:p>
        </w:tc>
        <w:tc>
          <w:tcPr>
            <w:tcW w:w="17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(610,078)</w:t>
            </w:r>
          </w:p>
        </w:tc>
        <w:tc>
          <w:tcPr>
            <w:tcW w:w="17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(152,107)</w:t>
            </w:r>
          </w:p>
        </w:tc>
        <w:tc>
          <w:tcPr>
            <w:tcW w:w="17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N/A</w:t>
            </w:r>
          </w:p>
        </w:tc>
        <w:tc>
          <w:tcPr>
            <w:tcW w:w="1740" w:type="dxa"/>
            <w:vAlign w:val="bottom"/>
            <w:tcBorders>
              <w:bottom w:val="single" w:sz="8" w:color="2D53A6"/>
              <w:right w:val="single" w:sz="8" w:color="2D53A6"/>
            </w:tcBorders>
          </w:tcPr>
          <w:p>
            <w:pPr>
              <w:ind w:left="140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597,988</w:t>
            </w:r>
          </w:p>
        </w:tc>
      </w:tr>
      <w:tr>
        <w:trPr>
          <w:trHeight w:val="156"/>
        </w:trPr>
        <w:tc>
          <w:tcPr>
            <w:tcW w:w="760" w:type="dxa"/>
            <w:vAlign w:val="bottom"/>
            <w:tcBorders>
              <w:left w:val="single" w:sz="8" w:color="2D53A6"/>
              <w:bottom w:val="single" w:sz="8" w:color="2D53A6"/>
              <w:right w:val="single" w:sz="8" w:color="2D53A6"/>
            </w:tcBorders>
            <w:shd w:val="clear" w:color="auto" w:fill="E6E6E6"/>
          </w:tcPr>
          <w:p>
            <w:pPr>
              <w:ind w:left="220"/>
              <w:spacing w:after="0" w:line="155" w:lineRule="exact"/>
              <w:rPr>
                <w:sz w:val="20"/>
                <w:szCs w:val="20"/>
                <w:color w:val="auto"/>
              </w:rPr>
            </w:pPr>
            <w:r>
              <w:rPr>
                <w:rFonts w:ascii="Arial" w:cs="Arial" w:eastAsia="Arial" w:hAnsi="Arial"/>
                <w:sz w:val="14"/>
                <w:szCs w:val="14"/>
                <w:color w:val="auto"/>
              </w:rPr>
              <w:t>2020</w:t>
            </w:r>
          </w:p>
        </w:tc>
        <w:tc>
          <w:tcPr>
            <w:tcW w:w="1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1,093,312</w:t>
            </w:r>
          </w:p>
        </w:tc>
        <w:tc>
          <w:tcPr>
            <w:tcW w:w="17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(468,046)</w:t>
            </w:r>
          </w:p>
        </w:tc>
        <w:tc>
          <w:tcPr>
            <w:tcW w:w="17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2,492,317</w:t>
            </w:r>
          </w:p>
        </w:tc>
        <w:tc>
          <w:tcPr>
            <w:tcW w:w="17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N/A</w:t>
            </w:r>
          </w:p>
        </w:tc>
        <w:tc>
          <w:tcPr>
            <w:tcW w:w="1740" w:type="dxa"/>
            <w:vAlign w:val="bottom"/>
            <w:tcBorders>
              <w:bottom w:val="single" w:sz="8" w:color="2D53A6"/>
              <w:right w:val="single" w:sz="8" w:color="2D53A6"/>
            </w:tcBorders>
            <w:shd w:val="clear" w:color="auto" w:fill="E6E6E6"/>
          </w:tcPr>
          <w:p>
            <w:pPr>
              <w:ind w:left="1400"/>
              <w:spacing w:after="0" w:line="155"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3,117,583</w:t>
            </w:r>
          </w:p>
        </w:tc>
      </w:tr>
    </w:tbl>
    <w:p>
      <w:pPr>
        <w:spacing w:after="0" w:line="19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detailed in the Equity Component of CAP Reconciliation tables that follow.</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NEO Equity Component of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860" w:type="dxa"/>
            <w:vAlign w:val="bottom"/>
            <w:tcBorders>
              <w:left w:val="single" w:sz="8" w:color="2D53A6"/>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68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r>
      <w:tr>
        <w:trPr>
          <w:trHeight w:val="162"/>
        </w:trPr>
        <w:tc>
          <w:tcPr>
            <w:tcW w:w="860" w:type="dxa"/>
            <w:vAlign w:val="bottom"/>
            <w:tcBorders>
              <w:left w:val="single" w:sz="8" w:color="2D53A6"/>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 End of</w:t>
            </w:r>
          </w:p>
        </w:tc>
        <w:tc>
          <w:tcPr>
            <w:tcW w:w="1340" w:type="dxa"/>
            <w:vAlign w:val="bottom"/>
            <w:tcBorders>
              <w:right w:val="single" w:sz="8" w:color="2D53A6"/>
            </w:tcBorders>
            <w:shd w:val="clear" w:color="auto" w:fill="2D53A6"/>
          </w:tcPr>
          <w:p>
            <w:pPr>
              <w:spacing w:after="0"/>
              <w:rPr>
                <w:sz w:val="14"/>
                <w:szCs w:val="14"/>
                <w:color w:val="auto"/>
              </w:rPr>
            </w:pPr>
          </w:p>
        </w:tc>
      </w:tr>
      <w:tr>
        <w:trPr>
          <w:trHeight w:val="162"/>
        </w:trPr>
        <w:tc>
          <w:tcPr>
            <w:tcW w:w="860" w:type="dxa"/>
            <w:vAlign w:val="bottom"/>
            <w:tcBorders>
              <w:left w:val="single" w:sz="8" w:color="2D53A6"/>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 Value</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Equity Awards</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Prior Year of Equity</w:t>
            </w:r>
          </w:p>
        </w:tc>
        <w:tc>
          <w:tcPr>
            <w:tcW w:w="1340" w:type="dxa"/>
            <w:vAlign w:val="bottom"/>
            <w:tcBorders>
              <w:right w:val="single" w:sz="8" w:color="2D53A6"/>
            </w:tcBorders>
            <w:shd w:val="clear" w:color="auto" w:fill="2D53A6"/>
          </w:tcPr>
          <w:p>
            <w:pPr>
              <w:spacing w:after="0"/>
              <w:rPr>
                <w:sz w:val="14"/>
                <w:szCs w:val="14"/>
                <w:color w:val="auto"/>
              </w:rPr>
            </w:pPr>
          </w:p>
        </w:tc>
      </w:tr>
      <w:tr>
        <w:trPr>
          <w:trHeight w:val="162"/>
        </w:trPr>
        <w:tc>
          <w:tcPr>
            <w:tcW w:w="860" w:type="dxa"/>
            <w:vAlign w:val="bottom"/>
            <w:tcBorders>
              <w:left w:val="single" w:sz="8" w:color="2D53A6"/>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 Outstanding and</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in Prior</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that Failed to</w:t>
            </w:r>
          </w:p>
        </w:tc>
        <w:tc>
          <w:tcPr>
            <w:tcW w:w="1340" w:type="dxa"/>
            <w:vAlign w:val="bottom"/>
            <w:tcBorders>
              <w:right w:val="single" w:sz="8" w:color="2D53A6"/>
            </w:tcBorders>
            <w:shd w:val="clear" w:color="auto" w:fill="2D53A6"/>
          </w:tcPr>
          <w:p>
            <w:pPr>
              <w:spacing w:after="0"/>
              <w:rPr>
                <w:sz w:val="14"/>
                <w:szCs w:val="14"/>
                <w:color w:val="auto"/>
              </w:rPr>
            </w:pPr>
          </w:p>
        </w:tc>
      </w:tr>
      <w:tr>
        <w:trPr>
          <w:trHeight w:val="162"/>
        </w:trPr>
        <w:tc>
          <w:tcPr>
            <w:tcW w:w="860" w:type="dxa"/>
            <w:vAlign w:val="bottom"/>
            <w:tcBorders>
              <w:left w:val="single" w:sz="8" w:color="2D53A6"/>
              <w:right w:val="single" w:sz="8" w:color="2D53A6"/>
            </w:tcBorders>
            <w:shd w:val="clear" w:color="auto" w:fill="2D53A6"/>
          </w:tcPr>
          <w:p>
            <w:pPr>
              <w:spacing w:after="0"/>
              <w:rPr>
                <w:sz w:val="14"/>
                <w:szCs w:val="14"/>
                <w:color w:val="auto"/>
              </w:rPr>
            </w:pP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End Fair Value of</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Unvested Equity</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 Vested</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Years that Vested in</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Meet Vesting Conditions</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Equity Award</w:t>
            </w:r>
          </w:p>
        </w:tc>
      </w:tr>
      <w:tr>
        <w:trPr>
          <w:trHeight w:val="171"/>
        </w:trPr>
        <w:tc>
          <w:tcPr>
            <w:tcW w:w="860" w:type="dxa"/>
            <w:vAlign w:val="bottom"/>
            <w:tcBorders>
              <w:left w:val="single" w:sz="8" w:color="2D53A6"/>
              <w:right w:val="single" w:sz="8" w:color="2D53A6"/>
            </w:tcBorders>
            <w:shd w:val="clear" w:color="auto" w:fill="2D53A6"/>
          </w:tcPr>
          <w:p>
            <w:pPr>
              <w:ind w:left="280"/>
              <w:spacing w:after="0"/>
              <w:rPr>
                <w:sz w:val="20"/>
                <w:szCs w:val="20"/>
                <w:color w:val="auto"/>
              </w:rPr>
            </w:pPr>
            <w:r>
              <w:rPr>
                <w:rFonts w:ascii="Arial" w:cs="Arial" w:eastAsia="Arial" w:hAnsi="Arial"/>
                <w:sz w:val="14"/>
                <w:szCs w:val="14"/>
                <w:b w:val="1"/>
                <w:bCs w:val="1"/>
                <w:color w:val="FFFFFF"/>
              </w:rPr>
              <w:t>Year</w:t>
            </w: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the 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the Year</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75"/>
        </w:trPr>
        <w:tc>
          <w:tcPr>
            <w:tcW w:w="860" w:type="dxa"/>
            <w:vAlign w:val="bottom"/>
            <w:tcBorders>
              <w:left w:val="single" w:sz="8" w:color="2D53A6"/>
              <w:right w:val="single" w:sz="8" w:color="2D53A6"/>
            </w:tcBorders>
            <w:shd w:val="clear" w:color="auto" w:fill="2D53A6"/>
          </w:tcPr>
          <w:p>
            <w:pPr>
              <w:spacing w:after="0"/>
              <w:rPr>
                <w:sz w:val="15"/>
                <w:szCs w:val="15"/>
                <w:color w:val="auto"/>
              </w:rPr>
            </w:pPr>
          </w:p>
        </w:tc>
        <w:tc>
          <w:tcPr>
            <w:tcW w:w="1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860" w:type="dxa"/>
            <w:vAlign w:val="bottom"/>
            <w:tcBorders>
              <w:left w:val="single" w:sz="8" w:color="2D53A6"/>
              <w:bottom w:val="single" w:sz="8" w:color="2D53A6"/>
              <w:right w:val="single" w:sz="8" w:color="2D53A6"/>
            </w:tcBorders>
          </w:tcPr>
          <w:p>
            <w:pPr>
              <w:ind w:left="260"/>
              <w:spacing w:after="0"/>
              <w:rPr>
                <w:sz w:val="20"/>
                <w:szCs w:val="20"/>
                <w:color w:val="auto"/>
              </w:rPr>
            </w:pPr>
            <w:r>
              <w:rPr>
                <w:rFonts w:ascii="Arial" w:cs="Arial" w:eastAsia="Arial" w:hAnsi="Arial"/>
                <w:sz w:val="14"/>
                <w:szCs w:val="14"/>
                <w:color w:val="auto"/>
              </w:rPr>
              <w:t>2023</w:t>
            </w:r>
          </w:p>
        </w:tc>
        <w:tc>
          <w:tcPr>
            <w:tcW w:w="152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391,724</w:t>
            </w:r>
          </w:p>
        </w:tc>
        <w:tc>
          <w:tcPr>
            <w:tcW w:w="15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46,783</w:t>
            </w:r>
          </w:p>
        </w:tc>
        <w:tc>
          <w:tcPr>
            <w:tcW w:w="15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357,261</w:t>
            </w:r>
          </w:p>
        </w:tc>
        <w:tc>
          <w:tcPr>
            <w:tcW w:w="16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795,768</w:t>
            </w:r>
          </w:p>
        </w:tc>
      </w:tr>
      <w:tr>
        <w:trPr>
          <w:trHeight w:val="155"/>
        </w:trPr>
        <w:tc>
          <w:tcPr>
            <w:tcW w:w="860" w:type="dxa"/>
            <w:vAlign w:val="bottom"/>
            <w:tcBorders>
              <w:left w:val="single" w:sz="8" w:color="2D53A6"/>
              <w:bottom w:val="single" w:sz="8" w:color="2D53A6"/>
              <w:right w:val="single" w:sz="8" w:color="2D53A6"/>
            </w:tcBorders>
            <w:shd w:val="clear" w:color="auto" w:fill="E6E6E6"/>
          </w:tcPr>
          <w:p>
            <w:pPr>
              <w:ind w:left="260"/>
              <w:spacing w:after="0" w:line="155" w:lineRule="exact"/>
              <w:rPr>
                <w:sz w:val="20"/>
                <w:szCs w:val="20"/>
                <w:color w:val="auto"/>
              </w:rPr>
            </w:pPr>
            <w:r>
              <w:rPr>
                <w:rFonts w:ascii="Arial" w:cs="Arial" w:eastAsia="Arial" w:hAnsi="Arial"/>
                <w:sz w:val="14"/>
                <w:szCs w:val="14"/>
                <w:color w:val="auto"/>
              </w:rPr>
              <w:t>2022</w:t>
            </w:r>
          </w:p>
        </w:tc>
        <w:tc>
          <w:tcPr>
            <w:tcW w:w="152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873,864</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(61,393)</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(1,846)</w:t>
            </w:r>
          </w:p>
        </w:tc>
        <w:tc>
          <w:tcPr>
            <w:tcW w:w="16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(115,343)</w:t>
            </w:r>
          </w:p>
        </w:tc>
        <w:tc>
          <w:tcPr>
            <w:tcW w:w="13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695,282</w:t>
            </w:r>
          </w:p>
        </w:tc>
      </w:tr>
      <w:tr>
        <w:trPr>
          <w:trHeight w:val="156"/>
        </w:trPr>
        <w:tc>
          <w:tcPr>
            <w:tcW w:w="860" w:type="dxa"/>
            <w:vAlign w:val="bottom"/>
            <w:tcBorders>
              <w:left w:val="single" w:sz="8" w:color="2D53A6"/>
              <w:bottom w:val="single" w:sz="8" w:color="2D53A6"/>
              <w:right w:val="single" w:sz="8" w:color="2D53A6"/>
            </w:tcBorders>
          </w:tcPr>
          <w:p>
            <w:pPr>
              <w:ind w:left="260"/>
              <w:spacing w:after="0" w:line="155" w:lineRule="exact"/>
              <w:rPr>
                <w:sz w:val="20"/>
                <w:szCs w:val="20"/>
                <w:color w:val="auto"/>
              </w:rPr>
            </w:pPr>
            <w:r>
              <w:rPr>
                <w:rFonts w:ascii="Arial" w:cs="Arial" w:eastAsia="Arial" w:hAnsi="Arial"/>
                <w:sz w:val="14"/>
                <w:szCs w:val="14"/>
                <w:color w:val="auto"/>
              </w:rPr>
              <w:t>2021</w:t>
            </w:r>
          </w:p>
        </w:tc>
        <w:tc>
          <w:tcPr>
            <w:tcW w:w="152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507,725</w:t>
            </w:r>
          </w:p>
        </w:tc>
        <w:tc>
          <w:tcPr>
            <w:tcW w:w="15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(695,566)</w:t>
            </w:r>
          </w:p>
        </w:tc>
        <w:tc>
          <w:tcPr>
            <w:tcW w:w="15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35,734</w:t>
            </w:r>
          </w:p>
        </w:tc>
        <w:tc>
          <w:tcPr>
            <w:tcW w:w="16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(152,107)</w:t>
            </w:r>
          </w:p>
        </w:tc>
      </w:tr>
      <w:tr>
        <w:trPr>
          <w:trHeight w:val="156"/>
        </w:trPr>
        <w:tc>
          <w:tcPr>
            <w:tcW w:w="860" w:type="dxa"/>
            <w:vAlign w:val="bottom"/>
            <w:tcBorders>
              <w:left w:val="single" w:sz="8" w:color="2D53A6"/>
              <w:bottom w:val="single" w:sz="8" w:color="2D53A6"/>
              <w:right w:val="single" w:sz="8" w:color="2D53A6"/>
            </w:tcBorders>
            <w:shd w:val="clear" w:color="auto" w:fill="E6E6E6"/>
          </w:tcPr>
          <w:p>
            <w:pPr>
              <w:ind w:left="260"/>
              <w:spacing w:after="0" w:line="155" w:lineRule="exact"/>
              <w:rPr>
                <w:sz w:val="20"/>
                <w:szCs w:val="20"/>
                <w:color w:val="auto"/>
              </w:rPr>
            </w:pPr>
            <w:r>
              <w:rPr>
                <w:rFonts w:ascii="Arial" w:cs="Arial" w:eastAsia="Arial" w:hAnsi="Arial"/>
                <w:sz w:val="14"/>
                <w:szCs w:val="14"/>
                <w:color w:val="auto"/>
              </w:rPr>
              <w:t>2020</w:t>
            </w:r>
          </w:p>
        </w:tc>
        <w:tc>
          <w:tcPr>
            <w:tcW w:w="152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1,653,794</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967,413</w:t>
            </w:r>
          </w:p>
        </w:tc>
        <w:tc>
          <w:tcPr>
            <w:tcW w:w="15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(96,793)</w:t>
            </w:r>
          </w:p>
        </w:tc>
        <w:tc>
          <w:tcPr>
            <w:tcW w:w="16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(32,097)</w:t>
            </w:r>
          </w:p>
        </w:tc>
        <w:tc>
          <w:tcPr>
            <w:tcW w:w="13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2,492,317</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Tabular List of Financial Performance Measures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shareholders.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spacing w:after="0" w:line="163" w:lineRule="exact"/>
        <w:rPr>
          <w:sz w:val="20"/>
          <w:szCs w:val="20"/>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Total Stockholder Return (RTSR) of Cohu stock versus the Russel 2000 Index</w:t>
      </w:r>
    </w:p>
    <w:p>
      <w:pPr>
        <w:spacing w:after="0" w:line="13"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Non-GAAP Pretax Income</w:t>
      </w: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Four-year Rolling Sales Growth</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of Financial Performance Measures to Compensation Actually Paid</w:t>
      </w:r>
    </w:p>
    <w:p>
      <w:pPr>
        <w:spacing w:after="0" w:line="202"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spacing w:after="0" w:line="16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2023, we are illustrating both the historical Peer Group Index Cumulative TSR and the current Peer Group Index Cumulative TSR. Cohu’s Cumulative TSR (calculated assuming a $100 investment in Cohu’s common stock, on December 29, 2019) has outperformed our current peer group for two of the four years being compared. There does not appear to be a direct correlation between the performance of Cumulative TSR to CAP as discussed above.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137160</wp:posOffset>
            </wp:positionV>
            <wp:extent cx="6026150" cy="3522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2615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Cohu does not use GAAP Net Income in determining compensation paid to any of our CEO and other NEOs. This data is reported to comply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100965</wp:posOffset>
            </wp:positionV>
            <wp:extent cx="5897880" cy="3248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9788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Cohu uses its results in non-GAAP pretax income to determine 70% of the compensation earned under the STI plan as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sectPr>
          <w:pgSz w:w="11900" w:h="16838" w:orient="portrait"/>
          <w:cols w:equalWidth="0" w:num="1">
            <w:col w:w="11180"/>
          </w:cols>
          <w:pgMar w:left="320" w:top="122" w:right="399" w:bottom="1440" w:gutter="0" w:footer="0" w:header="0"/>
        </w:sectPr>
      </w:pP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300355</wp:posOffset>
            </wp:positionV>
            <wp:extent cx="6060440" cy="3248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044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CEO Pay Ratio</w:t>
      </w:r>
    </w:p>
    <w:p>
      <w:pPr>
        <w:spacing w:after="0" w:line="202"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As required by Item 402(u) of Regulation S-K, we are providing the following information about the relationship of the annual total compensation of our employees and the annual total compensation of Dr. Luis Müller, our CEO.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2023, our last completed fiscal year:</w:t>
      </w:r>
    </w:p>
    <w:p>
      <w:pPr>
        <w:spacing w:after="0" w:line="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$26,748; and</w:t>
      </w:r>
    </w:p>
    <w:p>
      <w:pPr>
        <w:ind w:left="660" w:right="40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$6,536,607.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746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372" w:lineRule="exact"/>
        <w:rPr>
          <w:sz w:val="20"/>
          <w:szCs w:val="20"/>
          <w:color w:val="auto"/>
        </w:rPr>
      </w:pPr>
    </w:p>
    <w:p>
      <w:pPr>
        <w:jc w:val="center"/>
        <w:ind w:right="20"/>
        <w:spacing w:after="0" w:line="251" w:lineRule="auto"/>
        <w:rPr>
          <w:sz w:val="20"/>
          <w:szCs w:val="20"/>
          <w:color w:val="auto"/>
        </w:rPr>
      </w:pPr>
      <w:r>
        <w:rPr>
          <w:rFonts w:ascii="Arial" w:cs="Arial" w:eastAsia="Arial" w:hAnsi="Arial"/>
          <w:sz w:val="22"/>
          <w:szCs w:val="22"/>
          <w:b w:val="1"/>
          <w:bCs w:val="1"/>
          <w:color w:val="FFFFFF"/>
        </w:rPr>
        <w:t>Based on this information, for 2023 the ratio of the annual total compensation of Dr. Müller, our CEO, to the median of the annual total compensation of all our employees was 244 to 1.</w:t>
      </w:r>
    </w:p>
    <w:p>
      <w:pPr>
        <w:spacing w:after="0" w:line="35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To identify the median compensated employee in 2022, we determined that, as of November 1, 2022, our employee population consisted of approximately 3,140 individuals globally, with 20% of these individuals located in the Americas (primarily in the U.S.), 13% located in Europe (primarily in Germany and Switzerland), and 67% located in Asia (primarily in Malaysia and the Philippines). For the purposes of establishing the median total compensation of all employees in 2023, we determined that the balance of the global workforce remained substantially similar to 2022 and therefore, as allowed under applicable SEC rules, for 2023 we used the same median compensated employee as we had identified in 2022.</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selected November 1, 2022, which is within the last three months of 2022,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2022 compensation (actual compensation paid January through October 2022 plus estimated compensation for November through December 2022)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ectPr>
          <w:pgSz w:w="11900" w:h="16838" w:orient="portrait"/>
          <w:cols w:equalWidth="0" w:num="1">
            <w:col w:w="11220"/>
          </w:cols>
          <w:pgMar w:left="320" w:top="122" w:right="35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Using this methodology, we determined that the “median employee” was a full-time, salaried employee located in Malaysia. The median employee’s actual annual total compensation for the 12-month period ending December 31, 2023, was $26,748. This amount includes all wages, overtime pay, statutory and variable incentive payments, allowances and localized personal benefits converted to U.S. Dollars. The 2023 compensation for the median employee was higher than in 2022 when evaluated in local currency although the calculation for the CEO pay ratio analysis shows a lower compensation level in U.S. Dollars.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Grants of Plan-Based Awards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table shows all plan-based awards granted to our NEOs during fiscal year 2023, which ended on December 30, 2023. The stock awards identified in the table below are also reported in the “Outstanding Equity Awards on December 30, 2023” table included herein. Cohu did not grant any stock options to NEOs under the 2005 Plan in fiscal year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Borders>
              <w:right w:val="single" w:sz="8" w:color="2D53A6"/>
            </w:tcBorders>
            <w:shd w:val="clear" w:color="auto" w:fill="2D53A6"/>
          </w:tcPr>
          <w:p>
            <w:pPr>
              <w:spacing w:after="0"/>
              <w:rPr>
                <w:sz w:val="14"/>
                <w:szCs w:val="14"/>
                <w:color w:val="auto"/>
              </w:rPr>
            </w:pPr>
          </w:p>
        </w:tc>
        <w:tc>
          <w:tcPr>
            <w:tcW w:w="2140" w:type="dxa"/>
            <w:vAlign w:val="bottom"/>
            <w:tcBorders>
              <w:right w:val="single" w:sz="8" w:color="2D53A6"/>
            </w:tcBorders>
            <w:shd w:val="clear" w:color="auto" w:fill="2D53A6"/>
          </w:tcPr>
          <w:p>
            <w:pPr>
              <w:spacing w:after="0"/>
              <w:rPr>
                <w:sz w:val="14"/>
                <w:szCs w:val="14"/>
                <w:color w:val="auto"/>
              </w:rPr>
            </w:pPr>
          </w:p>
        </w:tc>
        <w:tc>
          <w:tcPr>
            <w:tcW w:w="3680" w:type="dxa"/>
            <w:vAlign w:val="bottom"/>
            <w:tcBorders>
              <w:right w:val="single" w:sz="8" w:color="2D53A6"/>
            </w:tcBorders>
            <w:gridSpan w:val="4"/>
            <w:vMerge w:val="restart"/>
            <w:shd w:val="clear" w:color="auto" w:fill="2D53A6"/>
          </w:tcPr>
          <w:p>
            <w:pPr>
              <w:jc w:val="right"/>
              <w:ind w:right="668"/>
              <w:spacing w:after="0"/>
              <w:rPr>
                <w:sz w:val="20"/>
                <w:szCs w:val="20"/>
                <w:color w:val="auto"/>
              </w:rPr>
            </w:pPr>
            <w:r>
              <w:rPr>
                <w:rFonts w:ascii="Arial" w:cs="Arial" w:eastAsia="Arial" w:hAnsi="Arial"/>
                <w:sz w:val="14"/>
                <w:szCs w:val="14"/>
                <w:b w:val="1"/>
                <w:bCs w:val="1"/>
                <w:color w:val="FFFFFF"/>
              </w:rPr>
              <w:t>Estimated Future Payouts Under</w:t>
            </w:r>
          </w:p>
        </w:tc>
        <w:tc>
          <w:tcPr>
            <w:tcW w:w="2500" w:type="dxa"/>
            <w:vAlign w:val="bottom"/>
            <w:tcBorders>
              <w:right w:val="single" w:sz="8" w:color="2D53A6"/>
            </w:tcBorders>
            <w:gridSpan w:val="4"/>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8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20" w:type="dxa"/>
            <w:vAlign w:val="bottom"/>
            <w:tcBorders>
              <w:right w:val="single" w:sz="8" w:color="2D53A6"/>
            </w:tcBorders>
            <w:shd w:val="clear" w:color="auto" w:fill="2D53A6"/>
          </w:tcPr>
          <w:p>
            <w:pPr>
              <w:spacing w:after="0"/>
              <w:rPr>
                <w:sz w:val="5"/>
                <w:szCs w:val="5"/>
                <w:color w:val="auto"/>
              </w:rPr>
            </w:pPr>
          </w:p>
        </w:tc>
        <w:tc>
          <w:tcPr>
            <w:tcW w:w="2140" w:type="dxa"/>
            <w:vAlign w:val="bottom"/>
            <w:tcBorders>
              <w:right w:val="single" w:sz="8" w:color="2D53A6"/>
            </w:tcBorders>
            <w:shd w:val="clear" w:color="auto" w:fill="2D53A6"/>
          </w:tcPr>
          <w:p>
            <w:pPr>
              <w:spacing w:after="0"/>
              <w:rPr>
                <w:sz w:val="5"/>
                <w:szCs w:val="5"/>
                <w:color w:val="auto"/>
              </w:rPr>
            </w:pPr>
          </w:p>
        </w:tc>
        <w:tc>
          <w:tcPr>
            <w:tcW w:w="3680" w:type="dxa"/>
            <w:vAlign w:val="bottom"/>
            <w:tcBorders>
              <w:right w:val="single" w:sz="8" w:color="2D53A6"/>
            </w:tcBorders>
            <w:gridSpan w:val="4"/>
            <w:vMerge w:val="continue"/>
            <w:shd w:val="clear" w:color="auto" w:fill="2D53A6"/>
          </w:tcPr>
          <w:p>
            <w:pPr>
              <w:spacing w:after="0"/>
              <w:rPr>
                <w:sz w:val="5"/>
                <w:szCs w:val="5"/>
                <w:color w:val="auto"/>
              </w:rPr>
            </w:pPr>
          </w:p>
        </w:tc>
        <w:tc>
          <w:tcPr>
            <w:tcW w:w="2500" w:type="dxa"/>
            <w:vAlign w:val="bottom"/>
            <w:tcBorders>
              <w:right w:val="single" w:sz="8" w:color="2D53A6"/>
            </w:tcBorders>
            <w:gridSpan w:val="4"/>
            <w:vMerge w:val="continue"/>
            <w:shd w:val="clear" w:color="auto" w:fill="2D53A6"/>
          </w:tcPr>
          <w:p>
            <w:pPr>
              <w:spacing w:after="0"/>
              <w:rPr>
                <w:sz w:val="5"/>
                <w:szCs w:val="5"/>
                <w:color w:val="auto"/>
              </w:rPr>
            </w:pPr>
          </w:p>
        </w:tc>
        <w:tc>
          <w:tcPr>
            <w:tcW w:w="840" w:type="dxa"/>
            <w:vAlign w:val="bottom"/>
            <w:tcBorders>
              <w:right w:val="single" w:sz="8" w:color="2D53A6"/>
            </w:tcBorders>
            <w:vMerge w:val="restart"/>
            <w:shd w:val="clear" w:color="auto" w:fill="2D53A6"/>
          </w:tcPr>
          <w:p>
            <w:pPr>
              <w:jc w:val="center"/>
              <w:spacing w:after="0" w:line="145" w:lineRule="exact"/>
              <w:rPr>
                <w:sz w:val="20"/>
                <w:szCs w:val="20"/>
                <w:color w:val="auto"/>
              </w:rPr>
            </w:pPr>
            <w:r>
              <w:rPr>
                <w:rFonts w:ascii="Arial" w:cs="Arial" w:eastAsia="Arial" w:hAnsi="Arial"/>
                <w:sz w:val="14"/>
                <w:szCs w:val="14"/>
                <w:b w:val="1"/>
                <w:bCs w:val="1"/>
                <w:color w:val="FFFFFF"/>
                <w:w w:val="99"/>
              </w:rPr>
              <w:t>Stock</w:t>
            </w:r>
          </w:p>
        </w:tc>
        <w:tc>
          <w:tcPr>
            <w:tcW w:w="860" w:type="dxa"/>
            <w:vAlign w:val="bottom"/>
            <w:tcBorders>
              <w:right w:val="single" w:sz="8" w:color="2D53A6"/>
            </w:tcBorders>
            <w:vMerge w:val="restart"/>
            <w:shd w:val="clear" w:color="auto" w:fill="2D53A6"/>
          </w:tcPr>
          <w:p>
            <w:pPr>
              <w:jc w:val="center"/>
              <w:spacing w:after="0" w:line="145" w:lineRule="exact"/>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78"/>
        </w:trPr>
        <w:tc>
          <w:tcPr>
            <w:tcW w:w="1220" w:type="dxa"/>
            <w:vAlign w:val="bottom"/>
            <w:tcBorders>
              <w:right w:val="single" w:sz="8" w:color="2D53A6"/>
            </w:tcBorders>
            <w:shd w:val="clear" w:color="auto" w:fill="2D53A6"/>
          </w:tcPr>
          <w:p>
            <w:pPr>
              <w:spacing w:after="0"/>
              <w:rPr>
                <w:sz w:val="6"/>
                <w:szCs w:val="6"/>
                <w:color w:val="auto"/>
              </w:rPr>
            </w:pPr>
          </w:p>
        </w:tc>
        <w:tc>
          <w:tcPr>
            <w:tcW w:w="2140" w:type="dxa"/>
            <w:vAlign w:val="bottom"/>
            <w:tcBorders>
              <w:right w:val="single" w:sz="8" w:color="2D53A6"/>
            </w:tcBorders>
            <w:shd w:val="clear" w:color="auto" w:fill="2D53A6"/>
          </w:tcPr>
          <w:p>
            <w:pPr>
              <w:spacing w:after="0"/>
              <w:rPr>
                <w:sz w:val="6"/>
                <w:szCs w:val="6"/>
                <w:color w:val="auto"/>
              </w:rPr>
            </w:pPr>
          </w:p>
        </w:tc>
        <w:tc>
          <w:tcPr>
            <w:tcW w:w="3680" w:type="dxa"/>
            <w:vAlign w:val="bottom"/>
            <w:tcBorders>
              <w:right w:val="single" w:sz="8" w:color="2D53A6"/>
            </w:tcBorders>
            <w:gridSpan w:val="4"/>
            <w:vMerge w:val="continue"/>
            <w:shd w:val="clear" w:color="auto" w:fill="2D53A6"/>
          </w:tcPr>
          <w:p>
            <w:pPr>
              <w:spacing w:after="0"/>
              <w:rPr>
                <w:sz w:val="6"/>
                <w:szCs w:val="6"/>
                <w:color w:val="auto"/>
              </w:rPr>
            </w:pPr>
          </w:p>
        </w:tc>
        <w:tc>
          <w:tcPr>
            <w:tcW w:w="2500" w:type="dxa"/>
            <w:vAlign w:val="bottom"/>
            <w:tcBorders>
              <w:right w:val="single" w:sz="8" w:color="2D53A6"/>
            </w:tcBorders>
            <w:gridSpan w:val="4"/>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Under Equity Incentive Plan</w:t>
            </w:r>
          </w:p>
        </w:tc>
        <w:tc>
          <w:tcPr>
            <w:tcW w:w="840" w:type="dxa"/>
            <w:vAlign w:val="bottom"/>
            <w:tcBorders>
              <w:right w:val="single" w:sz="8" w:color="2D53A6"/>
            </w:tcBorders>
            <w:vMerge w:val="continue"/>
            <w:shd w:val="clear" w:color="auto" w:fill="2D53A6"/>
          </w:tcPr>
          <w:p>
            <w:pPr>
              <w:spacing w:after="0"/>
              <w:rPr>
                <w:sz w:val="6"/>
                <w:szCs w:val="6"/>
                <w:color w:val="auto"/>
              </w:rPr>
            </w:pPr>
          </w:p>
        </w:tc>
        <w:tc>
          <w:tcPr>
            <w:tcW w:w="8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220" w:type="dxa"/>
            <w:vAlign w:val="bottom"/>
            <w:tcBorders>
              <w:right w:val="single" w:sz="8" w:color="2D53A6"/>
            </w:tcBorders>
            <w:shd w:val="clear" w:color="auto" w:fill="2D53A6"/>
          </w:tcPr>
          <w:p>
            <w:pPr>
              <w:spacing w:after="0"/>
              <w:rPr>
                <w:sz w:val="7"/>
                <w:szCs w:val="7"/>
                <w:color w:val="auto"/>
              </w:rPr>
            </w:pPr>
          </w:p>
        </w:tc>
        <w:tc>
          <w:tcPr>
            <w:tcW w:w="2140" w:type="dxa"/>
            <w:vAlign w:val="bottom"/>
            <w:tcBorders>
              <w:right w:val="single" w:sz="8" w:color="2D53A6"/>
            </w:tcBorders>
            <w:shd w:val="clear" w:color="auto" w:fill="2D53A6"/>
          </w:tcPr>
          <w:p>
            <w:pPr>
              <w:spacing w:after="0"/>
              <w:rPr>
                <w:sz w:val="7"/>
                <w:szCs w:val="7"/>
                <w:color w:val="auto"/>
              </w:rPr>
            </w:pPr>
          </w:p>
        </w:tc>
        <w:tc>
          <w:tcPr>
            <w:tcW w:w="3680" w:type="dxa"/>
            <w:vAlign w:val="bottom"/>
            <w:tcBorders>
              <w:right w:val="single" w:sz="8" w:color="2D53A6"/>
            </w:tcBorders>
            <w:gridSpan w:val="4"/>
            <w:vMerge w:val="restart"/>
            <w:shd w:val="clear" w:color="auto" w:fill="2D53A6"/>
          </w:tcPr>
          <w:p>
            <w:pPr>
              <w:jc w:val="right"/>
              <w:ind w:right="508"/>
              <w:spacing w:after="0" w:line="179" w:lineRule="exact"/>
              <w:rPr>
                <w:sz w:val="20"/>
                <w:szCs w:val="20"/>
                <w:color w:val="auto"/>
              </w:rPr>
            </w:pPr>
            <w:r>
              <w:rPr>
                <w:rFonts w:ascii="Arial" w:cs="Arial" w:eastAsia="Arial" w:hAnsi="Arial"/>
                <w:sz w:val="13"/>
                <w:szCs w:val="13"/>
                <w:b w:val="1"/>
                <w:bCs w:val="1"/>
                <w:color w:val="FFFFFF"/>
              </w:rPr>
              <w:t xml:space="preserve">Non-Equity Incentive Plan Awards </w:t>
            </w:r>
            <w:r>
              <w:rPr>
                <w:rFonts w:ascii="Arial" w:cs="Arial" w:eastAsia="Arial" w:hAnsi="Arial"/>
                <w:sz w:val="20"/>
                <w:szCs w:val="20"/>
                <w:b w:val="1"/>
                <w:bCs w:val="1"/>
                <w:color w:val="FFFFFF"/>
                <w:vertAlign w:val="superscript"/>
              </w:rPr>
              <w:t>(1)</w:t>
            </w:r>
          </w:p>
        </w:tc>
        <w:tc>
          <w:tcPr>
            <w:tcW w:w="2500" w:type="dxa"/>
            <w:vAlign w:val="bottom"/>
            <w:tcBorders>
              <w:right w:val="single" w:sz="8" w:color="2D53A6"/>
            </w:tcBorders>
            <w:gridSpan w:val="4"/>
            <w:vMerge w:val="continue"/>
            <w:shd w:val="clear" w:color="auto" w:fill="2D53A6"/>
          </w:tcPr>
          <w:p>
            <w:pPr>
              <w:spacing w:after="0"/>
              <w:rPr>
                <w:sz w:val="7"/>
                <w:szCs w:val="7"/>
                <w:color w:val="auto"/>
              </w:rPr>
            </w:pPr>
          </w:p>
        </w:tc>
        <w:tc>
          <w:tcPr>
            <w:tcW w:w="8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98"/>
        </w:trPr>
        <w:tc>
          <w:tcPr>
            <w:tcW w:w="1220" w:type="dxa"/>
            <w:vAlign w:val="bottom"/>
            <w:tcBorders>
              <w:right w:val="single" w:sz="8" w:color="2D53A6"/>
            </w:tcBorders>
            <w:shd w:val="clear" w:color="auto" w:fill="2D53A6"/>
          </w:tcPr>
          <w:p>
            <w:pPr>
              <w:spacing w:after="0"/>
              <w:rPr>
                <w:sz w:val="8"/>
                <w:szCs w:val="8"/>
                <w:color w:val="auto"/>
              </w:rPr>
            </w:pPr>
          </w:p>
        </w:tc>
        <w:tc>
          <w:tcPr>
            <w:tcW w:w="2140" w:type="dxa"/>
            <w:vAlign w:val="bottom"/>
            <w:tcBorders>
              <w:right w:val="single" w:sz="8" w:color="2D53A6"/>
            </w:tcBorders>
            <w:shd w:val="clear" w:color="auto" w:fill="2D53A6"/>
          </w:tcPr>
          <w:p>
            <w:pPr>
              <w:spacing w:after="0"/>
              <w:rPr>
                <w:sz w:val="8"/>
                <w:szCs w:val="8"/>
                <w:color w:val="auto"/>
              </w:rPr>
            </w:pPr>
          </w:p>
        </w:tc>
        <w:tc>
          <w:tcPr>
            <w:tcW w:w="3680" w:type="dxa"/>
            <w:vAlign w:val="bottom"/>
            <w:tcBorders>
              <w:right w:val="single" w:sz="8" w:color="2D53A6"/>
            </w:tcBorders>
            <w:gridSpan w:val="4"/>
            <w:vMerge w:val="continue"/>
            <w:shd w:val="clear" w:color="auto" w:fill="2D53A6"/>
          </w:tcPr>
          <w:p>
            <w:pPr>
              <w:spacing w:after="0"/>
              <w:rPr>
                <w:sz w:val="8"/>
                <w:szCs w:val="8"/>
                <w:color w:val="auto"/>
              </w:rPr>
            </w:pPr>
          </w:p>
        </w:tc>
        <w:tc>
          <w:tcPr>
            <w:tcW w:w="780" w:type="dxa"/>
            <w:vAlign w:val="bottom"/>
            <w:tcBorders>
              <w:right w:val="single" w:sz="8" w:color="2D53A6"/>
            </w:tcBorders>
            <w:shd w:val="clear" w:color="auto" w:fill="2D53A6"/>
          </w:tcPr>
          <w:p>
            <w:pPr>
              <w:spacing w:after="0"/>
              <w:rPr>
                <w:sz w:val="8"/>
                <w:szCs w:val="8"/>
                <w:color w:val="auto"/>
              </w:rPr>
            </w:pPr>
          </w:p>
        </w:tc>
        <w:tc>
          <w:tcPr>
            <w:tcW w:w="940" w:type="dxa"/>
            <w:vAlign w:val="bottom"/>
            <w:gridSpan w:val="2"/>
            <w:vMerge w:val="restart"/>
            <w:shd w:val="clear" w:color="auto" w:fill="2D53A6"/>
          </w:tcPr>
          <w:p>
            <w:pPr>
              <w:jc w:val="center"/>
              <w:spacing w:after="0" w:line="242" w:lineRule="exact"/>
              <w:rPr>
                <w:sz w:val="20"/>
                <w:szCs w:val="20"/>
                <w:color w:val="auto"/>
              </w:rPr>
            </w:pPr>
            <w:r>
              <w:rPr>
                <w:rFonts w:ascii="Arial" w:cs="Arial" w:eastAsia="Arial" w:hAnsi="Arial"/>
                <w:sz w:val="14"/>
                <w:szCs w:val="14"/>
                <w:b w:val="1"/>
                <w:bCs w:val="1"/>
                <w:color w:val="FFFFFF"/>
                <w:w w:val="95"/>
              </w:rPr>
              <w:t xml:space="preserve">Awards </w:t>
            </w:r>
            <w:r>
              <w:rPr>
                <w:rFonts w:ascii="Arial" w:cs="Arial" w:eastAsia="Arial" w:hAnsi="Arial"/>
                <w:sz w:val="23"/>
                <w:szCs w:val="23"/>
                <w:b w:val="1"/>
                <w:bCs w:val="1"/>
                <w:color w:val="FFFFFF"/>
                <w:w w:val="95"/>
                <w:vertAlign w:val="superscript"/>
              </w:rPr>
              <w:t>(2)</w:t>
            </w:r>
          </w:p>
        </w:tc>
        <w:tc>
          <w:tcPr>
            <w:tcW w:w="780" w:type="dxa"/>
            <w:vAlign w:val="bottom"/>
            <w:tcBorders>
              <w:right w:val="single" w:sz="8" w:color="2D53A6"/>
            </w:tcBorders>
            <w:shd w:val="clear" w:color="auto" w:fill="2D53A6"/>
          </w:tcPr>
          <w:p>
            <w:pPr>
              <w:spacing w:after="0"/>
              <w:rPr>
                <w:sz w:val="8"/>
                <w:szCs w:val="8"/>
                <w:color w:val="auto"/>
              </w:rPr>
            </w:pPr>
          </w:p>
        </w:tc>
        <w:tc>
          <w:tcPr>
            <w:tcW w:w="840" w:type="dxa"/>
            <w:vAlign w:val="bottom"/>
            <w:tcBorders>
              <w:right w:val="single" w:sz="8" w:color="2D53A6"/>
            </w:tcBorders>
            <w:vMerge w:val="continue"/>
            <w:shd w:val="clear" w:color="auto" w:fill="2D53A6"/>
          </w:tcPr>
          <w:p>
            <w:pPr>
              <w:spacing w:after="0"/>
              <w:rPr>
                <w:sz w:val="8"/>
                <w:szCs w:val="8"/>
                <w:color w:val="auto"/>
              </w:rPr>
            </w:pPr>
          </w:p>
        </w:tc>
        <w:tc>
          <w:tcPr>
            <w:tcW w:w="860" w:type="dxa"/>
            <w:vAlign w:val="bottom"/>
            <w:tcBorders>
              <w:right w:val="single" w:sz="8" w:color="2D53A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220" w:type="dxa"/>
            <w:vAlign w:val="bottom"/>
            <w:tcBorders>
              <w:right w:val="single" w:sz="8" w:color="2D53A6"/>
            </w:tcBorders>
            <w:shd w:val="clear" w:color="auto" w:fill="2D53A6"/>
          </w:tcPr>
          <w:p>
            <w:pPr>
              <w:spacing w:after="0"/>
              <w:rPr>
                <w:sz w:val="13"/>
                <w:szCs w:val="13"/>
                <w:color w:val="auto"/>
              </w:rPr>
            </w:pPr>
          </w:p>
        </w:tc>
        <w:tc>
          <w:tcPr>
            <w:tcW w:w="2140" w:type="dxa"/>
            <w:vAlign w:val="bottom"/>
            <w:tcBorders>
              <w:right w:val="single" w:sz="8" w:color="2D53A6"/>
            </w:tcBorders>
            <w:shd w:val="clear" w:color="auto" w:fill="2D53A6"/>
          </w:tcPr>
          <w:p>
            <w:pPr>
              <w:spacing w:after="0"/>
              <w:rPr>
                <w:sz w:val="13"/>
                <w:szCs w:val="13"/>
                <w:color w:val="auto"/>
              </w:rPr>
            </w:pPr>
          </w:p>
        </w:tc>
        <w:tc>
          <w:tcPr>
            <w:tcW w:w="1060" w:type="dxa"/>
            <w:vAlign w:val="bottom"/>
            <w:tcBorders>
              <w:right w:val="single" w:sz="8" w:color="2D53A6"/>
            </w:tcBorders>
            <w:shd w:val="clear" w:color="auto" w:fill="2D53A6"/>
          </w:tcPr>
          <w:p>
            <w:pPr>
              <w:spacing w:after="0"/>
              <w:rPr>
                <w:sz w:val="13"/>
                <w:szCs w:val="13"/>
                <w:color w:val="auto"/>
              </w:rPr>
            </w:pPr>
          </w:p>
        </w:tc>
        <w:tc>
          <w:tcPr>
            <w:tcW w:w="760" w:type="dxa"/>
            <w:vAlign w:val="bottom"/>
            <w:tcBorders>
              <w:right w:val="single" w:sz="8" w:color="2D53A6"/>
            </w:tcBorders>
            <w:shd w:val="clear" w:color="auto" w:fill="2D53A6"/>
          </w:tcPr>
          <w:p>
            <w:pPr>
              <w:spacing w:after="0"/>
              <w:rPr>
                <w:sz w:val="13"/>
                <w:szCs w:val="13"/>
                <w:color w:val="auto"/>
              </w:rPr>
            </w:pPr>
          </w:p>
        </w:tc>
        <w:tc>
          <w:tcPr>
            <w:tcW w:w="900" w:type="dxa"/>
            <w:vAlign w:val="bottom"/>
            <w:tcBorders>
              <w:right w:val="single" w:sz="8" w:color="2D53A6"/>
            </w:tcBorders>
            <w:shd w:val="clear" w:color="auto" w:fill="2D53A6"/>
          </w:tcPr>
          <w:p>
            <w:pPr>
              <w:spacing w:after="0"/>
              <w:rPr>
                <w:sz w:val="13"/>
                <w:szCs w:val="13"/>
                <w:color w:val="auto"/>
              </w:rPr>
            </w:pPr>
          </w:p>
        </w:tc>
        <w:tc>
          <w:tcPr>
            <w:tcW w:w="960" w:type="dxa"/>
            <w:vAlign w:val="bottom"/>
            <w:tcBorders>
              <w:right w:val="single" w:sz="8" w:color="2D53A6"/>
            </w:tcBorders>
            <w:shd w:val="clear" w:color="auto" w:fill="2D53A6"/>
          </w:tcPr>
          <w:p>
            <w:pPr>
              <w:spacing w:after="0"/>
              <w:rPr>
                <w:sz w:val="13"/>
                <w:szCs w:val="13"/>
                <w:color w:val="auto"/>
              </w:rPr>
            </w:pPr>
          </w:p>
        </w:tc>
        <w:tc>
          <w:tcPr>
            <w:tcW w:w="780" w:type="dxa"/>
            <w:vAlign w:val="bottom"/>
            <w:tcBorders>
              <w:right w:val="single" w:sz="8" w:color="2D53A6"/>
            </w:tcBorders>
            <w:shd w:val="clear" w:color="auto" w:fill="2D53A6"/>
          </w:tcPr>
          <w:p>
            <w:pPr>
              <w:spacing w:after="0"/>
              <w:rPr>
                <w:sz w:val="13"/>
                <w:szCs w:val="13"/>
                <w:color w:val="auto"/>
              </w:rPr>
            </w:pPr>
          </w:p>
        </w:tc>
        <w:tc>
          <w:tcPr>
            <w:tcW w:w="940" w:type="dxa"/>
            <w:vAlign w:val="bottom"/>
            <w:gridSpan w:val="2"/>
            <w:vMerge w:val="continue"/>
            <w:shd w:val="clear" w:color="auto" w:fill="2D53A6"/>
          </w:tcPr>
          <w:p>
            <w:pPr>
              <w:spacing w:after="0"/>
              <w:rPr>
                <w:sz w:val="13"/>
                <w:szCs w:val="13"/>
                <w:color w:val="auto"/>
              </w:rPr>
            </w:pPr>
          </w:p>
        </w:tc>
        <w:tc>
          <w:tcPr>
            <w:tcW w:w="780" w:type="dxa"/>
            <w:vAlign w:val="bottom"/>
            <w:tcBorders>
              <w:right w:val="single" w:sz="8" w:color="2D53A6"/>
            </w:tcBorders>
            <w:shd w:val="clear" w:color="auto" w:fill="2D53A6"/>
          </w:tcPr>
          <w:p>
            <w:pPr>
              <w:spacing w:after="0"/>
              <w:rPr>
                <w:sz w:val="13"/>
                <w:szCs w:val="13"/>
                <w:color w:val="auto"/>
              </w:rPr>
            </w:pPr>
          </w:p>
        </w:tc>
        <w:tc>
          <w:tcPr>
            <w:tcW w:w="840" w:type="dxa"/>
            <w:vAlign w:val="bottom"/>
            <w:tcBorders>
              <w:right w:val="single" w:sz="8" w:color="2D53A6"/>
            </w:tcBorders>
            <w:shd w:val="clear" w:color="auto" w:fill="2D53A6"/>
          </w:tcPr>
          <w:p>
            <w:pPr>
              <w:jc w:val="center"/>
              <w:spacing w:after="0" w:line="158" w:lineRule="exact"/>
              <w:rPr>
                <w:sz w:val="20"/>
                <w:szCs w:val="20"/>
                <w:color w:val="auto"/>
              </w:rPr>
            </w:pPr>
            <w:r>
              <w:rPr>
                <w:rFonts w:ascii="Arial" w:cs="Arial" w:eastAsia="Arial" w:hAnsi="Arial"/>
                <w:sz w:val="14"/>
                <w:szCs w:val="14"/>
                <w:b w:val="1"/>
                <w:bCs w:val="1"/>
                <w:color w:val="FFFFFF"/>
              </w:rPr>
              <w:t>Number</w:t>
            </w:r>
          </w:p>
        </w:tc>
        <w:tc>
          <w:tcPr>
            <w:tcW w:w="860" w:type="dxa"/>
            <w:vAlign w:val="bottom"/>
            <w:tcBorders>
              <w:right w:val="single" w:sz="8" w:color="2D53A6"/>
            </w:tcBorders>
            <w:shd w:val="clear" w:color="auto" w:fill="2D53A6"/>
          </w:tcPr>
          <w:p>
            <w:pPr>
              <w:jc w:val="center"/>
              <w:spacing w:after="0" w:line="158"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6"/>
        </w:trPr>
        <w:tc>
          <w:tcPr>
            <w:tcW w:w="12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4"/>
                <w:szCs w:val="14"/>
                <w:b w:val="1"/>
                <w:bCs w:val="1"/>
                <w:color w:val="FFFFFF"/>
              </w:rPr>
              <w:t>Named</w:t>
            </w:r>
          </w:p>
        </w:tc>
        <w:tc>
          <w:tcPr>
            <w:tcW w:w="2140" w:type="dxa"/>
            <w:vAlign w:val="bottom"/>
            <w:tcBorders>
              <w:right w:val="single" w:sz="8" w:color="2D53A6"/>
            </w:tcBorders>
            <w:shd w:val="clear" w:color="auto" w:fill="2D53A6"/>
          </w:tcPr>
          <w:p>
            <w:pPr>
              <w:ind w:left="660"/>
              <w:spacing w:after="0"/>
              <w:rPr>
                <w:sz w:val="20"/>
                <w:szCs w:val="20"/>
                <w:color w:val="auto"/>
              </w:rPr>
            </w:pPr>
            <w:r>
              <w:rPr>
                <w:rFonts w:ascii="Arial" w:cs="Arial" w:eastAsia="Arial" w:hAnsi="Arial"/>
                <w:sz w:val="14"/>
                <w:szCs w:val="14"/>
                <w:b w:val="1"/>
                <w:bCs w:val="1"/>
                <w:color w:val="FFFFFF"/>
              </w:rPr>
              <w:t>Award Type</w:t>
            </w:r>
          </w:p>
        </w:tc>
        <w:tc>
          <w:tcPr>
            <w:tcW w:w="1060" w:type="dxa"/>
            <w:vAlign w:val="bottom"/>
            <w:tcBorders>
              <w:right w:val="single" w:sz="8" w:color="2D53A6"/>
            </w:tcBorders>
            <w:shd w:val="clear" w:color="auto" w:fill="2D53A6"/>
          </w:tcPr>
          <w:p>
            <w:pPr>
              <w:spacing w:after="0"/>
              <w:rPr>
                <w:sz w:val="14"/>
                <w:szCs w:val="14"/>
                <w:color w:val="auto"/>
              </w:rPr>
            </w:pPr>
          </w:p>
        </w:tc>
        <w:tc>
          <w:tcPr>
            <w:tcW w:w="760" w:type="dxa"/>
            <w:vAlign w:val="bottom"/>
            <w:tcBorders>
              <w:right w:val="single" w:sz="8" w:color="2D53A6"/>
            </w:tcBorders>
            <w:shd w:val="clear" w:color="auto" w:fill="2D53A6"/>
          </w:tcPr>
          <w:p>
            <w:pPr>
              <w:spacing w:after="0"/>
              <w:rPr>
                <w:sz w:val="14"/>
                <w:szCs w:val="14"/>
                <w:color w:val="auto"/>
              </w:rPr>
            </w:pPr>
          </w:p>
        </w:tc>
        <w:tc>
          <w:tcPr>
            <w:tcW w:w="900" w:type="dxa"/>
            <w:vAlign w:val="bottom"/>
            <w:tcBorders>
              <w:right w:val="single" w:sz="8" w:color="2D53A6"/>
            </w:tcBorders>
            <w:shd w:val="clear" w:color="auto" w:fill="2D53A6"/>
          </w:tcPr>
          <w:p>
            <w:pPr>
              <w:spacing w:after="0"/>
              <w:rPr>
                <w:sz w:val="14"/>
                <w:szCs w:val="14"/>
                <w:color w:val="auto"/>
              </w:rPr>
            </w:pPr>
          </w:p>
        </w:tc>
        <w:tc>
          <w:tcPr>
            <w:tcW w:w="960" w:type="dxa"/>
            <w:vAlign w:val="bottom"/>
            <w:tcBorders>
              <w:right w:val="single" w:sz="8" w:color="2D53A6"/>
            </w:tcBorders>
            <w:shd w:val="clear" w:color="auto" w:fill="2D53A6"/>
          </w:tcPr>
          <w:p>
            <w:pPr>
              <w:spacing w:after="0"/>
              <w:rPr>
                <w:sz w:val="14"/>
                <w:szCs w:val="14"/>
                <w:color w:val="auto"/>
              </w:rPr>
            </w:pPr>
          </w:p>
        </w:tc>
        <w:tc>
          <w:tcPr>
            <w:tcW w:w="780" w:type="dxa"/>
            <w:vAlign w:val="bottom"/>
            <w:tcBorders>
              <w:right w:val="single" w:sz="8" w:color="2D53A6"/>
            </w:tcBorders>
            <w:shd w:val="clear" w:color="auto" w:fill="2D53A6"/>
          </w:tcPr>
          <w:p>
            <w:pPr>
              <w:spacing w:after="0"/>
              <w:rPr>
                <w:sz w:val="14"/>
                <w:szCs w:val="14"/>
                <w:color w:val="auto"/>
              </w:rPr>
            </w:pPr>
          </w:p>
        </w:tc>
        <w:tc>
          <w:tcPr>
            <w:tcW w:w="800" w:type="dxa"/>
            <w:vAlign w:val="bottom"/>
            <w:tcBorders>
              <w:right w:val="single" w:sz="8" w:color="2D53A6"/>
            </w:tcBorders>
            <w:shd w:val="clear" w:color="auto" w:fill="2D53A6"/>
          </w:tcPr>
          <w:p>
            <w:pPr>
              <w:spacing w:after="0"/>
              <w:rPr>
                <w:sz w:val="14"/>
                <w:szCs w:val="14"/>
                <w:color w:val="auto"/>
              </w:rPr>
            </w:pPr>
          </w:p>
        </w:tc>
        <w:tc>
          <w:tcPr>
            <w:tcW w:w="140" w:type="dxa"/>
            <w:vAlign w:val="bottom"/>
            <w:shd w:val="clear" w:color="auto" w:fill="2D53A6"/>
          </w:tcPr>
          <w:p>
            <w:pPr>
              <w:spacing w:after="0"/>
              <w:rPr>
                <w:sz w:val="14"/>
                <w:szCs w:val="14"/>
                <w:color w:val="auto"/>
              </w:rPr>
            </w:pPr>
          </w:p>
        </w:tc>
        <w:tc>
          <w:tcPr>
            <w:tcW w:w="780" w:type="dxa"/>
            <w:vAlign w:val="bottom"/>
            <w:tcBorders>
              <w:right w:val="single" w:sz="8" w:color="2D53A6"/>
            </w:tcBorders>
            <w:shd w:val="clear" w:color="auto" w:fill="2D53A6"/>
          </w:tcPr>
          <w:p>
            <w:pPr>
              <w:spacing w:after="0"/>
              <w:rPr>
                <w:sz w:val="14"/>
                <w:szCs w:val="14"/>
                <w:color w:val="auto"/>
              </w:rPr>
            </w:pPr>
          </w:p>
        </w:tc>
        <w:tc>
          <w:tcPr>
            <w:tcW w:w="8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of</w:t>
            </w:r>
          </w:p>
        </w:tc>
        <w:tc>
          <w:tcPr>
            <w:tcW w:w="8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162"/>
        </w:trPr>
        <w:tc>
          <w:tcPr>
            <w:tcW w:w="12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4"/>
                <w:szCs w:val="14"/>
                <w:b w:val="1"/>
                <w:bCs w:val="1"/>
                <w:color w:val="FFFFFF"/>
              </w:rPr>
              <w:t>Executive</w:t>
            </w:r>
          </w:p>
        </w:tc>
        <w:tc>
          <w:tcPr>
            <w:tcW w:w="2140" w:type="dxa"/>
            <w:vAlign w:val="bottom"/>
            <w:tcBorders>
              <w:right w:val="single" w:sz="8" w:color="2D53A6"/>
            </w:tcBorders>
            <w:shd w:val="clear" w:color="auto" w:fill="2D53A6"/>
          </w:tcPr>
          <w:p>
            <w:pPr>
              <w:spacing w:after="0"/>
              <w:rPr>
                <w:sz w:val="14"/>
                <w:szCs w:val="14"/>
                <w:color w:val="auto"/>
              </w:rPr>
            </w:pPr>
          </w:p>
        </w:tc>
        <w:tc>
          <w:tcPr>
            <w:tcW w:w="1060" w:type="dxa"/>
            <w:vAlign w:val="bottom"/>
            <w:tcBorders>
              <w:right w:val="single" w:sz="8" w:color="2D53A6"/>
            </w:tcBorders>
            <w:shd w:val="clear" w:color="auto" w:fill="2D53A6"/>
          </w:tcPr>
          <w:p>
            <w:pPr>
              <w:spacing w:after="0"/>
              <w:rPr>
                <w:sz w:val="14"/>
                <w:szCs w:val="14"/>
                <w:color w:val="auto"/>
              </w:rPr>
            </w:pPr>
          </w:p>
        </w:tc>
        <w:tc>
          <w:tcPr>
            <w:tcW w:w="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Thres-</w:t>
            </w:r>
          </w:p>
        </w:tc>
        <w:tc>
          <w:tcPr>
            <w:tcW w:w="900" w:type="dxa"/>
            <w:vAlign w:val="bottom"/>
            <w:tcBorders>
              <w:right w:val="single" w:sz="8" w:color="2D53A6"/>
            </w:tcBorders>
            <w:vMerge w:val="restart"/>
            <w:shd w:val="clear" w:color="auto" w:fill="2D53A6"/>
          </w:tcPr>
          <w:p>
            <w:pPr>
              <w:jc w:val="right"/>
              <w:ind w:right="168"/>
              <w:spacing w:after="0"/>
              <w:rPr>
                <w:sz w:val="20"/>
                <w:szCs w:val="20"/>
                <w:color w:val="auto"/>
              </w:rPr>
            </w:pPr>
            <w:r>
              <w:rPr>
                <w:rFonts w:ascii="Arial" w:cs="Arial" w:eastAsia="Arial" w:hAnsi="Arial"/>
                <w:sz w:val="14"/>
                <w:szCs w:val="14"/>
                <w:b w:val="1"/>
                <w:bCs w:val="1"/>
                <w:color w:val="FFFFFF"/>
              </w:rPr>
              <w:t>Target</w:t>
            </w:r>
          </w:p>
        </w:tc>
        <w:tc>
          <w:tcPr>
            <w:tcW w:w="960" w:type="dxa"/>
            <w:vAlign w:val="bottom"/>
            <w:tcBorders>
              <w:right w:val="single" w:sz="8" w:color="2D53A6"/>
            </w:tcBorders>
            <w:vMerge w:val="restart"/>
            <w:shd w:val="clear" w:color="auto" w:fill="2D53A6"/>
          </w:tcPr>
          <w:p>
            <w:pPr>
              <w:jc w:val="right"/>
              <w:ind w:right="228"/>
              <w:spacing w:after="0"/>
              <w:rPr>
                <w:sz w:val="20"/>
                <w:szCs w:val="20"/>
                <w:color w:val="auto"/>
              </w:rPr>
            </w:pPr>
            <w:r>
              <w:rPr>
                <w:rFonts w:ascii="Arial" w:cs="Arial" w:eastAsia="Arial" w:hAnsi="Arial"/>
                <w:sz w:val="14"/>
                <w:szCs w:val="14"/>
                <w:b w:val="1"/>
                <w:bCs w:val="1"/>
                <w:color w:val="FFFFFF"/>
              </w:rPr>
              <w:t>Maxi-</w:t>
            </w:r>
          </w:p>
        </w:tc>
        <w:tc>
          <w:tcPr>
            <w:tcW w:w="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Thres-</w:t>
            </w:r>
          </w:p>
        </w:tc>
        <w:tc>
          <w:tcPr>
            <w:tcW w:w="800" w:type="dxa"/>
            <w:vAlign w:val="bottom"/>
            <w:tcBorders>
              <w:right w:val="single" w:sz="8" w:color="2D53A6"/>
            </w:tcBorders>
            <w:vMerge w:val="restart"/>
            <w:shd w:val="clear" w:color="auto" w:fill="2D53A6"/>
          </w:tcPr>
          <w:p>
            <w:pPr>
              <w:jc w:val="right"/>
              <w:ind w:right="128"/>
              <w:spacing w:after="0"/>
              <w:rPr>
                <w:sz w:val="20"/>
                <w:szCs w:val="20"/>
                <w:color w:val="auto"/>
              </w:rPr>
            </w:pPr>
            <w:r>
              <w:rPr>
                <w:rFonts w:ascii="Arial" w:cs="Arial" w:eastAsia="Arial" w:hAnsi="Arial"/>
                <w:sz w:val="14"/>
                <w:szCs w:val="14"/>
                <w:b w:val="1"/>
                <w:bCs w:val="1"/>
                <w:color w:val="FFFFFF"/>
              </w:rPr>
              <w:t>Target</w:t>
            </w:r>
          </w:p>
        </w:tc>
        <w:tc>
          <w:tcPr>
            <w:tcW w:w="140" w:type="dxa"/>
            <w:vAlign w:val="bottom"/>
            <w:shd w:val="clear" w:color="auto" w:fill="2D53A6"/>
          </w:tcPr>
          <w:p>
            <w:pPr>
              <w:spacing w:after="0"/>
              <w:rPr>
                <w:sz w:val="14"/>
                <w:szCs w:val="14"/>
                <w:color w:val="auto"/>
              </w:rPr>
            </w:pPr>
          </w:p>
        </w:tc>
        <w:tc>
          <w:tcPr>
            <w:tcW w:w="780" w:type="dxa"/>
            <w:vAlign w:val="bottom"/>
            <w:tcBorders>
              <w:right w:val="single" w:sz="8" w:color="2D53A6"/>
            </w:tcBorders>
            <w:shd w:val="clear" w:color="auto" w:fill="2D53A6"/>
          </w:tcPr>
          <w:p>
            <w:pPr>
              <w:jc w:val="center"/>
              <w:ind w:right="88"/>
              <w:spacing w:after="0"/>
              <w:rPr>
                <w:sz w:val="20"/>
                <w:szCs w:val="20"/>
                <w:color w:val="auto"/>
              </w:rPr>
            </w:pPr>
            <w:r>
              <w:rPr>
                <w:rFonts w:ascii="Arial" w:cs="Arial" w:eastAsia="Arial" w:hAnsi="Arial"/>
                <w:sz w:val="14"/>
                <w:szCs w:val="14"/>
                <w:b w:val="1"/>
                <w:bCs w:val="1"/>
                <w:color w:val="FFFFFF"/>
              </w:rPr>
              <w:t>Maxi-</w:t>
            </w:r>
          </w:p>
        </w:tc>
        <w:tc>
          <w:tcPr>
            <w:tcW w:w="8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Shares</w:t>
            </w:r>
          </w:p>
        </w:tc>
        <w:tc>
          <w:tcPr>
            <w:tcW w:w="8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81"/>
        </w:trPr>
        <w:tc>
          <w:tcPr>
            <w:tcW w:w="1220" w:type="dxa"/>
            <w:vAlign w:val="bottom"/>
            <w:tcBorders>
              <w:right w:val="single" w:sz="8" w:color="2D53A6"/>
            </w:tcBorders>
            <w:vMerge w:val="restart"/>
            <w:shd w:val="clear" w:color="auto" w:fill="2D53A6"/>
          </w:tcPr>
          <w:p>
            <w:pPr>
              <w:spacing w:after="0" w:line="159" w:lineRule="exact"/>
              <w:rPr>
                <w:sz w:val="20"/>
                <w:szCs w:val="20"/>
                <w:color w:val="auto"/>
              </w:rPr>
            </w:pPr>
            <w:r>
              <w:rPr>
                <w:rFonts w:ascii="Arial" w:cs="Arial" w:eastAsia="Arial" w:hAnsi="Arial"/>
                <w:sz w:val="14"/>
                <w:szCs w:val="14"/>
                <w:b w:val="1"/>
                <w:bCs w:val="1"/>
                <w:color w:val="FFFFFF"/>
              </w:rPr>
              <w:t>Officer</w:t>
            </w:r>
          </w:p>
        </w:tc>
        <w:tc>
          <w:tcPr>
            <w:tcW w:w="2140" w:type="dxa"/>
            <w:vAlign w:val="bottom"/>
            <w:tcBorders>
              <w:right w:val="single" w:sz="8" w:color="2D53A6"/>
            </w:tcBorders>
            <w:shd w:val="clear" w:color="auto" w:fill="2D53A6"/>
          </w:tcPr>
          <w:p>
            <w:pPr>
              <w:spacing w:after="0"/>
              <w:rPr>
                <w:sz w:val="7"/>
                <w:szCs w:val="7"/>
                <w:color w:val="auto"/>
              </w:rPr>
            </w:pPr>
          </w:p>
        </w:tc>
        <w:tc>
          <w:tcPr>
            <w:tcW w:w="1060" w:type="dxa"/>
            <w:vAlign w:val="bottom"/>
            <w:tcBorders>
              <w:right w:val="single" w:sz="8" w:color="2D53A6"/>
            </w:tcBorders>
            <w:vMerge w:val="restart"/>
            <w:shd w:val="clear" w:color="auto" w:fill="2D53A6"/>
          </w:tcPr>
          <w:p>
            <w:pPr>
              <w:jc w:val="right"/>
              <w:ind w:right="108"/>
              <w:spacing w:after="0" w:line="159" w:lineRule="exact"/>
              <w:rPr>
                <w:sz w:val="20"/>
                <w:szCs w:val="20"/>
                <w:color w:val="auto"/>
              </w:rPr>
            </w:pPr>
            <w:r>
              <w:rPr>
                <w:rFonts w:ascii="Arial" w:cs="Arial" w:eastAsia="Arial" w:hAnsi="Arial"/>
                <w:sz w:val="14"/>
                <w:szCs w:val="14"/>
                <w:b w:val="1"/>
                <w:bCs w:val="1"/>
                <w:color w:val="FFFFFF"/>
              </w:rPr>
              <w:t>Grant Date</w:t>
            </w:r>
          </w:p>
        </w:tc>
        <w:tc>
          <w:tcPr>
            <w:tcW w:w="7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w:t>
            </w:r>
          </w:p>
        </w:tc>
        <w:tc>
          <w:tcPr>
            <w:tcW w:w="900" w:type="dxa"/>
            <w:vAlign w:val="bottom"/>
            <w:tcBorders>
              <w:right w:val="single" w:sz="8" w:color="2D53A6"/>
            </w:tcBorders>
            <w:vMerge w:val="continue"/>
            <w:shd w:val="clear" w:color="auto" w:fill="2D53A6"/>
          </w:tcPr>
          <w:p>
            <w:pPr>
              <w:spacing w:after="0"/>
              <w:rPr>
                <w:sz w:val="7"/>
                <w:szCs w:val="7"/>
                <w:color w:val="auto"/>
              </w:rPr>
            </w:pPr>
          </w:p>
        </w:tc>
        <w:tc>
          <w:tcPr>
            <w:tcW w:w="960" w:type="dxa"/>
            <w:vAlign w:val="bottom"/>
            <w:tcBorders>
              <w:right w:val="single" w:sz="8" w:color="2D53A6"/>
            </w:tcBorders>
            <w:vMerge w:val="continue"/>
            <w:shd w:val="clear" w:color="auto" w:fill="2D53A6"/>
          </w:tcPr>
          <w:p>
            <w:pPr>
              <w:spacing w:after="0"/>
              <w:rPr>
                <w:sz w:val="7"/>
                <w:szCs w:val="7"/>
                <w:color w:val="auto"/>
              </w:rPr>
            </w:pPr>
          </w:p>
        </w:tc>
        <w:tc>
          <w:tcPr>
            <w:tcW w:w="78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w:t>
            </w:r>
          </w:p>
        </w:tc>
        <w:tc>
          <w:tcPr>
            <w:tcW w:w="800" w:type="dxa"/>
            <w:vAlign w:val="bottom"/>
            <w:tcBorders>
              <w:right w:val="single" w:sz="8" w:color="2D53A6"/>
            </w:tcBorders>
            <w:vMerge w:val="continue"/>
            <w:shd w:val="clear" w:color="auto" w:fill="2D53A6"/>
          </w:tcPr>
          <w:p>
            <w:pPr>
              <w:spacing w:after="0"/>
              <w:rPr>
                <w:sz w:val="7"/>
                <w:szCs w:val="7"/>
                <w:color w:val="auto"/>
              </w:rPr>
            </w:pPr>
          </w:p>
        </w:tc>
        <w:tc>
          <w:tcPr>
            <w:tcW w:w="140" w:type="dxa"/>
            <w:vAlign w:val="bottom"/>
            <w:shd w:val="clear" w:color="auto" w:fill="2D53A6"/>
          </w:tcPr>
          <w:p>
            <w:pPr>
              <w:spacing w:after="0"/>
              <w:rPr>
                <w:sz w:val="7"/>
                <w:szCs w:val="7"/>
                <w:color w:val="auto"/>
              </w:rPr>
            </w:pPr>
          </w:p>
        </w:tc>
        <w:tc>
          <w:tcPr>
            <w:tcW w:w="780" w:type="dxa"/>
            <w:vAlign w:val="bottom"/>
            <w:tcBorders>
              <w:right w:val="single" w:sz="8" w:color="2D53A6"/>
            </w:tcBorders>
            <w:vMerge w:val="restart"/>
            <w:shd w:val="clear" w:color="auto" w:fill="2D53A6"/>
          </w:tcPr>
          <w:p>
            <w:pPr>
              <w:jc w:val="center"/>
              <w:ind w:right="88"/>
              <w:spacing w:after="0" w:line="159" w:lineRule="exact"/>
              <w:rPr>
                <w:sz w:val="20"/>
                <w:szCs w:val="20"/>
                <w:color w:val="auto"/>
              </w:rPr>
            </w:pPr>
            <w:r>
              <w:rPr>
                <w:rFonts w:ascii="Arial" w:cs="Arial" w:eastAsia="Arial" w:hAnsi="Arial"/>
                <w:sz w:val="14"/>
                <w:szCs w:val="14"/>
                <w:b w:val="1"/>
                <w:bCs w:val="1"/>
                <w:color w:val="FFFFFF"/>
              </w:rPr>
              <w:t>mum</w:t>
            </w:r>
          </w:p>
        </w:tc>
        <w:tc>
          <w:tcPr>
            <w:tcW w:w="84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of Stock</w:t>
            </w:r>
          </w:p>
        </w:tc>
        <w:tc>
          <w:tcPr>
            <w:tcW w:w="8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78"/>
        </w:trPr>
        <w:tc>
          <w:tcPr>
            <w:tcW w:w="1220" w:type="dxa"/>
            <w:vAlign w:val="bottom"/>
            <w:tcBorders>
              <w:right w:val="single" w:sz="8" w:color="2D53A6"/>
            </w:tcBorders>
            <w:vMerge w:val="continue"/>
            <w:shd w:val="clear" w:color="auto" w:fill="2D53A6"/>
          </w:tcPr>
          <w:p>
            <w:pPr>
              <w:spacing w:after="0"/>
              <w:rPr>
                <w:sz w:val="6"/>
                <w:szCs w:val="6"/>
                <w:color w:val="auto"/>
              </w:rPr>
            </w:pPr>
          </w:p>
        </w:tc>
        <w:tc>
          <w:tcPr>
            <w:tcW w:w="2140" w:type="dxa"/>
            <w:vAlign w:val="bottom"/>
            <w:tcBorders>
              <w:right w:val="single" w:sz="8" w:color="2D53A6"/>
            </w:tcBorders>
            <w:shd w:val="clear" w:color="auto" w:fill="2D53A6"/>
          </w:tcPr>
          <w:p>
            <w:pPr>
              <w:spacing w:after="0"/>
              <w:rPr>
                <w:sz w:val="6"/>
                <w:szCs w:val="6"/>
                <w:color w:val="auto"/>
              </w:rPr>
            </w:pPr>
          </w:p>
        </w:tc>
        <w:tc>
          <w:tcPr>
            <w:tcW w:w="1060" w:type="dxa"/>
            <w:vAlign w:val="bottom"/>
            <w:tcBorders>
              <w:right w:val="single" w:sz="8" w:color="2D53A6"/>
            </w:tcBorders>
            <w:vMerge w:val="continue"/>
            <w:shd w:val="clear" w:color="auto" w:fill="2D53A6"/>
          </w:tcPr>
          <w:p>
            <w:pPr>
              <w:spacing w:after="0"/>
              <w:rPr>
                <w:sz w:val="6"/>
                <w:szCs w:val="6"/>
                <w:color w:val="auto"/>
              </w:rPr>
            </w:pPr>
          </w:p>
        </w:tc>
        <w:tc>
          <w:tcPr>
            <w:tcW w:w="760" w:type="dxa"/>
            <w:vAlign w:val="bottom"/>
            <w:tcBorders>
              <w:right w:val="single" w:sz="8" w:color="2D53A6"/>
            </w:tcBorders>
            <w:vMerge w:val="continue"/>
            <w:shd w:val="clear" w:color="auto" w:fill="2D53A6"/>
          </w:tcPr>
          <w:p>
            <w:pPr>
              <w:spacing w:after="0"/>
              <w:rPr>
                <w:sz w:val="6"/>
                <w:szCs w:val="6"/>
                <w:color w:val="auto"/>
              </w:rPr>
            </w:pPr>
          </w:p>
        </w:tc>
        <w:tc>
          <w:tcPr>
            <w:tcW w:w="900" w:type="dxa"/>
            <w:vAlign w:val="bottom"/>
            <w:tcBorders>
              <w:right w:val="single" w:sz="8" w:color="2D53A6"/>
            </w:tcBorders>
            <w:vMerge w:val="restart"/>
            <w:shd w:val="clear" w:color="auto" w:fill="2D53A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right w:val="single" w:sz="8" w:color="2D53A6"/>
            </w:tcBorders>
            <w:vMerge w:val="restart"/>
            <w:shd w:val="clear" w:color="auto" w:fill="2D53A6"/>
          </w:tcPr>
          <w:p>
            <w:pPr>
              <w:jc w:val="right"/>
              <w:ind w:right="128"/>
              <w:spacing w:after="0"/>
              <w:rPr>
                <w:sz w:val="20"/>
                <w:szCs w:val="20"/>
                <w:color w:val="auto"/>
              </w:rPr>
            </w:pPr>
            <w:r>
              <w:rPr>
                <w:rFonts w:ascii="Arial" w:cs="Arial" w:eastAsia="Arial" w:hAnsi="Arial"/>
                <w:sz w:val="14"/>
                <w:szCs w:val="14"/>
                <w:b w:val="1"/>
                <w:bCs w:val="1"/>
                <w:color w:val="FFFFFF"/>
              </w:rPr>
              <w:t>mum ($)</w:t>
            </w:r>
          </w:p>
        </w:tc>
        <w:tc>
          <w:tcPr>
            <w:tcW w:w="780" w:type="dxa"/>
            <w:vAlign w:val="bottom"/>
            <w:tcBorders>
              <w:right w:val="single" w:sz="8" w:color="2D53A6"/>
            </w:tcBorders>
            <w:vMerge w:val="continue"/>
            <w:shd w:val="clear" w:color="auto" w:fill="2D53A6"/>
          </w:tcPr>
          <w:p>
            <w:pPr>
              <w:spacing w:after="0"/>
              <w:rPr>
                <w:sz w:val="6"/>
                <w:szCs w:val="6"/>
                <w:color w:val="auto"/>
              </w:rPr>
            </w:pPr>
          </w:p>
        </w:tc>
        <w:tc>
          <w:tcPr>
            <w:tcW w:w="800" w:type="dxa"/>
            <w:vAlign w:val="bottom"/>
            <w:tcBorders>
              <w:right w:val="single" w:sz="8" w:color="2D53A6"/>
            </w:tcBorders>
            <w:vMerge w:val="restart"/>
            <w:shd w:val="clear" w:color="auto" w:fill="2D53A6"/>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2D53A6"/>
          </w:tcPr>
          <w:p>
            <w:pPr>
              <w:spacing w:after="0"/>
              <w:rPr>
                <w:sz w:val="6"/>
                <w:szCs w:val="6"/>
                <w:color w:val="auto"/>
              </w:rPr>
            </w:pPr>
          </w:p>
        </w:tc>
        <w:tc>
          <w:tcPr>
            <w:tcW w:w="780" w:type="dxa"/>
            <w:vAlign w:val="bottom"/>
            <w:tcBorders>
              <w:right w:val="single" w:sz="8" w:color="2D53A6"/>
            </w:tcBorders>
            <w:vMerge w:val="continue"/>
            <w:shd w:val="clear" w:color="auto" w:fill="2D53A6"/>
          </w:tcPr>
          <w:p>
            <w:pPr>
              <w:spacing w:after="0"/>
              <w:rPr>
                <w:sz w:val="6"/>
                <w:szCs w:val="6"/>
                <w:color w:val="auto"/>
              </w:rPr>
            </w:pPr>
          </w:p>
        </w:tc>
        <w:tc>
          <w:tcPr>
            <w:tcW w:w="840" w:type="dxa"/>
            <w:vAlign w:val="bottom"/>
            <w:tcBorders>
              <w:right w:val="single" w:sz="8" w:color="2D53A6"/>
            </w:tcBorders>
            <w:vMerge w:val="continue"/>
            <w:shd w:val="clear" w:color="auto" w:fill="2D53A6"/>
          </w:tcPr>
          <w:p>
            <w:pPr>
              <w:spacing w:after="0"/>
              <w:rPr>
                <w:sz w:val="6"/>
                <w:szCs w:val="6"/>
                <w:color w:val="auto"/>
              </w:rPr>
            </w:pPr>
          </w:p>
        </w:tc>
        <w:tc>
          <w:tcPr>
            <w:tcW w:w="8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220" w:type="dxa"/>
            <w:vAlign w:val="bottom"/>
            <w:tcBorders>
              <w:right w:val="single" w:sz="8" w:color="2D53A6"/>
            </w:tcBorders>
            <w:shd w:val="clear" w:color="auto" w:fill="2D53A6"/>
          </w:tcPr>
          <w:p>
            <w:pPr>
              <w:spacing w:after="0"/>
              <w:rPr>
                <w:sz w:val="10"/>
                <w:szCs w:val="10"/>
                <w:color w:val="auto"/>
              </w:rPr>
            </w:pPr>
          </w:p>
        </w:tc>
        <w:tc>
          <w:tcPr>
            <w:tcW w:w="2140" w:type="dxa"/>
            <w:vAlign w:val="bottom"/>
            <w:tcBorders>
              <w:right w:val="single" w:sz="8" w:color="2D53A6"/>
            </w:tcBorders>
            <w:shd w:val="clear" w:color="auto" w:fill="2D53A6"/>
          </w:tcPr>
          <w:p>
            <w:pPr>
              <w:spacing w:after="0"/>
              <w:rPr>
                <w:sz w:val="10"/>
                <w:szCs w:val="10"/>
                <w:color w:val="auto"/>
              </w:rPr>
            </w:pPr>
          </w:p>
        </w:tc>
        <w:tc>
          <w:tcPr>
            <w:tcW w:w="1060" w:type="dxa"/>
            <w:vAlign w:val="bottom"/>
            <w:tcBorders>
              <w:right w:val="single" w:sz="8" w:color="2D53A6"/>
            </w:tcBorders>
            <w:shd w:val="clear" w:color="auto" w:fill="2D53A6"/>
          </w:tcPr>
          <w:p>
            <w:pPr>
              <w:spacing w:after="0"/>
              <w:rPr>
                <w:sz w:val="10"/>
                <w:szCs w:val="10"/>
                <w:color w:val="auto"/>
              </w:rPr>
            </w:pPr>
          </w:p>
        </w:tc>
        <w:tc>
          <w:tcPr>
            <w:tcW w:w="7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tcBorders>
              <w:right w:val="single" w:sz="8" w:color="2D53A6"/>
            </w:tcBorders>
            <w:vMerge w:val="continue"/>
            <w:shd w:val="clear" w:color="auto" w:fill="2D53A6"/>
          </w:tcPr>
          <w:p>
            <w:pPr>
              <w:spacing w:after="0"/>
              <w:rPr>
                <w:sz w:val="10"/>
                <w:szCs w:val="10"/>
                <w:color w:val="auto"/>
              </w:rPr>
            </w:pPr>
          </w:p>
        </w:tc>
        <w:tc>
          <w:tcPr>
            <w:tcW w:w="960" w:type="dxa"/>
            <w:vAlign w:val="bottom"/>
            <w:tcBorders>
              <w:right w:val="single" w:sz="8" w:color="2D53A6"/>
            </w:tcBorders>
            <w:vMerge w:val="continue"/>
            <w:shd w:val="clear" w:color="auto" w:fill="2D53A6"/>
          </w:tcPr>
          <w:p>
            <w:pPr>
              <w:spacing w:after="0"/>
              <w:rPr>
                <w:sz w:val="10"/>
                <w:szCs w:val="10"/>
                <w:color w:val="auto"/>
              </w:rPr>
            </w:pPr>
          </w:p>
        </w:tc>
        <w:tc>
          <w:tcPr>
            <w:tcW w:w="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800" w:type="dxa"/>
            <w:vAlign w:val="bottom"/>
            <w:tcBorders>
              <w:right w:val="single" w:sz="8" w:color="2D53A6"/>
            </w:tcBorders>
            <w:vMerge w:val="continue"/>
            <w:shd w:val="clear" w:color="auto" w:fill="2D53A6"/>
          </w:tcPr>
          <w:p>
            <w:pPr>
              <w:spacing w:after="0"/>
              <w:rPr>
                <w:sz w:val="10"/>
                <w:szCs w:val="10"/>
                <w:color w:val="auto"/>
              </w:rPr>
            </w:pPr>
          </w:p>
        </w:tc>
        <w:tc>
          <w:tcPr>
            <w:tcW w:w="140" w:type="dxa"/>
            <w:vAlign w:val="bottom"/>
            <w:shd w:val="clear" w:color="auto" w:fill="2D53A6"/>
          </w:tcPr>
          <w:p>
            <w:pPr>
              <w:spacing w:after="0"/>
              <w:rPr>
                <w:sz w:val="10"/>
                <w:szCs w:val="10"/>
                <w:color w:val="auto"/>
              </w:rPr>
            </w:pPr>
          </w:p>
        </w:tc>
        <w:tc>
          <w:tcPr>
            <w:tcW w:w="780" w:type="dxa"/>
            <w:vAlign w:val="bottom"/>
            <w:tcBorders>
              <w:right w:val="single" w:sz="8" w:color="2D53A6"/>
            </w:tcBorders>
            <w:vMerge w:val="restart"/>
            <w:shd w:val="clear" w:color="auto" w:fill="2D53A6"/>
          </w:tcPr>
          <w:p>
            <w:pPr>
              <w:jc w:val="center"/>
              <w:ind w:right="88"/>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Units</w:t>
            </w:r>
          </w:p>
        </w:tc>
        <w:tc>
          <w:tcPr>
            <w:tcW w:w="860" w:type="dxa"/>
            <w:vAlign w:val="bottom"/>
            <w:tcBorders>
              <w:right w:val="single" w:sz="8" w:color="2D53A6"/>
            </w:tcBorders>
            <w:vMerge w:val="restart"/>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8"/>
                <w:szCs w:val="18"/>
                <w:b w:val="1"/>
                <w:bCs w:val="1"/>
                <w:color w:val="FFFFFF"/>
                <w:vertAlign w:val="superscript"/>
              </w:rPr>
              <w:t>(4)</w:t>
            </w:r>
          </w:p>
        </w:tc>
        <w:tc>
          <w:tcPr>
            <w:tcW w:w="0" w:type="dxa"/>
            <w:vAlign w:val="bottom"/>
          </w:tcPr>
          <w:p>
            <w:pPr>
              <w:spacing w:after="0"/>
              <w:rPr>
                <w:sz w:val="1"/>
                <w:szCs w:val="1"/>
                <w:color w:val="auto"/>
              </w:rPr>
            </w:pPr>
          </w:p>
        </w:tc>
      </w:tr>
      <w:tr>
        <w:trPr>
          <w:trHeight w:val="44"/>
        </w:trPr>
        <w:tc>
          <w:tcPr>
            <w:tcW w:w="1220" w:type="dxa"/>
            <w:vAlign w:val="bottom"/>
            <w:tcBorders>
              <w:right w:val="single" w:sz="8" w:color="2D53A6"/>
            </w:tcBorders>
            <w:shd w:val="clear" w:color="auto" w:fill="2D53A6"/>
          </w:tcPr>
          <w:p>
            <w:pPr>
              <w:spacing w:after="0"/>
              <w:rPr>
                <w:sz w:val="3"/>
                <w:szCs w:val="3"/>
                <w:color w:val="auto"/>
              </w:rPr>
            </w:pPr>
          </w:p>
        </w:tc>
        <w:tc>
          <w:tcPr>
            <w:tcW w:w="2140" w:type="dxa"/>
            <w:vAlign w:val="bottom"/>
            <w:tcBorders>
              <w:right w:val="single" w:sz="8" w:color="2D53A6"/>
            </w:tcBorders>
            <w:shd w:val="clear" w:color="auto" w:fill="2D53A6"/>
          </w:tcPr>
          <w:p>
            <w:pPr>
              <w:spacing w:after="0"/>
              <w:rPr>
                <w:sz w:val="3"/>
                <w:szCs w:val="3"/>
                <w:color w:val="auto"/>
              </w:rPr>
            </w:pPr>
          </w:p>
        </w:tc>
        <w:tc>
          <w:tcPr>
            <w:tcW w:w="1060" w:type="dxa"/>
            <w:vAlign w:val="bottom"/>
            <w:tcBorders>
              <w:right w:val="single" w:sz="8" w:color="2D53A6"/>
            </w:tcBorders>
            <w:shd w:val="clear" w:color="auto" w:fill="2D53A6"/>
          </w:tcPr>
          <w:p>
            <w:pPr>
              <w:spacing w:after="0"/>
              <w:rPr>
                <w:sz w:val="3"/>
                <w:szCs w:val="3"/>
                <w:color w:val="auto"/>
              </w:rPr>
            </w:pPr>
          </w:p>
        </w:tc>
        <w:tc>
          <w:tcPr>
            <w:tcW w:w="760" w:type="dxa"/>
            <w:vAlign w:val="bottom"/>
            <w:tcBorders>
              <w:right w:val="single" w:sz="8" w:color="2D53A6"/>
            </w:tcBorders>
            <w:vMerge w:val="continue"/>
            <w:shd w:val="clear" w:color="auto" w:fill="2D53A6"/>
          </w:tcPr>
          <w:p>
            <w:pPr>
              <w:spacing w:after="0"/>
              <w:rPr>
                <w:sz w:val="3"/>
                <w:szCs w:val="3"/>
                <w:color w:val="auto"/>
              </w:rPr>
            </w:pPr>
          </w:p>
        </w:tc>
        <w:tc>
          <w:tcPr>
            <w:tcW w:w="900" w:type="dxa"/>
            <w:vAlign w:val="bottom"/>
            <w:tcBorders>
              <w:right w:val="single" w:sz="8" w:color="2D53A6"/>
            </w:tcBorders>
            <w:shd w:val="clear" w:color="auto" w:fill="2D53A6"/>
          </w:tcPr>
          <w:p>
            <w:pPr>
              <w:spacing w:after="0"/>
              <w:rPr>
                <w:sz w:val="3"/>
                <w:szCs w:val="3"/>
                <w:color w:val="auto"/>
              </w:rPr>
            </w:pPr>
          </w:p>
        </w:tc>
        <w:tc>
          <w:tcPr>
            <w:tcW w:w="960" w:type="dxa"/>
            <w:vAlign w:val="bottom"/>
            <w:tcBorders>
              <w:right w:val="single" w:sz="8" w:color="2D53A6"/>
            </w:tcBorders>
            <w:shd w:val="clear" w:color="auto" w:fill="2D53A6"/>
          </w:tcPr>
          <w:p>
            <w:pPr>
              <w:spacing w:after="0"/>
              <w:rPr>
                <w:sz w:val="3"/>
                <w:szCs w:val="3"/>
                <w:color w:val="auto"/>
              </w:rPr>
            </w:pPr>
          </w:p>
        </w:tc>
        <w:tc>
          <w:tcPr>
            <w:tcW w:w="780" w:type="dxa"/>
            <w:vAlign w:val="bottom"/>
            <w:tcBorders>
              <w:right w:val="single" w:sz="8" w:color="2D53A6"/>
            </w:tcBorders>
            <w:vMerge w:val="continue"/>
            <w:shd w:val="clear" w:color="auto" w:fill="2D53A6"/>
          </w:tcPr>
          <w:p>
            <w:pPr>
              <w:spacing w:after="0"/>
              <w:rPr>
                <w:sz w:val="3"/>
                <w:szCs w:val="3"/>
                <w:color w:val="auto"/>
              </w:rPr>
            </w:pPr>
          </w:p>
        </w:tc>
        <w:tc>
          <w:tcPr>
            <w:tcW w:w="800" w:type="dxa"/>
            <w:vAlign w:val="bottom"/>
            <w:tcBorders>
              <w:right w:val="single" w:sz="8" w:color="2D53A6"/>
            </w:tcBorders>
            <w:shd w:val="clear" w:color="auto" w:fill="2D53A6"/>
          </w:tcPr>
          <w:p>
            <w:pPr>
              <w:spacing w:after="0"/>
              <w:rPr>
                <w:sz w:val="3"/>
                <w:szCs w:val="3"/>
                <w:color w:val="auto"/>
              </w:rPr>
            </w:pPr>
          </w:p>
        </w:tc>
        <w:tc>
          <w:tcPr>
            <w:tcW w:w="140" w:type="dxa"/>
            <w:vAlign w:val="bottom"/>
            <w:shd w:val="clear" w:color="auto" w:fill="2D53A6"/>
          </w:tcPr>
          <w:p>
            <w:pPr>
              <w:spacing w:after="0"/>
              <w:rPr>
                <w:sz w:val="3"/>
                <w:szCs w:val="3"/>
                <w:color w:val="auto"/>
              </w:rPr>
            </w:pPr>
          </w:p>
        </w:tc>
        <w:tc>
          <w:tcPr>
            <w:tcW w:w="780" w:type="dxa"/>
            <w:vAlign w:val="bottom"/>
            <w:tcBorders>
              <w:right w:val="single" w:sz="8" w:color="2D53A6"/>
            </w:tcBorders>
            <w:vMerge w:val="continue"/>
            <w:shd w:val="clear" w:color="auto" w:fill="2D53A6"/>
          </w:tcPr>
          <w:p>
            <w:pPr>
              <w:spacing w:after="0"/>
              <w:rPr>
                <w:sz w:val="3"/>
                <w:szCs w:val="3"/>
                <w:color w:val="auto"/>
              </w:rPr>
            </w:pPr>
          </w:p>
        </w:tc>
        <w:tc>
          <w:tcPr>
            <w:tcW w:w="840" w:type="dxa"/>
            <w:vAlign w:val="bottom"/>
            <w:tcBorders>
              <w:right w:val="single" w:sz="8" w:color="2D53A6"/>
            </w:tcBorders>
            <w:vMerge w:val="continue"/>
            <w:shd w:val="clear" w:color="auto" w:fill="2D53A6"/>
          </w:tcPr>
          <w:p>
            <w:pPr>
              <w:spacing w:after="0"/>
              <w:rPr>
                <w:sz w:val="3"/>
                <w:szCs w:val="3"/>
                <w:color w:val="auto"/>
              </w:rPr>
            </w:pPr>
          </w:p>
        </w:tc>
        <w:tc>
          <w:tcPr>
            <w:tcW w:w="860" w:type="dxa"/>
            <w:vAlign w:val="bottom"/>
            <w:tcBorders>
              <w:right w:val="single" w:sz="8" w:color="2D53A6"/>
            </w:tcBorders>
            <w:vMerge w:val="continue"/>
            <w:shd w:val="clear" w:color="auto" w:fill="2D53A6"/>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220" w:type="dxa"/>
            <w:vAlign w:val="bottom"/>
            <w:tcBorders>
              <w:right w:val="single" w:sz="8" w:color="2D53A6"/>
            </w:tcBorders>
            <w:shd w:val="clear" w:color="auto" w:fill="2D53A6"/>
          </w:tcPr>
          <w:p>
            <w:pPr>
              <w:spacing w:after="0"/>
              <w:rPr>
                <w:sz w:val="16"/>
                <w:szCs w:val="16"/>
                <w:color w:val="auto"/>
              </w:rPr>
            </w:pPr>
          </w:p>
        </w:tc>
        <w:tc>
          <w:tcPr>
            <w:tcW w:w="2140" w:type="dxa"/>
            <w:vAlign w:val="bottom"/>
            <w:tcBorders>
              <w:right w:val="single" w:sz="8" w:color="2D53A6"/>
            </w:tcBorders>
            <w:shd w:val="clear" w:color="auto" w:fill="2D53A6"/>
          </w:tcPr>
          <w:p>
            <w:pPr>
              <w:spacing w:after="0"/>
              <w:rPr>
                <w:sz w:val="16"/>
                <w:szCs w:val="16"/>
                <w:color w:val="auto"/>
              </w:rPr>
            </w:pPr>
          </w:p>
        </w:tc>
        <w:tc>
          <w:tcPr>
            <w:tcW w:w="1060" w:type="dxa"/>
            <w:vAlign w:val="bottom"/>
            <w:tcBorders>
              <w:right w:val="single" w:sz="8" w:color="2D53A6"/>
            </w:tcBorders>
            <w:shd w:val="clear" w:color="auto" w:fill="2D53A6"/>
          </w:tcPr>
          <w:p>
            <w:pPr>
              <w:spacing w:after="0"/>
              <w:rPr>
                <w:sz w:val="16"/>
                <w:szCs w:val="16"/>
                <w:color w:val="auto"/>
              </w:rPr>
            </w:pPr>
          </w:p>
        </w:tc>
        <w:tc>
          <w:tcPr>
            <w:tcW w:w="760" w:type="dxa"/>
            <w:vAlign w:val="bottom"/>
            <w:tcBorders>
              <w:right w:val="single" w:sz="8" w:color="2D53A6"/>
            </w:tcBorders>
            <w:shd w:val="clear" w:color="auto" w:fill="2D53A6"/>
          </w:tcPr>
          <w:p>
            <w:pPr>
              <w:spacing w:after="0"/>
              <w:rPr>
                <w:sz w:val="16"/>
                <w:szCs w:val="16"/>
                <w:color w:val="auto"/>
              </w:rPr>
            </w:pPr>
          </w:p>
        </w:tc>
        <w:tc>
          <w:tcPr>
            <w:tcW w:w="900" w:type="dxa"/>
            <w:vAlign w:val="bottom"/>
            <w:tcBorders>
              <w:right w:val="single" w:sz="8" w:color="2D53A6"/>
            </w:tcBorders>
            <w:shd w:val="clear" w:color="auto" w:fill="2D53A6"/>
          </w:tcPr>
          <w:p>
            <w:pPr>
              <w:spacing w:after="0"/>
              <w:rPr>
                <w:sz w:val="16"/>
                <w:szCs w:val="16"/>
                <w:color w:val="auto"/>
              </w:rPr>
            </w:pPr>
          </w:p>
        </w:tc>
        <w:tc>
          <w:tcPr>
            <w:tcW w:w="960" w:type="dxa"/>
            <w:vAlign w:val="bottom"/>
            <w:tcBorders>
              <w:right w:val="single" w:sz="8" w:color="2D53A6"/>
            </w:tcBorders>
            <w:shd w:val="clear" w:color="auto" w:fill="2D53A6"/>
          </w:tcPr>
          <w:p>
            <w:pPr>
              <w:spacing w:after="0"/>
              <w:rPr>
                <w:sz w:val="16"/>
                <w:szCs w:val="16"/>
                <w:color w:val="auto"/>
              </w:rPr>
            </w:pPr>
          </w:p>
        </w:tc>
        <w:tc>
          <w:tcPr>
            <w:tcW w:w="780" w:type="dxa"/>
            <w:vAlign w:val="bottom"/>
            <w:tcBorders>
              <w:right w:val="single" w:sz="8" w:color="2D53A6"/>
            </w:tcBorders>
            <w:shd w:val="clear" w:color="auto" w:fill="2D53A6"/>
          </w:tcPr>
          <w:p>
            <w:pPr>
              <w:spacing w:after="0"/>
              <w:rPr>
                <w:sz w:val="16"/>
                <w:szCs w:val="16"/>
                <w:color w:val="auto"/>
              </w:rPr>
            </w:pPr>
          </w:p>
        </w:tc>
        <w:tc>
          <w:tcPr>
            <w:tcW w:w="800" w:type="dxa"/>
            <w:vAlign w:val="bottom"/>
            <w:tcBorders>
              <w:right w:val="single" w:sz="8" w:color="2D53A6"/>
            </w:tcBorders>
            <w:shd w:val="clear" w:color="auto" w:fill="2D53A6"/>
          </w:tcPr>
          <w:p>
            <w:pPr>
              <w:spacing w:after="0"/>
              <w:rPr>
                <w:sz w:val="16"/>
                <w:szCs w:val="16"/>
                <w:color w:val="auto"/>
              </w:rPr>
            </w:pPr>
          </w:p>
        </w:tc>
        <w:tc>
          <w:tcPr>
            <w:tcW w:w="140" w:type="dxa"/>
            <w:vAlign w:val="bottom"/>
            <w:shd w:val="clear" w:color="auto" w:fill="2D53A6"/>
          </w:tcPr>
          <w:p>
            <w:pPr>
              <w:spacing w:after="0"/>
              <w:rPr>
                <w:sz w:val="16"/>
                <w:szCs w:val="16"/>
                <w:color w:val="auto"/>
              </w:rPr>
            </w:pPr>
          </w:p>
        </w:tc>
        <w:tc>
          <w:tcPr>
            <w:tcW w:w="780" w:type="dxa"/>
            <w:vAlign w:val="bottom"/>
            <w:tcBorders>
              <w:right w:val="single" w:sz="8" w:color="2D53A6"/>
            </w:tcBorders>
            <w:shd w:val="clear" w:color="auto" w:fill="2D53A6"/>
          </w:tcPr>
          <w:p>
            <w:pPr>
              <w:spacing w:after="0"/>
              <w:rPr>
                <w:sz w:val="16"/>
                <w:szCs w:val="16"/>
                <w:color w:val="auto"/>
              </w:rPr>
            </w:pPr>
          </w:p>
        </w:tc>
        <w:tc>
          <w:tcPr>
            <w:tcW w:w="84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20"/>
                <w:szCs w:val="20"/>
                <w:b w:val="1"/>
                <w:bCs w:val="1"/>
                <w:color w:val="FFFFFF"/>
                <w:vertAlign w:val="superscript"/>
              </w:rPr>
              <w:t>(3)</w:t>
            </w:r>
          </w:p>
        </w:tc>
        <w:tc>
          <w:tcPr>
            <w:tcW w:w="860" w:type="dxa"/>
            <w:vAlign w:val="bottom"/>
            <w:tcBorders>
              <w:right w:val="single" w:sz="8" w:color="2D53A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20" w:type="dxa"/>
            <w:vAlign w:val="bottom"/>
            <w:tcBorders>
              <w:right w:val="single" w:sz="8" w:color="2D53A6"/>
            </w:tcBorders>
            <w:vMerge w:val="restart"/>
          </w:tcPr>
          <w:p>
            <w:pPr>
              <w:spacing w:after="0"/>
              <w:rPr>
                <w:sz w:val="20"/>
                <w:szCs w:val="20"/>
                <w:color w:val="auto"/>
              </w:rPr>
            </w:pPr>
            <w:r>
              <w:rPr>
                <w:rFonts w:ascii="Arial" w:cs="Arial" w:eastAsia="Arial" w:hAnsi="Arial"/>
                <w:sz w:val="14"/>
                <w:szCs w:val="14"/>
                <w:color w:val="auto"/>
              </w:rPr>
              <w:t>Luis A.</w:t>
            </w:r>
          </w:p>
        </w:tc>
        <w:tc>
          <w:tcPr>
            <w:tcW w:w="21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4"/>
                <w:szCs w:val="14"/>
                <w:color w:val="auto"/>
              </w:rPr>
              <w:t>Cash Incentives</w:t>
            </w:r>
          </w:p>
        </w:tc>
        <w:tc>
          <w:tcPr>
            <w:tcW w:w="10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786,500</w:t>
            </w:r>
          </w:p>
        </w:tc>
        <w:tc>
          <w:tcPr>
            <w:tcW w:w="9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1,573,000</w:t>
            </w:r>
          </w:p>
        </w:tc>
        <w:tc>
          <w:tcPr>
            <w:tcW w:w="7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tcPr>
          <w:p>
            <w:pPr>
              <w:spacing w:after="0"/>
              <w:rPr>
                <w:sz w:val="14"/>
                <w:szCs w:val="14"/>
                <w:color w:val="auto"/>
              </w:rPr>
            </w:pPr>
          </w:p>
        </w:tc>
        <w:tc>
          <w:tcPr>
            <w:tcW w:w="78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1220" w:type="dxa"/>
            <w:vAlign w:val="bottom"/>
            <w:tcBorders>
              <w:right w:val="single" w:sz="8" w:color="2D53A6"/>
            </w:tcBorders>
            <w:vMerge w:val="continue"/>
          </w:tcPr>
          <w:p>
            <w:pPr>
              <w:spacing w:after="0"/>
              <w:rPr>
                <w:sz w:val="5"/>
                <w:szCs w:val="5"/>
                <w:color w:val="auto"/>
              </w:rPr>
            </w:pPr>
          </w:p>
        </w:tc>
        <w:tc>
          <w:tcPr>
            <w:tcW w:w="2140" w:type="dxa"/>
            <w:vAlign w:val="bottom"/>
            <w:tcBorders>
              <w:right w:val="single" w:sz="8" w:color="2D53A6"/>
            </w:tcBorders>
            <w:vMerge w:val="restart"/>
          </w:tcPr>
          <w:p>
            <w:pPr>
              <w:spacing w:after="0" w:line="155" w:lineRule="exact"/>
              <w:rPr>
                <w:sz w:val="20"/>
                <w:szCs w:val="20"/>
                <w:color w:val="auto"/>
              </w:rPr>
            </w:pPr>
            <w:r>
              <w:rPr>
                <w:rFonts w:ascii="Arial" w:cs="Arial" w:eastAsia="Arial" w:hAnsi="Arial"/>
                <w:sz w:val="14"/>
                <w:szCs w:val="14"/>
                <w:color w:val="auto"/>
              </w:rPr>
              <w:t>Time-based RSUs</w:t>
            </w:r>
          </w:p>
        </w:tc>
        <w:tc>
          <w:tcPr>
            <w:tcW w:w="1060" w:type="dxa"/>
            <w:vAlign w:val="bottom"/>
            <w:tcBorders>
              <w:right w:val="single" w:sz="8" w:color="2D53A6"/>
            </w:tcBorders>
            <w:vMerge w:val="restart"/>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right w:val="single" w:sz="8" w:color="2D53A6"/>
            </w:tcBorders>
            <w:vMerge w:val="restart"/>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5"/>
                <w:szCs w:val="5"/>
                <w:color w:val="auto"/>
              </w:rPr>
            </w:pPr>
          </w:p>
        </w:tc>
        <w:tc>
          <w:tcPr>
            <w:tcW w:w="78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44,004</w:t>
            </w:r>
          </w:p>
        </w:tc>
        <w:tc>
          <w:tcPr>
            <w:tcW w:w="860" w:type="dxa"/>
            <w:vAlign w:val="bottom"/>
            <w:tcBorders>
              <w:right w:val="single" w:sz="8" w:color="2D53A6"/>
            </w:tcBorders>
            <w:vMerge w:val="restart"/>
          </w:tcPr>
          <w:p>
            <w:pPr>
              <w:jc w:val="right"/>
              <w:ind w:right="9"/>
              <w:spacing w:after="0" w:line="155" w:lineRule="exact"/>
              <w:rPr>
                <w:sz w:val="20"/>
                <w:szCs w:val="20"/>
                <w:color w:val="auto"/>
              </w:rPr>
            </w:pPr>
            <w:r>
              <w:rPr>
                <w:rFonts w:ascii="Arial" w:cs="Arial" w:eastAsia="Arial" w:hAnsi="Arial"/>
                <w:sz w:val="14"/>
                <w:szCs w:val="14"/>
                <w:color w:val="auto"/>
              </w:rPr>
              <w:t>1,637,389</w:t>
            </w:r>
          </w:p>
        </w:tc>
        <w:tc>
          <w:tcPr>
            <w:tcW w:w="0" w:type="dxa"/>
            <w:vAlign w:val="bottom"/>
          </w:tcPr>
          <w:p>
            <w:pPr>
              <w:spacing w:after="0"/>
              <w:rPr>
                <w:sz w:val="1"/>
                <w:szCs w:val="1"/>
                <w:color w:val="auto"/>
              </w:rPr>
            </w:pPr>
          </w:p>
        </w:tc>
      </w:tr>
      <w:tr>
        <w:trPr>
          <w:trHeight w:val="90"/>
        </w:trPr>
        <w:tc>
          <w:tcPr>
            <w:tcW w:w="1220" w:type="dxa"/>
            <w:vAlign w:val="bottom"/>
            <w:tcBorders>
              <w:right w:val="single" w:sz="8" w:color="2D53A6"/>
            </w:tcBorders>
            <w:vMerge w:val="restart"/>
          </w:tcPr>
          <w:p>
            <w:pPr>
              <w:spacing w:after="0"/>
              <w:rPr>
                <w:sz w:val="20"/>
                <w:szCs w:val="20"/>
                <w:color w:val="auto"/>
              </w:rPr>
            </w:pPr>
            <w:r>
              <w:rPr>
                <w:rFonts w:ascii="Arial" w:cs="Arial" w:eastAsia="Arial" w:hAnsi="Arial"/>
                <w:sz w:val="14"/>
                <w:szCs w:val="14"/>
                <w:color w:val="auto"/>
              </w:rPr>
              <w:t>Müller</w:t>
            </w:r>
          </w:p>
        </w:tc>
        <w:tc>
          <w:tcPr>
            <w:tcW w:w="2140" w:type="dxa"/>
            <w:vAlign w:val="bottom"/>
            <w:tcBorders>
              <w:bottom w:val="single" w:sz="8" w:color="2D53A6"/>
              <w:right w:val="single" w:sz="8" w:color="2D53A6"/>
            </w:tcBorders>
            <w:vMerge w:val="continue"/>
          </w:tcPr>
          <w:p>
            <w:pPr>
              <w:spacing w:after="0"/>
              <w:rPr>
                <w:sz w:val="7"/>
                <w:szCs w:val="7"/>
                <w:color w:val="auto"/>
              </w:rPr>
            </w:pPr>
          </w:p>
        </w:tc>
        <w:tc>
          <w:tcPr>
            <w:tcW w:w="1060" w:type="dxa"/>
            <w:vAlign w:val="bottom"/>
            <w:tcBorders>
              <w:bottom w:val="single" w:sz="8" w:color="2D53A6"/>
              <w:right w:val="single" w:sz="8" w:color="2D53A6"/>
            </w:tcBorders>
            <w:vMerge w:val="continue"/>
          </w:tcPr>
          <w:p>
            <w:pPr>
              <w:spacing w:after="0"/>
              <w:rPr>
                <w:sz w:val="7"/>
                <w:szCs w:val="7"/>
                <w:color w:val="auto"/>
              </w:rPr>
            </w:pPr>
          </w:p>
        </w:tc>
        <w:tc>
          <w:tcPr>
            <w:tcW w:w="760" w:type="dxa"/>
            <w:vAlign w:val="bottom"/>
            <w:tcBorders>
              <w:bottom w:val="single" w:sz="8" w:color="2D53A6"/>
              <w:right w:val="single" w:sz="8" w:color="2D53A6"/>
            </w:tcBorders>
            <w:vMerge w:val="continue"/>
          </w:tcPr>
          <w:p>
            <w:pPr>
              <w:spacing w:after="0"/>
              <w:rPr>
                <w:sz w:val="7"/>
                <w:szCs w:val="7"/>
                <w:color w:val="auto"/>
              </w:rPr>
            </w:pPr>
          </w:p>
        </w:tc>
        <w:tc>
          <w:tcPr>
            <w:tcW w:w="900" w:type="dxa"/>
            <w:vAlign w:val="bottom"/>
            <w:tcBorders>
              <w:bottom w:val="single" w:sz="8" w:color="2D53A6"/>
              <w:right w:val="single" w:sz="8" w:color="2D53A6"/>
            </w:tcBorders>
            <w:vMerge w:val="continue"/>
          </w:tcPr>
          <w:p>
            <w:pPr>
              <w:spacing w:after="0"/>
              <w:rPr>
                <w:sz w:val="7"/>
                <w:szCs w:val="7"/>
                <w:color w:val="auto"/>
              </w:rPr>
            </w:pPr>
          </w:p>
        </w:tc>
        <w:tc>
          <w:tcPr>
            <w:tcW w:w="960" w:type="dxa"/>
            <w:vAlign w:val="bottom"/>
            <w:tcBorders>
              <w:bottom w:val="single" w:sz="8" w:color="2D53A6"/>
              <w:right w:val="single" w:sz="8" w:color="2D53A6"/>
            </w:tcBorders>
            <w:vMerge w:val="continue"/>
          </w:tcPr>
          <w:p>
            <w:pPr>
              <w:spacing w:after="0"/>
              <w:rPr>
                <w:sz w:val="7"/>
                <w:szCs w:val="7"/>
                <w:color w:val="auto"/>
              </w:rPr>
            </w:pPr>
          </w:p>
        </w:tc>
        <w:tc>
          <w:tcPr>
            <w:tcW w:w="780" w:type="dxa"/>
            <w:vAlign w:val="bottom"/>
            <w:tcBorders>
              <w:bottom w:val="single" w:sz="8" w:color="2D53A6"/>
              <w:right w:val="single" w:sz="8" w:color="2D53A6"/>
            </w:tcBorders>
            <w:vMerge w:val="continue"/>
          </w:tcPr>
          <w:p>
            <w:pPr>
              <w:spacing w:after="0"/>
              <w:rPr>
                <w:sz w:val="7"/>
                <w:szCs w:val="7"/>
                <w:color w:val="auto"/>
              </w:rPr>
            </w:pPr>
          </w:p>
        </w:tc>
        <w:tc>
          <w:tcPr>
            <w:tcW w:w="800" w:type="dxa"/>
            <w:vAlign w:val="bottom"/>
            <w:tcBorders>
              <w:bottom w:val="single" w:sz="8" w:color="2D53A6"/>
              <w:right w:val="single" w:sz="8" w:color="2D53A6"/>
            </w:tcBorders>
            <w:vMerge w:val="continue"/>
          </w:tcPr>
          <w:p>
            <w:pPr>
              <w:spacing w:after="0"/>
              <w:rPr>
                <w:sz w:val="7"/>
                <w:szCs w:val="7"/>
                <w:color w:val="auto"/>
              </w:rPr>
            </w:pPr>
          </w:p>
        </w:tc>
        <w:tc>
          <w:tcPr>
            <w:tcW w:w="140" w:type="dxa"/>
            <w:vAlign w:val="bottom"/>
            <w:tcBorders>
              <w:bottom w:val="single" w:sz="8" w:color="2D53A6"/>
            </w:tcBorders>
          </w:tcPr>
          <w:p>
            <w:pPr>
              <w:spacing w:after="0"/>
              <w:rPr>
                <w:sz w:val="7"/>
                <w:szCs w:val="7"/>
                <w:color w:val="auto"/>
              </w:rPr>
            </w:pPr>
          </w:p>
        </w:tc>
        <w:tc>
          <w:tcPr>
            <w:tcW w:w="780" w:type="dxa"/>
            <w:vAlign w:val="bottom"/>
            <w:tcBorders>
              <w:bottom w:val="single" w:sz="8" w:color="2D53A6"/>
              <w:right w:val="single" w:sz="8" w:color="2D53A6"/>
            </w:tcBorders>
            <w:vMerge w:val="continue"/>
          </w:tcPr>
          <w:p>
            <w:pPr>
              <w:spacing w:after="0"/>
              <w:rPr>
                <w:sz w:val="7"/>
                <w:szCs w:val="7"/>
                <w:color w:val="auto"/>
              </w:rPr>
            </w:pPr>
          </w:p>
        </w:tc>
        <w:tc>
          <w:tcPr>
            <w:tcW w:w="840" w:type="dxa"/>
            <w:vAlign w:val="bottom"/>
            <w:tcBorders>
              <w:bottom w:val="single" w:sz="8" w:color="2D53A6"/>
              <w:right w:val="single" w:sz="8" w:color="2D53A6"/>
            </w:tcBorders>
            <w:vMerge w:val="continue"/>
          </w:tcPr>
          <w:p>
            <w:pPr>
              <w:spacing w:after="0"/>
              <w:rPr>
                <w:sz w:val="7"/>
                <w:szCs w:val="7"/>
                <w:color w:val="auto"/>
              </w:rPr>
            </w:pPr>
          </w:p>
        </w:tc>
        <w:tc>
          <w:tcPr>
            <w:tcW w:w="860" w:type="dxa"/>
            <w:vAlign w:val="bottom"/>
            <w:tcBorders>
              <w:bottom w:val="single" w:sz="8" w:color="2D53A6"/>
              <w:right w:val="single" w:sz="8" w:color="2D53A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20" w:type="dxa"/>
            <w:vAlign w:val="bottom"/>
            <w:tcBorders>
              <w:right w:val="single" w:sz="8" w:color="2D53A6"/>
            </w:tcBorders>
            <w:vMerge w:val="continue"/>
          </w:tcPr>
          <w:p>
            <w:pPr>
              <w:spacing w:after="0"/>
              <w:rPr>
                <w:sz w:val="6"/>
                <w:szCs w:val="6"/>
                <w:color w:val="auto"/>
              </w:rPr>
            </w:pPr>
          </w:p>
        </w:tc>
        <w:tc>
          <w:tcPr>
            <w:tcW w:w="2140" w:type="dxa"/>
            <w:vAlign w:val="bottom"/>
            <w:tcBorders>
              <w:right w:val="single" w:sz="8" w:color="2D53A6"/>
            </w:tcBorders>
            <w:vMerge w:val="restart"/>
          </w:tcPr>
          <w:p>
            <w:pPr>
              <w:spacing w:after="0" w:line="155" w:lineRule="exact"/>
              <w:rPr>
                <w:sz w:val="20"/>
                <w:szCs w:val="20"/>
                <w:color w:val="auto"/>
              </w:rPr>
            </w:pPr>
            <w:r>
              <w:rPr>
                <w:rFonts w:ascii="Arial" w:cs="Arial" w:eastAsia="Arial" w:hAnsi="Arial"/>
                <w:sz w:val="14"/>
                <w:szCs w:val="14"/>
                <w:color w:val="auto"/>
              </w:rPr>
              <w:t>Performance-based RSUs</w:t>
            </w:r>
          </w:p>
        </w:tc>
        <w:tc>
          <w:tcPr>
            <w:tcW w:w="1060" w:type="dxa"/>
            <w:vAlign w:val="bottom"/>
            <w:tcBorders>
              <w:right w:val="single" w:sz="8" w:color="2D53A6"/>
            </w:tcBorders>
            <w:vMerge w:val="restart"/>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right w:val="single" w:sz="8" w:color="2D53A6"/>
            </w:tcBorders>
            <w:vMerge w:val="restart"/>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66,006</w:t>
            </w:r>
          </w:p>
        </w:tc>
        <w:tc>
          <w:tcPr>
            <w:tcW w:w="140" w:type="dxa"/>
            <w:vAlign w:val="bottom"/>
          </w:tcPr>
          <w:p>
            <w:pPr>
              <w:spacing w:after="0"/>
              <w:rPr>
                <w:sz w:val="6"/>
                <w:szCs w:val="6"/>
                <w:color w:val="auto"/>
              </w:rPr>
            </w:pPr>
          </w:p>
        </w:tc>
        <w:tc>
          <w:tcPr>
            <w:tcW w:w="78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132,012</w:t>
            </w:r>
          </w:p>
        </w:tc>
        <w:tc>
          <w:tcPr>
            <w:tcW w:w="840" w:type="dxa"/>
            <w:vAlign w:val="bottom"/>
            <w:tcBorders>
              <w:right w:val="single" w:sz="8" w:color="2D53A6"/>
            </w:tcBorders>
            <w:vMerge w:val="restart"/>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2D53A6"/>
            </w:tcBorders>
            <w:vMerge w:val="restart"/>
          </w:tcPr>
          <w:p>
            <w:pPr>
              <w:jc w:val="right"/>
              <w:ind w:right="9"/>
              <w:spacing w:after="0" w:line="155" w:lineRule="exact"/>
              <w:rPr>
                <w:sz w:val="20"/>
                <w:szCs w:val="20"/>
                <w:color w:val="auto"/>
              </w:rPr>
            </w:pPr>
            <w:r>
              <w:rPr>
                <w:rFonts w:ascii="Arial" w:cs="Arial" w:eastAsia="Arial" w:hAnsi="Arial"/>
                <w:sz w:val="14"/>
                <w:szCs w:val="14"/>
                <w:color w:val="auto"/>
              </w:rPr>
              <w:t>3,413,830</w:t>
            </w:r>
          </w:p>
        </w:tc>
        <w:tc>
          <w:tcPr>
            <w:tcW w:w="0" w:type="dxa"/>
            <w:vAlign w:val="bottom"/>
          </w:tcPr>
          <w:p>
            <w:pPr>
              <w:spacing w:after="0"/>
              <w:rPr>
                <w:sz w:val="1"/>
                <w:szCs w:val="1"/>
                <w:color w:val="auto"/>
              </w:rPr>
            </w:pPr>
          </w:p>
        </w:tc>
      </w:tr>
      <w:tr>
        <w:trPr>
          <w:trHeight w:val="75"/>
        </w:trPr>
        <w:tc>
          <w:tcPr>
            <w:tcW w:w="1220" w:type="dxa"/>
            <w:vAlign w:val="bottom"/>
            <w:tcBorders>
              <w:bottom w:val="single" w:sz="8" w:color="2D53A6"/>
              <w:right w:val="single" w:sz="8" w:color="2D53A6"/>
            </w:tcBorders>
          </w:tcPr>
          <w:p>
            <w:pPr>
              <w:spacing w:after="0"/>
              <w:rPr>
                <w:sz w:val="6"/>
                <w:szCs w:val="6"/>
                <w:color w:val="auto"/>
              </w:rPr>
            </w:pPr>
          </w:p>
        </w:tc>
        <w:tc>
          <w:tcPr>
            <w:tcW w:w="2140" w:type="dxa"/>
            <w:vAlign w:val="bottom"/>
            <w:tcBorders>
              <w:bottom w:val="single" w:sz="8" w:color="2D53A6"/>
              <w:right w:val="single" w:sz="8" w:color="2D53A6"/>
            </w:tcBorders>
            <w:vMerge w:val="continue"/>
          </w:tcPr>
          <w:p>
            <w:pPr>
              <w:spacing w:after="0"/>
              <w:rPr>
                <w:sz w:val="6"/>
                <w:szCs w:val="6"/>
                <w:color w:val="auto"/>
              </w:rPr>
            </w:pPr>
          </w:p>
        </w:tc>
        <w:tc>
          <w:tcPr>
            <w:tcW w:w="1060" w:type="dxa"/>
            <w:vAlign w:val="bottom"/>
            <w:tcBorders>
              <w:bottom w:val="single" w:sz="8" w:color="2D53A6"/>
              <w:right w:val="single" w:sz="8" w:color="2D53A6"/>
            </w:tcBorders>
            <w:vMerge w:val="continue"/>
          </w:tcPr>
          <w:p>
            <w:pPr>
              <w:spacing w:after="0"/>
              <w:rPr>
                <w:sz w:val="6"/>
                <w:szCs w:val="6"/>
                <w:color w:val="auto"/>
              </w:rPr>
            </w:pPr>
          </w:p>
        </w:tc>
        <w:tc>
          <w:tcPr>
            <w:tcW w:w="760" w:type="dxa"/>
            <w:vAlign w:val="bottom"/>
            <w:tcBorders>
              <w:bottom w:val="single" w:sz="8" w:color="2D53A6"/>
              <w:right w:val="single" w:sz="8" w:color="2D53A6"/>
            </w:tcBorders>
            <w:vMerge w:val="continue"/>
          </w:tcPr>
          <w:p>
            <w:pPr>
              <w:spacing w:after="0"/>
              <w:rPr>
                <w:sz w:val="6"/>
                <w:szCs w:val="6"/>
                <w:color w:val="auto"/>
              </w:rPr>
            </w:pPr>
          </w:p>
        </w:tc>
        <w:tc>
          <w:tcPr>
            <w:tcW w:w="900" w:type="dxa"/>
            <w:vAlign w:val="bottom"/>
            <w:tcBorders>
              <w:bottom w:val="single" w:sz="8" w:color="2D53A6"/>
              <w:right w:val="single" w:sz="8" w:color="2D53A6"/>
            </w:tcBorders>
            <w:vMerge w:val="continue"/>
          </w:tcPr>
          <w:p>
            <w:pPr>
              <w:spacing w:after="0"/>
              <w:rPr>
                <w:sz w:val="6"/>
                <w:szCs w:val="6"/>
                <w:color w:val="auto"/>
              </w:rPr>
            </w:pPr>
          </w:p>
        </w:tc>
        <w:tc>
          <w:tcPr>
            <w:tcW w:w="960" w:type="dxa"/>
            <w:vAlign w:val="bottom"/>
            <w:tcBorders>
              <w:bottom w:val="single" w:sz="8" w:color="2D53A6"/>
              <w:right w:val="single" w:sz="8" w:color="2D53A6"/>
            </w:tcBorders>
            <w:vMerge w:val="continue"/>
          </w:tcPr>
          <w:p>
            <w:pPr>
              <w:spacing w:after="0"/>
              <w:rPr>
                <w:sz w:val="6"/>
                <w:szCs w:val="6"/>
                <w:color w:val="auto"/>
              </w:rPr>
            </w:pPr>
          </w:p>
        </w:tc>
        <w:tc>
          <w:tcPr>
            <w:tcW w:w="780" w:type="dxa"/>
            <w:vAlign w:val="bottom"/>
            <w:tcBorders>
              <w:bottom w:val="single" w:sz="8" w:color="2D53A6"/>
              <w:right w:val="single" w:sz="8" w:color="2D53A6"/>
            </w:tcBorders>
            <w:vMerge w:val="continue"/>
          </w:tcPr>
          <w:p>
            <w:pPr>
              <w:spacing w:after="0"/>
              <w:rPr>
                <w:sz w:val="6"/>
                <w:szCs w:val="6"/>
                <w:color w:val="auto"/>
              </w:rPr>
            </w:pPr>
          </w:p>
        </w:tc>
        <w:tc>
          <w:tcPr>
            <w:tcW w:w="800" w:type="dxa"/>
            <w:vAlign w:val="bottom"/>
            <w:tcBorders>
              <w:bottom w:val="single" w:sz="8" w:color="2D53A6"/>
              <w:right w:val="single" w:sz="8" w:color="2D53A6"/>
            </w:tcBorders>
            <w:vMerge w:val="continue"/>
          </w:tcPr>
          <w:p>
            <w:pPr>
              <w:spacing w:after="0"/>
              <w:rPr>
                <w:sz w:val="6"/>
                <w:szCs w:val="6"/>
                <w:color w:val="auto"/>
              </w:rPr>
            </w:pPr>
          </w:p>
        </w:tc>
        <w:tc>
          <w:tcPr>
            <w:tcW w:w="140" w:type="dxa"/>
            <w:vAlign w:val="bottom"/>
            <w:tcBorders>
              <w:bottom w:val="single" w:sz="8" w:color="2D53A6"/>
            </w:tcBorders>
          </w:tcPr>
          <w:p>
            <w:pPr>
              <w:spacing w:after="0"/>
              <w:rPr>
                <w:sz w:val="6"/>
                <w:szCs w:val="6"/>
                <w:color w:val="auto"/>
              </w:rPr>
            </w:pPr>
          </w:p>
        </w:tc>
        <w:tc>
          <w:tcPr>
            <w:tcW w:w="780" w:type="dxa"/>
            <w:vAlign w:val="bottom"/>
            <w:tcBorders>
              <w:bottom w:val="single" w:sz="8" w:color="2D53A6"/>
              <w:right w:val="single" w:sz="8" w:color="2D53A6"/>
            </w:tcBorders>
            <w:vMerge w:val="continue"/>
          </w:tcPr>
          <w:p>
            <w:pPr>
              <w:spacing w:after="0"/>
              <w:rPr>
                <w:sz w:val="6"/>
                <w:szCs w:val="6"/>
                <w:color w:val="auto"/>
              </w:rPr>
            </w:pPr>
          </w:p>
        </w:tc>
        <w:tc>
          <w:tcPr>
            <w:tcW w:w="840" w:type="dxa"/>
            <w:vAlign w:val="bottom"/>
            <w:tcBorders>
              <w:bottom w:val="single" w:sz="8" w:color="2D53A6"/>
              <w:right w:val="single" w:sz="8" w:color="2D53A6"/>
            </w:tcBorders>
            <w:vMerge w:val="continue"/>
          </w:tcPr>
          <w:p>
            <w:pPr>
              <w:spacing w:after="0"/>
              <w:rPr>
                <w:sz w:val="6"/>
                <w:szCs w:val="6"/>
                <w:color w:val="auto"/>
              </w:rPr>
            </w:pPr>
          </w:p>
        </w:tc>
        <w:tc>
          <w:tcPr>
            <w:tcW w:w="860" w:type="dxa"/>
            <w:vAlign w:val="bottom"/>
            <w:tcBorders>
              <w:bottom w:val="single" w:sz="8" w:color="2D53A6"/>
              <w:right w:val="single" w:sz="8" w:color="2D53A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tcBorders>
              <w:bottom w:val="single" w:sz="8" w:color="E6E6E6"/>
              <w:right w:val="single" w:sz="8" w:color="2D53A6"/>
            </w:tcBorders>
            <w:vMerge w:val="restart"/>
            <w:shd w:val="clear" w:color="auto" w:fill="E6E6E6"/>
          </w:tcPr>
          <w:p>
            <w:pPr>
              <w:spacing w:after="0"/>
              <w:rPr>
                <w:sz w:val="20"/>
                <w:szCs w:val="20"/>
                <w:color w:val="auto"/>
              </w:rPr>
            </w:pPr>
            <w:r>
              <w:rPr>
                <w:rFonts w:ascii="Arial" w:cs="Arial" w:eastAsia="Arial" w:hAnsi="Arial"/>
                <w:sz w:val="14"/>
                <w:szCs w:val="14"/>
                <w:color w:val="auto"/>
              </w:rPr>
              <w:t>Jeffrey D. Jones</w:t>
            </w:r>
          </w:p>
        </w:tc>
        <w:tc>
          <w:tcPr>
            <w:tcW w:w="2140" w:type="dxa"/>
            <w:vAlign w:val="bottom"/>
            <w:tcBorders>
              <w:bottom w:val="single" w:sz="8" w:color="2D53A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Cash Incentives</w:t>
            </w:r>
          </w:p>
        </w:tc>
        <w:tc>
          <w:tcPr>
            <w:tcW w:w="10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341,250</w:t>
            </w:r>
          </w:p>
        </w:tc>
        <w:tc>
          <w:tcPr>
            <w:tcW w:w="9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682,500</w:t>
            </w: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shd w:val="clear" w:color="auto" w:fill="E6E6E6"/>
          </w:tcPr>
          <w:p>
            <w:pPr>
              <w:spacing w:after="0"/>
              <w:rPr>
                <w:sz w:val="13"/>
                <w:szCs w:val="13"/>
                <w:color w:val="auto"/>
              </w:rPr>
            </w:pP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1220" w:type="dxa"/>
            <w:vAlign w:val="bottom"/>
            <w:tcBorders>
              <w:right w:val="single" w:sz="8" w:color="2D53A6"/>
            </w:tcBorders>
            <w:vMerge w:val="continue"/>
            <w:shd w:val="clear" w:color="auto" w:fill="E6E6E6"/>
          </w:tcPr>
          <w:p>
            <w:pPr>
              <w:spacing w:after="0"/>
              <w:rPr>
                <w:sz w:val="8"/>
                <w:szCs w:val="8"/>
                <w:color w:val="auto"/>
              </w:rPr>
            </w:pPr>
          </w:p>
        </w:tc>
        <w:tc>
          <w:tcPr>
            <w:tcW w:w="2140" w:type="dxa"/>
            <w:vAlign w:val="bottom"/>
            <w:tcBorders>
              <w:right w:val="single" w:sz="8" w:color="2D53A6"/>
            </w:tcBorders>
            <w:vMerge w:val="restart"/>
            <w:shd w:val="clear" w:color="auto" w:fill="E6E6E6"/>
          </w:tcPr>
          <w:p>
            <w:pPr>
              <w:spacing w:after="0" w:line="155" w:lineRule="exact"/>
              <w:rPr>
                <w:sz w:val="20"/>
                <w:szCs w:val="20"/>
                <w:color w:val="auto"/>
              </w:rPr>
            </w:pPr>
            <w:r>
              <w:rPr>
                <w:rFonts w:ascii="Arial" w:cs="Arial" w:eastAsia="Arial" w:hAnsi="Arial"/>
                <w:sz w:val="14"/>
                <w:szCs w:val="14"/>
                <w:color w:val="auto"/>
              </w:rPr>
              <w:t>Time-based RSUs</w:t>
            </w:r>
          </w:p>
        </w:tc>
        <w:tc>
          <w:tcPr>
            <w:tcW w:w="1060" w:type="dxa"/>
            <w:vAlign w:val="bottom"/>
            <w:tcBorders>
              <w:right w:val="single" w:sz="8" w:color="2D53A6"/>
            </w:tcBorders>
            <w:vMerge w:val="restart"/>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right w:val="single" w:sz="8" w:color="2D53A6"/>
            </w:tcBorders>
            <w:vMerge w:val="restart"/>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6E6E6"/>
          </w:tcPr>
          <w:p>
            <w:pPr>
              <w:spacing w:after="0"/>
              <w:rPr>
                <w:sz w:val="8"/>
                <w:szCs w:val="8"/>
                <w:color w:val="auto"/>
              </w:rPr>
            </w:pPr>
          </w:p>
        </w:tc>
        <w:tc>
          <w:tcPr>
            <w:tcW w:w="78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2D53A6"/>
            </w:tcBorders>
            <w:vMerge w:val="restart"/>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14,521</w:t>
            </w:r>
          </w:p>
        </w:tc>
        <w:tc>
          <w:tcPr>
            <w:tcW w:w="860" w:type="dxa"/>
            <w:vAlign w:val="bottom"/>
            <w:tcBorders>
              <w:right w:val="single" w:sz="8" w:color="2D53A6"/>
            </w:tcBorders>
            <w:vMerge w:val="restart"/>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540,326</w:t>
            </w:r>
          </w:p>
        </w:tc>
        <w:tc>
          <w:tcPr>
            <w:tcW w:w="0" w:type="dxa"/>
            <w:vAlign w:val="bottom"/>
          </w:tcPr>
          <w:p>
            <w:pPr>
              <w:spacing w:after="0"/>
              <w:rPr>
                <w:sz w:val="1"/>
                <w:szCs w:val="1"/>
                <w:color w:val="auto"/>
              </w:rPr>
            </w:pPr>
          </w:p>
        </w:tc>
      </w:tr>
      <w:tr>
        <w:trPr>
          <w:trHeight w:val="62"/>
        </w:trPr>
        <w:tc>
          <w:tcPr>
            <w:tcW w:w="1220" w:type="dxa"/>
            <w:vAlign w:val="bottom"/>
            <w:tcBorders>
              <w:bottom w:val="single" w:sz="8" w:color="E6E6E6"/>
              <w:right w:val="single" w:sz="8" w:color="2D53A6"/>
            </w:tcBorders>
            <w:shd w:val="clear" w:color="auto" w:fill="E6E6E6"/>
          </w:tcPr>
          <w:p>
            <w:pPr>
              <w:spacing w:after="0"/>
              <w:rPr>
                <w:sz w:val="5"/>
                <w:szCs w:val="5"/>
                <w:color w:val="auto"/>
              </w:rPr>
            </w:pPr>
          </w:p>
        </w:tc>
        <w:tc>
          <w:tcPr>
            <w:tcW w:w="214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106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76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90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96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80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140" w:type="dxa"/>
            <w:vAlign w:val="bottom"/>
            <w:tcBorders>
              <w:bottom w:val="single" w:sz="8" w:color="2D53A6"/>
            </w:tcBorders>
            <w:shd w:val="clear" w:color="auto" w:fill="E6E6E6"/>
          </w:tcPr>
          <w:p>
            <w:pPr>
              <w:spacing w:after="0"/>
              <w:rPr>
                <w:sz w:val="5"/>
                <w:szCs w:val="5"/>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84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860" w:type="dxa"/>
            <w:vAlign w:val="bottom"/>
            <w:tcBorders>
              <w:bottom w:val="single" w:sz="8" w:color="2D53A6"/>
              <w:right w:val="single" w:sz="8" w:color="2D53A6"/>
            </w:tcBorders>
            <w:vMerge w:val="continue"/>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220" w:type="dxa"/>
            <w:vAlign w:val="bottom"/>
            <w:tcBorders>
              <w:bottom w:val="single" w:sz="8" w:color="2D53A6"/>
              <w:right w:val="single" w:sz="8" w:color="2D53A6"/>
            </w:tcBorders>
            <w:shd w:val="clear" w:color="auto" w:fill="E6E6E6"/>
          </w:tcPr>
          <w:p>
            <w:pPr>
              <w:spacing w:after="0"/>
              <w:rPr>
                <w:sz w:val="13"/>
                <w:szCs w:val="13"/>
                <w:color w:val="auto"/>
              </w:rPr>
            </w:pPr>
          </w:p>
        </w:tc>
        <w:tc>
          <w:tcPr>
            <w:tcW w:w="2140" w:type="dxa"/>
            <w:vAlign w:val="bottom"/>
            <w:tcBorders>
              <w:bottom w:val="single" w:sz="8" w:color="2D53A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Performance-based RSUs</w:t>
            </w:r>
          </w:p>
        </w:tc>
        <w:tc>
          <w:tcPr>
            <w:tcW w:w="10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21,782</w:t>
            </w:r>
          </w:p>
        </w:tc>
        <w:tc>
          <w:tcPr>
            <w:tcW w:w="140" w:type="dxa"/>
            <w:vAlign w:val="bottom"/>
            <w:tcBorders>
              <w:bottom w:val="single" w:sz="8" w:color="2D53A6"/>
            </w:tcBorders>
            <w:shd w:val="clear" w:color="auto" w:fill="E6E6E6"/>
          </w:tcPr>
          <w:p>
            <w:pPr>
              <w:spacing w:after="0"/>
              <w:rPr>
                <w:sz w:val="13"/>
                <w:szCs w:val="13"/>
                <w:color w:val="auto"/>
              </w:rPr>
            </w:pP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43,564</w:t>
            </w:r>
          </w:p>
        </w:tc>
        <w:tc>
          <w:tcPr>
            <w:tcW w:w="84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1,126,565</w:t>
            </w:r>
          </w:p>
        </w:tc>
        <w:tc>
          <w:tcPr>
            <w:tcW w:w="0" w:type="dxa"/>
            <w:vAlign w:val="bottom"/>
          </w:tcPr>
          <w:p>
            <w:pPr>
              <w:spacing w:after="0"/>
              <w:rPr>
                <w:sz w:val="1"/>
                <w:szCs w:val="1"/>
                <w:color w:val="auto"/>
              </w:rPr>
            </w:pPr>
          </w:p>
        </w:tc>
      </w:tr>
      <w:tr>
        <w:trPr>
          <w:trHeight w:val="156"/>
        </w:trPr>
        <w:tc>
          <w:tcPr>
            <w:tcW w:w="1220" w:type="dxa"/>
            <w:vAlign w:val="bottom"/>
            <w:tcBorders>
              <w:right w:val="single" w:sz="8" w:color="2D53A6"/>
            </w:tcBorders>
          </w:tcPr>
          <w:p>
            <w:pPr>
              <w:spacing w:after="0" w:line="155" w:lineRule="exact"/>
              <w:rPr>
                <w:sz w:val="20"/>
                <w:szCs w:val="20"/>
                <w:color w:val="auto"/>
              </w:rPr>
            </w:pPr>
            <w:r>
              <w:rPr>
                <w:rFonts w:ascii="Arial" w:cs="Arial" w:eastAsia="Arial" w:hAnsi="Arial"/>
                <w:sz w:val="14"/>
                <w:szCs w:val="14"/>
                <w:color w:val="auto"/>
              </w:rPr>
              <w:t>Christopher G.</w:t>
            </w: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Cash Incentives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318,750</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637,500</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tcBorders>
              <w:right w:val="single" w:sz="8" w:color="2D53A6"/>
            </w:tcBorders>
          </w:tcPr>
          <w:p>
            <w:pPr>
              <w:spacing w:after="0" w:line="155" w:lineRule="exact"/>
              <w:rPr>
                <w:sz w:val="20"/>
                <w:szCs w:val="20"/>
                <w:color w:val="auto"/>
              </w:rPr>
            </w:pPr>
            <w:r>
              <w:rPr>
                <w:rFonts w:ascii="Arial" w:cs="Arial" w:eastAsia="Arial" w:hAnsi="Arial"/>
                <w:sz w:val="14"/>
                <w:szCs w:val="14"/>
                <w:color w:val="auto"/>
              </w:rPr>
              <w:t>Bohrson</w:t>
            </w: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Time-based RSUs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11,001</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409,347</w:t>
            </w:r>
          </w:p>
        </w:tc>
        <w:tc>
          <w:tcPr>
            <w:tcW w:w="0" w:type="dxa"/>
            <w:vAlign w:val="bottom"/>
          </w:tcPr>
          <w:p>
            <w:pPr>
              <w:spacing w:after="0"/>
              <w:rPr>
                <w:sz w:val="1"/>
                <w:szCs w:val="1"/>
                <w:color w:val="auto"/>
              </w:rPr>
            </w:pPr>
          </w:p>
        </w:tc>
      </w:tr>
      <w:tr>
        <w:trPr>
          <w:trHeight w:val="156"/>
        </w:trPr>
        <w:tc>
          <w:tcPr>
            <w:tcW w:w="1220" w:type="dxa"/>
            <w:vAlign w:val="bottom"/>
            <w:tcBorders>
              <w:bottom w:val="single" w:sz="8" w:color="2D53A6"/>
              <w:right w:val="single" w:sz="8" w:color="2D53A6"/>
            </w:tcBorders>
          </w:tcPr>
          <w:p>
            <w:pPr>
              <w:spacing w:after="0"/>
              <w:rPr>
                <w:sz w:val="13"/>
                <w:szCs w:val="13"/>
                <w:color w:val="auto"/>
              </w:rPr>
            </w:pP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Performance-based RSUs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16,501</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33,002</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853,432</w:t>
            </w:r>
          </w:p>
        </w:tc>
        <w:tc>
          <w:tcPr>
            <w:tcW w:w="0" w:type="dxa"/>
            <w:vAlign w:val="bottom"/>
          </w:tcPr>
          <w:p>
            <w:pPr>
              <w:spacing w:after="0"/>
              <w:rPr>
                <w:sz w:val="1"/>
                <w:szCs w:val="1"/>
                <w:color w:val="auto"/>
              </w:rPr>
            </w:pPr>
          </w:p>
        </w:tc>
      </w:tr>
      <w:tr>
        <w:trPr>
          <w:trHeight w:val="156"/>
        </w:trPr>
        <w:tc>
          <w:tcPr>
            <w:tcW w:w="1220" w:type="dxa"/>
            <w:vAlign w:val="bottom"/>
            <w:tcBorders>
              <w:bottom w:val="single" w:sz="8" w:color="E6E6E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Thomas D.</w:t>
            </w:r>
          </w:p>
        </w:tc>
        <w:tc>
          <w:tcPr>
            <w:tcW w:w="2140" w:type="dxa"/>
            <w:vAlign w:val="bottom"/>
            <w:tcBorders>
              <w:bottom w:val="single" w:sz="8" w:color="2D53A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Cash Incentives</w:t>
            </w:r>
          </w:p>
        </w:tc>
        <w:tc>
          <w:tcPr>
            <w:tcW w:w="10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202,500</w:t>
            </w:r>
          </w:p>
        </w:tc>
        <w:tc>
          <w:tcPr>
            <w:tcW w:w="9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405,000</w:t>
            </w: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shd w:val="clear" w:color="auto" w:fill="E6E6E6"/>
          </w:tcPr>
          <w:p>
            <w:pPr>
              <w:spacing w:after="0"/>
              <w:rPr>
                <w:sz w:val="13"/>
                <w:szCs w:val="13"/>
                <w:color w:val="auto"/>
              </w:rPr>
            </w:pP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E6E6E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Kampfer</w:t>
            </w:r>
          </w:p>
        </w:tc>
        <w:tc>
          <w:tcPr>
            <w:tcW w:w="2140" w:type="dxa"/>
            <w:vAlign w:val="bottom"/>
            <w:tcBorders>
              <w:bottom w:val="single" w:sz="8" w:color="2D53A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Time-based RSUs</w:t>
            </w:r>
          </w:p>
        </w:tc>
        <w:tc>
          <w:tcPr>
            <w:tcW w:w="10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shd w:val="clear" w:color="auto" w:fill="E6E6E6"/>
          </w:tcPr>
          <w:p>
            <w:pPr>
              <w:spacing w:after="0"/>
              <w:rPr>
                <w:sz w:val="13"/>
                <w:szCs w:val="13"/>
                <w:color w:val="auto"/>
              </w:rPr>
            </w:pP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6,600</w:t>
            </w:r>
          </w:p>
        </w:tc>
        <w:tc>
          <w:tcPr>
            <w:tcW w:w="8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245,586</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2D53A6"/>
              <w:right w:val="single" w:sz="8" w:color="2D53A6"/>
            </w:tcBorders>
            <w:shd w:val="clear" w:color="auto" w:fill="E6E6E6"/>
          </w:tcPr>
          <w:p>
            <w:pPr>
              <w:spacing w:after="0"/>
              <w:rPr>
                <w:sz w:val="13"/>
                <w:szCs w:val="13"/>
                <w:color w:val="auto"/>
              </w:rPr>
            </w:pPr>
          </w:p>
        </w:tc>
        <w:tc>
          <w:tcPr>
            <w:tcW w:w="2140" w:type="dxa"/>
            <w:vAlign w:val="bottom"/>
            <w:tcBorders>
              <w:bottom w:val="single" w:sz="8" w:color="2D53A6"/>
              <w:right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Performance-based RSUs</w:t>
            </w:r>
          </w:p>
        </w:tc>
        <w:tc>
          <w:tcPr>
            <w:tcW w:w="106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9,900</w:t>
            </w:r>
          </w:p>
        </w:tc>
        <w:tc>
          <w:tcPr>
            <w:tcW w:w="140" w:type="dxa"/>
            <w:vAlign w:val="bottom"/>
            <w:tcBorders>
              <w:bottom w:val="single" w:sz="8" w:color="2D53A6"/>
            </w:tcBorders>
            <w:shd w:val="clear" w:color="auto" w:fill="E6E6E6"/>
          </w:tcPr>
          <w:p>
            <w:pPr>
              <w:spacing w:after="0"/>
              <w:rPr>
                <w:sz w:val="13"/>
                <w:szCs w:val="13"/>
                <w:color w:val="auto"/>
              </w:rPr>
            </w:pPr>
          </w:p>
        </w:tc>
        <w:tc>
          <w:tcPr>
            <w:tcW w:w="78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19,800</w:t>
            </w:r>
          </w:p>
        </w:tc>
        <w:tc>
          <w:tcPr>
            <w:tcW w:w="84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512,028</w:t>
            </w:r>
          </w:p>
        </w:tc>
        <w:tc>
          <w:tcPr>
            <w:tcW w:w="0" w:type="dxa"/>
            <w:vAlign w:val="bottom"/>
          </w:tcPr>
          <w:p>
            <w:pPr>
              <w:spacing w:after="0"/>
              <w:rPr>
                <w:sz w:val="1"/>
                <w:szCs w:val="1"/>
                <w:color w:val="auto"/>
              </w:rPr>
            </w:pPr>
          </w:p>
        </w:tc>
      </w:tr>
      <w:tr>
        <w:trPr>
          <w:trHeight w:val="156"/>
        </w:trPr>
        <w:tc>
          <w:tcPr>
            <w:tcW w:w="1220" w:type="dxa"/>
            <w:vAlign w:val="bottom"/>
            <w:tcBorders>
              <w:right w:val="single" w:sz="8" w:color="2D53A6"/>
            </w:tcBorders>
          </w:tcPr>
          <w:p>
            <w:pPr>
              <w:spacing w:after="0" w:line="155" w:lineRule="exact"/>
              <w:rPr>
                <w:sz w:val="20"/>
                <w:szCs w:val="20"/>
                <w:color w:val="auto"/>
              </w:rPr>
            </w:pPr>
            <w:r>
              <w:rPr>
                <w:rFonts w:ascii="Arial" w:cs="Arial" w:eastAsia="Arial" w:hAnsi="Arial"/>
                <w:sz w:val="14"/>
                <w:szCs w:val="14"/>
                <w:color w:val="auto"/>
              </w:rPr>
              <w:t>Ian P.</w:t>
            </w: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Cash Incentives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184,250</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368,500</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tcBorders>
              <w:right w:val="single" w:sz="8" w:color="2D53A6"/>
            </w:tcBorders>
          </w:tcPr>
          <w:p>
            <w:pPr>
              <w:spacing w:after="0" w:line="155" w:lineRule="exact"/>
              <w:rPr>
                <w:sz w:val="20"/>
                <w:szCs w:val="20"/>
                <w:color w:val="auto"/>
              </w:rPr>
            </w:pPr>
            <w:r>
              <w:rPr>
                <w:rFonts w:ascii="Arial" w:cs="Arial" w:eastAsia="Arial" w:hAnsi="Arial"/>
                <w:sz w:val="14"/>
                <w:szCs w:val="14"/>
                <w:color w:val="auto"/>
              </w:rPr>
              <w:t>Lawee</w:t>
            </w: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Time-based RSUs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4,620</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171,910</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2D53A6"/>
              <w:right w:val="single" w:sz="8" w:color="2D53A6"/>
            </w:tcBorders>
          </w:tcPr>
          <w:p>
            <w:pPr>
              <w:spacing w:after="0"/>
              <w:rPr>
                <w:sz w:val="13"/>
                <w:szCs w:val="13"/>
                <w:color w:val="auto"/>
              </w:rPr>
            </w:pPr>
          </w:p>
        </w:tc>
        <w:tc>
          <w:tcPr>
            <w:tcW w:w="2140" w:type="dxa"/>
            <w:vAlign w:val="bottom"/>
            <w:tcBorders>
              <w:bottom w:val="single" w:sz="8" w:color="2D53A6"/>
              <w:right w:val="single" w:sz="8" w:color="2D53A6"/>
            </w:tcBorders>
          </w:tcPr>
          <w:p>
            <w:pPr>
              <w:spacing w:after="0" w:line="155" w:lineRule="exact"/>
              <w:rPr>
                <w:sz w:val="20"/>
                <w:szCs w:val="20"/>
                <w:color w:val="auto"/>
              </w:rPr>
            </w:pPr>
            <w:r>
              <w:rPr>
                <w:rFonts w:ascii="Arial" w:cs="Arial" w:eastAsia="Arial" w:hAnsi="Arial"/>
                <w:sz w:val="14"/>
                <w:szCs w:val="14"/>
                <w:color w:val="auto"/>
              </w:rPr>
              <w:t>Performance-based RSUs</w:t>
            </w:r>
          </w:p>
        </w:tc>
        <w:tc>
          <w:tcPr>
            <w:tcW w:w="10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03/14/2023</w:t>
            </w:r>
          </w:p>
        </w:tc>
        <w:tc>
          <w:tcPr>
            <w:tcW w:w="7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8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6,930</w:t>
            </w:r>
          </w:p>
        </w:tc>
        <w:tc>
          <w:tcPr>
            <w:tcW w:w="140" w:type="dxa"/>
            <w:vAlign w:val="bottom"/>
            <w:tcBorders>
              <w:bottom w:val="single" w:sz="8" w:color="2D53A6"/>
            </w:tcBorders>
          </w:tcPr>
          <w:p>
            <w:pPr>
              <w:spacing w:after="0"/>
              <w:rPr>
                <w:sz w:val="13"/>
                <w:szCs w:val="13"/>
                <w:color w:val="auto"/>
              </w:rPr>
            </w:pPr>
          </w:p>
        </w:tc>
        <w:tc>
          <w:tcPr>
            <w:tcW w:w="78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13,860</w:t>
            </w:r>
          </w:p>
        </w:tc>
        <w:tc>
          <w:tcPr>
            <w:tcW w:w="84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358,420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46"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are estimated possible payouts for fiscal year 2023 under the executive cash incentive plan. These amounts are based on the individual’s 2023 base salary amounts, and position. The maximum amount shown is 200% of the target amount for each of the NEOs. Actual cash incentives received by the NEOs for 2023 are reported in the Summary Compensation Table under the column entitled “Non-Equity Incentive Plan Compensation.” Amounts earned by our NEOs for performance in 2023 are based on the attainment of performance goals for both Cohu and the individual NEO, as described in more detail in “Annual Cash Incentives” in the CD&amp;A above.</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PSU awards granted to our NEOs in 2023 are subject to certain adjustments resulting from the performance of our total stockholder return (“TSR”) relative to a pre-selected comparator group over the three-year period following the date of grant. The PSU awards granted in 2023 may be earned and vest 100% on the third anniversary of the date of grant.</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reflect the number of RSUs awarded to each NEO under the 2005 Plan. The RSU awards granted to our NEOs in 2023 vest at the rate of 25% of the shares of our common stock subject to the awards per year.</w:t>
      </w:r>
    </w:p>
    <w:p>
      <w:pPr>
        <w:ind w:left="340" w:right="120" w:hanging="332"/>
        <w:spacing w:after="0" w:line="264"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shown are the grant date fair value for stock awards granted in 2023. The assumptions used to calculate the grant date fair value of the awards are set forth in Note 6, “Employee Benefit Plans”, included in Part IV, Item 15(a) of Cohu’s Annual Report on Form 10-K for the year ended December 30, 2023, filed with the SEC.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on December 30, 2023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our NEOs at the end of 2023, which ended on December 30,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Borders>
              <w:right w:val="single" w:sz="8" w:color="2D53A6"/>
            </w:tcBorders>
            <w:shd w:val="clear" w:color="auto" w:fill="2D53A6"/>
          </w:tcPr>
          <w:p>
            <w:pPr>
              <w:spacing w:after="0"/>
              <w:rPr>
                <w:sz w:val="19"/>
                <w:szCs w:val="19"/>
                <w:color w:val="auto"/>
              </w:rPr>
            </w:pPr>
          </w:p>
        </w:tc>
        <w:tc>
          <w:tcPr>
            <w:tcW w:w="1280" w:type="dxa"/>
            <w:vAlign w:val="bottom"/>
            <w:tcBorders>
              <w:right w:val="single" w:sz="8" w:color="2D53A6"/>
            </w:tcBorders>
            <w:shd w:val="clear" w:color="auto" w:fill="2D53A6"/>
          </w:tcPr>
          <w:p>
            <w:pPr>
              <w:spacing w:after="0"/>
              <w:rPr>
                <w:sz w:val="19"/>
                <w:szCs w:val="19"/>
                <w:color w:val="auto"/>
              </w:rPr>
            </w:pPr>
          </w:p>
        </w:tc>
        <w:tc>
          <w:tcPr>
            <w:tcW w:w="12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OPTION AWARDS</w:t>
            </w:r>
          </w:p>
        </w:tc>
        <w:tc>
          <w:tcPr>
            <w:tcW w:w="1260" w:type="dxa"/>
            <w:vAlign w:val="bottom"/>
            <w:tcBorders>
              <w:right w:val="single" w:sz="8" w:color="2D53A6"/>
            </w:tcBorders>
            <w:shd w:val="clear" w:color="auto" w:fill="2D53A6"/>
          </w:tcPr>
          <w:p>
            <w:pPr>
              <w:spacing w:after="0"/>
              <w:rPr>
                <w:sz w:val="19"/>
                <w:szCs w:val="19"/>
                <w:color w:val="auto"/>
              </w:rPr>
            </w:pPr>
          </w:p>
        </w:tc>
        <w:tc>
          <w:tcPr>
            <w:tcW w:w="1260" w:type="dxa"/>
            <w:vAlign w:val="bottom"/>
            <w:tcBorders>
              <w:right w:val="single" w:sz="8" w:color="2D53A6"/>
            </w:tcBorders>
            <w:shd w:val="clear" w:color="auto" w:fill="2D53A6"/>
          </w:tcPr>
          <w:p>
            <w:pPr>
              <w:spacing w:after="0"/>
              <w:rPr>
                <w:sz w:val="19"/>
                <w:szCs w:val="19"/>
                <w:color w:val="auto"/>
              </w:rPr>
            </w:pPr>
          </w:p>
        </w:tc>
        <w:tc>
          <w:tcPr>
            <w:tcW w:w="1000" w:type="dxa"/>
            <w:vAlign w:val="bottom"/>
            <w:shd w:val="clear" w:color="auto" w:fill="2D53A6"/>
          </w:tcPr>
          <w:p>
            <w:pPr>
              <w:spacing w:after="0"/>
              <w:rPr>
                <w:sz w:val="19"/>
                <w:szCs w:val="19"/>
                <w:color w:val="auto"/>
              </w:rPr>
            </w:pPr>
          </w:p>
        </w:tc>
        <w:tc>
          <w:tcPr>
            <w:tcW w:w="240" w:type="dxa"/>
            <w:vAlign w:val="bottom"/>
            <w:tcBorders>
              <w:right w:val="single" w:sz="8" w:color="2D53A6"/>
            </w:tcBorders>
            <w:shd w:val="clear" w:color="auto" w:fill="2D53A6"/>
          </w:tcPr>
          <w:p>
            <w:pPr>
              <w:spacing w:after="0"/>
              <w:rPr>
                <w:sz w:val="19"/>
                <w:szCs w:val="19"/>
                <w:color w:val="auto"/>
              </w:rPr>
            </w:pPr>
          </w:p>
        </w:tc>
        <w:tc>
          <w:tcPr>
            <w:tcW w:w="1260" w:type="dxa"/>
            <w:vAlign w:val="bottom"/>
            <w:tcBorders>
              <w:right w:val="single" w:sz="8" w:color="2D53A6"/>
            </w:tcBorders>
            <w:shd w:val="clear" w:color="auto" w:fill="2D53A6"/>
          </w:tcPr>
          <w:p>
            <w:pPr>
              <w:jc w:val="right"/>
              <w:ind w:right="28"/>
              <w:spacing w:after="0"/>
              <w:rPr>
                <w:sz w:val="20"/>
                <w:szCs w:val="20"/>
                <w:color w:val="auto"/>
              </w:rPr>
            </w:pPr>
            <w:r>
              <w:rPr>
                <w:rFonts w:ascii="Arial" w:cs="Arial" w:eastAsia="Arial" w:hAnsi="Arial"/>
                <w:sz w:val="14"/>
                <w:szCs w:val="14"/>
                <w:b w:val="1"/>
                <w:bCs w:val="1"/>
                <w:color w:val="FFFFFF"/>
                <w:w w:val="98"/>
              </w:rPr>
              <w:t>STOCK AWARDS</w:t>
            </w:r>
          </w:p>
        </w:tc>
        <w:tc>
          <w:tcPr>
            <w:tcW w:w="1260" w:type="dxa"/>
            <w:vAlign w:val="bottom"/>
            <w:tcBorders>
              <w:right w:val="single" w:sz="8" w:color="2D53A6"/>
            </w:tcBorders>
            <w:shd w:val="clear" w:color="auto" w:fill="2D53A6"/>
          </w:tcPr>
          <w:p>
            <w:pPr>
              <w:spacing w:after="0"/>
              <w:rPr>
                <w:sz w:val="19"/>
                <w:szCs w:val="19"/>
                <w:color w:val="auto"/>
              </w:rPr>
            </w:pPr>
          </w:p>
        </w:tc>
        <w:tc>
          <w:tcPr>
            <w:tcW w:w="1160" w:type="dxa"/>
            <w:vAlign w:val="bottom"/>
            <w:tcBorders>
              <w:right w:val="single" w:sz="8" w:color="2D53A6"/>
            </w:tcBorders>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2D53A6"/>
            </w:tcBorders>
            <w:shd w:val="clear" w:color="auto" w:fill="2D53A6"/>
          </w:tcPr>
          <w:p>
            <w:pPr>
              <w:spacing w:after="0" w:line="20" w:lineRule="exact"/>
              <w:rPr>
                <w:sz w:val="1"/>
                <w:szCs w:val="1"/>
                <w:color w:val="auto"/>
              </w:rPr>
            </w:pPr>
          </w:p>
        </w:tc>
        <w:tc>
          <w:tcPr>
            <w:tcW w:w="1280" w:type="dxa"/>
            <w:vAlign w:val="bottom"/>
            <w:tcBorders>
              <w:right w:val="single" w:sz="8" w:color="2D53A6"/>
            </w:tcBorders>
            <w:shd w:val="clear" w:color="auto" w:fill="2D53A6"/>
          </w:tcPr>
          <w:p>
            <w:pPr>
              <w:spacing w:after="0" w:line="20" w:lineRule="exact"/>
              <w:rPr>
                <w:sz w:val="1"/>
                <w:szCs w:val="1"/>
                <w:color w:val="auto"/>
              </w:rPr>
            </w:pPr>
          </w:p>
        </w:tc>
        <w:tc>
          <w:tcPr>
            <w:tcW w:w="124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000" w:type="dxa"/>
            <w:vAlign w:val="bottom"/>
            <w:shd w:val="clear" w:color="auto" w:fill="2D53A6"/>
          </w:tcPr>
          <w:p>
            <w:pPr>
              <w:spacing w:after="0" w:line="20" w:lineRule="exact"/>
              <w:rPr>
                <w:sz w:val="1"/>
                <w:szCs w:val="1"/>
                <w:color w:val="auto"/>
              </w:rPr>
            </w:pPr>
          </w:p>
        </w:tc>
        <w:tc>
          <w:tcPr>
            <w:tcW w:w="24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shd w:val="clear" w:color="auto" w:fill="2D53A6"/>
          </w:tcPr>
          <w:p>
            <w:pPr>
              <w:spacing w:after="0" w:line="20" w:lineRule="exact"/>
              <w:rPr>
                <w:sz w:val="1"/>
                <w:szCs w:val="1"/>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Equity</w:t>
            </w: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line="20" w:lineRule="exact"/>
              <w:rPr>
                <w:sz w:val="1"/>
                <w:szCs w:val="1"/>
                <w:color w:val="auto"/>
              </w:rPr>
            </w:pPr>
          </w:p>
        </w:tc>
      </w:tr>
      <w:tr>
        <w:trPr>
          <w:trHeight w:val="177"/>
        </w:trPr>
        <w:tc>
          <w:tcPr>
            <w:tcW w:w="1280" w:type="dxa"/>
            <w:vAlign w:val="bottom"/>
            <w:tcBorders>
              <w:right w:val="single" w:sz="8" w:color="2D53A6"/>
            </w:tcBorders>
            <w:shd w:val="clear" w:color="auto" w:fill="2D53A6"/>
          </w:tcPr>
          <w:p>
            <w:pPr>
              <w:spacing w:after="0"/>
              <w:rPr>
                <w:sz w:val="15"/>
                <w:szCs w:val="15"/>
                <w:color w:val="auto"/>
              </w:rPr>
            </w:pPr>
          </w:p>
        </w:tc>
        <w:tc>
          <w:tcPr>
            <w:tcW w:w="1280" w:type="dxa"/>
            <w:vAlign w:val="bottom"/>
            <w:tcBorders>
              <w:right w:val="single" w:sz="8" w:color="2D53A6"/>
            </w:tcBorders>
            <w:shd w:val="clear" w:color="auto" w:fill="2D53A6"/>
          </w:tcPr>
          <w:p>
            <w:pPr>
              <w:spacing w:after="0"/>
              <w:rPr>
                <w:sz w:val="15"/>
                <w:szCs w:val="15"/>
                <w:color w:val="auto"/>
              </w:rPr>
            </w:pPr>
          </w:p>
        </w:tc>
        <w:tc>
          <w:tcPr>
            <w:tcW w:w="1240" w:type="dxa"/>
            <w:vAlign w:val="bottom"/>
            <w:tcBorders>
              <w:right w:val="single" w:sz="8" w:color="2D53A6"/>
            </w:tcBorders>
            <w:shd w:val="clear" w:color="auto" w:fill="2D53A6"/>
          </w:tcPr>
          <w:p>
            <w:pPr>
              <w:spacing w:after="0"/>
              <w:rPr>
                <w:sz w:val="15"/>
                <w:szCs w:val="15"/>
                <w:color w:val="auto"/>
              </w:rPr>
            </w:pPr>
          </w:p>
        </w:tc>
        <w:tc>
          <w:tcPr>
            <w:tcW w:w="1260" w:type="dxa"/>
            <w:vAlign w:val="bottom"/>
            <w:tcBorders>
              <w:right w:val="single" w:sz="8" w:color="2D53A6"/>
            </w:tcBorders>
            <w:shd w:val="clear" w:color="auto" w:fill="2D53A6"/>
          </w:tcPr>
          <w:p>
            <w:pPr>
              <w:spacing w:after="0"/>
              <w:rPr>
                <w:sz w:val="15"/>
                <w:szCs w:val="15"/>
                <w:color w:val="auto"/>
              </w:rPr>
            </w:pPr>
          </w:p>
        </w:tc>
        <w:tc>
          <w:tcPr>
            <w:tcW w:w="1260" w:type="dxa"/>
            <w:vAlign w:val="bottom"/>
            <w:tcBorders>
              <w:right w:val="single" w:sz="8" w:color="2D53A6"/>
            </w:tcBorders>
            <w:shd w:val="clear" w:color="auto" w:fill="2D53A6"/>
          </w:tcPr>
          <w:p>
            <w:pPr>
              <w:spacing w:after="0"/>
              <w:rPr>
                <w:sz w:val="15"/>
                <w:szCs w:val="15"/>
                <w:color w:val="auto"/>
              </w:rPr>
            </w:pPr>
          </w:p>
        </w:tc>
        <w:tc>
          <w:tcPr>
            <w:tcW w:w="1000" w:type="dxa"/>
            <w:vAlign w:val="bottom"/>
            <w:shd w:val="clear" w:color="auto" w:fill="2D53A6"/>
          </w:tcPr>
          <w:p>
            <w:pPr>
              <w:spacing w:after="0"/>
              <w:rPr>
                <w:sz w:val="15"/>
                <w:szCs w:val="15"/>
                <w:color w:val="auto"/>
              </w:rPr>
            </w:pPr>
          </w:p>
        </w:tc>
        <w:tc>
          <w:tcPr>
            <w:tcW w:w="240" w:type="dxa"/>
            <w:vAlign w:val="bottom"/>
            <w:tcBorders>
              <w:right w:val="single" w:sz="8" w:color="2D53A6"/>
            </w:tcBorders>
            <w:shd w:val="clear" w:color="auto" w:fill="2D53A6"/>
          </w:tcPr>
          <w:p>
            <w:pPr>
              <w:spacing w:after="0"/>
              <w:rPr>
                <w:sz w:val="15"/>
                <w:szCs w:val="15"/>
                <w:color w:val="auto"/>
              </w:rPr>
            </w:pPr>
          </w:p>
        </w:tc>
        <w:tc>
          <w:tcPr>
            <w:tcW w:w="1260" w:type="dxa"/>
            <w:vAlign w:val="bottom"/>
            <w:tcBorders>
              <w:right w:val="single" w:sz="8" w:color="2D53A6"/>
            </w:tcBorders>
            <w:shd w:val="clear" w:color="auto" w:fill="2D53A6"/>
          </w:tcPr>
          <w:p>
            <w:pPr>
              <w:spacing w:after="0"/>
              <w:rPr>
                <w:sz w:val="15"/>
                <w:szCs w:val="15"/>
                <w:color w:val="auto"/>
              </w:rPr>
            </w:pPr>
          </w:p>
        </w:tc>
        <w:tc>
          <w:tcPr>
            <w:tcW w:w="1260" w:type="dxa"/>
            <w:vAlign w:val="bottom"/>
            <w:tcBorders>
              <w:right w:val="single" w:sz="8" w:color="2D53A6"/>
            </w:tcBorders>
            <w:vMerge w:val="continue"/>
            <w:shd w:val="clear" w:color="auto" w:fill="2D53A6"/>
          </w:tcPr>
          <w:p>
            <w:pPr>
              <w:spacing w:after="0"/>
              <w:rPr>
                <w:sz w:val="15"/>
                <w:szCs w:val="15"/>
                <w:color w:val="auto"/>
              </w:rPr>
            </w:pPr>
          </w:p>
        </w:tc>
        <w:tc>
          <w:tcPr>
            <w:tcW w:w="1160" w:type="dxa"/>
            <w:vAlign w:val="bottom"/>
            <w:tcBorders>
              <w:right w:val="single" w:sz="8" w:color="2D53A6"/>
            </w:tcBorders>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Number of</w:t>
            </w: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restart"/>
            <w:shd w:val="clear" w:color="auto" w:fill="2D53A6"/>
          </w:tcPr>
          <w:p>
            <w:pPr>
              <w:jc w:val="center"/>
              <w:ind w:left="148"/>
              <w:spacing w:after="0"/>
              <w:rPr>
                <w:sz w:val="20"/>
                <w:szCs w:val="20"/>
                <w:color w:val="auto"/>
              </w:rPr>
            </w:pPr>
            <w:r>
              <w:rPr>
                <w:rFonts w:ascii="Arial" w:cs="Arial" w:eastAsia="Arial" w:hAnsi="Arial"/>
                <w:sz w:val="14"/>
                <w:szCs w:val="14"/>
                <w:b w:val="1"/>
                <w:bCs w:val="1"/>
                <w:color w:val="FFFFFF"/>
              </w:rPr>
              <w:t>Number</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Plan Awards:</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Securities</w:t>
            </w: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continue"/>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restart"/>
            <w:shd w:val="clear" w:color="auto" w:fill="2D53A6"/>
          </w:tcPr>
          <w:p>
            <w:pPr>
              <w:jc w:val="center"/>
              <w:ind w:left="148"/>
              <w:spacing w:after="0"/>
              <w:rPr>
                <w:sz w:val="20"/>
                <w:szCs w:val="20"/>
                <w:color w:val="auto"/>
              </w:rPr>
            </w:pPr>
            <w:r>
              <w:rPr>
                <w:rFonts w:ascii="Arial" w:cs="Arial" w:eastAsia="Arial" w:hAnsi="Arial"/>
                <w:sz w:val="14"/>
                <w:szCs w:val="14"/>
                <w:b w:val="1"/>
                <w:bCs w:val="1"/>
                <w:color w:val="FFFFFF"/>
              </w:rPr>
              <w:t>of Shares</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of Shares</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Named</w:t>
            </w: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Underlying</w:t>
            </w:r>
          </w:p>
        </w:tc>
        <w:tc>
          <w:tcPr>
            <w:tcW w:w="12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Option</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Option</w:t>
            </w: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continue"/>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Award Grant</w:t>
            </w:r>
          </w:p>
        </w:tc>
        <w:tc>
          <w:tcPr>
            <w:tcW w:w="1000" w:type="dxa"/>
            <w:vAlign w:val="bottom"/>
            <w:vMerge w:val="restart"/>
            <w:shd w:val="clear" w:color="auto" w:fill="2D53A6"/>
          </w:tcPr>
          <w:p>
            <w:pPr>
              <w:jc w:val="center"/>
              <w:ind w:left="128"/>
              <w:spacing w:after="0"/>
              <w:rPr>
                <w:sz w:val="20"/>
                <w:szCs w:val="20"/>
                <w:color w:val="auto"/>
              </w:rPr>
            </w:pPr>
            <w:r>
              <w:rPr>
                <w:rFonts w:ascii="Arial" w:cs="Arial" w:eastAsia="Arial" w:hAnsi="Arial"/>
                <w:sz w:val="14"/>
                <w:szCs w:val="14"/>
                <w:b w:val="1"/>
                <w:bCs w:val="1"/>
                <w:color w:val="FFFFFF"/>
              </w:rPr>
              <w:t>or Units of</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Units of</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Unearned</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Executive</w:t>
            </w: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2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Exercise</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Expiration</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000" w:type="dxa"/>
            <w:vAlign w:val="bottom"/>
            <w:vMerge w:val="continue"/>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Date</w:t>
            </w:r>
          </w:p>
        </w:tc>
        <w:tc>
          <w:tcPr>
            <w:tcW w:w="1000" w:type="dxa"/>
            <w:vAlign w:val="bottom"/>
            <w:vMerge w:val="restart"/>
            <w:shd w:val="clear" w:color="auto" w:fill="2D53A6"/>
          </w:tcPr>
          <w:p>
            <w:pPr>
              <w:jc w:val="center"/>
              <w:ind w:left="148"/>
              <w:spacing w:after="0"/>
              <w:rPr>
                <w:sz w:val="20"/>
                <w:szCs w:val="20"/>
                <w:color w:val="auto"/>
              </w:rPr>
            </w:pPr>
            <w:r>
              <w:rPr>
                <w:rFonts w:ascii="Arial" w:cs="Arial" w:eastAsia="Arial" w:hAnsi="Arial"/>
                <w:sz w:val="14"/>
                <w:szCs w:val="14"/>
                <w:b w:val="1"/>
                <w:bCs w:val="1"/>
                <w:color w:val="FFFFFF"/>
              </w:rPr>
              <w:t>Stock That</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Stock That</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Shares, Units</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4"/>
                <w:szCs w:val="14"/>
                <w:b w:val="1"/>
                <w:bCs w:val="1"/>
                <w:color w:val="FFFFFF"/>
              </w:rPr>
              <w:t>Officer</w:t>
            </w: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Options</w:t>
            </w:r>
          </w:p>
        </w:tc>
        <w:tc>
          <w:tcPr>
            <w:tcW w:w="12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Price ($)</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Date</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000" w:type="dxa"/>
            <w:vAlign w:val="bottom"/>
            <w:vMerge w:val="continue"/>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restart"/>
            <w:shd w:val="clear" w:color="auto" w:fill="2D53A6"/>
          </w:tcPr>
          <w:p>
            <w:pPr>
              <w:jc w:val="center"/>
              <w:ind w:left="148"/>
              <w:spacing w:after="0" w:line="159" w:lineRule="exact"/>
              <w:rPr>
                <w:sz w:val="20"/>
                <w:szCs w:val="20"/>
                <w:color w:val="auto"/>
              </w:rPr>
            </w:pPr>
            <w:r>
              <w:rPr>
                <w:rFonts w:ascii="Arial" w:cs="Arial" w:eastAsia="Arial" w:hAnsi="Arial"/>
                <w:sz w:val="14"/>
                <w:szCs w:val="14"/>
                <w:b w:val="1"/>
                <w:bCs w:val="1"/>
                <w:color w:val="FFFFFF"/>
              </w:rPr>
              <w:t>Have Not</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or Other</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80" w:type="dxa"/>
            <w:vAlign w:val="bottom"/>
            <w:tcBorders>
              <w:right w:val="single" w:sz="8" w:color="2D53A6"/>
            </w:tcBorders>
            <w:shd w:val="clear" w:color="auto" w:fill="2D53A6"/>
          </w:tcPr>
          <w:p>
            <w:pPr>
              <w:spacing w:after="0"/>
              <w:rPr>
                <w:sz w:val="6"/>
                <w:szCs w:val="6"/>
                <w:color w:val="auto"/>
              </w:rPr>
            </w:pP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24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shd w:val="clear" w:color="auto" w:fill="2D53A6"/>
          </w:tcPr>
          <w:p>
            <w:pPr>
              <w:spacing w:after="0"/>
              <w:rPr>
                <w:sz w:val="6"/>
                <w:szCs w:val="6"/>
                <w:color w:val="auto"/>
              </w:rPr>
            </w:pPr>
          </w:p>
        </w:tc>
        <w:tc>
          <w:tcPr>
            <w:tcW w:w="1000" w:type="dxa"/>
            <w:vAlign w:val="bottom"/>
            <w:vMerge w:val="continue"/>
            <w:shd w:val="clear" w:color="auto" w:fill="2D53A6"/>
          </w:tcPr>
          <w:p>
            <w:pPr>
              <w:spacing w:after="0"/>
              <w:rPr>
                <w:sz w:val="6"/>
                <w:szCs w:val="6"/>
                <w:color w:val="auto"/>
              </w:rPr>
            </w:pPr>
          </w:p>
        </w:tc>
        <w:tc>
          <w:tcPr>
            <w:tcW w:w="24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84"/>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restart"/>
            <w:shd w:val="clear" w:color="auto" w:fill="2D53A6"/>
          </w:tcPr>
          <w:p>
            <w:pPr>
              <w:jc w:val="center"/>
              <w:ind w:left="128"/>
              <w:spacing w:after="0"/>
              <w:rPr>
                <w:sz w:val="20"/>
                <w:szCs w:val="20"/>
                <w:color w:val="auto"/>
              </w:rPr>
            </w:pPr>
            <w:r>
              <w:rPr>
                <w:rFonts w:ascii="Arial" w:cs="Arial" w:eastAsia="Arial" w:hAnsi="Arial"/>
                <w:sz w:val="14"/>
                <w:szCs w:val="14"/>
                <w:b w:val="1"/>
                <w:bCs w:val="1"/>
                <w:color w:val="FFFFFF"/>
              </w:rPr>
              <w:t>Vested (#)</w:t>
            </w: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65" w:lineRule="exact"/>
              <w:rPr>
                <w:sz w:val="20"/>
                <w:szCs w:val="20"/>
                <w:color w:val="auto"/>
              </w:rPr>
            </w:pPr>
            <w:r>
              <w:rPr>
                <w:rFonts w:ascii="Arial" w:cs="Arial" w:eastAsia="Arial" w:hAnsi="Arial"/>
                <w:sz w:val="12"/>
                <w:szCs w:val="12"/>
                <w:b w:val="1"/>
                <w:bCs w:val="1"/>
                <w:color w:val="FFFFFF"/>
              </w:rPr>
              <w:t xml:space="preserve">Vested ($) </w:t>
            </w:r>
            <w:r>
              <w:rPr>
                <w:rFonts w:ascii="Arial" w:cs="Arial" w:eastAsia="Arial" w:hAnsi="Arial"/>
                <w:sz w:val="19"/>
                <w:szCs w:val="19"/>
                <w:b w:val="1"/>
                <w:bCs w:val="1"/>
                <w:color w:val="FFFFFF"/>
                <w:vertAlign w:val="superscript"/>
              </w:rPr>
              <w:t>(2)</w:t>
            </w: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Rights That</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vMerge w:val="continue"/>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1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80" w:type="dxa"/>
            <w:vAlign w:val="bottom"/>
            <w:tcBorders>
              <w:right w:val="single" w:sz="8" w:color="2D53A6"/>
            </w:tcBorders>
            <w:shd w:val="clear" w:color="auto" w:fill="2D53A6"/>
          </w:tcPr>
          <w:p>
            <w:pPr>
              <w:spacing w:after="0"/>
              <w:rPr>
                <w:sz w:val="6"/>
                <w:szCs w:val="6"/>
                <w:color w:val="auto"/>
              </w:rPr>
            </w:pPr>
          </w:p>
        </w:tc>
        <w:tc>
          <w:tcPr>
            <w:tcW w:w="1280" w:type="dxa"/>
            <w:vAlign w:val="bottom"/>
            <w:tcBorders>
              <w:right w:val="single" w:sz="8" w:color="2D53A6"/>
            </w:tcBorders>
            <w:shd w:val="clear" w:color="auto" w:fill="2D53A6"/>
          </w:tcPr>
          <w:p>
            <w:pPr>
              <w:spacing w:after="0"/>
              <w:rPr>
                <w:sz w:val="6"/>
                <w:szCs w:val="6"/>
                <w:color w:val="auto"/>
              </w:rPr>
            </w:pPr>
          </w:p>
        </w:tc>
        <w:tc>
          <w:tcPr>
            <w:tcW w:w="124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shd w:val="clear" w:color="auto" w:fill="2D53A6"/>
          </w:tcPr>
          <w:p>
            <w:pPr>
              <w:spacing w:after="0"/>
              <w:rPr>
                <w:sz w:val="6"/>
                <w:szCs w:val="6"/>
                <w:color w:val="auto"/>
              </w:rPr>
            </w:pPr>
          </w:p>
        </w:tc>
        <w:tc>
          <w:tcPr>
            <w:tcW w:w="1000" w:type="dxa"/>
            <w:vAlign w:val="bottom"/>
            <w:shd w:val="clear" w:color="auto" w:fill="2D53A6"/>
          </w:tcPr>
          <w:p>
            <w:pPr>
              <w:spacing w:after="0"/>
              <w:rPr>
                <w:sz w:val="6"/>
                <w:szCs w:val="6"/>
                <w:color w:val="auto"/>
              </w:rPr>
            </w:pPr>
          </w:p>
        </w:tc>
        <w:tc>
          <w:tcPr>
            <w:tcW w:w="24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shd w:val="clear" w:color="auto" w:fill="2D53A6"/>
          </w:tcPr>
          <w:p>
            <w:pPr>
              <w:spacing w:after="0"/>
              <w:rPr>
                <w:sz w:val="6"/>
                <w:szCs w:val="6"/>
                <w:color w:val="auto"/>
              </w:rPr>
            </w:pP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1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0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229" w:lineRule="exact"/>
              <w:rPr>
                <w:sz w:val="20"/>
                <w:szCs w:val="20"/>
                <w:color w:val="auto"/>
              </w:rPr>
            </w:pPr>
            <w:r>
              <w:rPr>
                <w:rFonts w:ascii="Arial" w:cs="Arial" w:eastAsia="Arial" w:hAnsi="Arial"/>
                <w:sz w:val="14"/>
                <w:szCs w:val="14"/>
                <w:b w:val="1"/>
                <w:bCs w:val="1"/>
                <w:color w:val="FFFFFF"/>
                <w:w w:val="95"/>
              </w:rPr>
              <w:t xml:space="preserve">Vested (#) </w:t>
            </w:r>
            <w:r>
              <w:rPr>
                <w:rFonts w:ascii="Arial" w:cs="Arial" w:eastAsia="Arial" w:hAnsi="Arial"/>
                <w:sz w:val="23"/>
                <w:szCs w:val="23"/>
                <w:b w:val="1"/>
                <w:bCs w:val="1"/>
                <w:color w:val="FFFFFF"/>
                <w:w w:val="95"/>
                <w:vertAlign w:val="superscript"/>
              </w:rPr>
              <w:t>(3)</w:t>
            </w:r>
          </w:p>
        </w:tc>
        <w:tc>
          <w:tcPr>
            <w:tcW w:w="11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280" w:type="dxa"/>
            <w:vAlign w:val="bottom"/>
            <w:tcBorders>
              <w:right w:val="single" w:sz="8" w:color="2D53A6"/>
            </w:tcBorders>
            <w:shd w:val="clear" w:color="auto" w:fill="2D53A6"/>
          </w:tcPr>
          <w:p>
            <w:pPr>
              <w:spacing w:after="0"/>
              <w:rPr>
                <w:sz w:val="12"/>
                <w:szCs w:val="12"/>
                <w:color w:val="auto"/>
              </w:rPr>
            </w:pPr>
          </w:p>
        </w:tc>
        <w:tc>
          <w:tcPr>
            <w:tcW w:w="1280" w:type="dxa"/>
            <w:vAlign w:val="bottom"/>
            <w:tcBorders>
              <w:right w:val="single" w:sz="8" w:color="2D53A6"/>
            </w:tcBorders>
            <w:shd w:val="clear" w:color="auto" w:fill="2D53A6"/>
          </w:tcPr>
          <w:p>
            <w:pPr>
              <w:spacing w:after="0"/>
              <w:rPr>
                <w:sz w:val="12"/>
                <w:szCs w:val="12"/>
                <w:color w:val="auto"/>
              </w:rPr>
            </w:pPr>
          </w:p>
        </w:tc>
        <w:tc>
          <w:tcPr>
            <w:tcW w:w="124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shd w:val="clear" w:color="auto" w:fill="2D53A6"/>
          </w:tcPr>
          <w:p>
            <w:pPr>
              <w:spacing w:after="0"/>
              <w:rPr>
                <w:sz w:val="12"/>
                <w:szCs w:val="12"/>
                <w:color w:val="auto"/>
              </w:rPr>
            </w:pPr>
          </w:p>
        </w:tc>
        <w:tc>
          <w:tcPr>
            <w:tcW w:w="1000" w:type="dxa"/>
            <w:vAlign w:val="bottom"/>
            <w:shd w:val="clear" w:color="auto" w:fill="2D53A6"/>
          </w:tcPr>
          <w:p>
            <w:pPr>
              <w:spacing w:after="0"/>
              <w:rPr>
                <w:sz w:val="12"/>
                <w:szCs w:val="12"/>
                <w:color w:val="auto"/>
              </w:rPr>
            </w:pPr>
          </w:p>
        </w:tc>
        <w:tc>
          <w:tcPr>
            <w:tcW w:w="24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shd w:val="clear" w:color="auto" w:fill="2D53A6"/>
          </w:tcPr>
          <w:p>
            <w:pPr>
              <w:spacing w:after="0"/>
              <w:rPr>
                <w:sz w:val="12"/>
                <w:szCs w:val="12"/>
                <w:color w:val="auto"/>
              </w:rPr>
            </w:pPr>
          </w:p>
        </w:tc>
        <w:tc>
          <w:tcPr>
            <w:tcW w:w="1260" w:type="dxa"/>
            <w:vAlign w:val="bottom"/>
            <w:tcBorders>
              <w:right w:val="single" w:sz="8" w:color="2D53A6"/>
            </w:tcBorders>
            <w:vMerge w:val="continue"/>
            <w:shd w:val="clear" w:color="auto" w:fill="2D53A6"/>
          </w:tcPr>
          <w:p>
            <w:pPr>
              <w:spacing w:after="0"/>
              <w:rPr>
                <w:sz w:val="12"/>
                <w:szCs w:val="12"/>
                <w:color w:val="auto"/>
              </w:rPr>
            </w:pPr>
          </w:p>
        </w:tc>
        <w:tc>
          <w:tcPr>
            <w:tcW w:w="1160" w:type="dxa"/>
            <w:vAlign w:val="bottom"/>
            <w:tcBorders>
              <w:right w:val="single" w:sz="8" w:color="2D53A6"/>
            </w:tcBorders>
            <w:vMerge w:val="restart"/>
            <w:shd w:val="clear" w:color="auto" w:fill="2D53A6"/>
          </w:tcPr>
          <w:p>
            <w:pPr>
              <w:jc w:val="center"/>
              <w:spacing w:after="0" w:line="201" w:lineRule="exact"/>
              <w:rPr>
                <w:sz w:val="20"/>
                <w:szCs w:val="20"/>
                <w:color w:val="auto"/>
              </w:rPr>
            </w:pPr>
            <w:r>
              <w:rPr>
                <w:rFonts w:ascii="Arial" w:cs="Arial" w:eastAsia="Arial" w:hAnsi="Arial"/>
                <w:sz w:val="14"/>
                <w:szCs w:val="14"/>
                <w:b w:val="1"/>
                <w:bCs w:val="1"/>
                <w:color w:val="FFFFFF"/>
                <w:w w:val="95"/>
              </w:rPr>
              <w:t xml:space="preserve">Vested ($) </w:t>
            </w:r>
            <w:r>
              <w:rPr>
                <w:rFonts w:ascii="Arial" w:cs="Arial" w:eastAsia="Arial" w:hAnsi="Arial"/>
                <w:sz w:val="23"/>
                <w:szCs w:val="23"/>
                <w:b w:val="1"/>
                <w:bCs w:val="1"/>
                <w:color w:val="FFFFFF"/>
                <w:w w:val="95"/>
                <w:vertAlign w:val="superscript"/>
              </w:rPr>
              <w:t>(4)</w:t>
            </w:r>
          </w:p>
        </w:tc>
        <w:tc>
          <w:tcPr>
            <w:tcW w:w="0" w:type="dxa"/>
            <w:vAlign w:val="bottom"/>
          </w:tcPr>
          <w:p>
            <w:pPr>
              <w:spacing w:after="0"/>
              <w:rPr>
                <w:sz w:val="1"/>
                <w:szCs w:val="1"/>
                <w:color w:val="auto"/>
              </w:rPr>
            </w:pPr>
          </w:p>
        </w:tc>
      </w:tr>
      <w:tr>
        <w:trPr>
          <w:trHeight w:val="68"/>
        </w:trPr>
        <w:tc>
          <w:tcPr>
            <w:tcW w:w="1280" w:type="dxa"/>
            <w:vAlign w:val="bottom"/>
            <w:tcBorders>
              <w:right w:val="single" w:sz="8" w:color="2D53A6"/>
            </w:tcBorders>
            <w:shd w:val="clear" w:color="auto" w:fill="2D53A6"/>
          </w:tcPr>
          <w:p>
            <w:pPr>
              <w:spacing w:after="0"/>
              <w:rPr>
                <w:sz w:val="5"/>
                <w:szCs w:val="5"/>
                <w:color w:val="auto"/>
              </w:rPr>
            </w:pPr>
          </w:p>
        </w:tc>
        <w:tc>
          <w:tcPr>
            <w:tcW w:w="1280" w:type="dxa"/>
            <w:vAlign w:val="bottom"/>
            <w:tcBorders>
              <w:right w:val="single" w:sz="8" w:color="2D53A6"/>
            </w:tcBorders>
            <w:shd w:val="clear" w:color="auto" w:fill="2D53A6"/>
          </w:tcPr>
          <w:p>
            <w:pPr>
              <w:spacing w:after="0"/>
              <w:rPr>
                <w:sz w:val="5"/>
                <w:szCs w:val="5"/>
                <w:color w:val="auto"/>
              </w:rPr>
            </w:pPr>
          </w:p>
        </w:tc>
        <w:tc>
          <w:tcPr>
            <w:tcW w:w="1240" w:type="dxa"/>
            <w:vAlign w:val="bottom"/>
            <w:tcBorders>
              <w:right w:val="single" w:sz="8" w:color="2D53A6"/>
            </w:tcBorders>
            <w:shd w:val="clear" w:color="auto" w:fill="2D53A6"/>
          </w:tcPr>
          <w:p>
            <w:pPr>
              <w:spacing w:after="0"/>
              <w:rPr>
                <w:sz w:val="5"/>
                <w:szCs w:val="5"/>
                <w:color w:val="auto"/>
              </w:rPr>
            </w:pPr>
          </w:p>
        </w:tc>
        <w:tc>
          <w:tcPr>
            <w:tcW w:w="1260" w:type="dxa"/>
            <w:vAlign w:val="bottom"/>
            <w:tcBorders>
              <w:right w:val="single" w:sz="8" w:color="2D53A6"/>
            </w:tcBorders>
            <w:shd w:val="clear" w:color="auto" w:fill="2D53A6"/>
          </w:tcPr>
          <w:p>
            <w:pPr>
              <w:spacing w:after="0"/>
              <w:rPr>
                <w:sz w:val="5"/>
                <w:szCs w:val="5"/>
                <w:color w:val="auto"/>
              </w:rPr>
            </w:pPr>
          </w:p>
        </w:tc>
        <w:tc>
          <w:tcPr>
            <w:tcW w:w="1260" w:type="dxa"/>
            <w:vAlign w:val="bottom"/>
            <w:tcBorders>
              <w:right w:val="single" w:sz="8" w:color="2D53A6"/>
            </w:tcBorders>
            <w:shd w:val="clear" w:color="auto" w:fill="2D53A6"/>
          </w:tcPr>
          <w:p>
            <w:pPr>
              <w:spacing w:after="0"/>
              <w:rPr>
                <w:sz w:val="5"/>
                <w:szCs w:val="5"/>
                <w:color w:val="auto"/>
              </w:rPr>
            </w:pPr>
          </w:p>
        </w:tc>
        <w:tc>
          <w:tcPr>
            <w:tcW w:w="1000" w:type="dxa"/>
            <w:vAlign w:val="bottom"/>
            <w:shd w:val="clear" w:color="auto" w:fill="2D53A6"/>
          </w:tcPr>
          <w:p>
            <w:pPr>
              <w:spacing w:after="0"/>
              <w:rPr>
                <w:sz w:val="5"/>
                <w:szCs w:val="5"/>
                <w:color w:val="auto"/>
              </w:rPr>
            </w:pPr>
          </w:p>
        </w:tc>
        <w:tc>
          <w:tcPr>
            <w:tcW w:w="240" w:type="dxa"/>
            <w:vAlign w:val="bottom"/>
            <w:tcBorders>
              <w:right w:val="single" w:sz="8" w:color="2D53A6"/>
            </w:tcBorders>
            <w:shd w:val="clear" w:color="auto" w:fill="2D53A6"/>
          </w:tcPr>
          <w:p>
            <w:pPr>
              <w:spacing w:after="0"/>
              <w:rPr>
                <w:sz w:val="5"/>
                <w:szCs w:val="5"/>
                <w:color w:val="auto"/>
              </w:rPr>
            </w:pPr>
          </w:p>
        </w:tc>
        <w:tc>
          <w:tcPr>
            <w:tcW w:w="1260" w:type="dxa"/>
            <w:vAlign w:val="bottom"/>
            <w:tcBorders>
              <w:right w:val="single" w:sz="8" w:color="2D53A6"/>
            </w:tcBorders>
            <w:shd w:val="clear" w:color="auto" w:fill="2D53A6"/>
          </w:tcPr>
          <w:p>
            <w:pPr>
              <w:spacing w:after="0"/>
              <w:rPr>
                <w:sz w:val="5"/>
                <w:szCs w:val="5"/>
                <w:color w:val="auto"/>
              </w:rPr>
            </w:pPr>
          </w:p>
        </w:tc>
        <w:tc>
          <w:tcPr>
            <w:tcW w:w="1260" w:type="dxa"/>
            <w:vAlign w:val="bottom"/>
            <w:tcBorders>
              <w:right w:val="single" w:sz="8" w:color="2D53A6"/>
            </w:tcBorders>
            <w:shd w:val="clear" w:color="auto" w:fill="2D53A6"/>
          </w:tcPr>
          <w:p>
            <w:pPr>
              <w:spacing w:after="0"/>
              <w:rPr>
                <w:sz w:val="5"/>
                <w:szCs w:val="5"/>
                <w:color w:val="auto"/>
              </w:rPr>
            </w:pPr>
          </w:p>
        </w:tc>
        <w:tc>
          <w:tcPr>
            <w:tcW w:w="1160" w:type="dxa"/>
            <w:vAlign w:val="bottom"/>
            <w:tcBorders>
              <w:right w:val="single" w:sz="8" w:color="2D53A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Luis A.</w:t>
            </w:r>
          </w:p>
        </w:tc>
        <w:tc>
          <w:tcPr>
            <w:tcW w:w="128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3/17/2020</w:t>
            </w:r>
          </w:p>
        </w:tc>
        <w:tc>
          <w:tcPr>
            <w:tcW w:w="1000" w:type="dxa"/>
            <w:vAlign w:val="bottom"/>
          </w:tcPr>
          <w:p>
            <w:pPr>
              <w:jc w:val="right"/>
              <w:spacing w:after="0"/>
              <w:rPr>
                <w:sz w:val="20"/>
                <w:szCs w:val="20"/>
                <w:color w:val="auto"/>
              </w:rPr>
            </w:pPr>
            <w:r>
              <w:rPr>
                <w:rFonts w:ascii="Arial" w:cs="Arial" w:eastAsia="Arial" w:hAnsi="Arial"/>
                <w:sz w:val="14"/>
                <w:szCs w:val="14"/>
                <w:color w:val="auto"/>
              </w:rPr>
              <w:t>20,176</w:t>
            </w:r>
          </w:p>
        </w:tc>
        <w:tc>
          <w:tcPr>
            <w:tcW w:w="240" w:type="dxa"/>
            <w:vAlign w:val="bottom"/>
            <w:tcBorders>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714,029</w:t>
            </w:r>
          </w:p>
        </w:tc>
        <w:tc>
          <w:tcPr>
            <w:tcW w:w="126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1280" w:type="dxa"/>
            <w:vAlign w:val="bottom"/>
            <w:tcBorders>
              <w:right w:val="single" w:sz="8" w:color="2D53A6"/>
            </w:tcBorders>
            <w:vMerge w:val="continue"/>
          </w:tcPr>
          <w:p>
            <w:pPr>
              <w:spacing w:after="0"/>
              <w:rPr>
                <w:sz w:val="9"/>
                <w:szCs w:val="9"/>
                <w:color w:val="auto"/>
              </w:rPr>
            </w:pP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3/15/2021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14,302</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506,148</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28,604</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1,012,296</w:t>
            </w:r>
          </w:p>
        </w:tc>
        <w:tc>
          <w:tcPr>
            <w:tcW w:w="0" w:type="dxa"/>
            <w:vAlign w:val="bottom"/>
          </w:tcPr>
          <w:p>
            <w:pPr>
              <w:spacing w:after="0"/>
              <w:rPr>
                <w:sz w:val="1"/>
                <w:szCs w:val="1"/>
                <w:color w:val="auto"/>
              </w:rPr>
            </w:pPr>
          </w:p>
        </w:tc>
      </w:tr>
      <w:tr>
        <w:trPr>
          <w:trHeight w:val="109"/>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Müller</w:t>
            </w: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160" w:type="dxa"/>
            <w:vAlign w:val="bottom"/>
            <w:tcBorders>
              <w:right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tcPr>
          <w:p>
            <w:pPr>
              <w:spacing w:after="0"/>
              <w:rPr>
                <w:sz w:val="7"/>
                <w:szCs w:val="7"/>
                <w:color w:val="auto"/>
              </w:rPr>
            </w:pPr>
          </w:p>
        </w:tc>
        <w:tc>
          <w:tcPr>
            <w:tcW w:w="1280" w:type="dxa"/>
            <w:vAlign w:val="bottom"/>
            <w:tcBorders>
              <w:right w:val="single" w:sz="8" w:color="2D53A6"/>
            </w:tcBorders>
          </w:tcPr>
          <w:p>
            <w:pPr>
              <w:spacing w:after="0"/>
              <w:rPr>
                <w:sz w:val="7"/>
                <w:szCs w:val="7"/>
                <w:color w:val="auto"/>
              </w:rPr>
            </w:pPr>
          </w:p>
        </w:tc>
        <w:tc>
          <w:tcPr>
            <w:tcW w:w="124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3/14/2022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41,133</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1,455,697</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54,844</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1,940,929</w:t>
            </w:r>
          </w:p>
        </w:tc>
        <w:tc>
          <w:tcPr>
            <w:tcW w:w="0" w:type="dxa"/>
            <w:vAlign w:val="bottom"/>
          </w:tcPr>
          <w:p>
            <w:pPr>
              <w:spacing w:after="0"/>
              <w:rPr>
                <w:sz w:val="1"/>
                <w:szCs w:val="1"/>
                <w:color w:val="auto"/>
              </w:rPr>
            </w:pPr>
          </w:p>
        </w:tc>
      </w:tr>
      <w:tr>
        <w:trPr>
          <w:trHeight w:val="135"/>
        </w:trPr>
        <w:tc>
          <w:tcPr>
            <w:tcW w:w="1280" w:type="dxa"/>
            <w:vAlign w:val="bottom"/>
            <w:tcBorders>
              <w:right w:val="single" w:sz="8" w:color="2D53A6"/>
            </w:tcBorders>
          </w:tcPr>
          <w:p>
            <w:pPr>
              <w:spacing w:after="0"/>
              <w:rPr>
                <w:sz w:val="11"/>
                <w:szCs w:val="11"/>
                <w:color w:val="auto"/>
              </w:rPr>
            </w:pPr>
          </w:p>
        </w:tc>
        <w:tc>
          <w:tcPr>
            <w:tcW w:w="1280" w:type="dxa"/>
            <w:vAlign w:val="bottom"/>
            <w:tcBorders>
              <w:right w:val="single" w:sz="8" w:color="2D53A6"/>
            </w:tcBorders>
          </w:tcPr>
          <w:p>
            <w:pPr>
              <w:spacing w:after="0"/>
              <w:rPr>
                <w:sz w:val="11"/>
                <w:szCs w:val="11"/>
                <w:color w:val="auto"/>
              </w:rPr>
            </w:pPr>
          </w:p>
        </w:tc>
        <w:tc>
          <w:tcPr>
            <w:tcW w:w="124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160" w:type="dxa"/>
            <w:vAlign w:val="bottom"/>
            <w:tcBorders>
              <w:right w:val="single" w:sz="8" w:color="2D53A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2D53A6"/>
              <w:right w:val="single" w:sz="8" w:color="2D53A6"/>
            </w:tcBorders>
          </w:tcPr>
          <w:p>
            <w:pPr>
              <w:spacing w:after="0"/>
              <w:rPr>
                <w:sz w:val="19"/>
                <w:szCs w:val="19"/>
                <w:color w:val="auto"/>
              </w:rPr>
            </w:pPr>
          </w:p>
        </w:tc>
        <w:tc>
          <w:tcPr>
            <w:tcW w:w="1280" w:type="dxa"/>
            <w:vAlign w:val="bottom"/>
            <w:tcBorders>
              <w:bottom w:val="single" w:sz="8" w:color="2D53A6"/>
              <w:right w:val="single" w:sz="8" w:color="2D53A6"/>
            </w:tcBorders>
          </w:tcPr>
          <w:p>
            <w:pPr>
              <w:spacing w:after="0"/>
              <w:rPr>
                <w:sz w:val="19"/>
                <w:szCs w:val="19"/>
                <w:color w:val="auto"/>
              </w:rPr>
            </w:pPr>
          </w:p>
        </w:tc>
        <w:tc>
          <w:tcPr>
            <w:tcW w:w="124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3/14/2023</w:t>
            </w:r>
          </w:p>
        </w:tc>
        <w:tc>
          <w:tcPr>
            <w:tcW w:w="1000" w:type="dxa"/>
            <w:vAlign w:val="bottom"/>
            <w:tcBorders>
              <w:bottom w:val="single" w:sz="8" w:color="2D53A6"/>
            </w:tcBorders>
          </w:tcPr>
          <w:p>
            <w:pPr>
              <w:jc w:val="right"/>
              <w:spacing w:after="0"/>
              <w:rPr>
                <w:sz w:val="20"/>
                <w:szCs w:val="20"/>
                <w:color w:val="auto"/>
              </w:rPr>
            </w:pPr>
            <w:r>
              <w:rPr>
                <w:rFonts w:ascii="Arial" w:cs="Arial" w:eastAsia="Arial" w:hAnsi="Arial"/>
                <w:sz w:val="14"/>
                <w:szCs w:val="14"/>
                <w:color w:val="auto"/>
              </w:rPr>
              <w:t>44,004</w:t>
            </w:r>
          </w:p>
        </w:tc>
        <w:tc>
          <w:tcPr>
            <w:tcW w:w="240" w:type="dxa"/>
            <w:vAlign w:val="bottom"/>
            <w:tcBorders>
              <w:bottom w:val="single" w:sz="8" w:color="2D53A6"/>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1,557,302</w:t>
            </w:r>
          </w:p>
        </w:tc>
        <w:tc>
          <w:tcPr>
            <w:tcW w:w="12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66,006</w:t>
            </w:r>
          </w:p>
        </w:tc>
        <w:tc>
          <w:tcPr>
            <w:tcW w:w="11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2,335,952</w:t>
            </w:r>
          </w:p>
        </w:tc>
        <w:tc>
          <w:tcPr>
            <w:tcW w:w="0" w:type="dxa"/>
            <w:vAlign w:val="bottom"/>
          </w:tcPr>
          <w:p>
            <w:pPr>
              <w:spacing w:after="0"/>
              <w:rPr>
                <w:sz w:val="1"/>
                <w:szCs w:val="1"/>
                <w:color w:val="auto"/>
              </w:rPr>
            </w:pPr>
          </w:p>
        </w:tc>
      </w:tr>
      <w:tr>
        <w:trPr>
          <w:trHeight w:val="205"/>
        </w:trPr>
        <w:tc>
          <w:tcPr>
            <w:tcW w:w="128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Jeffrey D.</w:t>
            </w:r>
          </w:p>
        </w:tc>
        <w:tc>
          <w:tcPr>
            <w:tcW w:w="128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3/17/2020</w:t>
            </w:r>
          </w:p>
        </w:tc>
        <w:tc>
          <w:tcPr>
            <w:tcW w:w="10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6,662</w:t>
            </w:r>
          </w:p>
        </w:tc>
        <w:tc>
          <w:tcPr>
            <w:tcW w:w="240" w:type="dxa"/>
            <w:vAlign w:val="bottom"/>
            <w:tcBorders>
              <w:right w:val="single" w:sz="8" w:color="2D53A6"/>
            </w:tcBorders>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235,768</w:t>
            </w:r>
          </w:p>
        </w:tc>
        <w:tc>
          <w:tcPr>
            <w:tcW w:w="126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1280" w:type="dxa"/>
            <w:vAlign w:val="bottom"/>
            <w:tcBorders>
              <w:right w:val="single" w:sz="8" w:color="2D53A6"/>
            </w:tcBorders>
            <w:vMerge w:val="continue"/>
            <w:shd w:val="clear" w:color="auto" w:fill="E6E6E6"/>
          </w:tcPr>
          <w:p>
            <w:pPr>
              <w:spacing w:after="0"/>
              <w:rPr>
                <w:sz w:val="9"/>
                <w:szCs w:val="9"/>
                <w:color w:val="auto"/>
              </w:rPr>
            </w:pPr>
          </w:p>
        </w:tc>
        <w:tc>
          <w:tcPr>
            <w:tcW w:w="1280" w:type="dxa"/>
            <w:vAlign w:val="bottom"/>
            <w:tcBorders>
              <w:right w:val="single" w:sz="8" w:color="2D53A6"/>
            </w:tcBorders>
            <w:shd w:val="clear" w:color="auto" w:fill="E6E6E6"/>
          </w:tcPr>
          <w:p>
            <w:pPr>
              <w:spacing w:after="0"/>
              <w:rPr>
                <w:sz w:val="9"/>
                <w:szCs w:val="9"/>
                <w:color w:val="auto"/>
              </w:rPr>
            </w:pPr>
          </w:p>
        </w:tc>
        <w:tc>
          <w:tcPr>
            <w:tcW w:w="124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3/15/2021</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4,690</w:t>
            </w:r>
          </w:p>
        </w:tc>
        <w:tc>
          <w:tcPr>
            <w:tcW w:w="240" w:type="dxa"/>
            <w:vAlign w:val="bottom"/>
            <w:tcBorders>
              <w:right w:val="single" w:sz="8" w:color="2D53A6"/>
            </w:tcBorders>
            <w:vMerge w:val="restart"/>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165,979</w:t>
            </w:r>
          </w:p>
        </w:tc>
        <w:tc>
          <w:tcPr>
            <w:tcW w:w="1260" w:type="dxa"/>
            <w:vAlign w:val="bottom"/>
            <w:tcBorders>
              <w:right w:val="single" w:sz="8" w:color="2D53A6"/>
            </w:tcBorders>
            <w:vMerge w:val="restart"/>
            <w:shd w:val="clear" w:color="auto" w:fill="E6E6E6"/>
          </w:tcPr>
          <w:p>
            <w:pPr>
              <w:jc w:val="right"/>
              <w:ind w:right="28"/>
              <w:spacing w:after="0"/>
              <w:rPr>
                <w:sz w:val="20"/>
                <w:szCs w:val="20"/>
                <w:color w:val="auto"/>
              </w:rPr>
            </w:pPr>
            <w:r>
              <w:rPr>
                <w:rFonts w:ascii="Arial" w:cs="Arial" w:eastAsia="Arial" w:hAnsi="Arial"/>
                <w:sz w:val="14"/>
                <w:szCs w:val="14"/>
                <w:color w:val="auto"/>
              </w:rPr>
              <w:t>9,382</w:t>
            </w:r>
          </w:p>
        </w:tc>
        <w:tc>
          <w:tcPr>
            <w:tcW w:w="11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332,029</w:t>
            </w:r>
          </w:p>
        </w:tc>
        <w:tc>
          <w:tcPr>
            <w:tcW w:w="0" w:type="dxa"/>
            <w:vAlign w:val="bottom"/>
          </w:tcPr>
          <w:p>
            <w:pPr>
              <w:spacing w:after="0"/>
              <w:rPr>
                <w:sz w:val="1"/>
                <w:szCs w:val="1"/>
                <w:color w:val="auto"/>
              </w:rPr>
            </w:pPr>
          </w:p>
        </w:tc>
      </w:tr>
      <w:tr>
        <w:trPr>
          <w:trHeight w:val="109"/>
        </w:trPr>
        <w:tc>
          <w:tcPr>
            <w:tcW w:w="128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Jones</w:t>
            </w:r>
          </w:p>
        </w:tc>
        <w:tc>
          <w:tcPr>
            <w:tcW w:w="1280" w:type="dxa"/>
            <w:vAlign w:val="bottom"/>
            <w:tcBorders>
              <w:right w:val="single" w:sz="8" w:color="2D53A6"/>
            </w:tcBorders>
            <w:shd w:val="clear" w:color="auto" w:fill="E6E6E6"/>
          </w:tcPr>
          <w:p>
            <w:pPr>
              <w:spacing w:after="0"/>
              <w:rPr>
                <w:sz w:val="9"/>
                <w:szCs w:val="9"/>
                <w:color w:val="auto"/>
              </w:rPr>
            </w:pPr>
          </w:p>
        </w:tc>
        <w:tc>
          <w:tcPr>
            <w:tcW w:w="124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000" w:type="dxa"/>
            <w:vAlign w:val="bottom"/>
            <w:vMerge w:val="continue"/>
            <w:shd w:val="clear" w:color="auto" w:fill="E6E6E6"/>
          </w:tcPr>
          <w:p>
            <w:pPr>
              <w:spacing w:after="0"/>
              <w:rPr>
                <w:sz w:val="9"/>
                <w:szCs w:val="9"/>
                <w:color w:val="auto"/>
              </w:rPr>
            </w:pPr>
          </w:p>
        </w:tc>
        <w:tc>
          <w:tcPr>
            <w:tcW w:w="240" w:type="dxa"/>
            <w:vAlign w:val="bottom"/>
            <w:tcBorders>
              <w:right w:val="single" w:sz="8" w:color="2D53A6"/>
            </w:tcBorders>
            <w:vMerge w:val="continue"/>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160" w:type="dxa"/>
            <w:vAlign w:val="bottom"/>
            <w:tcBorders>
              <w:right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shd w:val="clear" w:color="auto" w:fill="E6E6E6"/>
          </w:tcPr>
          <w:p>
            <w:pPr>
              <w:spacing w:after="0"/>
              <w:rPr>
                <w:sz w:val="7"/>
                <w:szCs w:val="7"/>
                <w:color w:val="auto"/>
              </w:rPr>
            </w:pPr>
          </w:p>
        </w:tc>
        <w:tc>
          <w:tcPr>
            <w:tcW w:w="1280" w:type="dxa"/>
            <w:vAlign w:val="bottom"/>
            <w:tcBorders>
              <w:right w:val="single" w:sz="8" w:color="2D53A6"/>
            </w:tcBorders>
            <w:shd w:val="clear" w:color="auto" w:fill="E6E6E6"/>
          </w:tcPr>
          <w:p>
            <w:pPr>
              <w:spacing w:after="0"/>
              <w:rPr>
                <w:sz w:val="7"/>
                <w:szCs w:val="7"/>
                <w:color w:val="auto"/>
              </w:rPr>
            </w:pPr>
          </w:p>
        </w:tc>
        <w:tc>
          <w:tcPr>
            <w:tcW w:w="1240" w:type="dxa"/>
            <w:vAlign w:val="bottom"/>
            <w:tcBorders>
              <w:right w:val="single" w:sz="8" w:color="2D53A6"/>
            </w:tcBorders>
            <w:shd w:val="clear" w:color="auto" w:fill="E6E6E6"/>
          </w:tcPr>
          <w:p>
            <w:pPr>
              <w:spacing w:after="0"/>
              <w:rPr>
                <w:sz w:val="7"/>
                <w:szCs w:val="7"/>
                <w:color w:val="auto"/>
              </w:rPr>
            </w:pPr>
          </w:p>
        </w:tc>
        <w:tc>
          <w:tcPr>
            <w:tcW w:w="1260" w:type="dxa"/>
            <w:vAlign w:val="bottom"/>
            <w:tcBorders>
              <w:right w:val="single" w:sz="8" w:color="2D53A6"/>
            </w:tcBorders>
            <w:shd w:val="clear" w:color="auto" w:fill="E6E6E6"/>
          </w:tcPr>
          <w:p>
            <w:pPr>
              <w:spacing w:after="0"/>
              <w:rPr>
                <w:sz w:val="7"/>
                <w:szCs w:val="7"/>
                <w:color w:val="auto"/>
              </w:rPr>
            </w:pPr>
          </w:p>
        </w:tc>
        <w:tc>
          <w:tcPr>
            <w:tcW w:w="12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3/14/2022</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13,299</w:t>
            </w:r>
          </w:p>
        </w:tc>
        <w:tc>
          <w:tcPr>
            <w:tcW w:w="240" w:type="dxa"/>
            <w:vAlign w:val="bottom"/>
            <w:tcBorders>
              <w:right w:val="single" w:sz="8" w:color="2D53A6"/>
            </w:tcBorders>
            <w:vMerge w:val="restart"/>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470,652</w:t>
            </w:r>
          </w:p>
        </w:tc>
        <w:tc>
          <w:tcPr>
            <w:tcW w:w="1260" w:type="dxa"/>
            <w:vAlign w:val="bottom"/>
            <w:tcBorders>
              <w:right w:val="single" w:sz="8" w:color="2D53A6"/>
            </w:tcBorders>
            <w:vMerge w:val="restart"/>
            <w:shd w:val="clear" w:color="auto" w:fill="E6E6E6"/>
          </w:tcPr>
          <w:p>
            <w:pPr>
              <w:jc w:val="right"/>
              <w:ind w:right="28"/>
              <w:spacing w:after="0"/>
              <w:rPr>
                <w:sz w:val="20"/>
                <w:szCs w:val="20"/>
                <w:color w:val="auto"/>
              </w:rPr>
            </w:pPr>
            <w:r>
              <w:rPr>
                <w:rFonts w:ascii="Arial" w:cs="Arial" w:eastAsia="Arial" w:hAnsi="Arial"/>
                <w:sz w:val="14"/>
                <w:szCs w:val="14"/>
                <w:color w:val="auto"/>
              </w:rPr>
              <w:t>17,733</w:t>
            </w:r>
          </w:p>
        </w:tc>
        <w:tc>
          <w:tcPr>
            <w:tcW w:w="11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627,571</w:t>
            </w:r>
          </w:p>
        </w:tc>
        <w:tc>
          <w:tcPr>
            <w:tcW w:w="0" w:type="dxa"/>
            <w:vAlign w:val="bottom"/>
          </w:tcPr>
          <w:p>
            <w:pPr>
              <w:spacing w:after="0"/>
              <w:rPr>
                <w:sz w:val="1"/>
                <w:szCs w:val="1"/>
                <w:color w:val="auto"/>
              </w:rPr>
            </w:pPr>
          </w:p>
        </w:tc>
      </w:tr>
      <w:tr>
        <w:trPr>
          <w:trHeight w:val="135"/>
        </w:trPr>
        <w:tc>
          <w:tcPr>
            <w:tcW w:w="1280" w:type="dxa"/>
            <w:vAlign w:val="bottom"/>
            <w:tcBorders>
              <w:right w:val="single" w:sz="8" w:color="2D53A6"/>
            </w:tcBorders>
            <w:shd w:val="clear" w:color="auto" w:fill="E6E6E6"/>
          </w:tcPr>
          <w:p>
            <w:pPr>
              <w:spacing w:after="0"/>
              <w:rPr>
                <w:sz w:val="11"/>
                <w:szCs w:val="11"/>
                <w:color w:val="auto"/>
              </w:rPr>
            </w:pPr>
          </w:p>
        </w:tc>
        <w:tc>
          <w:tcPr>
            <w:tcW w:w="1280" w:type="dxa"/>
            <w:vAlign w:val="bottom"/>
            <w:tcBorders>
              <w:right w:val="single" w:sz="8" w:color="2D53A6"/>
            </w:tcBorders>
            <w:shd w:val="clear" w:color="auto" w:fill="E6E6E6"/>
          </w:tcPr>
          <w:p>
            <w:pPr>
              <w:spacing w:after="0"/>
              <w:rPr>
                <w:sz w:val="11"/>
                <w:szCs w:val="11"/>
                <w:color w:val="auto"/>
              </w:rPr>
            </w:pPr>
          </w:p>
        </w:tc>
        <w:tc>
          <w:tcPr>
            <w:tcW w:w="1240" w:type="dxa"/>
            <w:vAlign w:val="bottom"/>
            <w:tcBorders>
              <w:right w:val="single" w:sz="8" w:color="2D53A6"/>
            </w:tcBorders>
            <w:shd w:val="clear" w:color="auto" w:fill="E6E6E6"/>
          </w:tcPr>
          <w:p>
            <w:pPr>
              <w:spacing w:after="0"/>
              <w:rPr>
                <w:sz w:val="11"/>
                <w:szCs w:val="11"/>
                <w:color w:val="auto"/>
              </w:rPr>
            </w:pPr>
          </w:p>
        </w:tc>
        <w:tc>
          <w:tcPr>
            <w:tcW w:w="1260" w:type="dxa"/>
            <w:vAlign w:val="bottom"/>
            <w:tcBorders>
              <w:right w:val="single" w:sz="8" w:color="2D53A6"/>
            </w:tcBorders>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000" w:type="dxa"/>
            <w:vAlign w:val="bottom"/>
            <w:vMerge w:val="continue"/>
            <w:shd w:val="clear" w:color="auto" w:fill="E6E6E6"/>
          </w:tcPr>
          <w:p>
            <w:pPr>
              <w:spacing w:after="0"/>
              <w:rPr>
                <w:sz w:val="11"/>
                <w:szCs w:val="11"/>
                <w:color w:val="auto"/>
              </w:rPr>
            </w:pPr>
          </w:p>
        </w:tc>
        <w:tc>
          <w:tcPr>
            <w:tcW w:w="240" w:type="dxa"/>
            <w:vAlign w:val="bottom"/>
            <w:tcBorders>
              <w:right w:val="single" w:sz="8" w:color="2D53A6"/>
            </w:tcBorders>
            <w:vMerge w:val="continue"/>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160" w:type="dxa"/>
            <w:vAlign w:val="bottom"/>
            <w:tcBorders>
              <w:right w:val="single" w:sz="8" w:color="2D53A6"/>
            </w:tcBorders>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2D53A6"/>
              <w:right w:val="single" w:sz="8" w:color="2D53A6"/>
            </w:tcBorders>
            <w:shd w:val="clear" w:color="auto" w:fill="E6E6E6"/>
          </w:tcPr>
          <w:p>
            <w:pPr>
              <w:spacing w:after="0"/>
              <w:rPr>
                <w:sz w:val="19"/>
                <w:szCs w:val="19"/>
                <w:color w:val="auto"/>
              </w:rPr>
            </w:pPr>
          </w:p>
        </w:tc>
        <w:tc>
          <w:tcPr>
            <w:tcW w:w="1280" w:type="dxa"/>
            <w:vAlign w:val="bottom"/>
            <w:tcBorders>
              <w:bottom w:val="single" w:sz="8" w:color="2D53A6"/>
              <w:right w:val="single" w:sz="8" w:color="2D53A6"/>
            </w:tcBorders>
            <w:shd w:val="clear" w:color="auto" w:fill="E6E6E6"/>
          </w:tcPr>
          <w:p>
            <w:pPr>
              <w:spacing w:after="0"/>
              <w:rPr>
                <w:sz w:val="19"/>
                <w:szCs w:val="19"/>
                <w:color w:val="auto"/>
              </w:rPr>
            </w:pPr>
          </w:p>
        </w:tc>
        <w:tc>
          <w:tcPr>
            <w:tcW w:w="1240" w:type="dxa"/>
            <w:vAlign w:val="bottom"/>
            <w:tcBorders>
              <w:bottom w:val="single" w:sz="8" w:color="2D53A6"/>
              <w:right w:val="single" w:sz="8" w:color="2D53A6"/>
            </w:tcBorders>
            <w:shd w:val="clear" w:color="auto" w:fill="E6E6E6"/>
          </w:tcPr>
          <w:p>
            <w:pPr>
              <w:spacing w:after="0"/>
              <w:rPr>
                <w:sz w:val="19"/>
                <w:szCs w:val="19"/>
                <w:color w:val="auto"/>
              </w:rPr>
            </w:pPr>
          </w:p>
        </w:tc>
        <w:tc>
          <w:tcPr>
            <w:tcW w:w="1260" w:type="dxa"/>
            <w:vAlign w:val="bottom"/>
            <w:tcBorders>
              <w:bottom w:val="single" w:sz="8" w:color="2D53A6"/>
              <w:right w:val="single" w:sz="8" w:color="2D53A6"/>
            </w:tcBorders>
            <w:shd w:val="clear" w:color="auto" w:fill="E6E6E6"/>
          </w:tcPr>
          <w:p>
            <w:pPr>
              <w:spacing w:after="0"/>
              <w:rPr>
                <w:sz w:val="19"/>
                <w:szCs w:val="19"/>
                <w:color w:val="auto"/>
              </w:rPr>
            </w:pPr>
          </w:p>
        </w:tc>
        <w:tc>
          <w:tcPr>
            <w:tcW w:w="12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3/14/2023</w:t>
            </w:r>
          </w:p>
        </w:tc>
        <w:tc>
          <w:tcPr>
            <w:tcW w:w="10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14,521</w:t>
            </w:r>
          </w:p>
        </w:tc>
        <w:tc>
          <w:tcPr>
            <w:tcW w:w="240" w:type="dxa"/>
            <w:vAlign w:val="bottom"/>
            <w:tcBorders>
              <w:bottom w:val="single" w:sz="8" w:color="2D53A6"/>
              <w:right w:val="single" w:sz="8" w:color="2D53A6"/>
            </w:tcBorders>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bottom w:val="single" w:sz="8" w:color="2D53A6"/>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513,898</w:t>
            </w:r>
          </w:p>
        </w:tc>
        <w:tc>
          <w:tcPr>
            <w:tcW w:w="126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21,782</w:t>
            </w:r>
          </w:p>
        </w:tc>
        <w:tc>
          <w:tcPr>
            <w:tcW w:w="1160" w:type="dxa"/>
            <w:vAlign w:val="bottom"/>
            <w:tcBorders>
              <w:bottom w:val="single" w:sz="8" w:color="2D53A6"/>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770,865</w:t>
            </w:r>
          </w:p>
        </w:tc>
        <w:tc>
          <w:tcPr>
            <w:tcW w:w="0" w:type="dxa"/>
            <w:vAlign w:val="bottom"/>
          </w:tcPr>
          <w:p>
            <w:pPr>
              <w:spacing w:after="0"/>
              <w:rPr>
                <w:sz w:val="1"/>
                <w:szCs w:val="1"/>
                <w:color w:val="auto"/>
              </w:rPr>
            </w:pPr>
          </w:p>
        </w:tc>
      </w:tr>
      <w:tr>
        <w:trPr>
          <w:trHeight w:val="206"/>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Christopher G.</w:t>
            </w:r>
          </w:p>
        </w:tc>
        <w:tc>
          <w:tcPr>
            <w:tcW w:w="128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2D53A6"/>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3/17/2020</w:t>
            </w:r>
          </w:p>
        </w:tc>
        <w:tc>
          <w:tcPr>
            <w:tcW w:w="1000" w:type="dxa"/>
            <w:vAlign w:val="bottom"/>
          </w:tcPr>
          <w:p>
            <w:pPr>
              <w:jc w:val="right"/>
              <w:spacing w:after="0"/>
              <w:rPr>
                <w:sz w:val="20"/>
                <w:szCs w:val="20"/>
                <w:color w:val="auto"/>
              </w:rPr>
            </w:pPr>
            <w:r>
              <w:rPr>
                <w:rFonts w:ascii="Arial" w:cs="Arial" w:eastAsia="Arial" w:hAnsi="Arial"/>
                <w:sz w:val="14"/>
                <w:szCs w:val="14"/>
                <w:color w:val="auto"/>
              </w:rPr>
              <w:t>4,222</w:t>
            </w:r>
          </w:p>
        </w:tc>
        <w:tc>
          <w:tcPr>
            <w:tcW w:w="240" w:type="dxa"/>
            <w:vAlign w:val="bottom"/>
            <w:tcBorders>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149,417</w:t>
            </w:r>
          </w:p>
        </w:tc>
        <w:tc>
          <w:tcPr>
            <w:tcW w:w="126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1280" w:type="dxa"/>
            <w:vAlign w:val="bottom"/>
            <w:tcBorders>
              <w:right w:val="single" w:sz="8" w:color="2D53A6"/>
            </w:tcBorders>
            <w:vMerge w:val="continue"/>
          </w:tcPr>
          <w:p>
            <w:pPr>
              <w:spacing w:after="0"/>
              <w:rPr>
                <w:sz w:val="9"/>
                <w:szCs w:val="9"/>
                <w:color w:val="auto"/>
              </w:rPr>
            </w:pP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3/15/2021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3,088</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109,284</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6,178</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218,639</w:t>
            </w:r>
          </w:p>
        </w:tc>
        <w:tc>
          <w:tcPr>
            <w:tcW w:w="0" w:type="dxa"/>
            <w:vAlign w:val="bottom"/>
          </w:tcPr>
          <w:p>
            <w:pPr>
              <w:spacing w:after="0"/>
              <w:rPr>
                <w:sz w:val="1"/>
                <w:szCs w:val="1"/>
                <w:color w:val="auto"/>
              </w:rPr>
            </w:pPr>
          </w:p>
        </w:tc>
      </w:tr>
      <w:tr>
        <w:trPr>
          <w:trHeight w:val="109"/>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Bohrson</w:t>
            </w: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160" w:type="dxa"/>
            <w:vAlign w:val="bottom"/>
            <w:tcBorders>
              <w:right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tcPr>
          <w:p>
            <w:pPr>
              <w:spacing w:after="0"/>
              <w:rPr>
                <w:sz w:val="7"/>
                <w:szCs w:val="7"/>
                <w:color w:val="auto"/>
              </w:rPr>
            </w:pPr>
          </w:p>
        </w:tc>
        <w:tc>
          <w:tcPr>
            <w:tcW w:w="1280" w:type="dxa"/>
            <w:vAlign w:val="bottom"/>
            <w:tcBorders>
              <w:right w:val="single" w:sz="8" w:color="2D53A6"/>
            </w:tcBorders>
          </w:tcPr>
          <w:p>
            <w:pPr>
              <w:spacing w:after="0"/>
              <w:rPr>
                <w:sz w:val="7"/>
                <w:szCs w:val="7"/>
                <w:color w:val="auto"/>
              </w:rPr>
            </w:pPr>
          </w:p>
        </w:tc>
        <w:tc>
          <w:tcPr>
            <w:tcW w:w="124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3/14/2022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8,775</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310,547</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11,700</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414,063</w:t>
            </w:r>
          </w:p>
        </w:tc>
        <w:tc>
          <w:tcPr>
            <w:tcW w:w="0" w:type="dxa"/>
            <w:vAlign w:val="bottom"/>
          </w:tcPr>
          <w:p>
            <w:pPr>
              <w:spacing w:after="0"/>
              <w:rPr>
                <w:sz w:val="1"/>
                <w:szCs w:val="1"/>
                <w:color w:val="auto"/>
              </w:rPr>
            </w:pPr>
          </w:p>
        </w:tc>
      </w:tr>
      <w:tr>
        <w:trPr>
          <w:trHeight w:val="135"/>
        </w:trPr>
        <w:tc>
          <w:tcPr>
            <w:tcW w:w="1280" w:type="dxa"/>
            <w:vAlign w:val="bottom"/>
            <w:tcBorders>
              <w:right w:val="single" w:sz="8" w:color="2D53A6"/>
            </w:tcBorders>
          </w:tcPr>
          <w:p>
            <w:pPr>
              <w:spacing w:after="0"/>
              <w:rPr>
                <w:sz w:val="11"/>
                <w:szCs w:val="11"/>
                <w:color w:val="auto"/>
              </w:rPr>
            </w:pPr>
          </w:p>
        </w:tc>
        <w:tc>
          <w:tcPr>
            <w:tcW w:w="1280" w:type="dxa"/>
            <w:vAlign w:val="bottom"/>
            <w:tcBorders>
              <w:right w:val="single" w:sz="8" w:color="2D53A6"/>
            </w:tcBorders>
          </w:tcPr>
          <w:p>
            <w:pPr>
              <w:spacing w:after="0"/>
              <w:rPr>
                <w:sz w:val="11"/>
                <w:szCs w:val="11"/>
                <w:color w:val="auto"/>
              </w:rPr>
            </w:pPr>
          </w:p>
        </w:tc>
        <w:tc>
          <w:tcPr>
            <w:tcW w:w="124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160" w:type="dxa"/>
            <w:vAlign w:val="bottom"/>
            <w:tcBorders>
              <w:right w:val="single" w:sz="8" w:color="2D53A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2D53A6"/>
              <w:right w:val="single" w:sz="8" w:color="2D53A6"/>
            </w:tcBorders>
          </w:tcPr>
          <w:p>
            <w:pPr>
              <w:spacing w:after="0"/>
              <w:rPr>
                <w:sz w:val="19"/>
                <w:szCs w:val="19"/>
                <w:color w:val="auto"/>
              </w:rPr>
            </w:pPr>
          </w:p>
        </w:tc>
        <w:tc>
          <w:tcPr>
            <w:tcW w:w="1280" w:type="dxa"/>
            <w:vAlign w:val="bottom"/>
            <w:tcBorders>
              <w:bottom w:val="single" w:sz="8" w:color="2D53A6"/>
              <w:right w:val="single" w:sz="8" w:color="2D53A6"/>
            </w:tcBorders>
          </w:tcPr>
          <w:p>
            <w:pPr>
              <w:spacing w:after="0"/>
              <w:rPr>
                <w:sz w:val="19"/>
                <w:szCs w:val="19"/>
                <w:color w:val="auto"/>
              </w:rPr>
            </w:pPr>
          </w:p>
        </w:tc>
        <w:tc>
          <w:tcPr>
            <w:tcW w:w="124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3/14/2023</w:t>
            </w:r>
          </w:p>
        </w:tc>
        <w:tc>
          <w:tcPr>
            <w:tcW w:w="1000" w:type="dxa"/>
            <w:vAlign w:val="bottom"/>
            <w:tcBorders>
              <w:bottom w:val="single" w:sz="8" w:color="2D53A6"/>
            </w:tcBorders>
          </w:tcPr>
          <w:p>
            <w:pPr>
              <w:jc w:val="right"/>
              <w:spacing w:after="0"/>
              <w:rPr>
                <w:sz w:val="20"/>
                <w:szCs w:val="20"/>
                <w:color w:val="auto"/>
              </w:rPr>
            </w:pPr>
            <w:r>
              <w:rPr>
                <w:rFonts w:ascii="Arial" w:cs="Arial" w:eastAsia="Arial" w:hAnsi="Arial"/>
                <w:sz w:val="14"/>
                <w:szCs w:val="14"/>
                <w:color w:val="auto"/>
              </w:rPr>
              <w:t>11,001</w:t>
            </w:r>
          </w:p>
        </w:tc>
        <w:tc>
          <w:tcPr>
            <w:tcW w:w="240" w:type="dxa"/>
            <w:vAlign w:val="bottom"/>
            <w:tcBorders>
              <w:bottom w:val="single" w:sz="8" w:color="2D53A6"/>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389,325</w:t>
            </w:r>
          </w:p>
        </w:tc>
        <w:tc>
          <w:tcPr>
            <w:tcW w:w="12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16,501</w:t>
            </w:r>
          </w:p>
        </w:tc>
        <w:tc>
          <w:tcPr>
            <w:tcW w:w="11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583,970</w:t>
            </w:r>
          </w:p>
        </w:tc>
        <w:tc>
          <w:tcPr>
            <w:tcW w:w="0" w:type="dxa"/>
            <w:vAlign w:val="bottom"/>
          </w:tcPr>
          <w:p>
            <w:pPr>
              <w:spacing w:after="0"/>
              <w:rPr>
                <w:sz w:val="1"/>
                <w:szCs w:val="1"/>
                <w:color w:val="auto"/>
              </w:rPr>
            </w:pPr>
          </w:p>
        </w:tc>
      </w:tr>
      <w:tr>
        <w:trPr>
          <w:trHeight w:val="206"/>
        </w:trPr>
        <w:tc>
          <w:tcPr>
            <w:tcW w:w="128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Thomas D.</w:t>
            </w:r>
          </w:p>
        </w:tc>
        <w:tc>
          <w:tcPr>
            <w:tcW w:w="128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3/17/2020</w:t>
            </w:r>
          </w:p>
        </w:tc>
        <w:tc>
          <w:tcPr>
            <w:tcW w:w="10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3,003</w:t>
            </w:r>
          </w:p>
        </w:tc>
        <w:tc>
          <w:tcPr>
            <w:tcW w:w="240" w:type="dxa"/>
            <w:vAlign w:val="bottom"/>
            <w:tcBorders>
              <w:right w:val="single" w:sz="8" w:color="2D53A6"/>
            </w:tcBorders>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106,276</w:t>
            </w:r>
          </w:p>
        </w:tc>
        <w:tc>
          <w:tcPr>
            <w:tcW w:w="126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1280" w:type="dxa"/>
            <w:vAlign w:val="bottom"/>
            <w:tcBorders>
              <w:right w:val="single" w:sz="8" w:color="2D53A6"/>
            </w:tcBorders>
            <w:vMerge w:val="continue"/>
            <w:shd w:val="clear" w:color="auto" w:fill="E6E6E6"/>
          </w:tcPr>
          <w:p>
            <w:pPr>
              <w:spacing w:after="0"/>
              <w:rPr>
                <w:sz w:val="9"/>
                <w:szCs w:val="9"/>
                <w:color w:val="auto"/>
              </w:rPr>
            </w:pPr>
          </w:p>
        </w:tc>
        <w:tc>
          <w:tcPr>
            <w:tcW w:w="1280" w:type="dxa"/>
            <w:vAlign w:val="bottom"/>
            <w:tcBorders>
              <w:right w:val="single" w:sz="8" w:color="2D53A6"/>
            </w:tcBorders>
            <w:shd w:val="clear" w:color="auto" w:fill="E6E6E6"/>
          </w:tcPr>
          <w:p>
            <w:pPr>
              <w:spacing w:after="0"/>
              <w:rPr>
                <w:sz w:val="9"/>
                <w:szCs w:val="9"/>
                <w:color w:val="auto"/>
              </w:rPr>
            </w:pPr>
          </w:p>
        </w:tc>
        <w:tc>
          <w:tcPr>
            <w:tcW w:w="124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3/15/2021</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2,288</w:t>
            </w:r>
          </w:p>
        </w:tc>
        <w:tc>
          <w:tcPr>
            <w:tcW w:w="240" w:type="dxa"/>
            <w:vAlign w:val="bottom"/>
            <w:tcBorders>
              <w:right w:val="single" w:sz="8" w:color="2D53A6"/>
            </w:tcBorders>
            <w:vMerge w:val="restart"/>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80,972</w:t>
            </w:r>
          </w:p>
        </w:tc>
        <w:tc>
          <w:tcPr>
            <w:tcW w:w="1260" w:type="dxa"/>
            <w:vAlign w:val="bottom"/>
            <w:tcBorders>
              <w:right w:val="single" w:sz="8" w:color="2D53A6"/>
            </w:tcBorders>
            <w:vMerge w:val="restart"/>
            <w:shd w:val="clear" w:color="auto" w:fill="E6E6E6"/>
          </w:tcPr>
          <w:p>
            <w:pPr>
              <w:jc w:val="right"/>
              <w:ind w:right="28"/>
              <w:spacing w:after="0"/>
              <w:rPr>
                <w:sz w:val="20"/>
                <w:szCs w:val="20"/>
                <w:color w:val="auto"/>
              </w:rPr>
            </w:pPr>
            <w:r>
              <w:rPr>
                <w:rFonts w:ascii="Arial" w:cs="Arial" w:eastAsia="Arial" w:hAnsi="Arial"/>
                <w:sz w:val="14"/>
                <w:szCs w:val="14"/>
                <w:color w:val="auto"/>
              </w:rPr>
              <w:t>4,576</w:t>
            </w:r>
          </w:p>
        </w:tc>
        <w:tc>
          <w:tcPr>
            <w:tcW w:w="11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161,945</w:t>
            </w:r>
          </w:p>
        </w:tc>
        <w:tc>
          <w:tcPr>
            <w:tcW w:w="0" w:type="dxa"/>
            <w:vAlign w:val="bottom"/>
          </w:tcPr>
          <w:p>
            <w:pPr>
              <w:spacing w:after="0"/>
              <w:rPr>
                <w:sz w:val="1"/>
                <w:szCs w:val="1"/>
                <w:color w:val="auto"/>
              </w:rPr>
            </w:pPr>
          </w:p>
        </w:tc>
      </w:tr>
      <w:tr>
        <w:trPr>
          <w:trHeight w:val="109"/>
        </w:trPr>
        <w:tc>
          <w:tcPr>
            <w:tcW w:w="128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4"/>
                <w:szCs w:val="14"/>
                <w:color w:val="auto"/>
              </w:rPr>
              <w:t>Kampfer</w:t>
            </w:r>
          </w:p>
        </w:tc>
        <w:tc>
          <w:tcPr>
            <w:tcW w:w="1280" w:type="dxa"/>
            <w:vAlign w:val="bottom"/>
            <w:tcBorders>
              <w:right w:val="single" w:sz="8" w:color="2D53A6"/>
            </w:tcBorders>
            <w:shd w:val="clear" w:color="auto" w:fill="E6E6E6"/>
          </w:tcPr>
          <w:p>
            <w:pPr>
              <w:spacing w:after="0"/>
              <w:rPr>
                <w:sz w:val="9"/>
                <w:szCs w:val="9"/>
                <w:color w:val="auto"/>
              </w:rPr>
            </w:pPr>
          </w:p>
        </w:tc>
        <w:tc>
          <w:tcPr>
            <w:tcW w:w="124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000" w:type="dxa"/>
            <w:vAlign w:val="bottom"/>
            <w:vMerge w:val="continue"/>
            <w:shd w:val="clear" w:color="auto" w:fill="E6E6E6"/>
          </w:tcPr>
          <w:p>
            <w:pPr>
              <w:spacing w:after="0"/>
              <w:rPr>
                <w:sz w:val="9"/>
                <w:szCs w:val="9"/>
                <w:color w:val="auto"/>
              </w:rPr>
            </w:pPr>
          </w:p>
        </w:tc>
        <w:tc>
          <w:tcPr>
            <w:tcW w:w="240" w:type="dxa"/>
            <w:vAlign w:val="bottom"/>
            <w:tcBorders>
              <w:right w:val="single" w:sz="8" w:color="2D53A6"/>
            </w:tcBorders>
            <w:vMerge w:val="continue"/>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260" w:type="dxa"/>
            <w:vAlign w:val="bottom"/>
            <w:tcBorders>
              <w:right w:val="single" w:sz="8" w:color="2D53A6"/>
            </w:tcBorders>
            <w:vMerge w:val="continue"/>
            <w:shd w:val="clear" w:color="auto" w:fill="E6E6E6"/>
          </w:tcPr>
          <w:p>
            <w:pPr>
              <w:spacing w:after="0"/>
              <w:rPr>
                <w:sz w:val="9"/>
                <w:szCs w:val="9"/>
                <w:color w:val="auto"/>
              </w:rPr>
            </w:pPr>
          </w:p>
        </w:tc>
        <w:tc>
          <w:tcPr>
            <w:tcW w:w="1160" w:type="dxa"/>
            <w:vAlign w:val="bottom"/>
            <w:tcBorders>
              <w:right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shd w:val="clear" w:color="auto" w:fill="E6E6E6"/>
          </w:tcPr>
          <w:p>
            <w:pPr>
              <w:spacing w:after="0"/>
              <w:rPr>
                <w:sz w:val="7"/>
                <w:szCs w:val="7"/>
                <w:color w:val="auto"/>
              </w:rPr>
            </w:pPr>
          </w:p>
        </w:tc>
        <w:tc>
          <w:tcPr>
            <w:tcW w:w="1280" w:type="dxa"/>
            <w:vAlign w:val="bottom"/>
            <w:tcBorders>
              <w:right w:val="single" w:sz="8" w:color="2D53A6"/>
            </w:tcBorders>
            <w:shd w:val="clear" w:color="auto" w:fill="E6E6E6"/>
          </w:tcPr>
          <w:p>
            <w:pPr>
              <w:spacing w:after="0"/>
              <w:rPr>
                <w:sz w:val="7"/>
                <w:szCs w:val="7"/>
                <w:color w:val="auto"/>
              </w:rPr>
            </w:pPr>
          </w:p>
        </w:tc>
        <w:tc>
          <w:tcPr>
            <w:tcW w:w="1240" w:type="dxa"/>
            <w:vAlign w:val="bottom"/>
            <w:tcBorders>
              <w:right w:val="single" w:sz="8" w:color="2D53A6"/>
            </w:tcBorders>
            <w:shd w:val="clear" w:color="auto" w:fill="E6E6E6"/>
          </w:tcPr>
          <w:p>
            <w:pPr>
              <w:spacing w:after="0"/>
              <w:rPr>
                <w:sz w:val="7"/>
                <w:szCs w:val="7"/>
                <w:color w:val="auto"/>
              </w:rPr>
            </w:pPr>
          </w:p>
        </w:tc>
        <w:tc>
          <w:tcPr>
            <w:tcW w:w="1260" w:type="dxa"/>
            <w:vAlign w:val="bottom"/>
            <w:tcBorders>
              <w:right w:val="single" w:sz="8" w:color="2D53A6"/>
            </w:tcBorders>
            <w:shd w:val="clear" w:color="auto" w:fill="E6E6E6"/>
          </w:tcPr>
          <w:p>
            <w:pPr>
              <w:spacing w:after="0"/>
              <w:rPr>
                <w:sz w:val="7"/>
                <w:szCs w:val="7"/>
                <w:color w:val="auto"/>
              </w:rPr>
            </w:pPr>
          </w:p>
        </w:tc>
        <w:tc>
          <w:tcPr>
            <w:tcW w:w="12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3/14/2022</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6,512</w:t>
            </w:r>
          </w:p>
        </w:tc>
        <w:tc>
          <w:tcPr>
            <w:tcW w:w="240" w:type="dxa"/>
            <w:vAlign w:val="bottom"/>
            <w:tcBorders>
              <w:right w:val="single" w:sz="8" w:color="2D53A6"/>
            </w:tcBorders>
            <w:vMerge w:val="restart"/>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230,460</w:t>
            </w:r>
          </w:p>
        </w:tc>
        <w:tc>
          <w:tcPr>
            <w:tcW w:w="1260" w:type="dxa"/>
            <w:vAlign w:val="bottom"/>
            <w:tcBorders>
              <w:right w:val="single" w:sz="8" w:color="2D53A6"/>
            </w:tcBorders>
            <w:vMerge w:val="restart"/>
            <w:shd w:val="clear" w:color="auto" w:fill="E6E6E6"/>
          </w:tcPr>
          <w:p>
            <w:pPr>
              <w:jc w:val="right"/>
              <w:ind w:right="28"/>
              <w:spacing w:after="0"/>
              <w:rPr>
                <w:sz w:val="20"/>
                <w:szCs w:val="20"/>
                <w:color w:val="auto"/>
              </w:rPr>
            </w:pPr>
            <w:r>
              <w:rPr>
                <w:rFonts w:ascii="Arial" w:cs="Arial" w:eastAsia="Arial" w:hAnsi="Arial"/>
                <w:sz w:val="14"/>
                <w:szCs w:val="14"/>
                <w:color w:val="auto"/>
              </w:rPr>
              <w:t>8,683</w:t>
            </w:r>
          </w:p>
        </w:tc>
        <w:tc>
          <w:tcPr>
            <w:tcW w:w="1160" w:type="dxa"/>
            <w:vAlign w:val="bottom"/>
            <w:tcBorders>
              <w:right w:val="single" w:sz="8" w:color="2D53A6"/>
            </w:tcBorders>
            <w:vMerge w:val="restart"/>
            <w:shd w:val="clear" w:color="auto" w:fill="E6E6E6"/>
          </w:tcPr>
          <w:p>
            <w:pPr>
              <w:jc w:val="right"/>
              <w:ind w:right="8"/>
              <w:spacing w:after="0"/>
              <w:rPr>
                <w:sz w:val="20"/>
                <w:szCs w:val="20"/>
                <w:color w:val="auto"/>
              </w:rPr>
            </w:pPr>
            <w:r>
              <w:rPr>
                <w:rFonts w:ascii="Arial" w:cs="Arial" w:eastAsia="Arial" w:hAnsi="Arial"/>
                <w:sz w:val="14"/>
                <w:szCs w:val="14"/>
                <w:color w:val="auto"/>
              </w:rPr>
              <w:t>307,291</w:t>
            </w:r>
          </w:p>
        </w:tc>
        <w:tc>
          <w:tcPr>
            <w:tcW w:w="0" w:type="dxa"/>
            <w:vAlign w:val="bottom"/>
          </w:tcPr>
          <w:p>
            <w:pPr>
              <w:spacing w:after="0"/>
              <w:rPr>
                <w:sz w:val="1"/>
                <w:szCs w:val="1"/>
                <w:color w:val="auto"/>
              </w:rPr>
            </w:pPr>
          </w:p>
        </w:tc>
      </w:tr>
      <w:tr>
        <w:trPr>
          <w:trHeight w:val="135"/>
        </w:trPr>
        <w:tc>
          <w:tcPr>
            <w:tcW w:w="1280" w:type="dxa"/>
            <w:vAlign w:val="bottom"/>
            <w:tcBorders>
              <w:right w:val="single" w:sz="8" w:color="2D53A6"/>
            </w:tcBorders>
            <w:shd w:val="clear" w:color="auto" w:fill="E6E6E6"/>
          </w:tcPr>
          <w:p>
            <w:pPr>
              <w:spacing w:after="0"/>
              <w:rPr>
                <w:sz w:val="11"/>
                <w:szCs w:val="11"/>
                <w:color w:val="auto"/>
              </w:rPr>
            </w:pPr>
          </w:p>
        </w:tc>
        <w:tc>
          <w:tcPr>
            <w:tcW w:w="1280" w:type="dxa"/>
            <w:vAlign w:val="bottom"/>
            <w:tcBorders>
              <w:right w:val="single" w:sz="8" w:color="2D53A6"/>
            </w:tcBorders>
            <w:shd w:val="clear" w:color="auto" w:fill="E6E6E6"/>
          </w:tcPr>
          <w:p>
            <w:pPr>
              <w:spacing w:after="0"/>
              <w:rPr>
                <w:sz w:val="11"/>
                <w:szCs w:val="11"/>
                <w:color w:val="auto"/>
              </w:rPr>
            </w:pPr>
          </w:p>
        </w:tc>
        <w:tc>
          <w:tcPr>
            <w:tcW w:w="1240" w:type="dxa"/>
            <w:vAlign w:val="bottom"/>
            <w:tcBorders>
              <w:right w:val="single" w:sz="8" w:color="2D53A6"/>
            </w:tcBorders>
            <w:shd w:val="clear" w:color="auto" w:fill="E6E6E6"/>
          </w:tcPr>
          <w:p>
            <w:pPr>
              <w:spacing w:after="0"/>
              <w:rPr>
                <w:sz w:val="11"/>
                <w:szCs w:val="11"/>
                <w:color w:val="auto"/>
              </w:rPr>
            </w:pPr>
          </w:p>
        </w:tc>
        <w:tc>
          <w:tcPr>
            <w:tcW w:w="1260" w:type="dxa"/>
            <w:vAlign w:val="bottom"/>
            <w:tcBorders>
              <w:right w:val="single" w:sz="8" w:color="2D53A6"/>
            </w:tcBorders>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000" w:type="dxa"/>
            <w:vAlign w:val="bottom"/>
            <w:vMerge w:val="continue"/>
            <w:shd w:val="clear" w:color="auto" w:fill="E6E6E6"/>
          </w:tcPr>
          <w:p>
            <w:pPr>
              <w:spacing w:after="0"/>
              <w:rPr>
                <w:sz w:val="11"/>
                <w:szCs w:val="11"/>
                <w:color w:val="auto"/>
              </w:rPr>
            </w:pPr>
          </w:p>
        </w:tc>
        <w:tc>
          <w:tcPr>
            <w:tcW w:w="240" w:type="dxa"/>
            <w:vAlign w:val="bottom"/>
            <w:tcBorders>
              <w:right w:val="single" w:sz="8" w:color="2D53A6"/>
            </w:tcBorders>
            <w:vMerge w:val="continue"/>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260" w:type="dxa"/>
            <w:vAlign w:val="bottom"/>
            <w:tcBorders>
              <w:right w:val="single" w:sz="8" w:color="2D53A6"/>
            </w:tcBorders>
            <w:vMerge w:val="continue"/>
            <w:shd w:val="clear" w:color="auto" w:fill="E6E6E6"/>
          </w:tcPr>
          <w:p>
            <w:pPr>
              <w:spacing w:after="0"/>
              <w:rPr>
                <w:sz w:val="11"/>
                <w:szCs w:val="11"/>
                <w:color w:val="auto"/>
              </w:rPr>
            </w:pPr>
          </w:p>
        </w:tc>
        <w:tc>
          <w:tcPr>
            <w:tcW w:w="1160" w:type="dxa"/>
            <w:vAlign w:val="bottom"/>
            <w:tcBorders>
              <w:right w:val="single" w:sz="8" w:color="2D53A6"/>
            </w:tcBorders>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2D53A6"/>
              <w:right w:val="single" w:sz="8" w:color="2D53A6"/>
            </w:tcBorders>
            <w:shd w:val="clear" w:color="auto" w:fill="E6E6E6"/>
          </w:tcPr>
          <w:p>
            <w:pPr>
              <w:spacing w:after="0"/>
              <w:rPr>
                <w:sz w:val="19"/>
                <w:szCs w:val="19"/>
                <w:color w:val="auto"/>
              </w:rPr>
            </w:pPr>
          </w:p>
        </w:tc>
        <w:tc>
          <w:tcPr>
            <w:tcW w:w="1280" w:type="dxa"/>
            <w:vAlign w:val="bottom"/>
            <w:tcBorders>
              <w:bottom w:val="single" w:sz="8" w:color="2D53A6"/>
              <w:right w:val="single" w:sz="8" w:color="2D53A6"/>
            </w:tcBorders>
            <w:shd w:val="clear" w:color="auto" w:fill="E6E6E6"/>
          </w:tcPr>
          <w:p>
            <w:pPr>
              <w:spacing w:after="0"/>
              <w:rPr>
                <w:sz w:val="19"/>
                <w:szCs w:val="19"/>
                <w:color w:val="auto"/>
              </w:rPr>
            </w:pPr>
          </w:p>
        </w:tc>
        <w:tc>
          <w:tcPr>
            <w:tcW w:w="1240" w:type="dxa"/>
            <w:vAlign w:val="bottom"/>
            <w:tcBorders>
              <w:bottom w:val="single" w:sz="8" w:color="2D53A6"/>
              <w:right w:val="single" w:sz="8" w:color="2D53A6"/>
            </w:tcBorders>
            <w:shd w:val="clear" w:color="auto" w:fill="E6E6E6"/>
          </w:tcPr>
          <w:p>
            <w:pPr>
              <w:spacing w:after="0"/>
              <w:rPr>
                <w:sz w:val="19"/>
                <w:szCs w:val="19"/>
                <w:color w:val="auto"/>
              </w:rPr>
            </w:pPr>
          </w:p>
        </w:tc>
        <w:tc>
          <w:tcPr>
            <w:tcW w:w="1260" w:type="dxa"/>
            <w:vAlign w:val="bottom"/>
            <w:tcBorders>
              <w:bottom w:val="single" w:sz="8" w:color="2D53A6"/>
              <w:right w:val="single" w:sz="8" w:color="2D53A6"/>
            </w:tcBorders>
            <w:shd w:val="clear" w:color="auto" w:fill="E6E6E6"/>
          </w:tcPr>
          <w:p>
            <w:pPr>
              <w:spacing w:after="0"/>
              <w:rPr>
                <w:sz w:val="19"/>
                <w:szCs w:val="19"/>
                <w:color w:val="auto"/>
              </w:rPr>
            </w:pPr>
          </w:p>
        </w:tc>
        <w:tc>
          <w:tcPr>
            <w:tcW w:w="12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4"/>
                <w:szCs w:val="14"/>
                <w:color w:val="auto"/>
              </w:rPr>
              <w:t>3/14/2023</w:t>
            </w:r>
          </w:p>
        </w:tc>
        <w:tc>
          <w:tcPr>
            <w:tcW w:w="10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6,600</w:t>
            </w:r>
          </w:p>
        </w:tc>
        <w:tc>
          <w:tcPr>
            <w:tcW w:w="240" w:type="dxa"/>
            <w:vAlign w:val="bottom"/>
            <w:tcBorders>
              <w:bottom w:val="single" w:sz="8" w:color="2D53A6"/>
              <w:right w:val="single" w:sz="8" w:color="2D53A6"/>
            </w:tcBorders>
            <w:shd w:val="clear" w:color="auto" w:fill="E6E6E6"/>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bottom w:val="single" w:sz="8" w:color="2D53A6"/>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233,574</w:t>
            </w:r>
          </w:p>
        </w:tc>
        <w:tc>
          <w:tcPr>
            <w:tcW w:w="126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9,900</w:t>
            </w:r>
          </w:p>
        </w:tc>
        <w:tc>
          <w:tcPr>
            <w:tcW w:w="1160" w:type="dxa"/>
            <w:vAlign w:val="bottom"/>
            <w:tcBorders>
              <w:bottom w:val="single" w:sz="8" w:color="2D53A6"/>
              <w:right w:val="single" w:sz="8" w:color="2D53A6"/>
            </w:tcBorders>
            <w:shd w:val="clear" w:color="auto" w:fill="E6E6E6"/>
          </w:tcPr>
          <w:p>
            <w:pPr>
              <w:jc w:val="right"/>
              <w:ind w:right="8"/>
              <w:spacing w:after="0"/>
              <w:rPr>
                <w:sz w:val="20"/>
                <w:szCs w:val="20"/>
                <w:color w:val="auto"/>
              </w:rPr>
            </w:pPr>
            <w:r>
              <w:rPr>
                <w:rFonts w:ascii="Arial" w:cs="Arial" w:eastAsia="Arial" w:hAnsi="Arial"/>
                <w:sz w:val="14"/>
                <w:szCs w:val="14"/>
                <w:color w:val="auto"/>
              </w:rPr>
              <w:t>350,361</w:t>
            </w:r>
          </w:p>
        </w:tc>
        <w:tc>
          <w:tcPr>
            <w:tcW w:w="0" w:type="dxa"/>
            <w:vAlign w:val="bottom"/>
          </w:tcPr>
          <w:p>
            <w:pPr>
              <w:spacing w:after="0"/>
              <w:rPr>
                <w:sz w:val="1"/>
                <w:szCs w:val="1"/>
                <w:color w:val="auto"/>
              </w:rPr>
            </w:pPr>
          </w:p>
        </w:tc>
      </w:tr>
      <w:tr>
        <w:trPr>
          <w:trHeight w:val="205"/>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Ian P.</w:t>
            </w:r>
          </w:p>
        </w:tc>
        <w:tc>
          <w:tcPr>
            <w:tcW w:w="128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2D53A6"/>
            </w:tcBorders>
          </w:tcPr>
          <w:p>
            <w:pPr>
              <w:jc w:val="center"/>
              <w:spacing w:after="0"/>
              <w:rPr>
                <w:sz w:val="20"/>
                <w:szCs w:val="20"/>
                <w:color w:val="auto"/>
              </w:rPr>
            </w:pPr>
            <w:r>
              <w:rPr>
                <w:rFonts w:ascii="Arial" w:cs="Arial" w:eastAsia="Arial" w:hAnsi="Arial"/>
                <w:sz w:val="14"/>
                <w:szCs w:val="14"/>
                <w:color w:val="auto"/>
              </w:rPr>
              <w:t>3/17/2020</w:t>
            </w:r>
          </w:p>
        </w:tc>
        <w:tc>
          <w:tcPr>
            <w:tcW w:w="1000" w:type="dxa"/>
            <w:vAlign w:val="bottom"/>
          </w:tcPr>
          <w:p>
            <w:pPr>
              <w:jc w:val="right"/>
              <w:spacing w:after="0"/>
              <w:rPr>
                <w:sz w:val="20"/>
                <w:szCs w:val="20"/>
                <w:color w:val="auto"/>
              </w:rPr>
            </w:pPr>
            <w:r>
              <w:rPr>
                <w:rFonts w:ascii="Arial" w:cs="Arial" w:eastAsia="Arial" w:hAnsi="Arial"/>
                <w:sz w:val="14"/>
                <w:szCs w:val="14"/>
                <w:color w:val="auto"/>
              </w:rPr>
              <w:t>2,815</w:t>
            </w:r>
          </w:p>
        </w:tc>
        <w:tc>
          <w:tcPr>
            <w:tcW w:w="240" w:type="dxa"/>
            <w:vAlign w:val="bottom"/>
            <w:tcBorders>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99,623</w:t>
            </w:r>
          </w:p>
        </w:tc>
        <w:tc>
          <w:tcPr>
            <w:tcW w:w="126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2D53A6"/>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1280" w:type="dxa"/>
            <w:vAlign w:val="bottom"/>
            <w:tcBorders>
              <w:right w:val="single" w:sz="8" w:color="2D53A6"/>
            </w:tcBorders>
            <w:vMerge w:val="continue"/>
          </w:tcPr>
          <w:p>
            <w:pPr>
              <w:spacing w:after="0"/>
              <w:rPr>
                <w:sz w:val="9"/>
                <w:szCs w:val="9"/>
                <w:color w:val="auto"/>
              </w:rPr>
            </w:pP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3/15/2021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2,002</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70,851</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4,004</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141,702</w:t>
            </w:r>
          </w:p>
        </w:tc>
        <w:tc>
          <w:tcPr>
            <w:tcW w:w="0" w:type="dxa"/>
            <w:vAlign w:val="bottom"/>
          </w:tcPr>
          <w:p>
            <w:pPr>
              <w:spacing w:after="0"/>
              <w:rPr>
                <w:sz w:val="1"/>
                <w:szCs w:val="1"/>
                <w:color w:val="auto"/>
              </w:rPr>
            </w:pPr>
          </w:p>
        </w:tc>
      </w:tr>
      <w:tr>
        <w:trPr>
          <w:trHeight w:val="109"/>
        </w:trPr>
        <w:tc>
          <w:tcPr>
            <w:tcW w:w="12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4"/>
                <w:szCs w:val="14"/>
                <w:color w:val="auto"/>
              </w:rPr>
              <w:t>Lawee</w:t>
            </w:r>
          </w:p>
        </w:tc>
        <w:tc>
          <w:tcPr>
            <w:tcW w:w="1280" w:type="dxa"/>
            <w:vAlign w:val="bottom"/>
            <w:tcBorders>
              <w:right w:val="single" w:sz="8" w:color="2D53A6"/>
            </w:tcBorders>
          </w:tcPr>
          <w:p>
            <w:pPr>
              <w:spacing w:after="0"/>
              <w:rPr>
                <w:sz w:val="9"/>
                <w:szCs w:val="9"/>
                <w:color w:val="auto"/>
              </w:rPr>
            </w:pPr>
          </w:p>
        </w:tc>
        <w:tc>
          <w:tcPr>
            <w:tcW w:w="124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260" w:type="dxa"/>
            <w:vAlign w:val="bottom"/>
            <w:tcBorders>
              <w:right w:val="single" w:sz="8" w:color="2D53A6"/>
            </w:tcBorders>
            <w:vMerge w:val="continue"/>
          </w:tcPr>
          <w:p>
            <w:pPr>
              <w:spacing w:after="0"/>
              <w:rPr>
                <w:sz w:val="9"/>
                <w:szCs w:val="9"/>
                <w:color w:val="auto"/>
              </w:rPr>
            </w:pPr>
          </w:p>
        </w:tc>
        <w:tc>
          <w:tcPr>
            <w:tcW w:w="1160" w:type="dxa"/>
            <w:vAlign w:val="bottom"/>
            <w:tcBorders>
              <w:right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2D53A6"/>
            </w:tcBorders>
            <w:vMerge w:val="continue"/>
          </w:tcPr>
          <w:p>
            <w:pPr>
              <w:spacing w:after="0"/>
              <w:rPr>
                <w:sz w:val="7"/>
                <w:szCs w:val="7"/>
                <w:color w:val="auto"/>
              </w:rPr>
            </w:pPr>
          </w:p>
        </w:tc>
        <w:tc>
          <w:tcPr>
            <w:tcW w:w="1280" w:type="dxa"/>
            <w:vAlign w:val="bottom"/>
            <w:tcBorders>
              <w:right w:val="single" w:sz="8" w:color="2D53A6"/>
            </w:tcBorders>
          </w:tcPr>
          <w:p>
            <w:pPr>
              <w:spacing w:after="0"/>
              <w:rPr>
                <w:sz w:val="7"/>
                <w:szCs w:val="7"/>
                <w:color w:val="auto"/>
              </w:rPr>
            </w:pPr>
          </w:p>
        </w:tc>
        <w:tc>
          <w:tcPr>
            <w:tcW w:w="124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tcPr>
          <w:p>
            <w:pPr>
              <w:spacing w:after="0"/>
              <w:rPr>
                <w:sz w:val="7"/>
                <w:szCs w:val="7"/>
                <w:color w:val="auto"/>
              </w:rPr>
            </w:pPr>
          </w:p>
        </w:tc>
        <w:tc>
          <w:tcPr>
            <w:tcW w:w="12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4"/>
                <w:szCs w:val="14"/>
                <w:color w:val="auto"/>
              </w:rPr>
              <w:t>3/14/2022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5,758</w:t>
            </w:r>
          </w:p>
        </w:tc>
        <w:tc>
          <w:tcPr>
            <w:tcW w:w="240" w:type="dxa"/>
            <w:vAlign w:val="bottom"/>
            <w:tcBorders>
              <w:right w:val="single" w:sz="8" w:color="2D53A6"/>
            </w:tcBorders>
            <w:vMerge w:val="restart"/>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203,776</w:t>
            </w:r>
          </w:p>
        </w:tc>
        <w:tc>
          <w:tcPr>
            <w:tcW w:w="1260" w:type="dxa"/>
            <w:vAlign w:val="bottom"/>
            <w:tcBorders>
              <w:right w:val="single" w:sz="8" w:color="2D53A6"/>
            </w:tcBorders>
            <w:vMerge w:val="restart"/>
          </w:tcPr>
          <w:p>
            <w:pPr>
              <w:jc w:val="right"/>
              <w:ind w:right="28"/>
              <w:spacing w:after="0"/>
              <w:rPr>
                <w:sz w:val="20"/>
                <w:szCs w:val="20"/>
                <w:color w:val="auto"/>
              </w:rPr>
            </w:pPr>
            <w:r>
              <w:rPr>
                <w:rFonts w:ascii="Arial" w:cs="Arial" w:eastAsia="Arial" w:hAnsi="Arial"/>
                <w:sz w:val="14"/>
                <w:szCs w:val="14"/>
                <w:color w:val="auto"/>
              </w:rPr>
              <w:t>7,678</w:t>
            </w:r>
          </w:p>
        </w:tc>
        <w:tc>
          <w:tcPr>
            <w:tcW w:w="1160" w:type="dxa"/>
            <w:vAlign w:val="bottom"/>
            <w:tcBorders>
              <w:right w:val="single" w:sz="8" w:color="2D53A6"/>
            </w:tcBorders>
            <w:vMerge w:val="restart"/>
          </w:tcPr>
          <w:p>
            <w:pPr>
              <w:jc w:val="right"/>
              <w:ind w:right="8"/>
              <w:spacing w:after="0"/>
              <w:rPr>
                <w:sz w:val="20"/>
                <w:szCs w:val="20"/>
                <w:color w:val="auto"/>
              </w:rPr>
            </w:pPr>
            <w:r>
              <w:rPr>
                <w:rFonts w:ascii="Arial" w:cs="Arial" w:eastAsia="Arial" w:hAnsi="Arial"/>
                <w:sz w:val="14"/>
                <w:szCs w:val="14"/>
                <w:color w:val="auto"/>
              </w:rPr>
              <w:t>271,724</w:t>
            </w:r>
          </w:p>
        </w:tc>
        <w:tc>
          <w:tcPr>
            <w:tcW w:w="0" w:type="dxa"/>
            <w:vAlign w:val="bottom"/>
          </w:tcPr>
          <w:p>
            <w:pPr>
              <w:spacing w:after="0"/>
              <w:rPr>
                <w:sz w:val="1"/>
                <w:szCs w:val="1"/>
                <w:color w:val="auto"/>
              </w:rPr>
            </w:pPr>
          </w:p>
        </w:tc>
      </w:tr>
      <w:tr>
        <w:trPr>
          <w:trHeight w:val="135"/>
        </w:trPr>
        <w:tc>
          <w:tcPr>
            <w:tcW w:w="1280" w:type="dxa"/>
            <w:vAlign w:val="bottom"/>
            <w:tcBorders>
              <w:right w:val="single" w:sz="8" w:color="2D53A6"/>
            </w:tcBorders>
          </w:tcPr>
          <w:p>
            <w:pPr>
              <w:spacing w:after="0"/>
              <w:rPr>
                <w:sz w:val="11"/>
                <w:szCs w:val="11"/>
                <w:color w:val="auto"/>
              </w:rPr>
            </w:pPr>
          </w:p>
        </w:tc>
        <w:tc>
          <w:tcPr>
            <w:tcW w:w="1280" w:type="dxa"/>
            <w:vAlign w:val="bottom"/>
            <w:tcBorders>
              <w:right w:val="single" w:sz="8" w:color="2D53A6"/>
            </w:tcBorders>
          </w:tcPr>
          <w:p>
            <w:pPr>
              <w:spacing w:after="0"/>
              <w:rPr>
                <w:sz w:val="11"/>
                <w:szCs w:val="11"/>
                <w:color w:val="auto"/>
              </w:rPr>
            </w:pPr>
          </w:p>
        </w:tc>
        <w:tc>
          <w:tcPr>
            <w:tcW w:w="124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260" w:type="dxa"/>
            <w:vAlign w:val="bottom"/>
            <w:tcBorders>
              <w:right w:val="single" w:sz="8" w:color="2D53A6"/>
            </w:tcBorders>
            <w:vMerge w:val="continue"/>
          </w:tcPr>
          <w:p>
            <w:pPr>
              <w:spacing w:after="0"/>
              <w:rPr>
                <w:sz w:val="11"/>
                <w:szCs w:val="11"/>
                <w:color w:val="auto"/>
              </w:rPr>
            </w:pPr>
          </w:p>
        </w:tc>
        <w:tc>
          <w:tcPr>
            <w:tcW w:w="1160" w:type="dxa"/>
            <w:vAlign w:val="bottom"/>
            <w:tcBorders>
              <w:right w:val="single" w:sz="8" w:color="2D53A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2D53A6"/>
              <w:right w:val="single" w:sz="8" w:color="2D53A6"/>
            </w:tcBorders>
          </w:tcPr>
          <w:p>
            <w:pPr>
              <w:spacing w:after="0"/>
              <w:rPr>
                <w:sz w:val="19"/>
                <w:szCs w:val="19"/>
                <w:color w:val="auto"/>
              </w:rPr>
            </w:pPr>
          </w:p>
        </w:tc>
        <w:tc>
          <w:tcPr>
            <w:tcW w:w="1280" w:type="dxa"/>
            <w:vAlign w:val="bottom"/>
            <w:tcBorders>
              <w:bottom w:val="single" w:sz="8" w:color="2D53A6"/>
              <w:right w:val="single" w:sz="8" w:color="2D53A6"/>
            </w:tcBorders>
          </w:tcPr>
          <w:p>
            <w:pPr>
              <w:spacing w:after="0"/>
              <w:rPr>
                <w:sz w:val="19"/>
                <w:szCs w:val="19"/>
                <w:color w:val="auto"/>
              </w:rPr>
            </w:pPr>
          </w:p>
        </w:tc>
        <w:tc>
          <w:tcPr>
            <w:tcW w:w="124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spacing w:after="0"/>
              <w:rPr>
                <w:sz w:val="19"/>
                <w:szCs w:val="19"/>
                <w:color w:val="auto"/>
              </w:rPr>
            </w:pPr>
          </w:p>
        </w:tc>
        <w:tc>
          <w:tcPr>
            <w:tcW w:w="12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3/14/2023</w:t>
            </w:r>
          </w:p>
        </w:tc>
        <w:tc>
          <w:tcPr>
            <w:tcW w:w="1000" w:type="dxa"/>
            <w:vAlign w:val="bottom"/>
            <w:tcBorders>
              <w:bottom w:val="single" w:sz="8" w:color="2D53A6"/>
            </w:tcBorders>
          </w:tcPr>
          <w:p>
            <w:pPr>
              <w:jc w:val="right"/>
              <w:spacing w:after="0"/>
              <w:rPr>
                <w:sz w:val="20"/>
                <w:szCs w:val="20"/>
                <w:color w:val="auto"/>
              </w:rPr>
            </w:pPr>
            <w:r>
              <w:rPr>
                <w:rFonts w:ascii="Arial" w:cs="Arial" w:eastAsia="Arial" w:hAnsi="Arial"/>
                <w:sz w:val="14"/>
                <w:szCs w:val="14"/>
                <w:color w:val="auto"/>
              </w:rPr>
              <w:t>4,620</w:t>
            </w:r>
          </w:p>
        </w:tc>
        <w:tc>
          <w:tcPr>
            <w:tcW w:w="240" w:type="dxa"/>
            <w:vAlign w:val="bottom"/>
            <w:tcBorders>
              <w:bottom w:val="single" w:sz="8" w:color="2D53A6"/>
              <w:right w:val="single" w:sz="8" w:color="2D53A6"/>
            </w:tcBorders>
          </w:tcPr>
          <w:p>
            <w:pPr>
              <w:jc w:val="right"/>
              <w:ind w:right="20"/>
              <w:spacing w:after="0"/>
              <w:rPr>
                <w:sz w:val="20"/>
                <w:szCs w:val="20"/>
                <w:color w:val="auto"/>
              </w:rPr>
            </w:pPr>
            <w:r>
              <w:rPr>
                <w:rFonts w:ascii="Arial" w:cs="Arial" w:eastAsia="Arial" w:hAnsi="Arial"/>
                <w:sz w:val="12"/>
                <w:szCs w:val="12"/>
                <w:color w:val="auto"/>
                <w:w w:val="95"/>
              </w:rPr>
              <w:t>(1)</w:t>
            </w:r>
          </w:p>
        </w:tc>
        <w:tc>
          <w:tcPr>
            <w:tcW w:w="12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163,502</w:t>
            </w:r>
          </w:p>
        </w:tc>
        <w:tc>
          <w:tcPr>
            <w:tcW w:w="12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6,930</w:t>
            </w:r>
          </w:p>
        </w:tc>
        <w:tc>
          <w:tcPr>
            <w:tcW w:w="116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245,253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RSUs vest and shares are issued in four equal annual installments beginning one year after the date of grant.</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closing market price of Cohu’s common stock of $35.39 per share as reported on the Nasdaq Global Select Market on December 30, 2023.</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PSUs granted under the 2021, 2022 and 2023 PSU program at the target award level. PSUs granted in 2021, 2022 and 2023 may be earned and vest 100% on the third anniversary of their grant.</w:t>
      </w:r>
    </w:p>
    <w:p>
      <w:pPr>
        <w:ind w:left="340" w:right="100" w:hanging="332"/>
        <w:spacing w:after="0" w:line="26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closing price of Cohu’s common stock of $35.39 as reported on the Nasdaq Global Select Market on December 30, 2023. RSUs vest and shares are issued in four equal annual installments beginning one year after the date of grant.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Option Exercise and Stock Vested Table</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shows the value realized upon all stock awards vested and the value realized upon vesting by our NEOs during 2023. No stock options were exercised by our NEOs nor are any stock options outstanding in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880" w:type="dxa"/>
            <w:vAlign w:val="bottom"/>
            <w:tcBorders>
              <w:right w:val="single" w:sz="8" w:color="2D53A6"/>
            </w:tcBorders>
            <w:shd w:val="clear" w:color="auto" w:fill="2D53A6"/>
          </w:tcPr>
          <w:p>
            <w:pPr>
              <w:spacing w:after="0"/>
              <w:rPr>
                <w:sz w:val="23"/>
                <w:szCs w:val="23"/>
                <w:color w:val="auto"/>
              </w:rPr>
            </w:pPr>
          </w:p>
        </w:tc>
        <w:tc>
          <w:tcPr>
            <w:tcW w:w="3360" w:type="dxa"/>
            <w:vAlign w:val="bottom"/>
            <w:tcBorders>
              <w:right w:val="single" w:sz="8" w:color="2D53A6"/>
            </w:tcBorders>
            <w:gridSpan w:val="2"/>
            <w:shd w:val="clear" w:color="auto" w:fill="2D53A6"/>
          </w:tcPr>
          <w:p>
            <w:pPr>
              <w:jc w:val="right"/>
              <w:ind w:right="992"/>
              <w:spacing w:after="0"/>
              <w:rPr>
                <w:sz w:val="20"/>
                <w:szCs w:val="20"/>
                <w:color w:val="auto"/>
              </w:rPr>
            </w:pPr>
            <w:r>
              <w:rPr>
                <w:rFonts w:ascii="Arial" w:cs="Arial" w:eastAsia="Arial" w:hAnsi="Arial"/>
                <w:sz w:val="18"/>
                <w:szCs w:val="18"/>
                <w:b w:val="1"/>
                <w:bCs w:val="1"/>
                <w:color w:val="FFFFFF"/>
              </w:rPr>
              <w:t>Stock Awards</w:t>
            </w:r>
          </w:p>
        </w:tc>
      </w:tr>
      <w:tr>
        <w:trPr>
          <w:trHeight w:val="212"/>
        </w:trPr>
        <w:tc>
          <w:tcPr>
            <w:tcW w:w="788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7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Number</w:t>
            </w:r>
          </w:p>
        </w:tc>
        <w:tc>
          <w:tcPr>
            <w:tcW w:w="1660" w:type="dxa"/>
            <w:vAlign w:val="bottom"/>
            <w:tcBorders>
              <w:right w:val="single" w:sz="8" w:color="2D53A6"/>
            </w:tcBorders>
            <w:shd w:val="clear" w:color="auto" w:fill="2D53A6"/>
          </w:tcPr>
          <w:p>
            <w:pPr>
              <w:spacing w:after="0"/>
              <w:rPr>
                <w:sz w:val="18"/>
                <w:szCs w:val="18"/>
                <w:color w:val="auto"/>
              </w:rPr>
            </w:pPr>
          </w:p>
        </w:tc>
      </w:tr>
      <w:tr>
        <w:trPr>
          <w:trHeight w:val="208"/>
        </w:trPr>
        <w:tc>
          <w:tcPr>
            <w:tcW w:w="7880" w:type="dxa"/>
            <w:vAlign w:val="bottom"/>
            <w:tcBorders>
              <w:right w:val="single" w:sz="8" w:color="2D53A6"/>
            </w:tcBorders>
            <w:shd w:val="clear" w:color="auto" w:fill="2D53A6"/>
          </w:tcPr>
          <w:p>
            <w:pPr>
              <w:spacing w:after="0"/>
              <w:rPr>
                <w:sz w:val="18"/>
                <w:szCs w:val="18"/>
                <w:color w:val="auto"/>
              </w:rPr>
            </w:pPr>
          </w:p>
        </w:tc>
        <w:tc>
          <w:tcPr>
            <w:tcW w:w="17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of Shares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Value Realized</w:t>
            </w:r>
          </w:p>
        </w:tc>
      </w:tr>
      <w:tr>
        <w:trPr>
          <w:trHeight w:val="203"/>
        </w:trPr>
        <w:tc>
          <w:tcPr>
            <w:tcW w:w="7880" w:type="dxa"/>
            <w:vAlign w:val="bottom"/>
            <w:tcBorders>
              <w:right w:val="single" w:sz="8" w:color="2D53A6"/>
            </w:tcBorders>
            <w:shd w:val="clear" w:color="auto" w:fill="2D53A6"/>
          </w:tcPr>
          <w:p>
            <w:pPr>
              <w:spacing w:after="0"/>
              <w:rPr>
                <w:sz w:val="17"/>
                <w:szCs w:val="17"/>
                <w:color w:val="auto"/>
              </w:rPr>
            </w:pPr>
          </w:p>
        </w:tc>
        <w:tc>
          <w:tcPr>
            <w:tcW w:w="170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Acquired on</w:t>
            </w:r>
          </w:p>
        </w:tc>
        <w:tc>
          <w:tcPr>
            <w:tcW w:w="16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on Vesting ($)</w:t>
            </w:r>
          </w:p>
        </w:tc>
      </w:tr>
      <w:tr>
        <w:trPr>
          <w:trHeight w:val="257"/>
        </w:trPr>
        <w:tc>
          <w:tcPr>
            <w:tcW w:w="7880" w:type="dxa"/>
            <w:vAlign w:val="bottom"/>
            <w:tcBorders>
              <w:right w:val="single" w:sz="8" w:color="2D53A6"/>
            </w:tcBorders>
            <w:shd w:val="clear" w:color="auto" w:fill="2D53A6"/>
          </w:tcPr>
          <w:p>
            <w:pPr>
              <w:spacing w:after="0"/>
              <w:rPr>
                <w:sz w:val="22"/>
                <w:szCs w:val="22"/>
                <w:color w:val="auto"/>
              </w:rPr>
            </w:pPr>
          </w:p>
        </w:tc>
        <w:tc>
          <w:tcPr>
            <w:tcW w:w="17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 xml:space="preserve">Vesting (#) </w:t>
            </w:r>
            <w:r>
              <w:rPr>
                <w:rFonts w:ascii="Arial" w:cs="Arial" w:eastAsia="Arial" w:hAnsi="Arial"/>
                <w:sz w:val="14"/>
                <w:szCs w:val="14"/>
                <w:b w:val="1"/>
                <w:bCs w:val="1"/>
                <w:color w:val="FFFFFF"/>
                <w:w w:val="99"/>
              </w:rPr>
              <w:t>(1)</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5"/>
                <w:szCs w:val="15"/>
                <w:b w:val="1"/>
                <w:bCs w:val="1"/>
                <w:color w:val="FFFFFF"/>
                <w:w w:val="97"/>
              </w:rPr>
              <w:t>(2)</w:t>
            </w:r>
          </w:p>
        </w:tc>
      </w:tr>
      <w:tr>
        <w:trPr>
          <w:trHeight w:val="252"/>
        </w:trPr>
        <w:tc>
          <w:tcPr>
            <w:tcW w:w="78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700" w:type="dxa"/>
            <w:vAlign w:val="bottom"/>
            <w:tcBorders>
              <w:bottom w:val="single" w:sz="8" w:color="2D53A6"/>
              <w:right w:val="single" w:sz="8" w:color="2D53A6"/>
            </w:tcBorders>
          </w:tcPr>
          <w:p>
            <w:pPr>
              <w:jc w:val="right"/>
              <w:ind w:right="70"/>
              <w:spacing w:after="0"/>
              <w:rPr>
                <w:sz w:val="20"/>
                <w:szCs w:val="20"/>
                <w:color w:val="auto"/>
              </w:rPr>
            </w:pPr>
            <w:r>
              <w:rPr>
                <w:rFonts w:ascii="Arial" w:cs="Arial" w:eastAsia="Arial" w:hAnsi="Arial"/>
                <w:sz w:val="18"/>
                <w:szCs w:val="18"/>
                <w:color w:val="auto"/>
              </w:rPr>
              <w:t>170,152</w:t>
            </w:r>
          </w:p>
        </w:tc>
        <w:tc>
          <w:tcPr>
            <w:tcW w:w="1660" w:type="dxa"/>
            <w:vAlign w:val="bottom"/>
            <w:tcBorders>
              <w:bottom w:val="single" w:sz="8" w:color="2D53A6"/>
              <w:right w:val="single" w:sz="8" w:color="2D53A6"/>
            </w:tcBorders>
          </w:tcPr>
          <w:p>
            <w:pPr>
              <w:jc w:val="right"/>
              <w:ind w:right="52"/>
              <w:spacing w:after="0"/>
              <w:rPr>
                <w:sz w:val="20"/>
                <w:szCs w:val="20"/>
                <w:color w:val="auto"/>
              </w:rPr>
            </w:pPr>
            <w:r>
              <w:rPr>
                <w:rFonts w:ascii="Arial" w:cs="Arial" w:eastAsia="Arial" w:hAnsi="Arial"/>
                <w:sz w:val="18"/>
                <w:szCs w:val="18"/>
                <w:color w:val="auto"/>
              </w:rPr>
              <w:t>6,328,916</w:t>
            </w:r>
          </w:p>
        </w:tc>
      </w:tr>
      <w:tr>
        <w:trPr>
          <w:trHeight w:val="250"/>
        </w:trPr>
        <w:tc>
          <w:tcPr>
            <w:tcW w:w="78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700" w:type="dxa"/>
            <w:vAlign w:val="bottom"/>
            <w:tcBorders>
              <w:bottom w:val="single" w:sz="8" w:color="2D53A6"/>
              <w:right w:val="single" w:sz="8" w:color="2D53A6"/>
            </w:tcBorders>
            <w:shd w:val="clear" w:color="auto" w:fill="E6E6E6"/>
          </w:tcPr>
          <w:p>
            <w:pPr>
              <w:jc w:val="right"/>
              <w:ind w:right="70"/>
              <w:spacing w:after="0"/>
              <w:rPr>
                <w:sz w:val="20"/>
                <w:szCs w:val="20"/>
                <w:color w:val="auto"/>
              </w:rPr>
            </w:pPr>
            <w:r>
              <w:rPr>
                <w:rFonts w:ascii="Arial" w:cs="Arial" w:eastAsia="Arial" w:hAnsi="Arial"/>
                <w:sz w:val="18"/>
                <w:szCs w:val="18"/>
                <w:color w:val="auto"/>
              </w:rPr>
              <w:t>56,773</w:t>
            </w:r>
          </w:p>
        </w:tc>
        <w:tc>
          <w:tcPr>
            <w:tcW w:w="1660" w:type="dxa"/>
            <w:vAlign w:val="bottom"/>
            <w:tcBorders>
              <w:bottom w:val="single" w:sz="8" w:color="2D53A6"/>
              <w:right w:val="single" w:sz="8" w:color="2D53A6"/>
            </w:tcBorders>
            <w:shd w:val="clear" w:color="auto" w:fill="E6E6E6"/>
          </w:tcPr>
          <w:p>
            <w:pPr>
              <w:jc w:val="right"/>
              <w:ind w:right="52"/>
              <w:spacing w:after="0"/>
              <w:rPr>
                <w:sz w:val="20"/>
                <w:szCs w:val="20"/>
                <w:color w:val="auto"/>
              </w:rPr>
            </w:pPr>
            <w:r>
              <w:rPr>
                <w:rFonts w:ascii="Arial" w:cs="Arial" w:eastAsia="Arial" w:hAnsi="Arial"/>
                <w:sz w:val="18"/>
                <w:szCs w:val="18"/>
                <w:color w:val="auto"/>
              </w:rPr>
              <w:t>2,111,733</w:t>
            </w:r>
          </w:p>
        </w:tc>
      </w:tr>
      <w:tr>
        <w:trPr>
          <w:trHeight w:val="250"/>
        </w:trPr>
        <w:tc>
          <w:tcPr>
            <w:tcW w:w="78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700" w:type="dxa"/>
            <w:vAlign w:val="bottom"/>
            <w:tcBorders>
              <w:bottom w:val="single" w:sz="8" w:color="2D53A6"/>
              <w:right w:val="single" w:sz="8" w:color="2D53A6"/>
            </w:tcBorders>
          </w:tcPr>
          <w:p>
            <w:pPr>
              <w:jc w:val="right"/>
              <w:ind w:right="70"/>
              <w:spacing w:after="0"/>
              <w:rPr>
                <w:sz w:val="20"/>
                <w:szCs w:val="20"/>
                <w:color w:val="auto"/>
              </w:rPr>
            </w:pPr>
            <w:r>
              <w:rPr>
                <w:rFonts w:ascii="Arial" w:cs="Arial" w:eastAsia="Arial" w:hAnsi="Arial"/>
                <w:sz w:val="18"/>
                <w:szCs w:val="18"/>
                <w:color w:val="auto"/>
              </w:rPr>
              <w:t>36,338</w:t>
            </w:r>
          </w:p>
        </w:tc>
        <w:tc>
          <w:tcPr>
            <w:tcW w:w="1660" w:type="dxa"/>
            <w:vAlign w:val="bottom"/>
            <w:tcBorders>
              <w:bottom w:val="single" w:sz="8" w:color="2D53A6"/>
              <w:right w:val="single" w:sz="8" w:color="2D53A6"/>
            </w:tcBorders>
          </w:tcPr>
          <w:p>
            <w:pPr>
              <w:jc w:val="right"/>
              <w:ind w:right="52"/>
              <w:spacing w:after="0"/>
              <w:rPr>
                <w:sz w:val="20"/>
                <w:szCs w:val="20"/>
                <w:color w:val="auto"/>
              </w:rPr>
            </w:pPr>
            <w:r>
              <w:rPr>
                <w:rFonts w:ascii="Arial" w:cs="Arial" w:eastAsia="Arial" w:hAnsi="Arial"/>
                <w:sz w:val="18"/>
                <w:szCs w:val="18"/>
                <w:color w:val="auto"/>
              </w:rPr>
              <w:t>1,351,606</w:t>
            </w:r>
          </w:p>
        </w:tc>
      </w:tr>
      <w:tr>
        <w:trPr>
          <w:trHeight w:val="250"/>
        </w:trPr>
        <w:tc>
          <w:tcPr>
            <w:tcW w:w="78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1700" w:type="dxa"/>
            <w:vAlign w:val="bottom"/>
            <w:tcBorders>
              <w:bottom w:val="single" w:sz="8" w:color="2D53A6"/>
              <w:right w:val="single" w:sz="8" w:color="2D53A6"/>
            </w:tcBorders>
            <w:shd w:val="clear" w:color="auto" w:fill="E6E6E6"/>
          </w:tcPr>
          <w:p>
            <w:pPr>
              <w:jc w:val="right"/>
              <w:ind w:right="70"/>
              <w:spacing w:after="0"/>
              <w:rPr>
                <w:sz w:val="20"/>
                <w:szCs w:val="20"/>
                <w:color w:val="auto"/>
              </w:rPr>
            </w:pPr>
            <w:r>
              <w:rPr>
                <w:rFonts w:ascii="Arial" w:cs="Arial" w:eastAsia="Arial" w:hAnsi="Arial"/>
                <w:sz w:val="18"/>
                <w:szCs w:val="18"/>
                <w:color w:val="auto"/>
              </w:rPr>
              <w:t>26,460</w:t>
            </w:r>
          </w:p>
        </w:tc>
        <w:tc>
          <w:tcPr>
            <w:tcW w:w="1660" w:type="dxa"/>
            <w:vAlign w:val="bottom"/>
            <w:tcBorders>
              <w:bottom w:val="single" w:sz="8" w:color="2D53A6"/>
              <w:right w:val="single" w:sz="8" w:color="2D53A6"/>
            </w:tcBorders>
            <w:shd w:val="clear" w:color="auto" w:fill="E6E6E6"/>
          </w:tcPr>
          <w:p>
            <w:pPr>
              <w:jc w:val="right"/>
              <w:ind w:right="52"/>
              <w:spacing w:after="0"/>
              <w:rPr>
                <w:sz w:val="20"/>
                <w:szCs w:val="20"/>
                <w:color w:val="auto"/>
              </w:rPr>
            </w:pPr>
            <w:r>
              <w:rPr>
                <w:rFonts w:ascii="Arial" w:cs="Arial" w:eastAsia="Arial" w:hAnsi="Arial"/>
                <w:sz w:val="18"/>
                <w:szCs w:val="18"/>
                <w:color w:val="auto"/>
              </w:rPr>
              <w:t>984,179</w:t>
            </w:r>
          </w:p>
        </w:tc>
      </w:tr>
      <w:tr>
        <w:trPr>
          <w:trHeight w:val="250"/>
        </w:trPr>
        <w:tc>
          <w:tcPr>
            <w:tcW w:w="78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Ian P. Lawee</w:t>
            </w:r>
          </w:p>
        </w:tc>
        <w:tc>
          <w:tcPr>
            <w:tcW w:w="1700" w:type="dxa"/>
            <w:vAlign w:val="bottom"/>
            <w:tcBorders>
              <w:bottom w:val="single" w:sz="8" w:color="2D53A6"/>
              <w:right w:val="single" w:sz="8" w:color="2D53A6"/>
            </w:tcBorders>
          </w:tcPr>
          <w:p>
            <w:pPr>
              <w:jc w:val="right"/>
              <w:ind w:right="70"/>
              <w:spacing w:after="0"/>
              <w:rPr>
                <w:sz w:val="20"/>
                <w:szCs w:val="20"/>
                <w:color w:val="auto"/>
              </w:rPr>
            </w:pPr>
            <w:r>
              <w:rPr>
                <w:rFonts w:ascii="Arial" w:cs="Arial" w:eastAsia="Arial" w:hAnsi="Arial"/>
                <w:sz w:val="18"/>
                <w:szCs w:val="18"/>
                <w:color w:val="auto"/>
              </w:rPr>
              <w:t>21,689</w:t>
            </w:r>
          </w:p>
        </w:tc>
        <w:tc>
          <w:tcPr>
            <w:tcW w:w="1660" w:type="dxa"/>
            <w:vAlign w:val="bottom"/>
            <w:tcBorders>
              <w:bottom w:val="single" w:sz="8" w:color="2D53A6"/>
              <w:right w:val="single" w:sz="8" w:color="2D53A6"/>
            </w:tcBorders>
          </w:tcPr>
          <w:p>
            <w:pPr>
              <w:jc w:val="right"/>
              <w:ind w:right="52"/>
              <w:spacing w:after="0"/>
              <w:rPr>
                <w:sz w:val="20"/>
                <w:szCs w:val="20"/>
                <w:color w:val="auto"/>
              </w:rPr>
            </w:pPr>
            <w:r>
              <w:rPr>
                <w:rFonts w:ascii="Arial" w:cs="Arial" w:eastAsia="Arial" w:hAnsi="Arial"/>
                <w:sz w:val="18"/>
                <w:szCs w:val="18"/>
                <w:color w:val="auto"/>
              </w:rPr>
              <w:t>806,685</w:t>
            </w:r>
          </w:p>
        </w:tc>
      </w:tr>
    </w:tbl>
    <w:p>
      <w:pPr>
        <w:spacing w:after="0" w:line="193" w:lineRule="exact"/>
        <w:rPr>
          <w:sz w:val="20"/>
          <w:szCs w:val="20"/>
          <w:color w:val="auto"/>
        </w:rPr>
      </w:pPr>
    </w:p>
    <w:p>
      <w:pPr>
        <w:ind w:left="340" w:hanging="332"/>
        <w:spacing w:after="0" w:line="25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Number of shares acquired on vesting is before reduction for shares withheld to cover tax withholding. Cohu withheld the following number of shares for tax withholding: Dr. Müller, 87,122 shares; Mr. Jones, 28,151 shares; Mr. Bohrson, 18,019 shares, Mr. Kampfer, 13,122 shares; and Mr. Lawee, 9,621 shares.</w:t>
      </w:r>
    </w:p>
    <w:p>
      <w:pPr>
        <w:spacing w:after="0" w:line="1" w:lineRule="exact"/>
        <w:rPr>
          <w:rFonts w:ascii="Arial" w:cs="Arial" w:eastAsia="Arial" w:hAnsi="Arial"/>
          <w:sz w:val="14"/>
          <w:szCs w:val="14"/>
          <w:color w:val="auto"/>
        </w:rPr>
      </w:pPr>
    </w:p>
    <w:p>
      <w:pPr>
        <w:ind w:left="340" w:right="240" w:hanging="332"/>
        <w:spacing w:after="0" w:line="26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value realized equals the number of units that vested multiplied by the per-share closing price of Cohu’s common stock on the vesting date. Amounts presented are gross amounts before required tax withholding.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Nonqualified Deferred Compensation</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2023, none of our NEOs have any amounts deferred under the Deferred Compensation Plan.</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30, 2023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 and amounts quoted in footnotes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right w:val="single" w:sz="8" w:color="2D53A6"/>
            </w:tcBorders>
            <w:shd w:val="clear" w:color="auto" w:fill="2D53A6"/>
          </w:tcPr>
          <w:p>
            <w:pPr>
              <w:spacing w:after="0"/>
              <w:rPr>
                <w:sz w:val="17"/>
                <w:szCs w:val="17"/>
                <w:color w:val="auto"/>
              </w:rPr>
            </w:pPr>
          </w:p>
        </w:tc>
        <w:tc>
          <w:tcPr>
            <w:tcW w:w="23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Number of securities</w:t>
            </w:r>
          </w:p>
        </w:tc>
        <w:tc>
          <w:tcPr>
            <w:tcW w:w="2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Weighted average</w:t>
            </w:r>
          </w:p>
        </w:tc>
        <w:tc>
          <w:tcPr>
            <w:tcW w:w="30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Number of securities available</w:t>
            </w:r>
          </w:p>
        </w:tc>
        <w:tc>
          <w:tcPr>
            <w:tcW w:w="0" w:type="dxa"/>
            <w:vAlign w:val="bottom"/>
          </w:tcPr>
          <w:p>
            <w:pPr>
              <w:spacing w:after="0"/>
              <w:rPr>
                <w:sz w:val="1"/>
                <w:szCs w:val="1"/>
                <w:color w:val="auto"/>
              </w:rPr>
            </w:pPr>
          </w:p>
        </w:tc>
      </w:tr>
      <w:tr>
        <w:trPr>
          <w:trHeight w:val="95"/>
        </w:trPr>
        <w:tc>
          <w:tcPr>
            <w:tcW w:w="3480" w:type="dxa"/>
            <w:vAlign w:val="bottom"/>
            <w:tcBorders>
              <w:right w:val="single" w:sz="8" w:color="2D53A6"/>
            </w:tcBorders>
            <w:shd w:val="clear" w:color="auto" w:fill="2D53A6"/>
          </w:tcPr>
          <w:p>
            <w:pPr>
              <w:spacing w:after="0"/>
              <w:rPr>
                <w:sz w:val="8"/>
                <w:szCs w:val="8"/>
                <w:color w:val="auto"/>
              </w:rPr>
            </w:pPr>
          </w:p>
        </w:tc>
        <w:tc>
          <w:tcPr>
            <w:tcW w:w="236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to be issued</w:t>
            </w:r>
          </w:p>
        </w:tc>
        <w:tc>
          <w:tcPr>
            <w:tcW w:w="2340" w:type="dxa"/>
            <w:vAlign w:val="bottom"/>
            <w:tcBorders>
              <w:right w:val="single" w:sz="8" w:color="2D53A6"/>
            </w:tcBorders>
            <w:vMerge w:val="continue"/>
            <w:shd w:val="clear" w:color="auto" w:fill="2D53A6"/>
          </w:tcPr>
          <w:p>
            <w:pPr>
              <w:spacing w:after="0"/>
              <w:rPr>
                <w:sz w:val="8"/>
                <w:szCs w:val="8"/>
                <w:color w:val="auto"/>
              </w:rPr>
            </w:pPr>
          </w:p>
        </w:tc>
        <w:tc>
          <w:tcPr>
            <w:tcW w:w="30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shd w:val="clear" w:color="auto" w:fill="2D53A6"/>
          </w:tcPr>
          <w:p>
            <w:pPr>
              <w:spacing w:after="0"/>
              <w:rPr>
                <w:sz w:val="9"/>
                <w:szCs w:val="9"/>
                <w:color w:val="auto"/>
              </w:rPr>
            </w:pPr>
          </w:p>
        </w:tc>
        <w:tc>
          <w:tcPr>
            <w:tcW w:w="2360" w:type="dxa"/>
            <w:vAlign w:val="bottom"/>
            <w:tcBorders>
              <w:right w:val="single" w:sz="8" w:color="2D53A6"/>
            </w:tcBorders>
            <w:vMerge w:val="continue"/>
            <w:shd w:val="clear" w:color="auto" w:fill="2D53A6"/>
          </w:tcPr>
          <w:p>
            <w:pPr>
              <w:spacing w:after="0"/>
              <w:rPr>
                <w:sz w:val="9"/>
                <w:szCs w:val="9"/>
                <w:color w:val="auto"/>
              </w:rPr>
            </w:pPr>
          </w:p>
        </w:tc>
        <w:tc>
          <w:tcPr>
            <w:tcW w:w="23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exercise price of</w:t>
            </w:r>
          </w:p>
        </w:tc>
        <w:tc>
          <w:tcPr>
            <w:tcW w:w="3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for future issuance under</w:t>
            </w:r>
          </w:p>
        </w:tc>
        <w:tc>
          <w:tcPr>
            <w:tcW w:w="0" w:type="dxa"/>
            <w:vAlign w:val="bottom"/>
          </w:tcPr>
          <w:p>
            <w:pPr>
              <w:spacing w:after="0"/>
              <w:rPr>
                <w:sz w:val="1"/>
                <w:szCs w:val="1"/>
                <w:color w:val="auto"/>
              </w:rPr>
            </w:pPr>
          </w:p>
        </w:tc>
      </w:tr>
      <w:tr>
        <w:trPr>
          <w:trHeight w:val="95"/>
        </w:trPr>
        <w:tc>
          <w:tcPr>
            <w:tcW w:w="3480" w:type="dxa"/>
            <w:vAlign w:val="bottom"/>
            <w:tcBorders>
              <w:right w:val="single" w:sz="8" w:color="2D53A6"/>
            </w:tcBorders>
            <w:shd w:val="clear" w:color="auto" w:fill="2D53A6"/>
          </w:tcPr>
          <w:p>
            <w:pPr>
              <w:spacing w:after="0"/>
              <w:rPr>
                <w:sz w:val="8"/>
                <w:szCs w:val="8"/>
                <w:color w:val="auto"/>
              </w:rPr>
            </w:pPr>
          </w:p>
        </w:tc>
        <w:tc>
          <w:tcPr>
            <w:tcW w:w="236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upon exercise of</w:t>
            </w:r>
          </w:p>
        </w:tc>
        <w:tc>
          <w:tcPr>
            <w:tcW w:w="2340" w:type="dxa"/>
            <w:vAlign w:val="bottom"/>
            <w:tcBorders>
              <w:right w:val="single" w:sz="8" w:color="2D53A6"/>
            </w:tcBorders>
            <w:vMerge w:val="continue"/>
            <w:shd w:val="clear" w:color="auto" w:fill="2D53A6"/>
          </w:tcPr>
          <w:p>
            <w:pPr>
              <w:spacing w:after="0"/>
              <w:rPr>
                <w:sz w:val="8"/>
                <w:szCs w:val="8"/>
                <w:color w:val="auto"/>
              </w:rPr>
            </w:pPr>
          </w:p>
        </w:tc>
        <w:tc>
          <w:tcPr>
            <w:tcW w:w="30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vMerge w:val="restart"/>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Plan category</w:t>
            </w:r>
          </w:p>
        </w:tc>
        <w:tc>
          <w:tcPr>
            <w:tcW w:w="2360" w:type="dxa"/>
            <w:vAlign w:val="bottom"/>
            <w:tcBorders>
              <w:right w:val="single" w:sz="8" w:color="2D53A6"/>
            </w:tcBorders>
            <w:vMerge w:val="continue"/>
            <w:shd w:val="clear" w:color="auto" w:fill="2D53A6"/>
          </w:tcPr>
          <w:p>
            <w:pPr>
              <w:spacing w:after="0"/>
              <w:rPr>
                <w:sz w:val="9"/>
                <w:szCs w:val="9"/>
                <w:color w:val="auto"/>
              </w:rPr>
            </w:pPr>
          </w:p>
        </w:tc>
        <w:tc>
          <w:tcPr>
            <w:tcW w:w="23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3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equity compensation plans</w:t>
            </w:r>
          </w:p>
        </w:tc>
        <w:tc>
          <w:tcPr>
            <w:tcW w:w="0" w:type="dxa"/>
            <w:vAlign w:val="bottom"/>
          </w:tcPr>
          <w:p>
            <w:pPr>
              <w:spacing w:after="0"/>
              <w:rPr>
                <w:sz w:val="1"/>
                <w:szCs w:val="1"/>
                <w:color w:val="auto"/>
              </w:rPr>
            </w:pPr>
          </w:p>
        </w:tc>
      </w:tr>
      <w:tr>
        <w:trPr>
          <w:trHeight w:val="94"/>
        </w:trPr>
        <w:tc>
          <w:tcPr>
            <w:tcW w:w="3480" w:type="dxa"/>
            <w:vAlign w:val="bottom"/>
            <w:tcBorders>
              <w:right w:val="single" w:sz="8" w:color="2D53A6"/>
            </w:tcBorders>
            <w:vMerge w:val="continue"/>
            <w:shd w:val="clear" w:color="auto" w:fill="2D53A6"/>
          </w:tcPr>
          <w:p>
            <w:pPr>
              <w:spacing w:after="0"/>
              <w:rPr>
                <w:sz w:val="8"/>
                <w:szCs w:val="8"/>
                <w:color w:val="auto"/>
              </w:rPr>
            </w:pPr>
          </w:p>
        </w:tc>
        <w:tc>
          <w:tcPr>
            <w:tcW w:w="236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2340" w:type="dxa"/>
            <w:vAlign w:val="bottom"/>
            <w:tcBorders>
              <w:right w:val="single" w:sz="8" w:color="2D53A6"/>
            </w:tcBorders>
            <w:vMerge w:val="continue"/>
            <w:shd w:val="clear" w:color="auto" w:fill="2D53A6"/>
          </w:tcPr>
          <w:p>
            <w:pPr>
              <w:spacing w:after="0"/>
              <w:rPr>
                <w:sz w:val="8"/>
                <w:szCs w:val="8"/>
                <w:color w:val="auto"/>
              </w:rPr>
            </w:pPr>
          </w:p>
        </w:tc>
        <w:tc>
          <w:tcPr>
            <w:tcW w:w="30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shd w:val="clear" w:color="auto" w:fill="2D53A6"/>
          </w:tcPr>
          <w:p>
            <w:pPr>
              <w:spacing w:after="0"/>
              <w:rPr>
                <w:sz w:val="9"/>
                <w:szCs w:val="9"/>
                <w:color w:val="auto"/>
              </w:rPr>
            </w:pPr>
          </w:p>
        </w:tc>
        <w:tc>
          <w:tcPr>
            <w:tcW w:w="2360" w:type="dxa"/>
            <w:vAlign w:val="bottom"/>
            <w:tcBorders>
              <w:right w:val="single" w:sz="8" w:color="2D53A6"/>
            </w:tcBorders>
            <w:vMerge w:val="continue"/>
            <w:shd w:val="clear" w:color="auto" w:fill="2D53A6"/>
          </w:tcPr>
          <w:p>
            <w:pPr>
              <w:spacing w:after="0"/>
              <w:rPr>
                <w:sz w:val="9"/>
                <w:szCs w:val="9"/>
                <w:color w:val="auto"/>
              </w:rPr>
            </w:pPr>
          </w:p>
        </w:tc>
        <w:tc>
          <w:tcPr>
            <w:tcW w:w="23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warrants and rights</w:t>
            </w:r>
          </w:p>
        </w:tc>
        <w:tc>
          <w:tcPr>
            <w:tcW w:w="3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(excluding securities reflected</w:t>
            </w:r>
          </w:p>
        </w:tc>
        <w:tc>
          <w:tcPr>
            <w:tcW w:w="0" w:type="dxa"/>
            <w:vAlign w:val="bottom"/>
          </w:tcPr>
          <w:p>
            <w:pPr>
              <w:spacing w:after="0"/>
              <w:rPr>
                <w:sz w:val="1"/>
                <w:szCs w:val="1"/>
                <w:color w:val="auto"/>
              </w:rPr>
            </w:pPr>
          </w:p>
        </w:tc>
      </w:tr>
      <w:tr>
        <w:trPr>
          <w:trHeight w:val="94"/>
        </w:trPr>
        <w:tc>
          <w:tcPr>
            <w:tcW w:w="3480" w:type="dxa"/>
            <w:vAlign w:val="bottom"/>
            <w:tcBorders>
              <w:right w:val="single" w:sz="8" w:color="2D53A6"/>
            </w:tcBorders>
            <w:shd w:val="clear" w:color="auto" w:fill="2D53A6"/>
          </w:tcPr>
          <w:p>
            <w:pPr>
              <w:spacing w:after="0"/>
              <w:rPr>
                <w:sz w:val="8"/>
                <w:szCs w:val="8"/>
                <w:color w:val="auto"/>
              </w:rPr>
            </w:pPr>
          </w:p>
        </w:tc>
        <w:tc>
          <w:tcPr>
            <w:tcW w:w="236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warrants and rights</w:t>
            </w:r>
          </w:p>
        </w:tc>
        <w:tc>
          <w:tcPr>
            <w:tcW w:w="2340" w:type="dxa"/>
            <w:vAlign w:val="bottom"/>
            <w:tcBorders>
              <w:right w:val="single" w:sz="8" w:color="2D53A6"/>
            </w:tcBorders>
            <w:vMerge w:val="continue"/>
            <w:shd w:val="clear" w:color="auto" w:fill="2D53A6"/>
          </w:tcPr>
          <w:p>
            <w:pPr>
              <w:spacing w:after="0"/>
              <w:rPr>
                <w:sz w:val="8"/>
                <w:szCs w:val="8"/>
                <w:color w:val="auto"/>
              </w:rPr>
            </w:pPr>
          </w:p>
        </w:tc>
        <w:tc>
          <w:tcPr>
            <w:tcW w:w="30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shd w:val="clear" w:color="auto" w:fill="2D53A6"/>
          </w:tcPr>
          <w:p>
            <w:pPr>
              <w:spacing w:after="0"/>
              <w:rPr>
                <w:sz w:val="9"/>
                <w:szCs w:val="9"/>
                <w:color w:val="auto"/>
              </w:rPr>
            </w:pPr>
          </w:p>
        </w:tc>
        <w:tc>
          <w:tcPr>
            <w:tcW w:w="2360" w:type="dxa"/>
            <w:vAlign w:val="bottom"/>
            <w:tcBorders>
              <w:right w:val="single" w:sz="8" w:color="2D53A6"/>
            </w:tcBorders>
            <w:vMerge w:val="continue"/>
            <w:shd w:val="clear" w:color="auto" w:fill="2D53A6"/>
          </w:tcPr>
          <w:p>
            <w:pPr>
              <w:spacing w:after="0"/>
              <w:rPr>
                <w:sz w:val="9"/>
                <w:szCs w:val="9"/>
                <w:color w:val="auto"/>
              </w:rPr>
            </w:pPr>
          </w:p>
        </w:tc>
        <w:tc>
          <w:tcPr>
            <w:tcW w:w="2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(b) </w:t>
            </w:r>
            <w:r>
              <w:rPr>
                <w:rFonts w:ascii="Arial" w:cs="Arial" w:eastAsia="Arial" w:hAnsi="Arial"/>
                <w:sz w:val="14"/>
                <w:szCs w:val="14"/>
                <w:b w:val="1"/>
                <w:bCs w:val="1"/>
                <w:color w:val="FFFFFF"/>
              </w:rPr>
              <w:t>(2)</w:t>
            </w:r>
          </w:p>
        </w:tc>
        <w:tc>
          <w:tcPr>
            <w:tcW w:w="30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in column (a)) (c) </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39"/>
        </w:trPr>
        <w:tc>
          <w:tcPr>
            <w:tcW w:w="3480" w:type="dxa"/>
            <w:vAlign w:val="bottom"/>
            <w:tcBorders>
              <w:right w:val="single" w:sz="8" w:color="2D53A6"/>
            </w:tcBorders>
            <w:shd w:val="clear" w:color="auto" w:fill="2D53A6"/>
          </w:tcPr>
          <w:p>
            <w:pPr>
              <w:spacing w:after="0"/>
              <w:rPr>
                <w:sz w:val="12"/>
                <w:szCs w:val="12"/>
                <w:color w:val="auto"/>
              </w:rPr>
            </w:pPr>
          </w:p>
        </w:tc>
        <w:tc>
          <w:tcPr>
            <w:tcW w:w="2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(a) </w:t>
            </w:r>
            <w:r>
              <w:rPr>
                <w:rFonts w:ascii="Arial" w:cs="Arial" w:eastAsia="Arial" w:hAnsi="Arial"/>
                <w:sz w:val="14"/>
                <w:szCs w:val="14"/>
                <w:b w:val="1"/>
                <w:bCs w:val="1"/>
                <w:color w:val="FFFFFF"/>
              </w:rPr>
              <w:t>(1)</w:t>
            </w:r>
          </w:p>
        </w:tc>
        <w:tc>
          <w:tcPr>
            <w:tcW w:w="2340" w:type="dxa"/>
            <w:vAlign w:val="bottom"/>
            <w:tcBorders>
              <w:right w:val="single" w:sz="8" w:color="2D53A6"/>
            </w:tcBorders>
            <w:vMerge w:val="continue"/>
            <w:shd w:val="clear" w:color="auto" w:fill="2D53A6"/>
          </w:tcPr>
          <w:p>
            <w:pPr>
              <w:spacing w:after="0"/>
              <w:rPr>
                <w:sz w:val="12"/>
                <w:szCs w:val="12"/>
                <w:color w:val="auto"/>
              </w:rPr>
            </w:pPr>
          </w:p>
        </w:tc>
        <w:tc>
          <w:tcPr>
            <w:tcW w:w="3060" w:type="dxa"/>
            <w:vAlign w:val="bottom"/>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480" w:type="dxa"/>
            <w:vAlign w:val="bottom"/>
            <w:tcBorders>
              <w:right w:val="single" w:sz="8" w:color="2D53A6"/>
            </w:tcBorders>
            <w:shd w:val="clear" w:color="auto" w:fill="2D53A6"/>
          </w:tcPr>
          <w:p>
            <w:pPr>
              <w:spacing w:after="0"/>
              <w:rPr>
                <w:sz w:val="8"/>
                <w:szCs w:val="8"/>
                <w:color w:val="auto"/>
              </w:rPr>
            </w:pPr>
          </w:p>
        </w:tc>
        <w:tc>
          <w:tcPr>
            <w:tcW w:w="2360" w:type="dxa"/>
            <w:vAlign w:val="bottom"/>
            <w:tcBorders>
              <w:right w:val="single" w:sz="8" w:color="2D53A6"/>
            </w:tcBorders>
            <w:vMerge w:val="continue"/>
            <w:shd w:val="clear" w:color="auto" w:fill="2D53A6"/>
          </w:tcPr>
          <w:p>
            <w:pPr>
              <w:spacing w:after="0"/>
              <w:rPr>
                <w:sz w:val="8"/>
                <w:szCs w:val="8"/>
                <w:color w:val="auto"/>
              </w:rPr>
            </w:pPr>
          </w:p>
        </w:tc>
        <w:tc>
          <w:tcPr>
            <w:tcW w:w="2340" w:type="dxa"/>
            <w:vAlign w:val="bottom"/>
            <w:tcBorders>
              <w:right w:val="single" w:sz="8" w:color="2D53A6"/>
            </w:tcBorders>
            <w:shd w:val="clear" w:color="auto" w:fill="2D53A6"/>
          </w:tcPr>
          <w:p>
            <w:pPr>
              <w:spacing w:after="0"/>
              <w:rPr>
                <w:sz w:val="8"/>
                <w:szCs w:val="8"/>
                <w:color w:val="auto"/>
              </w:rPr>
            </w:pPr>
          </w:p>
        </w:tc>
        <w:tc>
          <w:tcPr>
            <w:tcW w:w="3060" w:type="dxa"/>
            <w:vAlign w:val="bottom"/>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480" w:type="dxa"/>
            <w:vAlign w:val="bottom"/>
            <w:tcBorders>
              <w:right w:val="single" w:sz="8" w:color="2D53A6"/>
            </w:tcBorders>
          </w:tcPr>
          <w:p>
            <w:pPr>
              <w:spacing w:after="0" w:line="183" w:lineRule="exact"/>
              <w:rPr>
                <w:sz w:val="20"/>
                <w:szCs w:val="20"/>
                <w:color w:val="auto"/>
              </w:rPr>
            </w:pPr>
            <w:r>
              <w:rPr>
                <w:rFonts w:ascii="Arial" w:cs="Arial" w:eastAsia="Arial" w:hAnsi="Arial"/>
                <w:sz w:val="18"/>
                <w:szCs w:val="18"/>
                <w:color w:val="auto"/>
              </w:rPr>
              <w:t>Equity compensation plans</w:t>
            </w:r>
          </w:p>
        </w:tc>
        <w:tc>
          <w:tcPr>
            <w:tcW w:w="2360" w:type="dxa"/>
            <w:vAlign w:val="bottom"/>
            <w:tcBorders>
              <w:right w:val="single" w:sz="8" w:color="2D53A6"/>
            </w:tcBorders>
            <w:vMerge w:val="restart"/>
          </w:tcPr>
          <w:p>
            <w:pPr>
              <w:jc w:val="right"/>
              <w:ind w:right="10"/>
              <w:spacing w:after="0"/>
              <w:rPr>
                <w:sz w:val="20"/>
                <w:szCs w:val="20"/>
                <w:color w:val="auto"/>
              </w:rPr>
            </w:pPr>
            <w:r>
              <w:rPr>
                <w:rFonts w:ascii="Arial" w:cs="Arial" w:eastAsia="Arial" w:hAnsi="Arial"/>
                <w:sz w:val="18"/>
                <w:szCs w:val="18"/>
                <w:color w:val="auto"/>
              </w:rPr>
              <w:t>1,292</w:t>
            </w:r>
          </w:p>
        </w:tc>
        <w:tc>
          <w:tcPr>
            <w:tcW w:w="234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3060" w:type="dxa"/>
            <w:vAlign w:val="bottom"/>
            <w:vMerge w:val="restart"/>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131"/>
        </w:trPr>
        <w:tc>
          <w:tcPr>
            <w:tcW w:w="348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approved by security holders</w:t>
            </w:r>
          </w:p>
        </w:tc>
        <w:tc>
          <w:tcPr>
            <w:tcW w:w="2360" w:type="dxa"/>
            <w:vAlign w:val="bottom"/>
            <w:tcBorders>
              <w:right w:val="single" w:sz="8" w:color="2D53A6"/>
            </w:tcBorders>
            <w:vMerge w:val="continue"/>
          </w:tcPr>
          <w:p>
            <w:pPr>
              <w:spacing w:after="0"/>
              <w:rPr>
                <w:sz w:val="11"/>
                <w:szCs w:val="11"/>
                <w:color w:val="auto"/>
              </w:rPr>
            </w:pPr>
          </w:p>
        </w:tc>
        <w:tc>
          <w:tcPr>
            <w:tcW w:w="2340" w:type="dxa"/>
            <w:vAlign w:val="bottom"/>
            <w:tcBorders>
              <w:right w:val="single" w:sz="8" w:color="2D53A6"/>
            </w:tcBorders>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80" w:type="dxa"/>
            <w:vAlign w:val="bottom"/>
            <w:tcBorders>
              <w:bottom w:val="single" w:sz="8" w:color="2D53A6"/>
              <w:right w:val="single" w:sz="8" w:color="2D53A6"/>
            </w:tcBorders>
            <w:vMerge w:val="continue"/>
          </w:tcPr>
          <w:p>
            <w:pPr>
              <w:spacing w:after="0"/>
              <w:rPr>
                <w:sz w:val="7"/>
                <w:szCs w:val="7"/>
                <w:color w:val="auto"/>
              </w:rPr>
            </w:pPr>
          </w:p>
        </w:tc>
        <w:tc>
          <w:tcPr>
            <w:tcW w:w="2360" w:type="dxa"/>
            <w:vAlign w:val="bottom"/>
            <w:tcBorders>
              <w:bottom w:val="single" w:sz="8" w:color="2D53A6"/>
              <w:right w:val="single" w:sz="8" w:color="2D53A6"/>
            </w:tcBorders>
          </w:tcPr>
          <w:p>
            <w:pPr>
              <w:spacing w:after="0"/>
              <w:rPr>
                <w:sz w:val="7"/>
                <w:szCs w:val="7"/>
                <w:color w:val="auto"/>
              </w:rPr>
            </w:pPr>
          </w:p>
        </w:tc>
        <w:tc>
          <w:tcPr>
            <w:tcW w:w="2340" w:type="dxa"/>
            <w:vAlign w:val="bottom"/>
            <w:tcBorders>
              <w:bottom w:val="single" w:sz="8" w:color="2D53A6"/>
              <w:right w:val="single" w:sz="8" w:color="2D53A6"/>
            </w:tcBorders>
          </w:tcPr>
          <w:p>
            <w:pPr>
              <w:spacing w:after="0"/>
              <w:rPr>
                <w:sz w:val="7"/>
                <w:szCs w:val="7"/>
                <w:color w:val="auto"/>
              </w:rPr>
            </w:pPr>
          </w:p>
        </w:tc>
        <w:tc>
          <w:tcPr>
            <w:tcW w:w="3060" w:type="dxa"/>
            <w:vAlign w:val="bottom"/>
            <w:tcBorders>
              <w:bottom w:val="single" w:sz="8" w:color="2D53A6"/>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48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color w:val="auto"/>
              </w:rPr>
              <w:t>Equity compensation plans not</w:t>
            </w:r>
          </w:p>
        </w:tc>
        <w:tc>
          <w:tcPr>
            <w:tcW w:w="2360" w:type="dxa"/>
            <w:vAlign w:val="bottom"/>
            <w:tcBorders>
              <w:right w:val="single" w:sz="8" w:color="2D53A6"/>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3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348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approved by security holders</w:t>
            </w:r>
          </w:p>
        </w:tc>
        <w:tc>
          <w:tcPr>
            <w:tcW w:w="2360" w:type="dxa"/>
            <w:vAlign w:val="bottom"/>
            <w:tcBorders>
              <w:right w:val="single" w:sz="8" w:color="2D53A6"/>
            </w:tcBorders>
            <w:vMerge w:val="continue"/>
          </w:tcPr>
          <w:p>
            <w:pPr>
              <w:spacing w:after="0"/>
              <w:rPr>
                <w:sz w:val="11"/>
                <w:szCs w:val="11"/>
                <w:color w:val="auto"/>
              </w:rPr>
            </w:pPr>
          </w:p>
        </w:tc>
        <w:tc>
          <w:tcPr>
            <w:tcW w:w="2340" w:type="dxa"/>
            <w:vAlign w:val="bottom"/>
            <w:tcBorders>
              <w:right w:val="single" w:sz="8" w:color="2D53A6"/>
            </w:tcBorders>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80" w:type="dxa"/>
            <w:vAlign w:val="bottom"/>
            <w:tcBorders>
              <w:bottom w:val="single" w:sz="8" w:color="2D53A6"/>
              <w:right w:val="single" w:sz="8" w:color="2D53A6"/>
            </w:tcBorders>
            <w:vMerge w:val="continue"/>
          </w:tcPr>
          <w:p>
            <w:pPr>
              <w:spacing w:after="0"/>
              <w:rPr>
                <w:sz w:val="7"/>
                <w:szCs w:val="7"/>
                <w:color w:val="auto"/>
              </w:rPr>
            </w:pPr>
          </w:p>
        </w:tc>
        <w:tc>
          <w:tcPr>
            <w:tcW w:w="2360" w:type="dxa"/>
            <w:vAlign w:val="bottom"/>
            <w:tcBorders>
              <w:bottom w:val="single" w:sz="8" w:color="2D53A6"/>
              <w:right w:val="single" w:sz="8" w:color="2D53A6"/>
            </w:tcBorders>
          </w:tcPr>
          <w:p>
            <w:pPr>
              <w:spacing w:after="0"/>
              <w:rPr>
                <w:sz w:val="7"/>
                <w:szCs w:val="7"/>
                <w:color w:val="auto"/>
              </w:rPr>
            </w:pPr>
          </w:p>
        </w:tc>
        <w:tc>
          <w:tcPr>
            <w:tcW w:w="2340" w:type="dxa"/>
            <w:vAlign w:val="bottom"/>
            <w:tcBorders>
              <w:bottom w:val="single" w:sz="8" w:color="2D53A6"/>
              <w:right w:val="single" w:sz="8" w:color="2D53A6"/>
            </w:tcBorders>
          </w:tcPr>
          <w:p>
            <w:pPr>
              <w:spacing w:after="0"/>
              <w:rPr>
                <w:sz w:val="7"/>
                <w:szCs w:val="7"/>
                <w:color w:val="auto"/>
              </w:rPr>
            </w:pPr>
          </w:p>
        </w:tc>
        <w:tc>
          <w:tcPr>
            <w:tcW w:w="3060" w:type="dxa"/>
            <w:vAlign w:val="bottom"/>
            <w:tcBorders>
              <w:bottom w:val="single" w:sz="8" w:color="2D53A6"/>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2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1,292</w:t>
            </w: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0"/>
        </w:trPr>
        <w:tc>
          <w:tcPr>
            <w:tcW w:w="3480" w:type="dxa"/>
            <w:vAlign w:val="bottom"/>
            <w:tcBorders>
              <w:bottom w:val="single" w:sz="8" w:color="2D53A6"/>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-166370</wp:posOffset>
            </wp:positionV>
            <wp:extent cx="33655"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-166370</wp:posOffset>
            </wp:positionV>
            <wp:extent cx="3429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-166370</wp:posOffset>
            </wp:positionV>
            <wp:extent cx="3429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73" w:lineRule="exact"/>
        <w:rPr>
          <w:sz w:val="20"/>
          <w:szCs w:val="20"/>
          <w:color w:val="auto"/>
        </w:rPr>
      </w:pPr>
    </w:p>
    <w:p>
      <w:pPr>
        <w:ind w:left="340" w:right="200" w:hanging="332"/>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options, restricted stock units (RSUs) and performance stock units (PSUs) outstanding under Cohu’s equity incentive plans, as no stock warrants or other rights were outstanding as of December 30, 2023.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does not take RSUs and PSUs into account as RSUs and PSUs have no exercise price.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799,669 shares of common stock reserved for future issuance under the Cohu 1997 Employee Stock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None of the Compensation Committee’s members during the last fiscal year have, at any time, been an officer or employee of Cohu. During fiscal year 2023, no member of the Compensation Committee had any relationship with Cohu requiring disclosure under Item 404 of Regulation S-K. None of Cohu’s executive officers serves, or in fiscal year 2023 has served, as a member of the board of directors or compensation committee of any entity that has one or more of its executive officers serving on Cohu’s Board or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Severance Agreement provides that if an Executive’s employment is terminated by the Company without Cause, or additionally only in the case of Dr. Müller,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w:t>
      </w:r>
    </w:p>
    <w:p>
      <w:pPr>
        <w:spacing w:after="0" w:line="4" w:lineRule="exact"/>
        <w:rPr>
          <w:sz w:val="20"/>
          <w:szCs w:val="20"/>
          <w:color w:val="auto"/>
        </w:rPr>
      </w:pPr>
    </w:p>
    <w:p>
      <w:pPr>
        <w:ind w:right="160" w:firstLine="8"/>
        <w:spacing w:after="0" w:line="242" w:lineRule="auto"/>
        <w:tabs>
          <w:tab w:leader="none" w:pos="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voluntarily by the Executive (other than for Good Reason in the case of Dr. Müller),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 rata incentive bonus for the year in which the termination date occurs.</w:t>
      </w:r>
    </w:p>
    <w:p>
      <w:pPr>
        <w:spacing w:after="0" w:line="174"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The Agreements had a three-year Initial Term and were automatically extended for a two-year period starting on September 8, 2023, as neither party had delivered written notice to the other party within six months prior to the completion of the then effective Term that the Agreement would not be extended.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40" w:type="dxa"/>
            <w:vAlign w:val="bottom"/>
            <w:tcBorders>
              <w:right w:val="single" w:sz="8" w:color="2D53A6"/>
            </w:tcBorders>
            <w:shd w:val="clear" w:color="auto" w:fill="2D53A6"/>
          </w:tcPr>
          <w:p>
            <w:pPr>
              <w:spacing w:after="0"/>
              <w:rPr>
                <w:sz w:val="24"/>
                <w:szCs w:val="24"/>
                <w:color w:val="auto"/>
              </w:rPr>
            </w:pPr>
          </w:p>
        </w:tc>
        <w:tc>
          <w:tcPr>
            <w:tcW w:w="3800" w:type="dxa"/>
            <w:vAlign w:val="bottom"/>
            <w:tcBorders>
              <w:right w:val="single" w:sz="8" w:color="2D53A6"/>
            </w:tcBorders>
            <w:gridSpan w:val="2"/>
            <w:shd w:val="clear" w:color="auto" w:fill="2D53A6"/>
          </w:tcPr>
          <w:p>
            <w:pPr>
              <w:ind w:left="940"/>
              <w:spacing w:after="0"/>
              <w:rPr>
                <w:sz w:val="20"/>
                <w:szCs w:val="20"/>
                <w:color w:val="auto"/>
              </w:rPr>
            </w:pPr>
            <w:r>
              <w:rPr>
                <w:rFonts w:ascii="Arial" w:cs="Arial" w:eastAsia="Arial" w:hAnsi="Arial"/>
                <w:sz w:val="18"/>
                <w:szCs w:val="18"/>
                <w:b w:val="1"/>
                <w:bCs w:val="1"/>
                <w:color w:val="FFFFFF"/>
              </w:rPr>
              <w:t>Severance Agreement</w:t>
            </w:r>
          </w:p>
        </w:tc>
        <w:tc>
          <w:tcPr>
            <w:tcW w:w="3800" w:type="dxa"/>
            <w:vAlign w:val="bottom"/>
            <w:gridSpan w:val="2"/>
            <w:shd w:val="clear" w:color="auto" w:fill="2D53A6"/>
          </w:tcPr>
          <w:p>
            <w:pPr>
              <w:ind w:left="620"/>
              <w:spacing w:after="0"/>
              <w:rPr>
                <w:sz w:val="20"/>
                <w:szCs w:val="20"/>
                <w:color w:val="auto"/>
              </w:rPr>
            </w:pPr>
            <w:r>
              <w:rPr>
                <w:rFonts w:ascii="Arial" w:cs="Arial" w:eastAsia="Arial" w:hAnsi="Arial"/>
                <w:sz w:val="18"/>
                <w:szCs w:val="18"/>
                <w:b w:val="1"/>
                <w:bCs w:val="1"/>
                <w:color w:val="FFFFFF"/>
              </w:rPr>
              <w:t>Change in Control Agreement</w:t>
            </w:r>
          </w:p>
        </w:tc>
        <w:tc>
          <w:tcPr>
            <w:tcW w:w="0" w:type="dxa"/>
            <w:vAlign w:val="bottom"/>
          </w:tcPr>
          <w:p>
            <w:pPr>
              <w:spacing w:after="0"/>
              <w:rPr>
                <w:sz w:val="1"/>
                <w:szCs w:val="1"/>
                <w:color w:val="auto"/>
              </w:rPr>
            </w:pPr>
          </w:p>
        </w:tc>
      </w:tr>
      <w:tr>
        <w:trPr>
          <w:trHeight w:val="280"/>
        </w:trPr>
        <w:tc>
          <w:tcPr>
            <w:tcW w:w="3640" w:type="dxa"/>
            <w:vAlign w:val="bottom"/>
            <w:tcBorders>
              <w:right w:val="single" w:sz="8" w:color="2D53A6"/>
            </w:tcBorders>
            <w:shd w:val="clear" w:color="auto" w:fill="2D53A6"/>
          </w:tcPr>
          <w:p>
            <w:pPr>
              <w:spacing w:after="0"/>
              <w:rPr>
                <w:sz w:val="24"/>
                <w:szCs w:val="24"/>
                <w:color w:val="auto"/>
              </w:rPr>
            </w:pPr>
          </w:p>
        </w:tc>
        <w:tc>
          <w:tcPr>
            <w:tcW w:w="1740" w:type="dxa"/>
            <w:vAlign w:val="bottom"/>
            <w:tcBorders>
              <w:right w:val="single" w:sz="8" w:color="2D53A6"/>
            </w:tcBorders>
            <w:shd w:val="clear" w:color="auto" w:fill="2D53A6"/>
          </w:tcPr>
          <w:p>
            <w:pPr>
              <w:spacing w:after="0"/>
              <w:rPr>
                <w:sz w:val="24"/>
                <w:szCs w:val="24"/>
                <w:color w:val="auto"/>
              </w:rPr>
            </w:pPr>
          </w:p>
        </w:tc>
        <w:tc>
          <w:tcPr>
            <w:tcW w:w="20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COBRA</w:t>
            </w:r>
          </w:p>
        </w:tc>
        <w:tc>
          <w:tcPr>
            <w:tcW w:w="1740" w:type="dxa"/>
            <w:vAlign w:val="bottom"/>
            <w:tcBorders>
              <w:right w:val="single" w:sz="8" w:color="2D53A6"/>
            </w:tcBorders>
            <w:shd w:val="clear" w:color="auto" w:fill="2D53A6"/>
          </w:tcPr>
          <w:p>
            <w:pPr>
              <w:spacing w:after="0"/>
              <w:rPr>
                <w:sz w:val="24"/>
                <w:szCs w:val="24"/>
                <w:color w:val="auto"/>
              </w:rPr>
            </w:pPr>
          </w:p>
        </w:tc>
        <w:tc>
          <w:tcPr>
            <w:tcW w:w="20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COBRA</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D53A6"/>
            </w:tcBorders>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174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Multiplier</w:t>
            </w:r>
          </w:p>
        </w:tc>
        <w:tc>
          <w:tcPr>
            <w:tcW w:w="2060" w:type="dxa"/>
            <w:vAlign w:val="bottom"/>
            <w:tcBorders>
              <w:right w:val="single" w:sz="8" w:color="2D53A6"/>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Premium</w:t>
            </w:r>
          </w:p>
        </w:tc>
        <w:tc>
          <w:tcPr>
            <w:tcW w:w="1740" w:type="dxa"/>
            <w:vAlign w:val="bottom"/>
            <w:tcBorders>
              <w:right w:val="single" w:sz="8" w:color="2D53A6"/>
            </w:tcBorders>
            <w:shd w:val="clear" w:color="auto" w:fill="2D53A6"/>
          </w:tcPr>
          <w:p>
            <w:pPr>
              <w:ind w:left="460"/>
              <w:spacing w:after="0" w:line="202" w:lineRule="exact"/>
              <w:rPr>
                <w:sz w:val="20"/>
                <w:szCs w:val="20"/>
                <w:color w:val="auto"/>
              </w:rPr>
            </w:pPr>
            <w:r>
              <w:rPr>
                <w:rFonts w:ascii="Arial" w:cs="Arial" w:eastAsia="Arial" w:hAnsi="Arial"/>
                <w:sz w:val="18"/>
                <w:szCs w:val="18"/>
                <w:b w:val="1"/>
                <w:bCs w:val="1"/>
                <w:color w:val="FFFFFF"/>
              </w:rPr>
              <w:t>Multiplier</w:t>
            </w:r>
          </w:p>
        </w:tc>
        <w:tc>
          <w:tcPr>
            <w:tcW w:w="2060" w:type="dxa"/>
            <w:vAlign w:val="bottom"/>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Premium</w:t>
            </w:r>
          </w:p>
        </w:tc>
        <w:tc>
          <w:tcPr>
            <w:tcW w:w="0" w:type="dxa"/>
            <w:vAlign w:val="bottom"/>
          </w:tcPr>
          <w:p>
            <w:pPr>
              <w:spacing w:after="0"/>
              <w:rPr>
                <w:sz w:val="1"/>
                <w:szCs w:val="1"/>
                <w:color w:val="auto"/>
              </w:rPr>
            </w:pPr>
          </w:p>
        </w:tc>
      </w:tr>
      <w:tr>
        <w:trPr>
          <w:trHeight w:val="269"/>
        </w:trPr>
        <w:tc>
          <w:tcPr>
            <w:tcW w:w="3640" w:type="dxa"/>
            <w:vAlign w:val="bottom"/>
            <w:tcBorders>
              <w:bottom w:val="single" w:sz="8" w:color="2D53A6"/>
              <w:right w:val="single" w:sz="8" w:color="2D53A6"/>
            </w:tcBorders>
            <w:shd w:val="clear" w:color="auto" w:fill="2D53A6"/>
          </w:tcPr>
          <w:p>
            <w:pPr>
              <w:spacing w:after="0"/>
              <w:rPr>
                <w:sz w:val="23"/>
                <w:szCs w:val="23"/>
                <w:color w:val="auto"/>
              </w:rPr>
            </w:pPr>
          </w:p>
        </w:tc>
        <w:tc>
          <w:tcPr>
            <w:tcW w:w="1740" w:type="dxa"/>
            <w:vAlign w:val="bottom"/>
            <w:tcBorders>
              <w:bottom w:val="single" w:sz="8" w:color="2D53A6"/>
              <w:right w:val="single" w:sz="8" w:color="2D53A6"/>
            </w:tcBorders>
            <w:shd w:val="clear" w:color="auto" w:fill="2D53A6"/>
          </w:tcPr>
          <w:p>
            <w:pPr>
              <w:spacing w:after="0"/>
              <w:rPr>
                <w:sz w:val="23"/>
                <w:szCs w:val="23"/>
                <w:color w:val="auto"/>
              </w:rPr>
            </w:pPr>
          </w:p>
        </w:tc>
        <w:tc>
          <w:tcPr>
            <w:tcW w:w="20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Payment Period</w:t>
            </w:r>
          </w:p>
        </w:tc>
        <w:tc>
          <w:tcPr>
            <w:tcW w:w="1740" w:type="dxa"/>
            <w:vAlign w:val="bottom"/>
            <w:tcBorders>
              <w:bottom w:val="single" w:sz="8" w:color="2D53A6"/>
              <w:right w:val="single" w:sz="8" w:color="2D53A6"/>
            </w:tcBorders>
            <w:shd w:val="clear" w:color="auto" w:fill="2D53A6"/>
          </w:tcPr>
          <w:p>
            <w:pPr>
              <w:spacing w:after="0"/>
              <w:rPr>
                <w:sz w:val="23"/>
                <w:szCs w:val="23"/>
                <w:color w:val="auto"/>
              </w:rPr>
            </w:pPr>
          </w:p>
        </w:tc>
        <w:tc>
          <w:tcPr>
            <w:tcW w:w="206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Payment Period</w:t>
            </w:r>
          </w:p>
        </w:tc>
        <w:tc>
          <w:tcPr>
            <w:tcW w:w="0" w:type="dxa"/>
            <w:vAlign w:val="bottom"/>
          </w:tcPr>
          <w:p>
            <w:pPr>
              <w:spacing w:after="0"/>
              <w:rPr>
                <w:sz w:val="1"/>
                <w:szCs w:val="1"/>
                <w:color w:val="auto"/>
              </w:rPr>
            </w:pPr>
          </w:p>
        </w:tc>
      </w:tr>
      <w:tr>
        <w:trPr>
          <w:trHeight w:val="240"/>
        </w:trPr>
        <w:tc>
          <w:tcPr>
            <w:tcW w:w="364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150%</w:t>
            </w:r>
          </w:p>
        </w:tc>
        <w:tc>
          <w:tcPr>
            <w:tcW w:w="20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18 months</w:t>
            </w:r>
          </w:p>
        </w:tc>
        <w:tc>
          <w:tcPr>
            <w:tcW w:w="1740" w:type="dxa"/>
            <w:vAlign w:val="bottom"/>
            <w:tcBorders>
              <w:right w:val="single" w:sz="8" w:color="2D53A6"/>
            </w:tcBorders>
            <w:vMerge w:val="restart"/>
          </w:tcPr>
          <w:p>
            <w:pPr>
              <w:ind w:left="620"/>
              <w:spacing w:after="0"/>
              <w:rPr>
                <w:sz w:val="20"/>
                <w:szCs w:val="20"/>
                <w:color w:val="auto"/>
              </w:rPr>
            </w:pPr>
            <w:r>
              <w:rPr>
                <w:rFonts w:ascii="Arial" w:cs="Arial" w:eastAsia="Arial" w:hAnsi="Arial"/>
                <w:sz w:val="18"/>
                <w:szCs w:val="18"/>
                <w:color w:val="auto"/>
              </w:rPr>
              <w:t>200%</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24 months</w:t>
            </w:r>
          </w:p>
        </w:tc>
        <w:tc>
          <w:tcPr>
            <w:tcW w:w="0" w:type="dxa"/>
            <w:vAlign w:val="bottom"/>
          </w:tcPr>
          <w:p>
            <w:pPr>
              <w:spacing w:after="0"/>
              <w:rPr>
                <w:sz w:val="1"/>
                <w:szCs w:val="1"/>
                <w:color w:val="auto"/>
              </w:rPr>
            </w:pPr>
          </w:p>
        </w:tc>
      </w:tr>
      <w:tr>
        <w:trPr>
          <w:trHeight w:val="129"/>
        </w:trPr>
        <w:tc>
          <w:tcPr>
            <w:tcW w:w="3640" w:type="dxa"/>
            <w:vAlign w:val="bottom"/>
            <w:tcBorders>
              <w:right w:val="single" w:sz="8" w:color="2D53A6"/>
            </w:tcBorders>
            <w:vMerge w:val="restart"/>
          </w:tcPr>
          <w:p>
            <w:pPr>
              <w:ind w:left="60"/>
              <w:spacing w:after="0"/>
              <w:rPr>
                <w:sz w:val="20"/>
                <w:szCs w:val="20"/>
                <w:color w:val="auto"/>
              </w:rPr>
            </w:pPr>
            <w:r>
              <w:rPr>
                <w:rFonts w:ascii="Arial" w:cs="Arial" w:eastAsia="Arial" w:hAnsi="Arial"/>
                <w:sz w:val="18"/>
                <w:szCs w:val="18"/>
                <w:i w:val="1"/>
                <w:iCs w:val="1"/>
                <w:color w:val="auto"/>
              </w:rPr>
              <w:t>President &amp; CEO</w:t>
            </w:r>
          </w:p>
        </w:tc>
        <w:tc>
          <w:tcPr>
            <w:tcW w:w="1740" w:type="dxa"/>
            <w:vAlign w:val="bottom"/>
            <w:tcBorders>
              <w:right w:val="single" w:sz="8" w:color="2D53A6"/>
            </w:tcBorders>
            <w:vMerge w:val="continue"/>
          </w:tcPr>
          <w:p>
            <w:pPr>
              <w:spacing w:after="0"/>
              <w:rPr>
                <w:sz w:val="11"/>
                <w:szCs w:val="11"/>
                <w:color w:val="auto"/>
              </w:rPr>
            </w:pPr>
          </w:p>
        </w:tc>
        <w:tc>
          <w:tcPr>
            <w:tcW w:w="2060" w:type="dxa"/>
            <w:vAlign w:val="bottom"/>
            <w:tcBorders>
              <w:right w:val="single" w:sz="8" w:color="2D53A6"/>
            </w:tcBorders>
            <w:vMerge w:val="continue"/>
          </w:tcPr>
          <w:p>
            <w:pPr>
              <w:spacing w:after="0"/>
              <w:rPr>
                <w:sz w:val="11"/>
                <w:szCs w:val="11"/>
                <w:color w:val="auto"/>
              </w:rPr>
            </w:pPr>
          </w:p>
        </w:tc>
        <w:tc>
          <w:tcPr>
            <w:tcW w:w="1740" w:type="dxa"/>
            <w:vAlign w:val="bottom"/>
            <w:tcBorders>
              <w:right w:val="single" w:sz="8" w:color="2D53A6"/>
            </w:tcBorders>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40" w:type="dxa"/>
            <w:vAlign w:val="bottom"/>
            <w:tcBorders>
              <w:right w:val="single" w:sz="8" w:color="2D53A6"/>
            </w:tcBorders>
            <w:vMerge w:val="continue"/>
          </w:tcPr>
          <w:p>
            <w:pPr>
              <w:spacing w:after="0"/>
              <w:rPr>
                <w:sz w:val="9"/>
                <w:szCs w:val="9"/>
                <w:color w:val="auto"/>
              </w:rPr>
            </w:pPr>
          </w:p>
        </w:tc>
        <w:tc>
          <w:tcPr>
            <w:tcW w:w="1740" w:type="dxa"/>
            <w:vAlign w:val="bottom"/>
            <w:tcBorders>
              <w:right w:val="single" w:sz="8" w:color="2D53A6"/>
            </w:tcBorders>
          </w:tcPr>
          <w:p>
            <w:pPr>
              <w:spacing w:after="0"/>
              <w:rPr>
                <w:sz w:val="9"/>
                <w:szCs w:val="9"/>
                <w:color w:val="auto"/>
              </w:rPr>
            </w:pPr>
          </w:p>
        </w:tc>
        <w:tc>
          <w:tcPr>
            <w:tcW w:w="2060" w:type="dxa"/>
            <w:vAlign w:val="bottom"/>
            <w:tcBorders>
              <w:right w:val="single" w:sz="8" w:color="2D53A6"/>
            </w:tcBorders>
          </w:tcPr>
          <w:p>
            <w:pPr>
              <w:spacing w:after="0"/>
              <w:rPr>
                <w:sz w:val="9"/>
                <w:szCs w:val="9"/>
                <w:color w:val="auto"/>
              </w:rPr>
            </w:pPr>
          </w:p>
        </w:tc>
        <w:tc>
          <w:tcPr>
            <w:tcW w:w="1740" w:type="dxa"/>
            <w:vAlign w:val="bottom"/>
            <w:tcBorders>
              <w:right w:val="single" w:sz="8" w:color="2D53A6"/>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64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640" w:type="dxa"/>
            <w:vAlign w:val="bottom"/>
            <w:tcBorders>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12 months</w:t>
            </w:r>
          </w:p>
        </w:tc>
        <w:tc>
          <w:tcPr>
            <w:tcW w:w="1740" w:type="dxa"/>
            <w:vAlign w:val="bottom"/>
            <w:tcBorders>
              <w:right w:val="single" w:sz="8" w:color="2D53A6"/>
            </w:tcBorders>
            <w:vMerge w:val="restart"/>
            <w:shd w:val="clear" w:color="auto" w:fill="E6E6E6"/>
          </w:tcPr>
          <w:p>
            <w:pPr>
              <w:ind w:left="620"/>
              <w:spacing w:after="0"/>
              <w:rPr>
                <w:sz w:val="20"/>
                <w:szCs w:val="20"/>
                <w:color w:val="auto"/>
              </w:rPr>
            </w:pPr>
            <w:r>
              <w:rPr>
                <w:rFonts w:ascii="Arial" w:cs="Arial" w:eastAsia="Arial" w:hAnsi="Arial"/>
                <w:sz w:val="18"/>
                <w:szCs w:val="18"/>
                <w:color w:val="auto"/>
              </w:rPr>
              <w:t>150%</w:t>
            </w:r>
          </w:p>
        </w:tc>
        <w:tc>
          <w:tcPr>
            <w:tcW w:w="206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D53A6"/>
            </w:tcBorders>
            <w:shd w:val="clear" w:color="auto" w:fill="E6E6E6"/>
          </w:tcPr>
          <w:p>
            <w:pPr>
              <w:ind w:left="60"/>
              <w:spacing w:after="0" w:line="202" w:lineRule="exact"/>
              <w:rPr>
                <w:sz w:val="20"/>
                <w:szCs w:val="20"/>
                <w:color w:val="auto"/>
              </w:rPr>
            </w:pPr>
            <w:r>
              <w:rPr>
                <w:rFonts w:ascii="Arial" w:cs="Arial" w:eastAsia="Arial" w:hAnsi="Arial"/>
                <w:sz w:val="18"/>
                <w:szCs w:val="18"/>
                <w:i w:val="1"/>
                <w:iCs w:val="1"/>
                <w:color w:val="auto"/>
              </w:rPr>
              <w:t>Sr. Vice President, Finance &amp; Chief</w:t>
            </w:r>
          </w:p>
        </w:tc>
        <w:tc>
          <w:tcPr>
            <w:tcW w:w="1740" w:type="dxa"/>
            <w:vAlign w:val="bottom"/>
            <w:tcBorders>
              <w:right w:val="single" w:sz="8" w:color="2D53A6"/>
            </w:tcBorders>
            <w:vMerge w:val="continue"/>
            <w:shd w:val="clear" w:color="auto" w:fill="E6E6E6"/>
          </w:tcPr>
          <w:p>
            <w:pPr>
              <w:spacing w:after="0"/>
              <w:rPr>
                <w:sz w:val="17"/>
                <w:szCs w:val="17"/>
                <w:color w:val="auto"/>
              </w:rPr>
            </w:pPr>
          </w:p>
        </w:tc>
        <w:tc>
          <w:tcPr>
            <w:tcW w:w="2060" w:type="dxa"/>
            <w:vAlign w:val="bottom"/>
            <w:tcBorders>
              <w:right w:val="single" w:sz="8" w:color="2D53A6"/>
            </w:tcBorders>
            <w:vMerge w:val="continue"/>
            <w:shd w:val="clear" w:color="auto" w:fill="E6E6E6"/>
          </w:tcPr>
          <w:p>
            <w:pPr>
              <w:spacing w:after="0"/>
              <w:rPr>
                <w:sz w:val="17"/>
                <w:szCs w:val="17"/>
                <w:color w:val="auto"/>
              </w:rPr>
            </w:pPr>
          </w:p>
        </w:tc>
        <w:tc>
          <w:tcPr>
            <w:tcW w:w="1740" w:type="dxa"/>
            <w:vAlign w:val="bottom"/>
            <w:tcBorders>
              <w:right w:val="single" w:sz="8" w:color="2D53A6"/>
            </w:tcBorders>
            <w:vMerge w:val="continue"/>
            <w:shd w:val="clear" w:color="auto" w:fill="E6E6E6"/>
          </w:tcPr>
          <w:p>
            <w:pPr>
              <w:spacing w:after="0"/>
              <w:rPr>
                <w:sz w:val="17"/>
                <w:szCs w:val="17"/>
                <w:color w:val="auto"/>
              </w:rPr>
            </w:pPr>
          </w:p>
        </w:tc>
        <w:tc>
          <w:tcPr>
            <w:tcW w:w="2060" w:type="dxa"/>
            <w:vAlign w:val="bottom"/>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64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i w:val="1"/>
                <w:iCs w:val="1"/>
                <w:color w:val="auto"/>
              </w:rPr>
              <w:t>Financial Officer</w:t>
            </w:r>
          </w:p>
        </w:tc>
        <w:tc>
          <w:tcPr>
            <w:tcW w:w="1740" w:type="dxa"/>
            <w:vAlign w:val="bottom"/>
            <w:tcBorders>
              <w:bottom w:val="single" w:sz="8" w:color="E6E6E6"/>
              <w:right w:val="single" w:sz="8" w:color="2D53A6"/>
            </w:tcBorders>
            <w:shd w:val="clear" w:color="auto" w:fill="E6E6E6"/>
          </w:tcPr>
          <w:p>
            <w:pPr>
              <w:spacing w:after="0"/>
              <w:rPr>
                <w:sz w:val="23"/>
                <w:szCs w:val="23"/>
                <w:color w:val="auto"/>
              </w:rPr>
            </w:pPr>
          </w:p>
        </w:tc>
        <w:tc>
          <w:tcPr>
            <w:tcW w:w="2060" w:type="dxa"/>
            <w:vAlign w:val="bottom"/>
            <w:tcBorders>
              <w:bottom w:val="single" w:sz="8" w:color="E6E6E6"/>
              <w:right w:val="single" w:sz="8" w:color="2D53A6"/>
            </w:tcBorders>
            <w:shd w:val="clear" w:color="auto" w:fill="E6E6E6"/>
          </w:tcPr>
          <w:p>
            <w:pPr>
              <w:spacing w:after="0"/>
              <w:rPr>
                <w:sz w:val="23"/>
                <w:szCs w:val="23"/>
                <w:color w:val="auto"/>
              </w:rPr>
            </w:pPr>
          </w:p>
        </w:tc>
        <w:tc>
          <w:tcPr>
            <w:tcW w:w="1740" w:type="dxa"/>
            <w:vAlign w:val="bottom"/>
            <w:tcBorders>
              <w:bottom w:val="single" w:sz="8" w:color="E6E6E6"/>
              <w:right w:val="single" w:sz="8" w:color="2D53A6"/>
            </w:tcBorders>
            <w:shd w:val="clear" w:color="auto" w:fill="E6E6E6"/>
          </w:tcPr>
          <w:p>
            <w:pPr>
              <w:spacing w:after="0"/>
              <w:rPr>
                <w:sz w:val="23"/>
                <w:szCs w:val="23"/>
                <w:color w:val="auto"/>
              </w:rPr>
            </w:pPr>
          </w:p>
        </w:tc>
        <w:tc>
          <w:tcPr>
            <w:tcW w:w="206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64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74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12 months</w:t>
            </w:r>
          </w:p>
        </w:tc>
        <w:tc>
          <w:tcPr>
            <w:tcW w:w="1740" w:type="dxa"/>
            <w:vAlign w:val="bottom"/>
            <w:tcBorders>
              <w:top w:val="single" w:sz="8" w:color="2D53A6"/>
              <w:right w:val="single" w:sz="8" w:color="2D53A6"/>
            </w:tcBorders>
            <w:vMerge w:val="restart"/>
          </w:tcPr>
          <w:p>
            <w:pPr>
              <w:ind w:left="620"/>
              <w:spacing w:after="0"/>
              <w:rPr>
                <w:sz w:val="20"/>
                <w:szCs w:val="20"/>
                <w:color w:val="auto"/>
              </w:rPr>
            </w:pPr>
            <w:r>
              <w:rPr>
                <w:rFonts w:ascii="Arial" w:cs="Arial" w:eastAsia="Arial" w:hAnsi="Arial"/>
                <w:sz w:val="18"/>
                <w:szCs w:val="18"/>
                <w:color w:val="auto"/>
              </w:rPr>
              <w:t>150%</w:t>
            </w:r>
          </w:p>
        </w:tc>
        <w:tc>
          <w:tcPr>
            <w:tcW w:w="2060" w:type="dxa"/>
            <w:vAlign w:val="bottom"/>
            <w:tcBorders>
              <w:top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129"/>
        </w:trPr>
        <w:tc>
          <w:tcPr>
            <w:tcW w:w="3640" w:type="dxa"/>
            <w:vAlign w:val="bottom"/>
            <w:tcBorders>
              <w:right w:val="single" w:sz="8" w:color="2D53A6"/>
            </w:tcBorders>
            <w:vMerge w:val="restart"/>
          </w:tcPr>
          <w:p>
            <w:pPr>
              <w:ind w:left="60"/>
              <w:spacing w:after="0"/>
              <w:rPr>
                <w:sz w:val="20"/>
                <w:szCs w:val="20"/>
                <w:color w:val="auto"/>
              </w:rPr>
            </w:pPr>
            <w:r>
              <w:rPr>
                <w:rFonts w:ascii="Arial" w:cs="Arial" w:eastAsia="Arial" w:hAnsi="Arial"/>
                <w:sz w:val="18"/>
                <w:szCs w:val="18"/>
                <w:i w:val="1"/>
                <w:iCs w:val="1"/>
                <w:color w:val="auto"/>
              </w:rPr>
              <w:t>Sr. Vice President, Chief Customer Officer</w:t>
            </w:r>
          </w:p>
        </w:tc>
        <w:tc>
          <w:tcPr>
            <w:tcW w:w="1740" w:type="dxa"/>
            <w:vAlign w:val="bottom"/>
            <w:tcBorders>
              <w:right w:val="single" w:sz="8" w:color="2D53A6"/>
            </w:tcBorders>
            <w:vMerge w:val="continue"/>
          </w:tcPr>
          <w:p>
            <w:pPr>
              <w:spacing w:after="0"/>
              <w:rPr>
                <w:sz w:val="11"/>
                <w:szCs w:val="11"/>
                <w:color w:val="auto"/>
              </w:rPr>
            </w:pPr>
          </w:p>
        </w:tc>
        <w:tc>
          <w:tcPr>
            <w:tcW w:w="2060" w:type="dxa"/>
            <w:vAlign w:val="bottom"/>
            <w:tcBorders>
              <w:right w:val="single" w:sz="8" w:color="2D53A6"/>
            </w:tcBorders>
            <w:vMerge w:val="continue"/>
          </w:tcPr>
          <w:p>
            <w:pPr>
              <w:spacing w:after="0"/>
              <w:rPr>
                <w:sz w:val="11"/>
                <w:szCs w:val="11"/>
                <w:color w:val="auto"/>
              </w:rPr>
            </w:pPr>
          </w:p>
        </w:tc>
        <w:tc>
          <w:tcPr>
            <w:tcW w:w="1740" w:type="dxa"/>
            <w:vAlign w:val="bottom"/>
            <w:tcBorders>
              <w:right w:val="single" w:sz="8" w:color="2D53A6"/>
            </w:tcBorders>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40" w:type="dxa"/>
            <w:vAlign w:val="bottom"/>
            <w:tcBorders>
              <w:right w:val="single" w:sz="8" w:color="2D53A6"/>
            </w:tcBorders>
            <w:vMerge w:val="continue"/>
          </w:tcPr>
          <w:p>
            <w:pPr>
              <w:spacing w:after="0"/>
              <w:rPr>
                <w:sz w:val="9"/>
                <w:szCs w:val="9"/>
                <w:color w:val="auto"/>
              </w:rPr>
            </w:pPr>
          </w:p>
        </w:tc>
        <w:tc>
          <w:tcPr>
            <w:tcW w:w="1740" w:type="dxa"/>
            <w:vAlign w:val="bottom"/>
            <w:tcBorders>
              <w:right w:val="single" w:sz="8" w:color="2D53A6"/>
            </w:tcBorders>
          </w:tcPr>
          <w:p>
            <w:pPr>
              <w:spacing w:after="0"/>
              <w:rPr>
                <w:sz w:val="9"/>
                <w:szCs w:val="9"/>
                <w:color w:val="auto"/>
              </w:rPr>
            </w:pPr>
          </w:p>
        </w:tc>
        <w:tc>
          <w:tcPr>
            <w:tcW w:w="2060" w:type="dxa"/>
            <w:vAlign w:val="bottom"/>
            <w:tcBorders>
              <w:right w:val="single" w:sz="8" w:color="2D53A6"/>
            </w:tcBorders>
          </w:tcPr>
          <w:p>
            <w:pPr>
              <w:spacing w:after="0"/>
              <w:rPr>
                <w:sz w:val="9"/>
                <w:szCs w:val="9"/>
                <w:color w:val="auto"/>
              </w:rPr>
            </w:pPr>
          </w:p>
        </w:tc>
        <w:tc>
          <w:tcPr>
            <w:tcW w:w="1740" w:type="dxa"/>
            <w:vAlign w:val="bottom"/>
            <w:tcBorders>
              <w:right w:val="single" w:sz="8" w:color="2D53A6"/>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4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640" w:type="dxa"/>
            <w:vAlign w:val="bottom"/>
            <w:tcBorders>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17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12 months</w:t>
            </w:r>
          </w:p>
        </w:tc>
        <w:tc>
          <w:tcPr>
            <w:tcW w:w="1740" w:type="dxa"/>
            <w:vAlign w:val="bottom"/>
            <w:tcBorders>
              <w:right w:val="single" w:sz="8" w:color="2D53A6"/>
            </w:tcBorders>
            <w:vMerge w:val="restart"/>
            <w:shd w:val="clear" w:color="auto" w:fill="E6E6E6"/>
          </w:tcPr>
          <w:p>
            <w:pPr>
              <w:ind w:left="620"/>
              <w:spacing w:after="0"/>
              <w:rPr>
                <w:sz w:val="20"/>
                <w:szCs w:val="20"/>
                <w:color w:val="auto"/>
              </w:rPr>
            </w:pPr>
            <w:r>
              <w:rPr>
                <w:rFonts w:ascii="Arial" w:cs="Arial" w:eastAsia="Arial" w:hAnsi="Arial"/>
                <w:sz w:val="18"/>
                <w:szCs w:val="18"/>
                <w:color w:val="auto"/>
              </w:rPr>
              <w:t>150%</w:t>
            </w:r>
          </w:p>
        </w:tc>
        <w:tc>
          <w:tcPr>
            <w:tcW w:w="206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D53A6"/>
            </w:tcBorders>
            <w:shd w:val="clear" w:color="auto" w:fill="E6E6E6"/>
          </w:tcPr>
          <w:p>
            <w:pPr>
              <w:ind w:left="60"/>
              <w:spacing w:after="0" w:line="202" w:lineRule="exact"/>
              <w:rPr>
                <w:sz w:val="20"/>
                <w:szCs w:val="20"/>
                <w:color w:val="auto"/>
              </w:rPr>
            </w:pPr>
            <w:r>
              <w:rPr>
                <w:rFonts w:ascii="Arial" w:cs="Arial" w:eastAsia="Arial" w:hAnsi="Arial"/>
                <w:sz w:val="18"/>
                <w:szCs w:val="18"/>
                <w:i w:val="1"/>
                <w:iCs w:val="1"/>
                <w:color w:val="auto"/>
              </w:rPr>
              <w:t>Sr. Vice President Corporate Development,</w:t>
            </w:r>
          </w:p>
        </w:tc>
        <w:tc>
          <w:tcPr>
            <w:tcW w:w="1740" w:type="dxa"/>
            <w:vAlign w:val="bottom"/>
            <w:tcBorders>
              <w:right w:val="single" w:sz="8" w:color="2D53A6"/>
            </w:tcBorders>
            <w:vMerge w:val="continue"/>
            <w:shd w:val="clear" w:color="auto" w:fill="E6E6E6"/>
          </w:tcPr>
          <w:p>
            <w:pPr>
              <w:spacing w:after="0"/>
              <w:rPr>
                <w:sz w:val="17"/>
                <w:szCs w:val="17"/>
                <w:color w:val="auto"/>
              </w:rPr>
            </w:pPr>
          </w:p>
        </w:tc>
        <w:tc>
          <w:tcPr>
            <w:tcW w:w="2060" w:type="dxa"/>
            <w:vAlign w:val="bottom"/>
            <w:tcBorders>
              <w:right w:val="single" w:sz="8" w:color="2D53A6"/>
            </w:tcBorders>
            <w:vMerge w:val="continue"/>
            <w:shd w:val="clear" w:color="auto" w:fill="E6E6E6"/>
          </w:tcPr>
          <w:p>
            <w:pPr>
              <w:spacing w:after="0"/>
              <w:rPr>
                <w:sz w:val="17"/>
                <w:szCs w:val="17"/>
                <w:color w:val="auto"/>
              </w:rPr>
            </w:pPr>
          </w:p>
        </w:tc>
        <w:tc>
          <w:tcPr>
            <w:tcW w:w="1740" w:type="dxa"/>
            <w:vAlign w:val="bottom"/>
            <w:tcBorders>
              <w:right w:val="single" w:sz="8" w:color="2D53A6"/>
            </w:tcBorders>
            <w:vMerge w:val="continue"/>
            <w:shd w:val="clear" w:color="auto" w:fill="E6E6E6"/>
          </w:tcPr>
          <w:p>
            <w:pPr>
              <w:spacing w:after="0"/>
              <w:rPr>
                <w:sz w:val="17"/>
                <w:szCs w:val="17"/>
                <w:color w:val="auto"/>
              </w:rPr>
            </w:pPr>
          </w:p>
        </w:tc>
        <w:tc>
          <w:tcPr>
            <w:tcW w:w="2060" w:type="dxa"/>
            <w:vAlign w:val="bottom"/>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64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i w:val="1"/>
                <w:iCs w:val="1"/>
                <w:color w:val="auto"/>
              </w:rPr>
              <w:t>General Counsel &amp; Secretary</w:t>
            </w:r>
          </w:p>
        </w:tc>
        <w:tc>
          <w:tcPr>
            <w:tcW w:w="1740" w:type="dxa"/>
            <w:vAlign w:val="bottom"/>
            <w:tcBorders>
              <w:bottom w:val="single" w:sz="8" w:color="E6E6E6"/>
              <w:right w:val="single" w:sz="8" w:color="2D53A6"/>
            </w:tcBorders>
            <w:shd w:val="clear" w:color="auto" w:fill="E6E6E6"/>
          </w:tcPr>
          <w:p>
            <w:pPr>
              <w:spacing w:after="0"/>
              <w:rPr>
                <w:sz w:val="23"/>
                <w:szCs w:val="23"/>
                <w:color w:val="auto"/>
              </w:rPr>
            </w:pPr>
          </w:p>
        </w:tc>
        <w:tc>
          <w:tcPr>
            <w:tcW w:w="2060" w:type="dxa"/>
            <w:vAlign w:val="bottom"/>
            <w:tcBorders>
              <w:bottom w:val="single" w:sz="8" w:color="E6E6E6"/>
              <w:right w:val="single" w:sz="8" w:color="2D53A6"/>
            </w:tcBorders>
            <w:shd w:val="clear" w:color="auto" w:fill="E6E6E6"/>
          </w:tcPr>
          <w:p>
            <w:pPr>
              <w:spacing w:after="0"/>
              <w:rPr>
                <w:sz w:val="23"/>
                <w:szCs w:val="23"/>
                <w:color w:val="auto"/>
              </w:rPr>
            </w:pPr>
          </w:p>
        </w:tc>
        <w:tc>
          <w:tcPr>
            <w:tcW w:w="1740" w:type="dxa"/>
            <w:vAlign w:val="bottom"/>
            <w:tcBorders>
              <w:bottom w:val="single" w:sz="8" w:color="E6E6E6"/>
              <w:right w:val="single" w:sz="8" w:color="2D53A6"/>
            </w:tcBorders>
            <w:shd w:val="clear" w:color="auto" w:fill="E6E6E6"/>
          </w:tcPr>
          <w:p>
            <w:pPr>
              <w:spacing w:after="0"/>
              <w:rPr>
                <w:sz w:val="23"/>
                <w:szCs w:val="23"/>
                <w:color w:val="auto"/>
              </w:rPr>
            </w:pPr>
          </w:p>
        </w:tc>
        <w:tc>
          <w:tcPr>
            <w:tcW w:w="206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64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174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12 months</w:t>
            </w:r>
          </w:p>
        </w:tc>
        <w:tc>
          <w:tcPr>
            <w:tcW w:w="1740" w:type="dxa"/>
            <w:vAlign w:val="bottom"/>
            <w:tcBorders>
              <w:top w:val="single" w:sz="8" w:color="2D53A6"/>
              <w:right w:val="single" w:sz="8" w:color="2D53A6"/>
            </w:tcBorders>
            <w:vMerge w:val="restart"/>
          </w:tcPr>
          <w:p>
            <w:pPr>
              <w:ind w:left="620"/>
              <w:spacing w:after="0"/>
              <w:rPr>
                <w:sz w:val="20"/>
                <w:szCs w:val="20"/>
                <w:color w:val="auto"/>
              </w:rPr>
            </w:pPr>
            <w:r>
              <w:rPr>
                <w:rFonts w:ascii="Arial" w:cs="Arial" w:eastAsia="Arial" w:hAnsi="Arial"/>
                <w:sz w:val="18"/>
                <w:szCs w:val="18"/>
                <w:color w:val="auto"/>
              </w:rPr>
              <w:t>150%</w:t>
            </w:r>
          </w:p>
        </w:tc>
        <w:tc>
          <w:tcPr>
            <w:tcW w:w="2060" w:type="dxa"/>
            <w:vAlign w:val="bottom"/>
            <w:tcBorders>
              <w:top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D53A6"/>
            </w:tcBorders>
          </w:tcPr>
          <w:p>
            <w:pPr>
              <w:ind w:left="60"/>
              <w:spacing w:after="0" w:line="202" w:lineRule="exact"/>
              <w:rPr>
                <w:sz w:val="20"/>
                <w:szCs w:val="20"/>
                <w:color w:val="auto"/>
              </w:rPr>
            </w:pPr>
            <w:r>
              <w:rPr>
                <w:rFonts w:ascii="Arial" w:cs="Arial" w:eastAsia="Arial" w:hAnsi="Arial"/>
                <w:sz w:val="18"/>
                <w:szCs w:val="18"/>
                <w:i w:val="1"/>
                <w:iCs w:val="1"/>
                <w:color w:val="auto"/>
              </w:rPr>
              <w:t>Sr. Vice President &amp; General Manager,</w:t>
            </w:r>
          </w:p>
        </w:tc>
        <w:tc>
          <w:tcPr>
            <w:tcW w:w="1740" w:type="dxa"/>
            <w:vAlign w:val="bottom"/>
            <w:tcBorders>
              <w:right w:val="single" w:sz="8" w:color="2D53A6"/>
            </w:tcBorders>
            <w:vMerge w:val="continue"/>
          </w:tcPr>
          <w:p>
            <w:pPr>
              <w:spacing w:after="0"/>
              <w:rPr>
                <w:sz w:val="17"/>
                <w:szCs w:val="17"/>
                <w:color w:val="auto"/>
              </w:rPr>
            </w:pPr>
          </w:p>
        </w:tc>
        <w:tc>
          <w:tcPr>
            <w:tcW w:w="2060" w:type="dxa"/>
            <w:vAlign w:val="bottom"/>
            <w:tcBorders>
              <w:right w:val="single" w:sz="8" w:color="2D53A6"/>
            </w:tcBorders>
            <w:vMerge w:val="continue"/>
          </w:tcPr>
          <w:p>
            <w:pPr>
              <w:spacing w:after="0"/>
              <w:rPr>
                <w:sz w:val="17"/>
                <w:szCs w:val="17"/>
                <w:color w:val="auto"/>
              </w:rPr>
            </w:pPr>
          </w:p>
        </w:tc>
        <w:tc>
          <w:tcPr>
            <w:tcW w:w="1740" w:type="dxa"/>
            <w:vAlign w:val="bottom"/>
            <w:tcBorders>
              <w:right w:val="single" w:sz="8" w:color="2D53A6"/>
            </w:tcBorders>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40" w:type="dxa"/>
            <w:vAlign w:val="bottom"/>
            <w:tcBorders>
              <w:right w:val="single" w:sz="8" w:color="2D53A6"/>
            </w:tcBorders>
          </w:tcPr>
          <w:p>
            <w:pPr>
              <w:ind w:left="60"/>
              <w:spacing w:after="0"/>
              <w:rPr>
                <w:sz w:val="20"/>
                <w:szCs w:val="20"/>
                <w:color w:val="auto"/>
              </w:rPr>
            </w:pPr>
            <w:r>
              <w:rPr>
                <w:rFonts w:ascii="Arial" w:cs="Arial" w:eastAsia="Arial" w:hAnsi="Arial"/>
                <w:sz w:val="18"/>
                <w:szCs w:val="18"/>
                <w:i w:val="1"/>
                <w:iCs w:val="1"/>
                <w:color w:val="auto"/>
              </w:rPr>
              <w:t>Semiconductor Test Group</w:t>
            </w:r>
          </w:p>
        </w:tc>
        <w:tc>
          <w:tcPr>
            <w:tcW w:w="1740" w:type="dxa"/>
            <w:vAlign w:val="bottom"/>
            <w:tcBorders>
              <w:right w:val="single" w:sz="8" w:color="2D53A6"/>
            </w:tcBorders>
          </w:tcPr>
          <w:p>
            <w:pPr>
              <w:spacing w:after="0"/>
              <w:rPr>
                <w:sz w:val="20"/>
                <w:szCs w:val="20"/>
                <w:color w:val="auto"/>
              </w:rPr>
            </w:pPr>
          </w:p>
        </w:tc>
        <w:tc>
          <w:tcPr>
            <w:tcW w:w="2060" w:type="dxa"/>
            <w:vAlign w:val="bottom"/>
            <w:tcBorders>
              <w:right w:val="single" w:sz="8" w:color="2D53A6"/>
            </w:tcBorders>
          </w:tcPr>
          <w:p>
            <w:pPr>
              <w:spacing w:after="0"/>
              <w:rPr>
                <w:sz w:val="20"/>
                <w:szCs w:val="20"/>
                <w:color w:val="auto"/>
              </w:rPr>
            </w:pPr>
          </w:p>
        </w:tc>
        <w:tc>
          <w:tcPr>
            <w:tcW w:w="1740" w:type="dxa"/>
            <w:vAlign w:val="bottom"/>
            <w:tcBorders>
              <w:right w:val="single" w:sz="8" w:color="2D53A6"/>
            </w:tcBorders>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64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right w:val="single" w:sz="8" w:color="2D53A6"/>
            </w:tcBorders>
          </w:tcPr>
          <w:p>
            <w:pPr>
              <w:spacing w:after="0"/>
              <w:rPr>
                <w:sz w:val="3"/>
                <w:szCs w:val="3"/>
                <w:color w:val="auto"/>
              </w:rPr>
            </w:pPr>
          </w:p>
        </w:tc>
        <w:tc>
          <w:tcPr>
            <w:tcW w:w="1740" w:type="dxa"/>
            <w:vAlign w:val="bottom"/>
            <w:tcBorders>
              <w:bottom w:val="single" w:sz="8" w:color="2D53A6"/>
              <w:right w:val="single" w:sz="8" w:color="2D53A6"/>
            </w:tcBorders>
          </w:tcPr>
          <w:p>
            <w:pPr>
              <w:spacing w:after="0"/>
              <w:rPr>
                <w:sz w:val="3"/>
                <w:szCs w:val="3"/>
                <w:color w:val="auto"/>
              </w:rPr>
            </w:pPr>
          </w:p>
        </w:tc>
        <w:tc>
          <w:tcPr>
            <w:tcW w:w="20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Qualifying Termination in Connection with a Change of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a change in control of Cohu means the occurrence of any of the following, in one or a series of related transactions:</w:t>
      </w:r>
    </w:p>
    <w:p>
      <w:pPr>
        <w:spacing w:after="0" w:line="198" w:lineRule="exact"/>
        <w:rPr>
          <w:sz w:val="20"/>
          <w:szCs w:val="20"/>
          <w:color w:val="auto"/>
        </w:rPr>
      </w:pPr>
    </w:p>
    <w:p>
      <w:pPr>
        <w:ind w:left="340" w:right="280" w:hanging="332"/>
        <w:spacing w:after="0" w:line="245"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Cohu’s securities that, together with the stock held by such Person, constitutes more than 50% of the total voting power of Cohu’s then outstanding stock;</w:t>
      </w:r>
    </w:p>
    <w:p>
      <w:pPr>
        <w:ind w:left="340" w:right="180" w:hanging="332"/>
        <w:spacing w:after="0" w:line="23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change in the effective control of Cohu which occurs on the date that a majority of members of the Board is replaced during any 12-month period (six-month period in the case of Dr. Müller) by members of the Board whose appointment or election is not endorsed by a majority of the members of the Board prior to the date of the appointment or election; or</w:t>
      </w:r>
    </w:p>
    <w:p>
      <w:pPr>
        <w:spacing w:after="0" w:line="2" w:lineRule="exact"/>
        <w:rPr>
          <w:rFonts w:ascii="Arial" w:cs="Arial" w:eastAsia="Arial" w:hAnsi="Arial"/>
          <w:sz w:val="18"/>
          <w:szCs w:val="18"/>
          <w:color w:val="auto"/>
        </w:rPr>
      </w:pPr>
    </w:p>
    <w:p>
      <w:pPr>
        <w:ind w:left="340" w:right="16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30, 2023, the amounts payable to our NEOs would have been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Borders>
              <w:right w:val="single" w:sz="8" w:color="2D53A6"/>
            </w:tcBorders>
            <w:shd w:val="clear" w:color="auto" w:fill="2D53A6"/>
          </w:tcPr>
          <w:p>
            <w:pPr>
              <w:spacing w:after="0"/>
              <w:rPr>
                <w:sz w:val="20"/>
                <w:szCs w:val="20"/>
                <w:color w:val="auto"/>
              </w:rPr>
            </w:pPr>
          </w:p>
        </w:tc>
        <w:tc>
          <w:tcPr>
            <w:tcW w:w="1660" w:type="dxa"/>
            <w:vAlign w:val="bottom"/>
            <w:tcBorders>
              <w:right w:val="single" w:sz="8" w:color="2D53A6"/>
            </w:tcBorders>
            <w:vMerge w:val="restart"/>
            <w:shd w:val="clear" w:color="auto" w:fill="2D53A6"/>
          </w:tcPr>
          <w:p>
            <w:pPr>
              <w:jc w:val="right"/>
              <w:ind w:right="550"/>
              <w:spacing w:after="0"/>
              <w:rPr>
                <w:sz w:val="20"/>
                <w:szCs w:val="20"/>
                <w:color w:val="auto"/>
              </w:rPr>
            </w:pPr>
            <w:r>
              <w:rPr>
                <w:rFonts w:ascii="Arial" w:cs="Arial" w:eastAsia="Arial" w:hAnsi="Arial"/>
                <w:sz w:val="18"/>
                <w:szCs w:val="18"/>
                <w:b w:val="1"/>
                <w:bCs w:val="1"/>
                <w:color w:val="FFFFFF"/>
              </w:rPr>
              <w:t>Total</w:t>
            </w:r>
          </w:p>
        </w:tc>
        <w:tc>
          <w:tcPr>
            <w:tcW w:w="1620" w:type="dxa"/>
            <w:vAlign w:val="bottom"/>
            <w:tcBorders>
              <w:right w:val="single" w:sz="8" w:color="2D53A6"/>
            </w:tcBorders>
            <w:vMerge w:val="restart"/>
            <w:shd w:val="clear" w:color="auto" w:fill="2D53A6"/>
          </w:tcPr>
          <w:p>
            <w:pPr>
              <w:jc w:val="right"/>
              <w:ind w:right="290"/>
              <w:spacing w:after="0"/>
              <w:rPr>
                <w:sz w:val="20"/>
                <w:szCs w:val="20"/>
                <w:color w:val="auto"/>
              </w:rPr>
            </w:pPr>
            <w:r>
              <w:rPr>
                <w:rFonts w:ascii="Arial" w:cs="Arial" w:eastAsia="Arial" w:hAnsi="Arial"/>
                <w:sz w:val="18"/>
                <w:szCs w:val="18"/>
                <w:b w:val="1"/>
                <w:bCs w:val="1"/>
                <w:color w:val="FFFFFF"/>
              </w:rPr>
              <w:t>Severance</w:t>
            </w:r>
          </w:p>
        </w:tc>
        <w:tc>
          <w:tcPr>
            <w:tcW w:w="1660" w:type="dxa"/>
            <w:vAlign w:val="bottom"/>
            <w:tcBorders>
              <w:right w:val="single" w:sz="8" w:color="2D53A6"/>
            </w:tcBorders>
            <w:vMerge w:val="restart"/>
            <w:shd w:val="clear" w:color="auto" w:fill="2D53A6"/>
          </w:tcPr>
          <w:p>
            <w:pPr>
              <w:jc w:val="right"/>
              <w:ind w:right="450"/>
              <w:spacing w:after="0"/>
              <w:rPr>
                <w:sz w:val="20"/>
                <w:szCs w:val="20"/>
                <w:color w:val="auto"/>
              </w:rPr>
            </w:pPr>
            <w:r>
              <w:rPr>
                <w:rFonts w:ascii="Arial" w:cs="Arial" w:eastAsia="Arial" w:hAnsi="Arial"/>
                <w:sz w:val="18"/>
                <w:szCs w:val="18"/>
                <w:b w:val="1"/>
                <w:bCs w:val="1"/>
                <w:color w:val="FFFFFF"/>
              </w:rPr>
              <w:t>Annual</w:t>
            </w: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Medical</w:t>
            </w:r>
          </w:p>
        </w:tc>
        <w:tc>
          <w:tcPr>
            <w:tcW w:w="1560" w:type="dxa"/>
            <w:vAlign w:val="bottom"/>
            <w:vMerge w:val="restart"/>
            <w:shd w:val="clear" w:color="auto" w:fill="2D53A6"/>
          </w:tcPr>
          <w:p>
            <w:pPr>
              <w:jc w:val="right"/>
              <w:ind w:right="190"/>
              <w:spacing w:after="0"/>
              <w:rPr>
                <w:sz w:val="20"/>
                <w:szCs w:val="20"/>
                <w:color w:val="auto"/>
              </w:rPr>
            </w:pPr>
            <w:r>
              <w:rPr>
                <w:rFonts w:ascii="Arial" w:cs="Arial" w:eastAsia="Arial" w:hAnsi="Arial"/>
                <w:sz w:val="18"/>
                <w:szCs w:val="18"/>
                <w:b w:val="1"/>
                <w:bCs w:val="1"/>
                <w:color w:val="FFFFFF"/>
              </w:rPr>
              <w:t>RSUs/PSUs</w:t>
            </w:r>
          </w:p>
        </w:tc>
        <w:tc>
          <w:tcPr>
            <w:tcW w:w="0" w:type="dxa"/>
            <w:vAlign w:val="bottom"/>
          </w:tcPr>
          <w:p>
            <w:pPr>
              <w:spacing w:after="0"/>
              <w:rPr>
                <w:sz w:val="1"/>
                <w:szCs w:val="1"/>
                <w:color w:val="auto"/>
              </w:rPr>
            </w:pPr>
          </w:p>
        </w:tc>
      </w:tr>
      <w:tr>
        <w:trPr>
          <w:trHeight w:val="94"/>
        </w:trPr>
        <w:tc>
          <w:tcPr>
            <w:tcW w:w="3100" w:type="dxa"/>
            <w:vAlign w:val="bottom"/>
            <w:tcBorders>
              <w:right w:val="single" w:sz="8" w:color="2D53A6"/>
            </w:tcBorders>
            <w:vMerge w:val="restart"/>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1660" w:type="dxa"/>
            <w:vAlign w:val="bottom"/>
            <w:tcBorders>
              <w:right w:val="single" w:sz="8" w:color="2D53A6"/>
            </w:tcBorders>
            <w:vMerge w:val="continue"/>
            <w:shd w:val="clear" w:color="auto" w:fill="2D53A6"/>
          </w:tcPr>
          <w:p>
            <w:pPr>
              <w:spacing w:after="0"/>
              <w:rPr>
                <w:sz w:val="8"/>
                <w:szCs w:val="8"/>
                <w:color w:val="auto"/>
              </w:rPr>
            </w:pPr>
          </w:p>
        </w:tc>
        <w:tc>
          <w:tcPr>
            <w:tcW w:w="1620" w:type="dxa"/>
            <w:vAlign w:val="bottom"/>
            <w:tcBorders>
              <w:right w:val="single" w:sz="8" w:color="2D53A6"/>
            </w:tcBorders>
            <w:vMerge w:val="continue"/>
            <w:shd w:val="clear" w:color="auto" w:fill="2D53A6"/>
          </w:tcPr>
          <w:p>
            <w:pPr>
              <w:spacing w:after="0"/>
              <w:rPr>
                <w:sz w:val="8"/>
                <w:szCs w:val="8"/>
                <w:color w:val="auto"/>
              </w:rPr>
            </w:pPr>
          </w:p>
        </w:tc>
        <w:tc>
          <w:tcPr>
            <w:tcW w:w="1660" w:type="dxa"/>
            <w:vAlign w:val="bottom"/>
            <w:tcBorders>
              <w:right w:val="single" w:sz="8" w:color="2D53A6"/>
            </w:tcBorders>
            <w:vMerge w:val="continue"/>
            <w:shd w:val="clear" w:color="auto" w:fill="2D53A6"/>
          </w:tcPr>
          <w:p>
            <w:pPr>
              <w:spacing w:after="0"/>
              <w:rPr>
                <w:sz w:val="8"/>
                <w:szCs w:val="8"/>
                <w:color w:val="auto"/>
              </w:rPr>
            </w:pPr>
          </w:p>
        </w:tc>
        <w:tc>
          <w:tcPr>
            <w:tcW w:w="164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Benefits</w:t>
            </w:r>
          </w:p>
        </w:tc>
        <w:tc>
          <w:tcPr>
            <w:tcW w:w="1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2D53A6"/>
            </w:tcBorders>
            <w:vMerge w:val="continue"/>
            <w:shd w:val="clear" w:color="auto" w:fill="2D53A6"/>
          </w:tcPr>
          <w:p>
            <w:pPr>
              <w:spacing w:after="0"/>
              <w:rPr>
                <w:sz w:val="9"/>
                <w:szCs w:val="9"/>
                <w:color w:val="auto"/>
              </w:rPr>
            </w:pPr>
          </w:p>
        </w:tc>
        <w:tc>
          <w:tcPr>
            <w:tcW w:w="1660" w:type="dxa"/>
            <w:vAlign w:val="bottom"/>
            <w:tcBorders>
              <w:right w:val="single" w:sz="8" w:color="2D53A6"/>
            </w:tcBorders>
            <w:vMerge w:val="restart"/>
            <w:shd w:val="clear" w:color="auto" w:fill="2D53A6"/>
          </w:tcPr>
          <w:p>
            <w:pPr>
              <w:jc w:val="right"/>
              <w:ind w:right="650"/>
              <w:spacing w:after="0"/>
              <w:rPr>
                <w:sz w:val="20"/>
                <w:szCs w:val="20"/>
                <w:color w:val="auto"/>
              </w:rPr>
            </w:pPr>
            <w:r>
              <w:rPr>
                <w:rFonts w:ascii="Arial" w:cs="Arial" w:eastAsia="Arial" w:hAnsi="Arial"/>
                <w:sz w:val="18"/>
                <w:szCs w:val="18"/>
                <w:b w:val="1"/>
                <w:bCs w:val="1"/>
                <w:color w:val="FFFFFF"/>
              </w:rPr>
              <w:t>($)</w:t>
            </w:r>
          </w:p>
        </w:tc>
        <w:tc>
          <w:tcPr>
            <w:tcW w:w="1620" w:type="dxa"/>
            <w:vAlign w:val="bottom"/>
            <w:tcBorders>
              <w:right w:val="single" w:sz="8" w:color="2D53A6"/>
            </w:tcBorders>
            <w:vMerge w:val="restart"/>
            <w:shd w:val="clear" w:color="auto" w:fill="2D53A6"/>
          </w:tcPr>
          <w:p>
            <w:pPr>
              <w:jc w:val="right"/>
              <w:ind w:right="510"/>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(1)</w:t>
            </w:r>
          </w:p>
        </w:tc>
        <w:tc>
          <w:tcPr>
            <w:tcW w:w="1660" w:type="dxa"/>
            <w:vAlign w:val="bottom"/>
            <w:tcBorders>
              <w:right w:val="single" w:sz="8" w:color="2D53A6"/>
            </w:tcBorders>
            <w:vMerge w:val="restart"/>
            <w:shd w:val="clear" w:color="auto" w:fill="2D53A6"/>
          </w:tcPr>
          <w:p>
            <w:pPr>
              <w:jc w:val="right"/>
              <w:ind w:right="210"/>
              <w:spacing w:after="0"/>
              <w:rPr>
                <w:sz w:val="20"/>
                <w:szCs w:val="20"/>
                <w:color w:val="auto"/>
              </w:rPr>
            </w:pPr>
            <w:r>
              <w:rPr>
                <w:rFonts w:ascii="Arial" w:cs="Arial" w:eastAsia="Arial" w:hAnsi="Arial"/>
                <w:sz w:val="18"/>
                <w:szCs w:val="18"/>
                <w:b w:val="1"/>
                <w:bCs w:val="1"/>
                <w:color w:val="FFFFFF"/>
              </w:rPr>
              <w:t xml:space="preserve">Bonus ($) </w:t>
            </w:r>
            <w:r>
              <w:rPr>
                <w:rFonts w:ascii="Arial" w:cs="Arial" w:eastAsia="Arial" w:hAnsi="Arial"/>
                <w:sz w:val="14"/>
                <w:szCs w:val="14"/>
                <w:b w:val="1"/>
                <w:bCs w:val="1"/>
                <w:color w:val="FFFFFF"/>
              </w:rPr>
              <w:t>(1)</w:t>
            </w: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vMerge w:val="restart"/>
            <w:shd w:val="clear" w:color="auto" w:fill="2D53A6"/>
          </w:tcPr>
          <w:p>
            <w:pPr>
              <w:jc w:val="right"/>
              <w:ind w:right="470"/>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39"/>
        </w:trPr>
        <w:tc>
          <w:tcPr>
            <w:tcW w:w="3100" w:type="dxa"/>
            <w:vAlign w:val="bottom"/>
            <w:tcBorders>
              <w:right w:val="single" w:sz="8" w:color="2D53A6"/>
            </w:tcBorders>
            <w:shd w:val="clear" w:color="auto" w:fill="2D53A6"/>
          </w:tcPr>
          <w:p>
            <w:pPr>
              <w:spacing w:after="0"/>
              <w:rPr>
                <w:sz w:val="12"/>
                <w:szCs w:val="12"/>
                <w:color w:val="auto"/>
              </w:rPr>
            </w:pPr>
          </w:p>
        </w:tc>
        <w:tc>
          <w:tcPr>
            <w:tcW w:w="1660" w:type="dxa"/>
            <w:vAlign w:val="bottom"/>
            <w:tcBorders>
              <w:right w:val="single" w:sz="8" w:color="2D53A6"/>
            </w:tcBorders>
            <w:vMerge w:val="continue"/>
            <w:shd w:val="clear" w:color="auto" w:fill="2D53A6"/>
          </w:tcPr>
          <w:p>
            <w:pPr>
              <w:spacing w:after="0"/>
              <w:rPr>
                <w:sz w:val="12"/>
                <w:szCs w:val="12"/>
                <w:color w:val="auto"/>
              </w:rPr>
            </w:pPr>
          </w:p>
        </w:tc>
        <w:tc>
          <w:tcPr>
            <w:tcW w:w="1620" w:type="dxa"/>
            <w:vAlign w:val="bottom"/>
            <w:tcBorders>
              <w:right w:val="single" w:sz="8" w:color="2D53A6"/>
            </w:tcBorders>
            <w:vMerge w:val="continue"/>
            <w:shd w:val="clear" w:color="auto" w:fill="2D53A6"/>
          </w:tcPr>
          <w:p>
            <w:pPr>
              <w:spacing w:after="0"/>
              <w:rPr>
                <w:sz w:val="12"/>
                <w:szCs w:val="12"/>
                <w:color w:val="auto"/>
              </w:rPr>
            </w:pPr>
          </w:p>
        </w:tc>
        <w:tc>
          <w:tcPr>
            <w:tcW w:w="1660" w:type="dxa"/>
            <w:vAlign w:val="bottom"/>
            <w:tcBorders>
              <w:right w:val="single" w:sz="8" w:color="2D53A6"/>
            </w:tcBorders>
            <w:vMerge w:val="continue"/>
            <w:shd w:val="clear" w:color="auto" w:fill="2D53A6"/>
          </w:tcPr>
          <w:p>
            <w:pPr>
              <w:spacing w:after="0"/>
              <w:rPr>
                <w:sz w:val="12"/>
                <w:szCs w:val="12"/>
                <w:color w:val="auto"/>
              </w:rPr>
            </w:pPr>
          </w:p>
        </w:tc>
        <w:tc>
          <w:tcPr>
            <w:tcW w:w="16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(2)</w:t>
            </w:r>
          </w:p>
        </w:tc>
        <w:tc>
          <w:tcPr>
            <w:tcW w:w="1560" w:type="dxa"/>
            <w:vAlign w:val="bottom"/>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Borders>
              <w:bottom w:val="single" w:sz="8" w:color="2D53A6"/>
              <w:right w:val="single" w:sz="8" w:color="2D53A6"/>
            </w:tcBorders>
            <w:shd w:val="clear" w:color="auto" w:fill="2D53A6"/>
          </w:tcPr>
          <w:p>
            <w:pPr>
              <w:spacing w:after="0"/>
              <w:rPr>
                <w:sz w:val="11"/>
                <w:szCs w:val="11"/>
                <w:color w:val="auto"/>
              </w:rPr>
            </w:pPr>
          </w:p>
        </w:tc>
        <w:tc>
          <w:tcPr>
            <w:tcW w:w="1660" w:type="dxa"/>
            <w:vAlign w:val="bottom"/>
            <w:tcBorders>
              <w:bottom w:val="single" w:sz="8" w:color="2D53A6"/>
              <w:right w:val="single" w:sz="8" w:color="2D53A6"/>
            </w:tcBorders>
            <w:shd w:val="clear" w:color="auto" w:fill="2D53A6"/>
          </w:tcPr>
          <w:p>
            <w:pPr>
              <w:spacing w:after="0"/>
              <w:rPr>
                <w:sz w:val="11"/>
                <w:szCs w:val="11"/>
                <w:color w:val="auto"/>
              </w:rPr>
            </w:pPr>
          </w:p>
        </w:tc>
        <w:tc>
          <w:tcPr>
            <w:tcW w:w="1620" w:type="dxa"/>
            <w:vAlign w:val="bottom"/>
            <w:tcBorders>
              <w:bottom w:val="single" w:sz="8" w:color="2D53A6"/>
              <w:right w:val="single" w:sz="8" w:color="2D53A6"/>
            </w:tcBorders>
            <w:shd w:val="clear" w:color="auto" w:fill="2D53A6"/>
          </w:tcPr>
          <w:p>
            <w:pPr>
              <w:spacing w:after="0"/>
              <w:rPr>
                <w:sz w:val="11"/>
                <w:szCs w:val="11"/>
                <w:color w:val="auto"/>
              </w:rPr>
            </w:pPr>
          </w:p>
        </w:tc>
        <w:tc>
          <w:tcPr>
            <w:tcW w:w="1660" w:type="dxa"/>
            <w:vAlign w:val="bottom"/>
            <w:tcBorders>
              <w:bottom w:val="single" w:sz="8" w:color="2D53A6"/>
              <w:right w:val="single" w:sz="8" w:color="2D53A6"/>
            </w:tcBorders>
            <w:shd w:val="clear" w:color="auto" w:fill="2D53A6"/>
          </w:tcPr>
          <w:p>
            <w:pPr>
              <w:spacing w:after="0"/>
              <w:rPr>
                <w:sz w:val="11"/>
                <w:szCs w:val="11"/>
                <w:color w:val="auto"/>
              </w:rPr>
            </w:pPr>
          </w:p>
        </w:tc>
        <w:tc>
          <w:tcPr>
            <w:tcW w:w="1640" w:type="dxa"/>
            <w:vAlign w:val="bottom"/>
            <w:tcBorders>
              <w:bottom w:val="single" w:sz="8" w:color="2D53A6"/>
              <w:right w:val="single" w:sz="8" w:color="2D53A6"/>
            </w:tcBorders>
            <w:vMerge w:val="continue"/>
            <w:shd w:val="clear" w:color="auto" w:fill="2D53A6"/>
          </w:tcPr>
          <w:p>
            <w:pPr>
              <w:spacing w:after="0"/>
              <w:rPr>
                <w:sz w:val="11"/>
                <w:szCs w:val="11"/>
                <w:color w:val="auto"/>
              </w:rPr>
            </w:pPr>
          </w:p>
        </w:tc>
        <w:tc>
          <w:tcPr>
            <w:tcW w:w="1560" w:type="dxa"/>
            <w:vAlign w:val="bottom"/>
            <w:tcBorders>
              <w:bottom w:val="single" w:sz="8" w:color="2D53A6"/>
            </w:tcBorders>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0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66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13,392,662</w:t>
            </w:r>
          </w:p>
        </w:tc>
        <w:tc>
          <w:tcPr>
            <w:tcW w:w="16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3,003,000</w:t>
            </w:r>
          </w:p>
        </w:tc>
        <w:tc>
          <w:tcPr>
            <w:tcW w:w="166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786,500</w:t>
            </w:r>
          </w:p>
        </w:tc>
        <w:tc>
          <w:tcPr>
            <w:tcW w:w="16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80,810</w:t>
            </w:r>
          </w:p>
        </w:tc>
        <w:tc>
          <w:tcPr>
            <w:tcW w:w="1560" w:type="dxa"/>
            <w:vAlign w:val="bottom"/>
          </w:tcPr>
          <w:p>
            <w:pPr>
              <w:jc w:val="right"/>
              <w:spacing w:after="0"/>
              <w:rPr>
                <w:sz w:val="20"/>
                <w:szCs w:val="20"/>
                <w:color w:val="auto"/>
              </w:rPr>
            </w:pPr>
            <w:r>
              <w:rPr>
                <w:rFonts w:ascii="Arial" w:cs="Arial" w:eastAsia="Arial" w:hAnsi="Arial"/>
                <w:sz w:val="18"/>
                <w:szCs w:val="18"/>
                <w:color w:val="auto"/>
              </w:rPr>
              <w:t>9,522,352</w:t>
            </w:r>
          </w:p>
        </w:tc>
        <w:tc>
          <w:tcPr>
            <w:tcW w:w="0" w:type="dxa"/>
            <w:vAlign w:val="bottom"/>
          </w:tcPr>
          <w:p>
            <w:pPr>
              <w:spacing w:after="0"/>
              <w:rPr>
                <w:sz w:val="1"/>
                <w:szCs w:val="1"/>
                <w:color w:val="auto"/>
              </w:rPr>
            </w:pPr>
          </w:p>
        </w:tc>
      </w:tr>
      <w:tr>
        <w:trPr>
          <w:trHeight w:val="36"/>
        </w:trPr>
        <w:tc>
          <w:tcPr>
            <w:tcW w:w="31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40" w:type="dxa"/>
            <w:vAlign w:val="bottom"/>
            <w:tcBorders>
              <w:bottom w:val="single" w:sz="8" w:color="2D53A6"/>
              <w:right w:val="single" w:sz="8" w:color="2D53A6"/>
            </w:tcBorders>
          </w:tcPr>
          <w:p>
            <w:pPr>
              <w:spacing w:after="0"/>
              <w:rPr>
                <w:sz w:val="3"/>
                <w:szCs w:val="3"/>
                <w:color w:val="auto"/>
              </w:rPr>
            </w:pPr>
          </w:p>
        </w:tc>
        <w:tc>
          <w:tcPr>
            <w:tcW w:w="15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1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6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4,712,995</w:t>
            </w:r>
          </w:p>
        </w:tc>
        <w:tc>
          <w:tcPr>
            <w:tcW w:w="16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1,194,375</w:t>
            </w:r>
          </w:p>
        </w:tc>
        <w:tc>
          <w:tcPr>
            <w:tcW w:w="16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341,250</w:t>
            </w:r>
          </w:p>
        </w:tc>
        <w:tc>
          <w:tcPr>
            <w:tcW w:w="164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60,608</w:t>
            </w:r>
          </w:p>
        </w:tc>
        <w:tc>
          <w:tcPr>
            <w:tcW w:w="1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3,116,762</w:t>
            </w:r>
          </w:p>
        </w:tc>
        <w:tc>
          <w:tcPr>
            <w:tcW w:w="0" w:type="dxa"/>
            <w:vAlign w:val="bottom"/>
          </w:tcPr>
          <w:p>
            <w:pPr>
              <w:spacing w:after="0"/>
              <w:rPr>
                <w:sz w:val="1"/>
                <w:szCs w:val="1"/>
                <w:color w:val="auto"/>
              </w:rPr>
            </w:pPr>
          </w:p>
        </w:tc>
      </w:tr>
      <w:tr>
        <w:trPr>
          <w:trHeight w:val="268"/>
        </w:trPr>
        <w:tc>
          <w:tcPr>
            <w:tcW w:w="31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6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3,651,608</w:t>
            </w:r>
          </w:p>
        </w:tc>
        <w:tc>
          <w:tcPr>
            <w:tcW w:w="16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1,115,625</w:t>
            </w:r>
          </w:p>
        </w:tc>
        <w:tc>
          <w:tcPr>
            <w:tcW w:w="16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318,750</w:t>
            </w:r>
          </w:p>
        </w:tc>
        <w:tc>
          <w:tcPr>
            <w:tcW w:w="164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41,987</w:t>
            </w:r>
          </w:p>
        </w:tc>
        <w:tc>
          <w:tcPr>
            <w:tcW w:w="156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2,175,246</w:t>
            </w:r>
          </w:p>
        </w:tc>
        <w:tc>
          <w:tcPr>
            <w:tcW w:w="0" w:type="dxa"/>
            <w:vAlign w:val="bottom"/>
          </w:tcPr>
          <w:p>
            <w:pPr>
              <w:spacing w:after="0"/>
              <w:rPr>
                <w:sz w:val="1"/>
                <w:szCs w:val="1"/>
                <w:color w:val="auto"/>
              </w:rPr>
            </w:pPr>
          </w:p>
        </w:tc>
      </w:tr>
      <w:tr>
        <w:trPr>
          <w:trHeight w:val="36"/>
        </w:trPr>
        <w:tc>
          <w:tcPr>
            <w:tcW w:w="31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40" w:type="dxa"/>
            <w:vAlign w:val="bottom"/>
            <w:tcBorders>
              <w:bottom w:val="single" w:sz="8" w:color="2D53A6"/>
              <w:right w:val="single" w:sz="8" w:color="2D53A6"/>
            </w:tcBorders>
          </w:tcPr>
          <w:p>
            <w:pPr>
              <w:spacing w:after="0"/>
              <w:rPr>
                <w:sz w:val="3"/>
                <w:szCs w:val="3"/>
                <w:color w:val="auto"/>
              </w:rPr>
            </w:pPr>
          </w:p>
        </w:tc>
        <w:tc>
          <w:tcPr>
            <w:tcW w:w="15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1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16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2,637,085</w:t>
            </w:r>
          </w:p>
        </w:tc>
        <w:tc>
          <w:tcPr>
            <w:tcW w:w="16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911,250</w:t>
            </w:r>
          </w:p>
        </w:tc>
        <w:tc>
          <w:tcPr>
            <w:tcW w:w="166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202,500</w:t>
            </w:r>
          </w:p>
        </w:tc>
        <w:tc>
          <w:tcPr>
            <w:tcW w:w="164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52,456</w:t>
            </w:r>
          </w:p>
        </w:tc>
        <w:tc>
          <w:tcPr>
            <w:tcW w:w="1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1,470,879</w:t>
            </w:r>
          </w:p>
        </w:tc>
        <w:tc>
          <w:tcPr>
            <w:tcW w:w="0" w:type="dxa"/>
            <w:vAlign w:val="bottom"/>
          </w:tcPr>
          <w:p>
            <w:pPr>
              <w:spacing w:after="0"/>
              <w:rPr>
                <w:sz w:val="1"/>
                <w:szCs w:val="1"/>
                <w:color w:val="auto"/>
              </w:rPr>
            </w:pPr>
          </w:p>
        </w:tc>
      </w:tr>
      <w:tr>
        <w:trPr>
          <w:trHeight w:val="268"/>
        </w:trPr>
        <w:tc>
          <w:tcPr>
            <w:tcW w:w="31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16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2,220,163</w:t>
            </w:r>
          </w:p>
        </w:tc>
        <w:tc>
          <w:tcPr>
            <w:tcW w:w="16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778,875</w:t>
            </w:r>
          </w:p>
        </w:tc>
        <w:tc>
          <w:tcPr>
            <w:tcW w:w="166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184,250</w:t>
            </w:r>
          </w:p>
        </w:tc>
        <w:tc>
          <w:tcPr>
            <w:tcW w:w="164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60,608</w:t>
            </w:r>
          </w:p>
        </w:tc>
        <w:tc>
          <w:tcPr>
            <w:tcW w:w="1560" w:type="dxa"/>
            <w:vAlign w:val="bottom"/>
            <w:tcBorders>
              <w:top w:val="single" w:sz="8" w:color="2D53A6"/>
            </w:tcBorders>
          </w:tcPr>
          <w:p>
            <w:pPr>
              <w:jc w:val="right"/>
              <w:spacing w:after="0"/>
              <w:rPr>
                <w:sz w:val="20"/>
                <w:szCs w:val="20"/>
                <w:color w:val="auto"/>
              </w:rPr>
            </w:pPr>
            <w:r>
              <w:rPr>
                <w:rFonts w:ascii="Arial" w:cs="Arial" w:eastAsia="Arial" w:hAnsi="Arial"/>
                <w:sz w:val="18"/>
                <w:szCs w:val="18"/>
                <w:color w:val="auto"/>
              </w:rPr>
              <w:t>1,196,430</w:t>
            </w:r>
          </w:p>
        </w:tc>
        <w:tc>
          <w:tcPr>
            <w:tcW w:w="0" w:type="dxa"/>
            <w:vAlign w:val="bottom"/>
          </w:tcPr>
          <w:p>
            <w:pPr>
              <w:spacing w:after="0"/>
              <w:rPr>
                <w:sz w:val="1"/>
                <w:szCs w:val="1"/>
                <w:color w:val="auto"/>
              </w:rPr>
            </w:pPr>
          </w:p>
        </w:tc>
      </w:tr>
      <w:tr>
        <w:trPr>
          <w:trHeight w:val="36"/>
        </w:trPr>
        <w:tc>
          <w:tcPr>
            <w:tcW w:w="310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right w:val="single" w:sz="8" w:color="2D53A6"/>
            </w:tcBorders>
          </w:tcPr>
          <w:p>
            <w:pPr>
              <w:spacing w:after="0"/>
              <w:rPr>
                <w:sz w:val="3"/>
                <w:szCs w:val="3"/>
                <w:color w:val="auto"/>
              </w:rPr>
            </w:pPr>
          </w:p>
        </w:tc>
        <w:tc>
          <w:tcPr>
            <w:tcW w:w="1660" w:type="dxa"/>
            <w:vAlign w:val="bottom"/>
            <w:tcBorders>
              <w:bottom w:val="single" w:sz="8" w:color="2D53A6"/>
              <w:right w:val="single" w:sz="8" w:color="2D53A6"/>
            </w:tcBorders>
          </w:tcPr>
          <w:p>
            <w:pPr>
              <w:spacing w:after="0"/>
              <w:rPr>
                <w:sz w:val="3"/>
                <w:szCs w:val="3"/>
                <w:color w:val="auto"/>
              </w:rPr>
            </w:pPr>
          </w:p>
        </w:tc>
        <w:tc>
          <w:tcPr>
            <w:tcW w:w="1640" w:type="dxa"/>
            <w:vAlign w:val="bottom"/>
            <w:tcBorders>
              <w:bottom w:val="single" w:sz="8" w:color="2D53A6"/>
              <w:right w:val="single" w:sz="8" w:color="2D53A6"/>
            </w:tcBorders>
          </w:tcPr>
          <w:p>
            <w:pPr>
              <w:spacing w:after="0"/>
              <w:rPr>
                <w:sz w:val="3"/>
                <w:szCs w:val="3"/>
                <w:color w:val="auto"/>
              </w:rPr>
            </w:pPr>
          </w:p>
        </w:tc>
        <w:tc>
          <w:tcPr>
            <w:tcW w:w="1560" w:type="dxa"/>
            <w:vAlign w:val="bottom"/>
            <w:tcBorders>
              <w:bottom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60" w:hanging="332"/>
        <w:spacing w:after="0" w:line="28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the Change in Control Agreements for Dr. Müller and Messrs. Jones, Bohrson and Kampfer, and Lawee. These amounts are based on the individual’s 2023 base salary.</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 24 months for Dr. Müller, and 18 months for Messrs. Jones, Bohrson, Kampfer and Lawee.</w:t>
      </w:r>
    </w:p>
    <w:p>
      <w:pPr>
        <w:spacing w:after="0" w:line="68" w:lineRule="exact"/>
        <w:rPr>
          <w:rFonts w:ascii="Arial" w:cs="Arial" w:eastAsia="Arial" w:hAnsi="Arial"/>
          <w:sz w:val="14"/>
          <w:szCs w:val="14"/>
          <w:color w:val="auto"/>
        </w:rPr>
      </w:pPr>
    </w:p>
    <w:p>
      <w:pPr>
        <w:ind w:left="340" w:right="20" w:hanging="332"/>
        <w:spacing w:after="0" w:line="256"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and PSUs have been calculated based on the total unvested RSUs and PSUs and the closing price of Cohu’s common stock of $35.39 per share on December 30, 2023, prior to the payment of associated taxes, held by Dr. Müller and Messrs. Jones, Bohrson, Kampfer and Lawee as of December 30,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Payments Upon a Qualifying Termination Not in Connection with a Change of Control</w:t>
      </w:r>
    </w:p>
    <w:p>
      <w:pPr>
        <w:spacing w:after="0" w:line="196"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In the event of termination of employment not in connection with a change of control in the case for Dr. Müller and Messrs. Jones, Bohrson, Kampfer and Lawee by Cohu without cause, or by Dr. Müller for Good Reason as of December 30, 2023, the amounts payable to each NEO would have been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500" w:type="dxa"/>
            <w:vAlign w:val="bottom"/>
            <w:tcBorders>
              <w:right w:val="single" w:sz="8" w:color="2D53A6"/>
            </w:tcBorders>
            <w:shd w:val="clear" w:color="auto" w:fill="2D53A6"/>
          </w:tcPr>
          <w:p>
            <w:pPr>
              <w:spacing w:after="0"/>
              <w:rPr>
                <w:sz w:val="22"/>
                <w:szCs w:val="22"/>
                <w:color w:val="auto"/>
              </w:rPr>
            </w:pPr>
          </w:p>
        </w:tc>
        <w:tc>
          <w:tcPr>
            <w:tcW w:w="1620" w:type="dxa"/>
            <w:vAlign w:val="bottom"/>
            <w:vMerge w:val="restart"/>
            <w:shd w:val="clear" w:color="auto" w:fill="2D53A6"/>
          </w:tcPr>
          <w:p>
            <w:pPr>
              <w:jc w:val="center"/>
              <w:ind w:left="870"/>
              <w:spacing w:after="0"/>
              <w:rPr>
                <w:sz w:val="20"/>
                <w:szCs w:val="20"/>
                <w:color w:val="auto"/>
              </w:rPr>
            </w:pPr>
            <w:r>
              <w:rPr>
                <w:rFonts w:ascii="Arial" w:cs="Arial" w:eastAsia="Arial" w:hAnsi="Arial"/>
                <w:sz w:val="18"/>
                <w:szCs w:val="18"/>
                <w:b w:val="1"/>
                <w:bCs w:val="1"/>
                <w:color w:val="FFFFFF"/>
                <w:w w:val="97"/>
              </w:rPr>
              <w:t>Total</w:t>
            </w:r>
          </w:p>
        </w:tc>
        <w:tc>
          <w:tcPr>
            <w:tcW w:w="980" w:type="dxa"/>
            <w:vAlign w:val="bottom"/>
            <w:tcBorders>
              <w:right w:val="single" w:sz="8" w:color="2D53A6"/>
            </w:tcBorders>
            <w:shd w:val="clear" w:color="auto" w:fill="2D53A6"/>
          </w:tcPr>
          <w:p>
            <w:pPr>
              <w:spacing w:after="0"/>
              <w:rPr>
                <w:sz w:val="22"/>
                <w:szCs w:val="22"/>
                <w:color w:val="auto"/>
              </w:rPr>
            </w:pPr>
          </w:p>
        </w:tc>
        <w:tc>
          <w:tcPr>
            <w:tcW w:w="2620" w:type="dxa"/>
            <w:vAlign w:val="bottom"/>
            <w:tcBorders>
              <w:right w:val="single" w:sz="8" w:color="2D53A6"/>
            </w:tcBorders>
            <w:vMerge w:val="restart"/>
            <w:shd w:val="clear" w:color="auto" w:fill="2D53A6"/>
          </w:tcPr>
          <w:p>
            <w:pPr>
              <w:jc w:val="right"/>
              <w:ind w:right="790"/>
              <w:spacing w:after="0"/>
              <w:rPr>
                <w:sz w:val="20"/>
                <w:szCs w:val="20"/>
                <w:color w:val="auto"/>
              </w:rPr>
            </w:pPr>
            <w:r>
              <w:rPr>
                <w:rFonts w:ascii="Arial" w:cs="Arial" w:eastAsia="Arial" w:hAnsi="Arial"/>
                <w:sz w:val="18"/>
                <w:szCs w:val="18"/>
                <w:b w:val="1"/>
                <w:bCs w:val="1"/>
                <w:color w:val="FFFFFF"/>
              </w:rPr>
              <w:t>Severance</w:t>
            </w:r>
          </w:p>
        </w:tc>
        <w:tc>
          <w:tcPr>
            <w:tcW w:w="25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Medical</w:t>
            </w:r>
          </w:p>
        </w:tc>
        <w:tc>
          <w:tcPr>
            <w:tcW w:w="0" w:type="dxa"/>
            <w:vAlign w:val="bottom"/>
          </w:tcPr>
          <w:p>
            <w:pPr>
              <w:spacing w:after="0"/>
              <w:rPr>
                <w:sz w:val="1"/>
                <w:szCs w:val="1"/>
                <w:color w:val="auto"/>
              </w:rPr>
            </w:pPr>
          </w:p>
        </w:tc>
      </w:tr>
      <w:tr>
        <w:trPr>
          <w:trHeight w:val="94"/>
        </w:trPr>
        <w:tc>
          <w:tcPr>
            <w:tcW w:w="3500" w:type="dxa"/>
            <w:vAlign w:val="bottom"/>
            <w:tcBorders>
              <w:right w:val="single" w:sz="8" w:color="2D53A6"/>
            </w:tcBorders>
            <w:vMerge w:val="restart"/>
            <w:shd w:val="clear" w:color="auto" w:fill="2D53A6"/>
          </w:tcPr>
          <w:p>
            <w:pPr>
              <w:ind w:left="6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1620" w:type="dxa"/>
            <w:vAlign w:val="bottom"/>
            <w:vMerge w:val="continue"/>
            <w:shd w:val="clear" w:color="auto" w:fill="2D53A6"/>
          </w:tcPr>
          <w:p>
            <w:pPr>
              <w:spacing w:after="0"/>
              <w:rPr>
                <w:sz w:val="8"/>
                <w:szCs w:val="8"/>
                <w:color w:val="auto"/>
              </w:rPr>
            </w:pPr>
          </w:p>
        </w:tc>
        <w:tc>
          <w:tcPr>
            <w:tcW w:w="980" w:type="dxa"/>
            <w:vAlign w:val="bottom"/>
            <w:tcBorders>
              <w:right w:val="single" w:sz="8" w:color="2D53A6"/>
            </w:tcBorders>
            <w:shd w:val="clear" w:color="auto" w:fill="2D53A6"/>
          </w:tcPr>
          <w:p>
            <w:pPr>
              <w:spacing w:after="0"/>
              <w:rPr>
                <w:sz w:val="8"/>
                <w:szCs w:val="8"/>
                <w:color w:val="auto"/>
              </w:rPr>
            </w:pPr>
          </w:p>
        </w:tc>
        <w:tc>
          <w:tcPr>
            <w:tcW w:w="2620" w:type="dxa"/>
            <w:vAlign w:val="bottom"/>
            <w:tcBorders>
              <w:right w:val="single" w:sz="8" w:color="2D53A6"/>
            </w:tcBorders>
            <w:vMerge w:val="continue"/>
            <w:shd w:val="clear" w:color="auto" w:fill="2D53A6"/>
          </w:tcPr>
          <w:p>
            <w:pPr>
              <w:spacing w:after="0"/>
              <w:rPr>
                <w:sz w:val="8"/>
                <w:szCs w:val="8"/>
                <w:color w:val="auto"/>
              </w:rPr>
            </w:pPr>
          </w:p>
        </w:tc>
        <w:tc>
          <w:tcPr>
            <w:tcW w:w="252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Benefits</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vMerge w:val="restart"/>
            <w:shd w:val="clear" w:color="auto" w:fill="2D53A6"/>
          </w:tcPr>
          <w:p>
            <w:pPr>
              <w:jc w:val="right"/>
              <w:ind w:right="130"/>
              <w:spacing w:after="0"/>
              <w:rPr>
                <w:sz w:val="20"/>
                <w:szCs w:val="20"/>
                <w:color w:val="auto"/>
              </w:rPr>
            </w:pPr>
            <w:r>
              <w:rPr>
                <w:rFonts w:ascii="Arial" w:cs="Arial" w:eastAsia="Arial" w:hAnsi="Arial"/>
                <w:sz w:val="18"/>
                <w:szCs w:val="18"/>
                <w:b w:val="1"/>
                <w:bCs w:val="1"/>
                <w:color w:val="FFFFFF"/>
              </w:rPr>
              <w:t>($)</w:t>
            </w:r>
          </w:p>
        </w:tc>
        <w:tc>
          <w:tcPr>
            <w:tcW w:w="980" w:type="dxa"/>
            <w:vAlign w:val="bottom"/>
            <w:tcBorders>
              <w:right w:val="single" w:sz="8" w:color="2D53A6"/>
            </w:tcBorders>
            <w:shd w:val="clear" w:color="auto" w:fill="2D53A6"/>
          </w:tcPr>
          <w:p>
            <w:pPr>
              <w:spacing w:after="0"/>
              <w:rPr>
                <w:sz w:val="9"/>
                <w:szCs w:val="9"/>
                <w:color w:val="auto"/>
              </w:rPr>
            </w:pPr>
          </w:p>
        </w:tc>
        <w:tc>
          <w:tcPr>
            <w:tcW w:w="2620" w:type="dxa"/>
            <w:vAlign w:val="bottom"/>
            <w:tcBorders>
              <w:right w:val="single" w:sz="8" w:color="2D53A6"/>
            </w:tcBorders>
            <w:vMerge w:val="restart"/>
            <w:shd w:val="clear" w:color="auto" w:fill="2D53A6"/>
          </w:tcPr>
          <w:p>
            <w:pPr>
              <w:jc w:val="right"/>
              <w:ind w:right="1010"/>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(1)</w:t>
            </w:r>
          </w:p>
        </w:tc>
        <w:tc>
          <w:tcPr>
            <w:tcW w:w="252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500" w:type="dxa"/>
            <w:vAlign w:val="bottom"/>
            <w:tcBorders>
              <w:right w:val="single" w:sz="8" w:color="2D53A6"/>
            </w:tcBorders>
            <w:shd w:val="clear" w:color="auto" w:fill="2D53A6"/>
          </w:tcPr>
          <w:p>
            <w:pPr>
              <w:spacing w:after="0"/>
              <w:rPr>
                <w:sz w:val="12"/>
                <w:szCs w:val="12"/>
                <w:color w:val="auto"/>
              </w:rPr>
            </w:pPr>
          </w:p>
        </w:tc>
        <w:tc>
          <w:tcPr>
            <w:tcW w:w="1620" w:type="dxa"/>
            <w:vAlign w:val="bottom"/>
            <w:vMerge w:val="continue"/>
            <w:shd w:val="clear" w:color="auto" w:fill="2D53A6"/>
          </w:tcPr>
          <w:p>
            <w:pPr>
              <w:spacing w:after="0"/>
              <w:rPr>
                <w:sz w:val="12"/>
                <w:szCs w:val="12"/>
                <w:color w:val="auto"/>
              </w:rPr>
            </w:pPr>
          </w:p>
        </w:tc>
        <w:tc>
          <w:tcPr>
            <w:tcW w:w="980" w:type="dxa"/>
            <w:vAlign w:val="bottom"/>
            <w:tcBorders>
              <w:right w:val="single" w:sz="8" w:color="2D53A6"/>
            </w:tcBorders>
            <w:shd w:val="clear" w:color="auto" w:fill="2D53A6"/>
          </w:tcPr>
          <w:p>
            <w:pPr>
              <w:spacing w:after="0"/>
              <w:rPr>
                <w:sz w:val="12"/>
                <w:szCs w:val="12"/>
                <w:color w:val="auto"/>
              </w:rPr>
            </w:pPr>
          </w:p>
        </w:tc>
        <w:tc>
          <w:tcPr>
            <w:tcW w:w="2620" w:type="dxa"/>
            <w:vAlign w:val="bottom"/>
            <w:tcBorders>
              <w:right w:val="single" w:sz="8" w:color="2D53A6"/>
            </w:tcBorders>
            <w:vMerge w:val="continue"/>
            <w:shd w:val="clear" w:color="auto" w:fill="2D53A6"/>
          </w:tcPr>
          <w:p>
            <w:pPr>
              <w:spacing w:after="0"/>
              <w:rPr>
                <w:sz w:val="12"/>
                <w:szCs w:val="12"/>
                <w:color w:val="auto"/>
              </w:rPr>
            </w:pPr>
          </w:p>
        </w:tc>
        <w:tc>
          <w:tcPr>
            <w:tcW w:w="25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33"/>
        </w:trPr>
        <w:tc>
          <w:tcPr>
            <w:tcW w:w="3500" w:type="dxa"/>
            <w:vAlign w:val="bottom"/>
            <w:tcBorders>
              <w:bottom w:val="single" w:sz="8" w:color="2D53A6"/>
              <w:right w:val="single" w:sz="8" w:color="2D53A6"/>
            </w:tcBorders>
            <w:shd w:val="clear" w:color="auto" w:fill="2D53A6"/>
          </w:tcPr>
          <w:p>
            <w:pPr>
              <w:spacing w:after="0"/>
              <w:rPr>
                <w:sz w:val="11"/>
                <w:szCs w:val="11"/>
                <w:color w:val="auto"/>
              </w:rPr>
            </w:pPr>
          </w:p>
        </w:tc>
        <w:tc>
          <w:tcPr>
            <w:tcW w:w="1620" w:type="dxa"/>
            <w:vAlign w:val="bottom"/>
            <w:tcBorders>
              <w:bottom w:val="single" w:sz="8" w:color="2D53A6"/>
            </w:tcBorders>
            <w:shd w:val="clear" w:color="auto" w:fill="2D53A6"/>
          </w:tcPr>
          <w:p>
            <w:pPr>
              <w:spacing w:after="0"/>
              <w:rPr>
                <w:sz w:val="11"/>
                <w:szCs w:val="11"/>
                <w:color w:val="auto"/>
              </w:rPr>
            </w:pPr>
          </w:p>
        </w:tc>
        <w:tc>
          <w:tcPr>
            <w:tcW w:w="980" w:type="dxa"/>
            <w:vAlign w:val="bottom"/>
            <w:tcBorders>
              <w:bottom w:val="single" w:sz="8" w:color="2D53A6"/>
              <w:right w:val="single" w:sz="8" w:color="2D53A6"/>
            </w:tcBorders>
            <w:shd w:val="clear" w:color="auto" w:fill="2D53A6"/>
          </w:tcPr>
          <w:p>
            <w:pPr>
              <w:spacing w:after="0"/>
              <w:rPr>
                <w:sz w:val="11"/>
                <w:szCs w:val="11"/>
                <w:color w:val="auto"/>
              </w:rPr>
            </w:pPr>
          </w:p>
        </w:tc>
        <w:tc>
          <w:tcPr>
            <w:tcW w:w="2620" w:type="dxa"/>
            <w:vAlign w:val="bottom"/>
            <w:tcBorders>
              <w:bottom w:val="single" w:sz="8" w:color="2D53A6"/>
              <w:right w:val="single" w:sz="8" w:color="2D53A6"/>
            </w:tcBorders>
            <w:shd w:val="clear" w:color="auto" w:fill="2D53A6"/>
          </w:tcPr>
          <w:p>
            <w:pPr>
              <w:spacing w:after="0"/>
              <w:rPr>
                <w:sz w:val="11"/>
                <w:szCs w:val="11"/>
                <w:color w:val="auto"/>
              </w:rPr>
            </w:pPr>
          </w:p>
        </w:tc>
        <w:tc>
          <w:tcPr>
            <w:tcW w:w="2520" w:type="dxa"/>
            <w:vAlign w:val="bottom"/>
            <w:tcBorders>
              <w:bottom w:val="single" w:sz="8" w:color="2D53A6"/>
              <w:right w:val="single" w:sz="8" w:color="2D53A6"/>
            </w:tcBorders>
            <w:vMerge w:val="continue"/>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500" w:type="dxa"/>
            <w:vAlign w:val="bottom"/>
            <w:tcBorders>
              <w:right w:val="single" w:sz="8" w:color="2D53A6"/>
            </w:tcBorders>
          </w:tcPr>
          <w:p>
            <w:pPr>
              <w:ind w:left="60"/>
              <w:spacing w:after="0"/>
              <w:rPr>
                <w:sz w:val="20"/>
                <w:szCs w:val="20"/>
                <w:color w:val="auto"/>
              </w:rPr>
            </w:pPr>
            <w:r>
              <w:rPr>
                <w:rFonts w:ascii="Arial" w:cs="Arial" w:eastAsia="Arial" w:hAnsi="Arial"/>
                <w:sz w:val="18"/>
                <w:szCs w:val="18"/>
                <w:color w:val="auto"/>
              </w:rPr>
              <w:t>Luis A. Müller</w:t>
            </w:r>
          </w:p>
        </w:tc>
        <w:tc>
          <w:tcPr>
            <w:tcW w:w="1620" w:type="dxa"/>
            <w:vAlign w:val="bottom"/>
          </w:tcPr>
          <w:p>
            <w:pPr>
              <w:spacing w:after="0"/>
              <w:rPr>
                <w:sz w:val="23"/>
                <w:szCs w:val="23"/>
                <w:color w:val="auto"/>
              </w:rPr>
            </w:pPr>
          </w:p>
        </w:tc>
        <w:tc>
          <w:tcPr>
            <w:tcW w:w="9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1,133,108</w:t>
            </w:r>
          </w:p>
        </w:tc>
        <w:tc>
          <w:tcPr>
            <w:tcW w:w="26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1,072,500</w:t>
            </w:r>
          </w:p>
        </w:tc>
        <w:tc>
          <w:tcPr>
            <w:tcW w:w="25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60,608</w:t>
            </w:r>
          </w:p>
        </w:tc>
        <w:tc>
          <w:tcPr>
            <w:tcW w:w="0" w:type="dxa"/>
            <w:vAlign w:val="bottom"/>
          </w:tcPr>
          <w:p>
            <w:pPr>
              <w:spacing w:after="0"/>
              <w:rPr>
                <w:sz w:val="1"/>
                <w:szCs w:val="1"/>
                <w:color w:val="auto"/>
              </w:rPr>
            </w:pPr>
          </w:p>
        </w:tc>
      </w:tr>
      <w:tr>
        <w:trPr>
          <w:trHeight w:val="36"/>
        </w:trPr>
        <w:tc>
          <w:tcPr>
            <w:tcW w:w="350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tcBorders>
          </w:tcPr>
          <w:p>
            <w:pPr>
              <w:spacing w:after="0"/>
              <w:rPr>
                <w:sz w:val="3"/>
                <w:szCs w:val="3"/>
                <w:color w:val="auto"/>
              </w:rPr>
            </w:pPr>
          </w:p>
        </w:tc>
        <w:tc>
          <w:tcPr>
            <w:tcW w:w="980" w:type="dxa"/>
            <w:vAlign w:val="bottom"/>
            <w:tcBorders>
              <w:bottom w:val="single" w:sz="8" w:color="2D53A6"/>
              <w:right w:val="single" w:sz="8" w:color="2D53A6"/>
            </w:tcBorders>
          </w:tcPr>
          <w:p>
            <w:pPr>
              <w:spacing w:after="0"/>
              <w:rPr>
                <w:sz w:val="3"/>
                <w:szCs w:val="3"/>
                <w:color w:val="auto"/>
              </w:rPr>
            </w:pPr>
          </w:p>
        </w:tc>
        <w:tc>
          <w:tcPr>
            <w:tcW w:w="2620" w:type="dxa"/>
            <w:vAlign w:val="bottom"/>
            <w:tcBorders>
              <w:bottom w:val="single" w:sz="8" w:color="2D53A6"/>
              <w:right w:val="single" w:sz="8" w:color="2D53A6"/>
            </w:tcBorders>
          </w:tcPr>
          <w:p>
            <w:pPr>
              <w:spacing w:after="0"/>
              <w:rPr>
                <w:sz w:val="3"/>
                <w:szCs w:val="3"/>
                <w:color w:val="auto"/>
              </w:rPr>
            </w:pPr>
          </w:p>
        </w:tc>
        <w:tc>
          <w:tcPr>
            <w:tcW w:w="2520" w:type="dxa"/>
            <w:vAlign w:val="bottom"/>
            <w:tcBorders>
              <w:bottom w:val="single" w:sz="8" w:color="2D53A6"/>
              <w:right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Jeffrey D. Jones</w:t>
            </w:r>
          </w:p>
        </w:tc>
        <w:tc>
          <w:tcPr>
            <w:tcW w:w="16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495,405</w:t>
            </w:r>
          </w:p>
        </w:tc>
        <w:tc>
          <w:tcPr>
            <w:tcW w:w="26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455,000</w:t>
            </w:r>
          </w:p>
        </w:tc>
        <w:tc>
          <w:tcPr>
            <w:tcW w:w="25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40,405</w:t>
            </w:r>
          </w:p>
        </w:tc>
        <w:tc>
          <w:tcPr>
            <w:tcW w:w="0" w:type="dxa"/>
            <w:vAlign w:val="bottom"/>
          </w:tcPr>
          <w:p>
            <w:pPr>
              <w:spacing w:after="0"/>
              <w:rPr>
                <w:sz w:val="1"/>
                <w:szCs w:val="1"/>
                <w:color w:val="auto"/>
              </w:rPr>
            </w:pPr>
          </w:p>
        </w:tc>
      </w:tr>
      <w:tr>
        <w:trPr>
          <w:trHeight w:val="268"/>
        </w:trPr>
        <w:tc>
          <w:tcPr>
            <w:tcW w:w="3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Christopher G. Bohrson</w:t>
            </w:r>
          </w:p>
        </w:tc>
        <w:tc>
          <w:tcPr>
            <w:tcW w:w="1620" w:type="dxa"/>
            <w:vAlign w:val="bottom"/>
            <w:tcBorders>
              <w:top w:val="single" w:sz="8" w:color="2D53A6"/>
            </w:tcBorders>
          </w:tcPr>
          <w:p>
            <w:pPr>
              <w:spacing w:after="0"/>
              <w:rPr>
                <w:sz w:val="23"/>
                <w:szCs w:val="23"/>
                <w:color w:val="auto"/>
              </w:rPr>
            </w:pPr>
          </w:p>
        </w:tc>
        <w:tc>
          <w:tcPr>
            <w:tcW w:w="98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452,991</w:t>
            </w:r>
          </w:p>
        </w:tc>
        <w:tc>
          <w:tcPr>
            <w:tcW w:w="26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425,000</w:t>
            </w:r>
          </w:p>
        </w:tc>
        <w:tc>
          <w:tcPr>
            <w:tcW w:w="25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27,991</w:t>
            </w:r>
          </w:p>
        </w:tc>
        <w:tc>
          <w:tcPr>
            <w:tcW w:w="0" w:type="dxa"/>
            <w:vAlign w:val="bottom"/>
          </w:tcPr>
          <w:p>
            <w:pPr>
              <w:spacing w:after="0"/>
              <w:rPr>
                <w:sz w:val="1"/>
                <w:szCs w:val="1"/>
                <w:color w:val="auto"/>
              </w:rPr>
            </w:pPr>
          </w:p>
        </w:tc>
      </w:tr>
      <w:tr>
        <w:trPr>
          <w:trHeight w:val="37"/>
        </w:trPr>
        <w:tc>
          <w:tcPr>
            <w:tcW w:w="350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tcBorders>
          </w:tcPr>
          <w:p>
            <w:pPr>
              <w:spacing w:after="0"/>
              <w:rPr>
                <w:sz w:val="3"/>
                <w:szCs w:val="3"/>
                <w:color w:val="auto"/>
              </w:rPr>
            </w:pPr>
          </w:p>
        </w:tc>
        <w:tc>
          <w:tcPr>
            <w:tcW w:w="980" w:type="dxa"/>
            <w:vAlign w:val="bottom"/>
            <w:tcBorders>
              <w:bottom w:val="single" w:sz="8" w:color="2D53A6"/>
              <w:right w:val="single" w:sz="8" w:color="2D53A6"/>
            </w:tcBorders>
          </w:tcPr>
          <w:p>
            <w:pPr>
              <w:spacing w:after="0"/>
              <w:rPr>
                <w:sz w:val="3"/>
                <w:szCs w:val="3"/>
                <w:color w:val="auto"/>
              </w:rPr>
            </w:pPr>
          </w:p>
        </w:tc>
        <w:tc>
          <w:tcPr>
            <w:tcW w:w="2620" w:type="dxa"/>
            <w:vAlign w:val="bottom"/>
            <w:tcBorders>
              <w:bottom w:val="single" w:sz="8" w:color="2D53A6"/>
              <w:right w:val="single" w:sz="8" w:color="2D53A6"/>
            </w:tcBorders>
          </w:tcPr>
          <w:p>
            <w:pPr>
              <w:spacing w:after="0"/>
              <w:rPr>
                <w:sz w:val="3"/>
                <w:szCs w:val="3"/>
                <w:color w:val="auto"/>
              </w:rPr>
            </w:pPr>
          </w:p>
        </w:tc>
        <w:tc>
          <w:tcPr>
            <w:tcW w:w="2520" w:type="dxa"/>
            <w:vAlign w:val="bottom"/>
            <w:tcBorders>
              <w:bottom w:val="single" w:sz="8" w:color="2D53A6"/>
              <w:right w:val="single" w:sz="8" w:color="2D53A6"/>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500" w:type="dxa"/>
            <w:vAlign w:val="bottom"/>
            <w:tcBorders>
              <w:bottom w:val="single" w:sz="8" w:color="E6E6E6"/>
              <w:right w:val="single" w:sz="8" w:color="2D53A6"/>
            </w:tcBorders>
            <w:shd w:val="clear" w:color="auto" w:fill="E6E6E6"/>
          </w:tcPr>
          <w:p>
            <w:pPr>
              <w:ind w:left="60"/>
              <w:spacing w:after="0"/>
              <w:rPr>
                <w:sz w:val="20"/>
                <w:szCs w:val="20"/>
                <w:color w:val="auto"/>
              </w:rPr>
            </w:pPr>
            <w:r>
              <w:rPr>
                <w:rFonts w:ascii="Arial" w:cs="Arial" w:eastAsia="Arial" w:hAnsi="Arial"/>
                <w:sz w:val="18"/>
                <w:szCs w:val="18"/>
                <w:color w:val="auto"/>
              </w:rPr>
              <w:t>Thomas D. Kampfer</w:t>
            </w:r>
          </w:p>
        </w:tc>
        <w:tc>
          <w:tcPr>
            <w:tcW w:w="162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439,971</w:t>
            </w:r>
          </w:p>
        </w:tc>
        <w:tc>
          <w:tcPr>
            <w:tcW w:w="26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405,000</w:t>
            </w:r>
          </w:p>
        </w:tc>
        <w:tc>
          <w:tcPr>
            <w:tcW w:w="2520" w:type="dxa"/>
            <w:vAlign w:val="bottom"/>
            <w:tcBorders>
              <w:bottom w:val="single" w:sz="8" w:color="E6E6E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34,971</w:t>
            </w:r>
          </w:p>
        </w:tc>
        <w:tc>
          <w:tcPr>
            <w:tcW w:w="0" w:type="dxa"/>
            <w:vAlign w:val="bottom"/>
          </w:tcPr>
          <w:p>
            <w:pPr>
              <w:spacing w:after="0"/>
              <w:rPr>
                <w:sz w:val="1"/>
                <w:szCs w:val="1"/>
                <w:color w:val="auto"/>
              </w:rPr>
            </w:pPr>
          </w:p>
        </w:tc>
      </w:tr>
      <w:tr>
        <w:trPr>
          <w:trHeight w:val="268"/>
        </w:trPr>
        <w:tc>
          <w:tcPr>
            <w:tcW w:w="3500" w:type="dxa"/>
            <w:vAlign w:val="bottom"/>
            <w:tcBorders>
              <w:top w:val="single" w:sz="8" w:color="2D53A6"/>
              <w:right w:val="single" w:sz="8" w:color="2D53A6"/>
            </w:tcBorders>
          </w:tcPr>
          <w:p>
            <w:pPr>
              <w:ind w:left="60"/>
              <w:spacing w:after="0"/>
              <w:rPr>
                <w:sz w:val="20"/>
                <w:szCs w:val="20"/>
                <w:color w:val="auto"/>
              </w:rPr>
            </w:pPr>
            <w:r>
              <w:rPr>
                <w:rFonts w:ascii="Arial" w:cs="Arial" w:eastAsia="Arial" w:hAnsi="Arial"/>
                <w:sz w:val="18"/>
                <w:szCs w:val="18"/>
                <w:color w:val="auto"/>
              </w:rPr>
              <w:t>Ian P. Lawee</w:t>
            </w:r>
          </w:p>
        </w:tc>
        <w:tc>
          <w:tcPr>
            <w:tcW w:w="1620" w:type="dxa"/>
            <w:vAlign w:val="bottom"/>
            <w:tcBorders>
              <w:top w:val="single" w:sz="8" w:color="2D53A6"/>
            </w:tcBorders>
          </w:tcPr>
          <w:p>
            <w:pPr>
              <w:spacing w:after="0"/>
              <w:rPr>
                <w:sz w:val="23"/>
                <w:szCs w:val="23"/>
                <w:color w:val="auto"/>
              </w:rPr>
            </w:pPr>
          </w:p>
        </w:tc>
        <w:tc>
          <w:tcPr>
            <w:tcW w:w="98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375,405</w:t>
            </w:r>
          </w:p>
        </w:tc>
        <w:tc>
          <w:tcPr>
            <w:tcW w:w="26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335,000</w:t>
            </w:r>
          </w:p>
        </w:tc>
        <w:tc>
          <w:tcPr>
            <w:tcW w:w="2520" w:type="dxa"/>
            <w:vAlign w:val="bottom"/>
            <w:tcBorders>
              <w:top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40,405</w:t>
            </w:r>
          </w:p>
        </w:tc>
        <w:tc>
          <w:tcPr>
            <w:tcW w:w="0" w:type="dxa"/>
            <w:vAlign w:val="bottom"/>
          </w:tcPr>
          <w:p>
            <w:pPr>
              <w:spacing w:after="0"/>
              <w:rPr>
                <w:sz w:val="1"/>
                <w:szCs w:val="1"/>
                <w:color w:val="auto"/>
              </w:rPr>
            </w:pPr>
          </w:p>
        </w:tc>
      </w:tr>
      <w:tr>
        <w:trPr>
          <w:trHeight w:val="36"/>
        </w:trPr>
        <w:tc>
          <w:tcPr>
            <w:tcW w:w="3500" w:type="dxa"/>
            <w:vAlign w:val="bottom"/>
            <w:tcBorders>
              <w:bottom w:val="single" w:sz="8" w:color="2D53A6"/>
              <w:right w:val="single" w:sz="8" w:color="2D53A6"/>
            </w:tcBorders>
          </w:tcPr>
          <w:p>
            <w:pPr>
              <w:spacing w:after="0"/>
              <w:rPr>
                <w:sz w:val="3"/>
                <w:szCs w:val="3"/>
                <w:color w:val="auto"/>
              </w:rPr>
            </w:pPr>
          </w:p>
        </w:tc>
        <w:tc>
          <w:tcPr>
            <w:tcW w:w="1620" w:type="dxa"/>
            <w:vAlign w:val="bottom"/>
            <w:tcBorders>
              <w:bottom w:val="single" w:sz="8" w:color="2D53A6"/>
            </w:tcBorders>
          </w:tcPr>
          <w:p>
            <w:pPr>
              <w:spacing w:after="0"/>
              <w:rPr>
                <w:sz w:val="3"/>
                <w:szCs w:val="3"/>
                <w:color w:val="auto"/>
              </w:rPr>
            </w:pPr>
          </w:p>
        </w:tc>
        <w:tc>
          <w:tcPr>
            <w:tcW w:w="980" w:type="dxa"/>
            <w:vAlign w:val="bottom"/>
            <w:tcBorders>
              <w:bottom w:val="single" w:sz="8" w:color="2D53A6"/>
              <w:right w:val="single" w:sz="8" w:color="2D53A6"/>
            </w:tcBorders>
          </w:tcPr>
          <w:p>
            <w:pPr>
              <w:spacing w:after="0"/>
              <w:rPr>
                <w:sz w:val="3"/>
                <w:szCs w:val="3"/>
                <w:color w:val="auto"/>
              </w:rPr>
            </w:pPr>
          </w:p>
        </w:tc>
        <w:tc>
          <w:tcPr>
            <w:tcW w:w="2620" w:type="dxa"/>
            <w:vAlign w:val="bottom"/>
            <w:tcBorders>
              <w:bottom w:val="single" w:sz="8" w:color="2D53A6"/>
              <w:right w:val="single" w:sz="8" w:color="2D53A6"/>
            </w:tcBorders>
          </w:tcPr>
          <w:p>
            <w:pPr>
              <w:spacing w:after="0"/>
              <w:rPr>
                <w:sz w:val="3"/>
                <w:szCs w:val="3"/>
                <w:color w:val="auto"/>
              </w:rPr>
            </w:pPr>
          </w:p>
        </w:tc>
        <w:tc>
          <w:tcPr>
            <w:tcW w:w="2520" w:type="dxa"/>
            <w:vAlign w:val="bottom"/>
            <w:tcBorders>
              <w:bottom w:val="single" w:sz="8" w:color="2D53A6"/>
              <w:right w:val="single" w:sz="8" w:color="2D5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20" w:hanging="332"/>
        <w:spacing w:after="0" w:line="28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Dr. Müller’s and Messrs. Jones’, Bohrson’s, Kampfer’s and Lawee’s respective Severance Agreement. These amounts are based on the individual’s 2023 base salary.</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COBRA,18 months for Dr. Müller, and 12 months for Messrs. Jones, Bohrson, Kampfer and Lawee.</w:t>
      </w:r>
    </w:p>
    <w:p>
      <w:pPr>
        <w:spacing w:after="0" w:line="26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Audit Committee Report</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Composition</w:t>
      </w:r>
    </w:p>
    <w:p>
      <w:pPr>
        <w:spacing w:after="0" w:line="20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Andrew M. Caggia and Yon Y. Jorden.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Responsibilities</w:t>
      </w:r>
    </w:p>
    <w:p>
      <w:pPr>
        <w:spacing w:after="0" w:line="200"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Review with Management and Independent Registered Public Accounting Firm</w:t>
      </w:r>
    </w:p>
    <w:p>
      <w:pPr>
        <w:spacing w:after="0" w:line="200"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color w:val="auto"/>
        </w:rPr>
        <w:t>In this context, the Audit Committee has reviewed and discussed the audited consolidated financial statements contained in Cohu’s Annual Report on Form 10-K for the year ended December 30, 2023,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63"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Summary</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30, 2023, for filing with the SEC.</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Audit Committee appointed Ernst &amp; Young LLP as Cohu’s independent registered public accounting firm for fiscal year 2024 and recommends to stockholders that they ratify the appointment of Ernst &amp; Young LLP as Cohu’s independent registered public accounting firm for fiscal year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198" w:lineRule="exact"/>
        <w:rPr>
          <w:sz w:val="20"/>
          <w:szCs w:val="20"/>
          <w:color w:val="auto"/>
        </w:rPr>
      </w:pPr>
    </w:p>
    <w:p>
      <w:pPr>
        <w:ind w:left="2820"/>
        <w:spacing w:after="0"/>
        <w:tabs>
          <w:tab w:leader="none" w:pos="5400" w:val="left"/>
          <w:tab w:leader="none" w:pos="7320" w:val="left"/>
        </w:tabs>
        <w:rPr>
          <w:sz w:val="20"/>
          <w:szCs w:val="20"/>
          <w:color w:val="auto"/>
        </w:rPr>
      </w:pPr>
      <w:r>
        <w:rPr>
          <w:rFonts w:ascii="Arial" w:cs="Arial" w:eastAsia="Arial" w:hAnsi="Arial"/>
          <w:sz w:val="18"/>
          <w:szCs w:val="18"/>
          <w:color w:val="auto"/>
        </w:rPr>
        <w:t>William E. Bendush (Chair)</w:t>
      </w:r>
      <w:r>
        <w:rPr>
          <w:sz w:val="20"/>
          <w:szCs w:val="20"/>
          <w:color w:val="auto"/>
        </w:rPr>
        <w:tab/>
      </w:r>
      <w:r>
        <w:rPr>
          <w:rFonts w:ascii="Arial" w:cs="Arial" w:eastAsia="Arial" w:hAnsi="Arial"/>
          <w:sz w:val="18"/>
          <w:szCs w:val="18"/>
          <w:color w:val="auto"/>
        </w:rPr>
        <w:t>Andrew M. Caggia</w:t>
      </w:r>
      <w:r>
        <w:rPr>
          <w:sz w:val="20"/>
          <w:szCs w:val="20"/>
          <w:color w:val="auto"/>
        </w:rPr>
        <w:tab/>
      </w:r>
      <w:r>
        <w:rPr>
          <w:rFonts w:ascii="Arial" w:cs="Arial" w:eastAsia="Arial" w:hAnsi="Arial"/>
          <w:sz w:val="17"/>
          <w:szCs w:val="17"/>
          <w:color w:val="auto"/>
        </w:rPr>
        <w:t>Yon Y. Jorden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Accounting Fees and Services</w:t>
      </w:r>
    </w:p>
    <w:p>
      <w:pPr>
        <w:spacing w:after="0" w:line="20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30, 2023 and December 31,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(in thousands)</w:t>
            </w:r>
          </w:p>
        </w:tc>
        <w:tc>
          <w:tcPr>
            <w:tcW w:w="1180" w:type="dxa"/>
            <w:vAlign w:val="bottom"/>
            <w:gridSpan w:val="2"/>
            <w:shd w:val="clear" w:color="auto" w:fill="2D53A6"/>
          </w:tcPr>
          <w:p>
            <w:pPr>
              <w:jc w:val="right"/>
              <w:ind w:right="240"/>
              <w:spacing w:after="0"/>
              <w:rPr>
                <w:sz w:val="20"/>
                <w:szCs w:val="20"/>
                <w:color w:val="auto"/>
              </w:rPr>
            </w:pPr>
            <w:r>
              <w:rPr>
                <w:rFonts w:ascii="Arial" w:cs="Arial" w:eastAsia="Arial" w:hAnsi="Arial"/>
                <w:sz w:val="18"/>
                <w:szCs w:val="18"/>
                <w:b w:val="1"/>
                <w:bCs w:val="1"/>
                <w:color w:val="FFFFFF"/>
              </w:rPr>
              <w:t>2023</w:t>
            </w:r>
          </w:p>
        </w:tc>
        <w:tc>
          <w:tcPr>
            <w:tcW w:w="300" w:type="dxa"/>
            <w:vAlign w:val="bottom"/>
            <w:shd w:val="clear" w:color="auto" w:fill="2D53A6"/>
          </w:tcPr>
          <w:p>
            <w:pPr>
              <w:spacing w:after="0"/>
              <w:rPr>
                <w:sz w:val="17"/>
                <w:szCs w:val="17"/>
                <w:color w:val="auto"/>
              </w:rPr>
            </w:pPr>
          </w:p>
        </w:tc>
        <w:tc>
          <w:tcPr>
            <w:tcW w:w="100" w:type="dxa"/>
            <w:vAlign w:val="bottom"/>
            <w:tcBorders>
              <w:right w:val="single" w:sz="8" w:color="2D53A6"/>
            </w:tcBorders>
            <w:shd w:val="clear" w:color="auto" w:fill="2D53A6"/>
          </w:tcPr>
          <w:p>
            <w:pPr>
              <w:spacing w:after="0"/>
              <w:rPr>
                <w:sz w:val="17"/>
                <w:szCs w:val="17"/>
                <w:color w:val="auto"/>
              </w:rPr>
            </w:pPr>
          </w:p>
        </w:tc>
        <w:tc>
          <w:tcPr>
            <w:tcW w:w="1260" w:type="dxa"/>
            <w:vAlign w:val="bottom"/>
            <w:gridSpan w:val="2"/>
            <w:shd w:val="clear" w:color="auto" w:fill="2D53A6"/>
          </w:tcPr>
          <w:p>
            <w:pPr>
              <w:jc w:val="right"/>
              <w:ind w:right="240"/>
              <w:spacing w:after="0"/>
              <w:rPr>
                <w:sz w:val="20"/>
                <w:szCs w:val="20"/>
                <w:color w:val="auto"/>
              </w:rPr>
            </w:pPr>
            <w:r>
              <w:rPr>
                <w:rFonts w:ascii="Arial" w:cs="Arial" w:eastAsia="Arial" w:hAnsi="Arial"/>
                <w:sz w:val="18"/>
                <w:szCs w:val="18"/>
                <w:b w:val="1"/>
                <w:bCs w:val="1"/>
                <w:color w:val="FFFFFF"/>
              </w:rPr>
              <w:t>2022</w:t>
            </w:r>
          </w:p>
        </w:tc>
        <w:tc>
          <w:tcPr>
            <w:tcW w:w="300" w:type="dxa"/>
            <w:vAlign w:val="bottom"/>
            <w:shd w:val="clear" w:color="auto" w:fill="2D53A6"/>
          </w:tcPr>
          <w:p>
            <w:pPr>
              <w:spacing w:after="0"/>
              <w:rPr>
                <w:sz w:val="17"/>
                <w:szCs w:val="17"/>
                <w:color w:val="auto"/>
              </w:rPr>
            </w:pPr>
          </w:p>
        </w:tc>
        <w:tc>
          <w:tcPr>
            <w:tcW w:w="100" w:type="dxa"/>
            <w:vAlign w:val="bottom"/>
            <w:tcBorders>
              <w:right w:val="single" w:sz="8" w:color="2D53A6"/>
            </w:tcBorders>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bottom w:val="single" w:sz="8" w:color="2D53A6"/>
              <w:right w:val="single" w:sz="8" w:color="2D53A6"/>
            </w:tcBorders>
          </w:tcPr>
          <w:p>
            <w:pPr>
              <w:spacing w:after="0" w:line="202"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14"/>
                <w:szCs w:val="14"/>
                <w:color w:val="auto"/>
              </w:rPr>
              <w:t>(1)</w:t>
            </w:r>
          </w:p>
        </w:tc>
        <w:tc>
          <w:tcPr>
            <w:tcW w:w="1480" w:type="dxa"/>
            <w:vAlign w:val="bottom"/>
            <w:tcBorders>
              <w:bottom w:val="single" w:sz="8" w:color="2D53A6"/>
            </w:tcBorders>
            <w:gridSpan w:val="3"/>
          </w:tcPr>
          <w:p>
            <w:pPr>
              <w:jc w:val="right"/>
              <w:spacing w:after="0" w:line="202" w:lineRule="exact"/>
              <w:rPr>
                <w:sz w:val="20"/>
                <w:szCs w:val="20"/>
                <w:color w:val="auto"/>
              </w:rPr>
            </w:pPr>
            <w:r>
              <w:rPr>
                <w:rFonts w:ascii="Arial" w:cs="Arial" w:eastAsia="Arial" w:hAnsi="Arial"/>
                <w:sz w:val="18"/>
                <w:szCs w:val="18"/>
                <w:color w:val="auto"/>
              </w:rPr>
              <w:t>$2,545</w:t>
            </w:r>
          </w:p>
        </w:tc>
        <w:tc>
          <w:tcPr>
            <w:tcW w:w="10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gridSpan w:val="4"/>
          </w:tcPr>
          <w:p>
            <w:pPr>
              <w:jc w:val="right"/>
              <w:ind w:right="100"/>
              <w:spacing w:after="0" w:line="202"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4"/>
                <w:szCs w:val="14"/>
                <w:color w:val="auto"/>
              </w:rPr>
              <w:t>(2)</w:t>
            </w:r>
          </w:p>
        </w:tc>
        <w:tc>
          <w:tcPr>
            <w:tcW w:w="1480" w:type="dxa"/>
            <w:vAlign w:val="bottom"/>
            <w:tcBorders>
              <w:bottom w:val="single" w:sz="8" w:color="2D53A6"/>
            </w:tcBorders>
            <w:gridSpan w:val="3"/>
          </w:tcPr>
          <w:p>
            <w:pPr>
              <w:jc w:val="right"/>
              <w:spacing w:after="0" w:line="196" w:lineRule="exact"/>
              <w:rPr>
                <w:sz w:val="20"/>
                <w:szCs w:val="20"/>
                <w:color w:val="auto"/>
              </w:rPr>
            </w:pPr>
            <w:r>
              <w:rPr>
                <w:rFonts w:ascii="Arial" w:cs="Arial" w:eastAsia="Arial" w:hAnsi="Arial"/>
                <w:sz w:val="18"/>
                <w:szCs w:val="18"/>
                <w:color w:val="auto"/>
              </w:rPr>
              <w:t>356</w:t>
            </w:r>
          </w:p>
        </w:tc>
        <w:tc>
          <w:tcPr>
            <w:tcW w:w="10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gridSpan w:val="4"/>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0"/>
        </w:trPr>
        <w:tc>
          <w:tcPr>
            <w:tcW w:w="800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Tax Fees: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right w:val="single" w:sz="8" w:color="2D53A6"/>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right w:val="single" w:sz="8" w:color="2D53A6"/>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2D53A6"/>
            </w:tcBorders>
          </w:tcPr>
          <w:p>
            <w:pPr>
              <w:ind w:left="180"/>
              <w:spacing w:after="0" w:line="202" w:lineRule="exact"/>
              <w:rPr>
                <w:sz w:val="20"/>
                <w:szCs w:val="20"/>
                <w:color w:val="auto"/>
              </w:rPr>
            </w:pPr>
            <w:r>
              <w:rPr>
                <w:rFonts w:ascii="Arial" w:cs="Arial" w:eastAsia="Arial" w:hAnsi="Arial"/>
                <w:sz w:val="18"/>
                <w:szCs w:val="18"/>
                <w:color w:val="auto"/>
              </w:rPr>
              <w:t xml:space="preserve">Tax Compliance </w:t>
            </w:r>
            <w:r>
              <w:rPr>
                <w:rFonts w:ascii="Arial" w:cs="Arial" w:eastAsia="Arial" w:hAnsi="Arial"/>
                <w:sz w:val="14"/>
                <w:szCs w:val="14"/>
                <w:color w:val="auto"/>
              </w:rPr>
              <w:t>(3)</w:t>
            </w:r>
          </w:p>
        </w:tc>
        <w:tc>
          <w:tcPr>
            <w:tcW w:w="1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227</w:t>
            </w:r>
          </w:p>
        </w:tc>
        <w:tc>
          <w:tcPr>
            <w:tcW w:w="100" w:type="dxa"/>
            <w:vAlign w:val="bottom"/>
            <w:tcBorders>
              <w:right w:val="single" w:sz="8" w:color="2D53A6"/>
            </w:tcBorders>
          </w:tcPr>
          <w:p>
            <w:pPr>
              <w:spacing w:after="0"/>
              <w:rPr>
                <w:sz w:val="17"/>
                <w:szCs w:val="17"/>
                <w:color w:val="auto"/>
              </w:rPr>
            </w:pPr>
          </w:p>
        </w:tc>
        <w:tc>
          <w:tcPr>
            <w:tcW w:w="1660" w:type="dxa"/>
            <w:vAlign w:val="bottom"/>
            <w:tcBorders>
              <w:right w:val="single" w:sz="8" w:color="2D53A6"/>
            </w:tcBorders>
            <w:gridSpan w:val="4"/>
          </w:tcPr>
          <w:p>
            <w:pPr>
              <w:jc w:val="right"/>
              <w:ind w:right="10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94"/>
        </w:trPr>
        <w:tc>
          <w:tcPr>
            <w:tcW w:w="8000" w:type="dxa"/>
            <w:vAlign w:val="bottom"/>
            <w:tcBorders>
              <w:right w:val="single" w:sz="8" w:color="2D53A6"/>
            </w:tcBorders>
          </w:tcPr>
          <w:p>
            <w:pPr>
              <w:ind w:left="180"/>
              <w:spacing w:after="0" w:line="195" w:lineRule="exact"/>
              <w:rPr>
                <w:sz w:val="20"/>
                <w:szCs w:val="20"/>
                <w:color w:val="auto"/>
              </w:rPr>
            </w:pPr>
            <w:r>
              <w:rPr>
                <w:rFonts w:ascii="Arial" w:cs="Arial" w:eastAsia="Arial" w:hAnsi="Arial"/>
                <w:sz w:val="18"/>
                <w:szCs w:val="18"/>
                <w:color w:val="auto"/>
              </w:rPr>
              <w:t xml:space="preserve">Tax Planning and Advice </w:t>
            </w:r>
            <w:r>
              <w:rPr>
                <w:rFonts w:ascii="Arial" w:cs="Arial" w:eastAsia="Arial" w:hAnsi="Arial"/>
                <w:sz w:val="14"/>
                <w:szCs w:val="14"/>
                <w:color w:val="auto"/>
              </w:rPr>
              <w:t>(4)</w:t>
            </w:r>
          </w:p>
        </w:tc>
        <w:tc>
          <w:tcPr>
            <w:tcW w:w="148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382</w:t>
            </w:r>
          </w:p>
        </w:tc>
        <w:tc>
          <w:tcPr>
            <w:tcW w:w="100" w:type="dxa"/>
            <w:vAlign w:val="bottom"/>
            <w:tcBorders>
              <w:right w:val="single" w:sz="8" w:color="2D53A6"/>
            </w:tcBorders>
          </w:tcPr>
          <w:p>
            <w:pPr>
              <w:spacing w:after="0"/>
              <w:rPr>
                <w:sz w:val="16"/>
                <w:szCs w:val="16"/>
                <w:color w:val="auto"/>
              </w:rPr>
            </w:pPr>
          </w:p>
        </w:tc>
        <w:tc>
          <w:tcPr>
            <w:tcW w:w="1660" w:type="dxa"/>
            <w:vAlign w:val="bottom"/>
            <w:tcBorders>
              <w:right w:val="single" w:sz="8" w:color="2D53A6"/>
            </w:tcBorders>
            <w:gridSpan w:val="4"/>
          </w:tcPr>
          <w:p>
            <w:pPr>
              <w:jc w:val="right"/>
              <w:ind w:right="100"/>
              <w:spacing w:after="0" w:line="195"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2"/>
        </w:trPr>
        <w:tc>
          <w:tcPr>
            <w:tcW w:w="8000" w:type="dxa"/>
            <w:vAlign w:val="bottom"/>
            <w:tcBorders>
              <w:right w:val="single" w:sz="8" w:color="2D53A6"/>
            </w:tcBorders>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609</w:t>
            </w:r>
          </w:p>
        </w:tc>
        <w:tc>
          <w:tcPr>
            <w:tcW w:w="100" w:type="dxa"/>
            <w:vAlign w:val="bottom"/>
            <w:tcBorders>
              <w:right w:val="single" w:sz="8" w:color="2D53A6"/>
            </w:tcBorders>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621</w:t>
            </w:r>
          </w:p>
        </w:tc>
        <w:tc>
          <w:tcPr>
            <w:tcW w:w="100" w:type="dxa"/>
            <w:vAlign w:val="bottom"/>
            <w:tcBorders>
              <w:right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0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All Other Fees</w:t>
            </w:r>
          </w:p>
        </w:tc>
        <w:tc>
          <w:tcPr>
            <w:tcW w:w="920" w:type="dxa"/>
            <w:vAlign w:val="bottom"/>
            <w:tcBorders>
              <w:bottom w:val="single" w:sz="8" w:color="2D53A6"/>
            </w:tcBorders>
          </w:tcPr>
          <w:p>
            <w:pPr>
              <w:spacing w:after="0"/>
              <w:rPr>
                <w:sz w:val="15"/>
                <w:szCs w:val="15"/>
                <w:color w:val="auto"/>
              </w:rPr>
            </w:pPr>
          </w:p>
        </w:tc>
        <w:tc>
          <w:tcPr>
            <w:tcW w:w="260" w:type="dxa"/>
            <w:vAlign w:val="bottom"/>
            <w:tcBorders>
              <w:bottom w:val="single" w:sz="8" w:color="2D53A6"/>
            </w:tcBorders>
          </w:tcPr>
          <w:p>
            <w:pPr>
              <w:spacing w:after="0"/>
              <w:rPr>
                <w:sz w:val="15"/>
                <w:szCs w:val="15"/>
                <w:color w:val="auto"/>
              </w:rPr>
            </w:pPr>
          </w:p>
        </w:tc>
        <w:tc>
          <w:tcPr>
            <w:tcW w:w="300" w:type="dxa"/>
            <w:vAlign w:val="bottom"/>
            <w:tcBorders>
              <w:bottom w:val="single" w:sz="8" w:color="2D53A6"/>
            </w:tcBorders>
          </w:tcPr>
          <w:p>
            <w:pPr>
              <w:spacing w:after="0"/>
              <w:rPr>
                <w:sz w:val="15"/>
                <w:szCs w:val="15"/>
                <w:color w:val="auto"/>
              </w:rPr>
            </w:pPr>
          </w:p>
        </w:tc>
        <w:tc>
          <w:tcPr>
            <w:tcW w:w="100" w:type="dxa"/>
            <w:vAlign w:val="bottom"/>
            <w:tcBorders>
              <w:bottom w:val="single" w:sz="8" w:color="2D53A6"/>
              <w:right w:val="single" w:sz="8" w:color="2D53A6"/>
            </w:tcBorders>
          </w:tcPr>
          <w:p>
            <w:pPr>
              <w:spacing w:after="0"/>
              <w:rPr>
                <w:sz w:val="15"/>
                <w:szCs w:val="15"/>
                <w:color w:val="auto"/>
              </w:rPr>
            </w:pPr>
          </w:p>
        </w:tc>
        <w:tc>
          <w:tcPr>
            <w:tcW w:w="1000" w:type="dxa"/>
            <w:vAlign w:val="bottom"/>
            <w:tcBorders>
              <w:bottom w:val="single" w:sz="8" w:color="2D53A6"/>
            </w:tcBorders>
          </w:tcPr>
          <w:p>
            <w:pPr>
              <w:spacing w:after="0"/>
              <w:rPr>
                <w:sz w:val="15"/>
                <w:szCs w:val="15"/>
                <w:color w:val="auto"/>
              </w:rPr>
            </w:pPr>
          </w:p>
        </w:tc>
        <w:tc>
          <w:tcPr>
            <w:tcW w:w="260" w:type="dxa"/>
            <w:vAlign w:val="bottom"/>
            <w:tcBorders>
              <w:bottom w:val="single" w:sz="8" w:color="2D53A6"/>
            </w:tcBorders>
          </w:tcPr>
          <w:p>
            <w:pPr>
              <w:spacing w:after="0"/>
              <w:rPr>
                <w:sz w:val="15"/>
                <w:szCs w:val="15"/>
                <w:color w:val="auto"/>
              </w:rPr>
            </w:pPr>
          </w:p>
        </w:tc>
        <w:tc>
          <w:tcPr>
            <w:tcW w:w="300" w:type="dxa"/>
            <w:vAlign w:val="bottom"/>
            <w:tcBorders>
              <w:bottom w:val="single" w:sz="8" w:color="2D53A6"/>
            </w:tcBorders>
          </w:tcPr>
          <w:p>
            <w:pPr>
              <w:spacing w:after="0"/>
              <w:rPr>
                <w:sz w:val="15"/>
                <w:szCs w:val="15"/>
                <w:color w:val="auto"/>
              </w:rPr>
            </w:pPr>
          </w:p>
        </w:tc>
        <w:tc>
          <w:tcPr>
            <w:tcW w:w="100" w:type="dxa"/>
            <w:vAlign w:val="bottom"/>
            <w:tcBorders>
              <w:bottom w:val="single" w:sz="8" w:color="2D53A6"/>
              <w:right w:val="single" w:sz="8" w:color="2D53A6"/>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000" w:type="dxa"/>
            <w:vAlign w:val="bottom"/>
            <w:tcBorders>
              <w:right w:val="single" w:sz="8" w:color="2D53A6"/>
            </w:tcBorders>
            <w:vMerge w:val="continue"/>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2D53A6"/>
            </w:tcBorders>
          </w:tcPr>
          <w:p>
            <w:pPr>
              <w:spacing w:after="0"/>
              <w:rPr>
                <w:sz w:val="20"/>
                <w:szCs w:val="20"/>
                <w:color w:val="auto"/>
              </w:rPr>
            </w:pPr>
          </w:p>
        </w:tc>
        <w:tc>
          <w:tcPr>
            <w:tcW w:w="1660" w:type="dxa"/>
            <w:vAlign w:val="bottom"/>
            <w:tcBorders>
              <w:right w:val="single" w:sz="8" w:color="2D53A6"/>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8000" w:type="dxa"/>
            <w:vAlign w:val="bottom"/>
            <w:tcBorders>
              <w:bottom w:val="single" w:sz="8" w:color="2D53A6"/>
              <w:right w:val="single" w:sz="8" w:color="2D53A6"/>
            </w:tcBorders>
          </w:tcPr>
          <w:p>
            <w:pPr>
              <w:spacing w:after="0"/>
              <w:rPr>
                <w:sz w:val="14"/>
                <w:szCs w:val="14"/>
                <w:color w:val="auto"/>
              </w:rPr>
            </w:pPr>
          </w:p>
        </w:tc>
        <w:tc>
          <w:tcPr>
            <w:tcW w:w="920" w:type="dxa"/>
            <w:vAlign w:val="bottom"/>
            <w:tcBorders>
              <w:bottom w:val="single" w:sz="8" w:color="2D53A6"/>
            </w:tcBorders>
          </w:tcPr>
          <w:p>
            <w:pPr>
              <w:spacing w:after="0"/>
              <w:rPr>
                <w:sz w:val="14"/>
                <w:szCs w:val="14"/>
                <w:color w:val="auto"/>
              </w:rPr>
            </w:pPr>
          </w:p>
        </w:tc>
        <w:tc>
          <w:tcPr>
            <w:tcW w:w="260" w:type="dxa"/>
            <w:vAlign w:val="bottom"/>
            <w:tcBorders>
              <w:bottom w:val="single" w:sz="8" w:color="2D53A6"/>
            </w:tcBorders>
          </w:tcPr>
          <w:p>
            <w:pPr>
              <w:spacing w:after="0"/>
              <w:rPr>
                <w:sz w:val="14"/>
                <w:szCs w:val="14"/>
                <w:color w:val="auto"/>
              </w:rPr>
            </w:pPr>
          </w:p>
        </w:tc>
        <w:tc>
          <w:tcPr>
            <w:tcW w:w="300" w:type="dxa"/>
            <w:vAlign w:val="bottom"/>
            <w:tcBorders>
              <w:bottom w:val="single" w:sz="8" w:color="2D53A6"/>
            </w:tcBorders>
          </w:tcPr>
          <w:p>
            <w:pPr>
              <w:spacing w:after="0"/>
              <w:rPr>
                <w:sz w:val="14"/>
                <w:szCs w:val="14"/>
                <w:color w:val="auto"/>
              </w:rPr>
            </w:pPr>
          </w:p>
        </w:tc>
        <w:tc>
          <w:tcPr>
            <w:tcW w:w="100" w:type="dxa"/>
            <w:vAlign w:val="bottom"/>
            <w:tcBorders>
              <w:bottom w:val="single" w:sz="8" w:color="2D53A6"/>
              <w:right w:val="single" w:sz="8" w:color="2D53A6"/>
            </w:tcBorders>
          </w:tcPr>
          <w:p>
            <w:pPr>
              <w:spacing w:after="0"/>
              <w:rPr>
                <w:sz w:val="14"/>
                <w:szCs w:val="14"/>
                <w:color w:val="auto"/>
              </w:rPr>
            </w:pPr>
          </w:p>
        </w:tc>
        <w:tc>
          <w:tcPr>
            <w:tcW w:w="1000" w:type="dxa"/>
            <w:vAlign w:val="bottom"/>
            <w:tcBorders>
              <w:bottom w:val="single" w:sz="8" w:color="2D53A6"/>
            </w:tcBorders>
          </w:tcPr>
          <w:p>
            <w:pPr>
              <w:spacing w:after="0"/>
              <w:rPr>
                <w:sz w:val="14"/>
                <w:szCs w:val="14"/>
                <w:color w:val="auto"/>
              </w:rPr>
            </w:pPr>
          </w:p>
        </w:tc>
        <w:tc>
          <w:tcPr>
            <w:tcW w:w="260" w:type="dxa"/>
            <w:vAlign w:val="bottom"/>
            <w:tcBorders>
              <w:bottom w:val="single" w:sz="8" w:color="2D53A6"/>
            </w:tcBorders>
          </w:tcPr>
          <w:p>
            <w:pPr>
              <w:spacing w:after="0"/>
              <w:rPr>
                <w:sz w:val="14"/>
                <w:szCs w:val="14"/>
                <w:color w:val="auto"/>
              </w:rPr>
            </w:pPr>
          </w:p>
        </w:tc>
        <w:tc>
          <w:tcPr>
            <w:tcW w:w="300" w:type="dxa"/>
            <w:vAlign w:val="bottom"/>
            <w:tcBorders>
              <w:bottom w:val="single" w:sz="8" w:color="2D53A6"/>
            </w:tcBorders>
          </w:tcPr>
          <w:p>
            <w:pPr>
              <w:spacing w:after="0"/>
              <w:rPr>
                <w:sz w:val="14"/>
                <w:szCs w:val="14"/>
                <w:color w:val="auto"/>
              </w:rPr>
            </w:pPr>
          </w:p>
        </w:tc>
        <w:tc>
          <w:tcPr>
            <w:tcW w:w="100" w:type="dxa"/>
            <w:vAlign w:val="bottom"/>
            <w:tcBorders>
              <w:bottom w:val="single" w:sz="8" w:color="2D53A6"/>
              <w:right w:val="single" w:sz="8" w:color="2D53A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0" w:type="dxa"/>
            <w:vAlign w:val="bottom"/>
            <w:tcBorders>
              <w:right w:val="single" w:sz="8" w:color="2D53A6"/>
            </w:tcBorders>
          </w:tcPr>
          <w:p>
            <w:pPr>
              <w:spacing w:after="0" w:line="169" w:lineRule="exact"/>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w:t>
            </w:r>
          </w:p>
        </w:tc>
        <w:tc>
          <w:tcPr>
            <w:tcW w:w="100" w:type="dxa"/>
            <w:vAlign w:val="bottom"/>
            <w:tcBorders>
              <w:right w:val="single" w:sz="8" w:color="2D53A6"/>
            </w:tcBorders>
          </w:tcPr>
          <w:p>
            <w:pPr>
              <w:spacing w:after="0"/>
              <w:rPr>
                <w:sz w:val="14"/>
                <w:szCs w:val="14"/>
                <w:color w:val="auto"/>
              </w:rPr>
            </w:pPr>
          </w:p>
        </w:tc>
        <w:tc>
          <w:tcPr>
            <w:tcW w:w="1660" w:type="dxa"/>
            <w:vAlign w:val="bottom"/>
            <w:tcBorders>
              <w:right w:val="single" w:sz="8" w:color="2D53A6"/>
            </w:tcBorders>
            <w:gridSpan w:val="4"/>
          </w:tcPr>
          <w:p>
            <w:pPr>
              <w:jc w:val="right"/>
              <w:ind w:right="10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2D53A6"/>
              <w:right w:val="single" w:sz="8" w:color="2D53A6"/>
            </w:tcBorders>
          </w:tcPr>
          <w:p>
            <w:pPr>
              <w:spacing w:after="0" w:line="20" w:lineRule="exact"/>
              <w:rPr>
                <w:sz w:val="1"/>
                <w:szCs w:val="1"/>
                <w:color w:val="auto"/>
              </w:rPr>
            </w:pPr>
          </w:p>
        </w:tc>
        <w:tc>
          <w:tcPr>
            <w:tcW w:w="920" w:type="dxa"/>
            <w:vAlign w:val="bottom"/>
            <w:tcBorders>
              <w:bottom w:val="single" w:sz="8" w:color="2D53A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2D53A6"/>
              <w:right w:val="single" w:sz="8" w:color="2D53A6"/>
            </w:tcBorders>
          </w:tcPr>
          <w:p>
            <w:pPr>
              <w:spacing w:after="0" w:line="20" w:lineRule="exact"/>
              <w:rPr>
                <w:sz w:val="1"/>
                <w:szCs w:val="1"/>
                <w:color w:val="auto"/>
              </w:rPr>
            </w:pPr>
          </w:p>
        </w:tc>
        <w:tc>
          <w:tcPr>
            <w:tcW w:w="1000" w:type="dxa"/>
            <w:vAlign w:val="bottom"/>
            <w:tcBorders>
              <w:bottom w:val="single" w:sz="8" w:color="2D53A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2D53A6"/>
              <w:right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2023 and 2022, 100% of the non-audit fees were pre-approved by the Audit Committee.</w:t>
      </w:r>
    </w:p>
    <w:p>
      <w:pPr>
        <w:spacing w:after="0" w:line="16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160" w:lineRule="exact"/>
        <w:rPr>
          <w:sz w:val="20"/>
          <w:szCs w:val="20"/>
          <w:color w:val="auto"/>
        </w:rPr>
      </w:pPr>
    </w:p>
    <w:p>
      <w:pPr>
        <w:ind w:left="340" w:right="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ind w:left="340" w:right="160" w:hanging="332"/>
        <w:spacing w:after="0" w:line="23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Audit-related fees include accounting consultation services related to business acquisitions and divestitures and other attestation services. Audit-related fees incurred in 2023, are for due diligence related services provided in conjunction with the acquisitions of MCT Worldwide and Equiptest Engineering.</w:t>
      </w:r>
    </w:p>
    <w:p>
      <w:pPr>
        <w:spacing w:after="0" w:line="2" w:lineRule="exact"/>
        <w:rPr>
          <w:rFonts w:ascii="Arial" w:cs="Arial" w:eastAsia="Arial" w:hAnsi="Arial"/>
          <w:sz w:val="18"/>
          <w:szCs w:val="18"/>
          <w:color w:val="auto"/>
        </w:rPr>
      </w:pPr>
    </w:p>
    <w:p>
      <w:pPr>
        <w:ind w:left="340" w:right="220" w:hanging="332"/>
        <w:spacing w:after="0" w:line="23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review or preparation of Cohu’s federal, state and foreign tax returns and (ii) tax return examinations.</w:t>
      </w:r>
    </w:p>
    <w:p>
      <w:pPr>
        <w:spacing w:after="0" w:line="1"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 planning and advisory fees were primarily driven by legal entity consolidation and restructuring initiatives arising from the Xcerra acquisition.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5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60"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6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ind w:left="980" w:right="20" w:hanging="324"/>
        <w:spacing w:after="0" w:line="23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spacing w:after="0" w:line="1" w:lineRule="exact"/>
        <w:rPr>
          <w:rFonts w:ascii="Arial" w:cs="Arial" w:eastAsia="Arial" w:hAnsi="Arial"/>
          <w:sz w:val="18"/>
          <w:szCs w:val="18"/>
          <w:color w:val="auto"/>
        </w:rPr>
      </w:pPr>
    </w:p>
    <w:p>
      <w:pPr>
        <w:ind w:left="980" w:right="200" w:hanging="324"/>
        <w:spacing w:after="0" w:line="242"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- 2025 Annual Meeting</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2025 Annual Meeting of Stockholders of Cohu must be received at Cohu’s offices on or before December 23, 2024 in order to be considered for inclusion in Cohu’s proxy statement and form of proxy relating to such meeting.</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a stockholder intends to submit a proposal at the 2025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23, 2024 and no later than December 23, 2024.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2025 Annual Meeting of Stockholders of Cohu.</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on Form 10-K</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Copies of Cohu’s Annual Report on Form 10-K for the year ended December 30, 2023,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5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Thomas D. Kampfer</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22, 2024</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shd w:val="clear" w:color="auto" w:fill="2D53A6"/>
        </w:rPr>
        <w:t>Voting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No. 1: Election of Directors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2 directors are standing for re-election for a term expiring in 2027.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 of Directors.</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462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the nominees named below.</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2027 (if elected) - Class 2</w:t>
      </w:r>
    </w:p>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8942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3460" w:type="dxa"/>
            <w:vAlign w:val="bottom"/>
          </w:tcPr>
          <w:p>
            <w:pPr>
              <w:spacing w:after="0"/>
              <w:rPr>
                <w:sz w:val="17"/>
                <w:szCs w:val="17"/>
                <w:color w:val="auto"/>
              </w:rPr>
            </w:pPr>
          </w:p>
        </w:tc>
        <w:tc>
          <w:tcPr>
            <w:tcW w:w="7780" w:type="dxa"/>
            <w:vAlign w:val="bottom"/>
          </w:tcPr>
          <w:p>
            <w:pPr>
              <w:ind w:left="700"/>
              <w:spacing w:after="0" w:line="201" w:lineRule="exact"/>
              <w:rPr>
                <w:sz w:val="20"/>
                <w:szCs w:val="20"/>
                <w:color w:val="auto"/>
              </w:rPr>
            </w:pPr>
            <w:r>
              <w:rPr>
                <w:rFonts w:ascii="Arial" w:cs="Arial" w:eastAsia="Arial" w:hAnsi="Arial"/>
                <w:sz w:val="18"/>
                <w:szCs w:val="18"/>
                <w:color w:val="auto"/>
              </w:rPr>
              <w:t>Mr. Caggia is the retired Senior Vice President and Chief Financial Officer of SMSC,</w:t>
            </w:r>
          </w:p>
        </w:tc>
        <w:tc>
          <w:tcPr>
            <w:tcW w:w="0" w:type="dxa"/>
            <w:vAlign w:val="bottom"/>
          </w:tcPr>
          <w:p>
            <w:pPr>
              <w:spacing w:after="0"/>
              <w:rPr>
                <w:sz w:val="1"/>
                <w:szCs w:val="1"/>
                <w:color w:val="auto"/>
              </w:rPr>
            </w:pPr>
          </w:p>
        </w:tc>
      </w:tr>
      <w:tr>
        <w:trPr>
          <w:trHeight w:val="203"/>
        </w:trPr>
        <w:tc>
          <w:tcPr>
            <w:tcW w:w="3460" w:type="dxa"/>
            <w:vAlign w:val="bottom"/>
            <w:vMerge w:val="restart"/>
          </w:tcPr>
          <w:p>
            <w:pPr>
              <w:spacing w:after="0"/>
              <w:rPr>
                <w:sz w:val="20"/>
                <w:szCs w:val="20"/>
                <w:color w:val="auto"/>
              </w:rPr>
            </w:pPr>
            <w:r>
              <w:rPr>
                <w:rFonts w:ascii="Arial" w:cs="Arial" w:eastAsia="Arial" w:hAnsi="Arial"/>
                <w:sz w:val="25"/>
                <w:szCs w:val="25"/>
                <w:b w:val="1"/>
                <w:bCs w:val="1"/>
                <w:color w:val="2D53A6"/>
              </w:rPr>
              <w:t>Andrew M. Caggia</w:t>
            </w: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where he worked from 2000 until his retirement in 2006. Mr. Caggia also served as a</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7780" w:type="dxa"/>
            <w:vAlign w:val="bottom"/>
            <w:vMerge w:val="restart"/>
          </w:tcPr>
          <w:p>
            <w:pPr>
              <w:ind w:left="700"/>
              <w:spacing w:after="0" w:line="202" w:lineRule="exact"/>
              <w:rPr>
                <w:sz w:val="20"/>
                <w:szCs w:val="20"/>
                <w:color w:val="auto"/>
              </w:rPr>
            </w:pPr>
            <w:r>
              <w:rPr>
                <w:rFonts w:ascii="Arial" w:cs="Arial" w:eastAsia="Arial" w:hAnsi="Arial"/>
                <w:sz w:val="18"/>
                <w:szCs w:val="18"/>
                <w:color w:val="auto"/>
              </w:rPr>
              <w:t>director of SMSC from 2001 until its purchase by Microchip Technology Incorporated in</w:t>
            </w:r>
          </w:p>
        </w:tc>
        <w:tc>
          <w:tcPr>
            <w:tcW w:w="0" w:type="dxa"/>
            <w:vAlign w:val="bottom"/>
          </w:tcPr>
          <w:p>
            <w:pPr>
              <w:spacing w:after="0"/>
              <w:rPr>
                <w:sz w:val="1"/>
                <w:szCs w:val="1"/>
                <w:color w:val="auto"/>
              </w:rPr>
            </w:pPr>
          </w:p>
        </w:tc>
      </w:tr>
      <w:tr>
        <w:trPr>
          <w:trHeight w:val="89"/>
        </w:trPr>
        <w:tc>
          <w:tcPr>
            <w:tcW w:w="3460" w:type="dxa"/>
            <w:vAlign w:val="bottom"/>
            <w:vMerge w:val="restart"/>
          </w:tcPr>
          <w:p>
            <w:pPr>
              <w:spacing w:after="0"/>
              <w:rPr>
                <w:sz w:val="20"/>
                <w:szCs w:val="20"/>
                <w:color w:val="auto"/>
              </w:rPr>
            </w:pPr>
            <w:r>
              <w:rPr>
                <w:rFonts w:ascii="Arial" w:cs="Arial" w:eastAsia="Arial" w:hAnsi="Arial"/>
                <w:sz w:val="22"/>
                <w:szCs w:val="22"/>
                <w:color w:val="auto"/>
              </w:rPr>
              <w:t>Director since 2014</w:t>
            </w: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460" w:type="dxa"/>
            <w:vAlign w:val="bottom"/>
            <w:vMerge w:val="continue"/>
          </w:tcPr>
          <w:p>
            <w:pPr>
              <w:spacing w:after="0"/>
              <w:rPr>
                <w:sz w:val="15"/>
                <w:szCs w:val="15"/>
                <w:color w:val="auto"/>
              </w:rPr>
            </w:pPr>
          </w:p>
        </w:tc>
        <w:tc>
          <w:tcPr>
            <w:tcW w:w="7780" w:type="dxa"/>
            <w:vAlign w:val="bottom"/>
          </w:tcPr>
          <w:p>
            <w:pPr>
              <w:ind w:left="700"/>
              <w:spacing w:after="0" w:line="181" w:lineRule="exact"/>
              <w:rPr>
                <w:sz w:val="20"/>
                <w:szCs w:val="20"/>
                <w:color w:val="auto"/>
              </w:rPr>
            </w:pPr>
            <w:r>
              <w:rPr>
                <w:rFonts w:ascii="Arial" w:cs="Arial" w:eastAsia="Arial" w:hAnsi="Arial"/>
                <w:sz w:val="18"/>
                <w:szCs w:val="18"/>
                <w:color w:val="auto"/>
              </w:rPr>
              <w:t>2012. Prior to SMSC, Mr. Caggia was Senior Vice President and Chief Financial Officer</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Arial" w:cs="Arial" w:eastAsia="Arial" w:hAnsi="Arial"/>
                <w:sz w:val="22"/>
                <w:szCs w:val="22"/>
                <w:color w:val="auto"/>
              </w:rPr>
              <w:t>Age 75</w:t>
            </w:r>
          </w:p>
        </w:tc>
        <w:tc>
          <w:tcPr>
            <w:tcW w:w="7780" w:type="dxa"/>
            <w:vAlign w:val="bottom"/>
          </w:tcPr>
          <w:p>
            <w:pPr>
              <w:ind w:left="700"/>
              <w:spacing w:after="0"/>
              <w:rPr>
                <w:sz w:val="20"/>
                <w:szCs w:val="20"/>
                <w:color w:val="auto"/>
              </w:rPr>
            </w:pPr>
            <w:r>
              <w:rPr>
                <w:rFonts w:ascii="Arial" w:cs="Arial" w:eastAsia="Arial" w:hAnsi="Arial"/>
                <w:sz w:val="18"/>
                <w:szCs w:val="18"/>
                <w:color w:val="auto"/>
              </w:rPr>
              <w:t>of General Semiconductor, Inc. from 1997 to 2000.</w:t>
            </w:r>
          </w:p>
        </w:tc>
        <w:tc>
          <w:tcPr>
            <w:tcW w:w="0" w:type="dxa"/>
            <w:vAlign w:val="bottom"/>
          </w:tcPr>
          <w:p>
            <w:pPr>
              <w:spacing w:after="0"/>
              <w:rPr>
                <w:sz w:val="1"/>
                <w:szCs w:val="1"/>
                <w:color w:val="auto"/>
              </w:rPr>
            </w:pPr>
          </w:p>
        </w:tc>
      </w:tr>
      <w:tr>
        <w:trPr>
          <w:trHeight w:val="419"/>
        </w:trPr>
        <w:tc>
          <w:tcPr>
            <w:tcW w:w="3460" w:type="dxa"/>
            <w:vAlign w:val="bottom"/>
          </w:tcPr>
          <w:p>
            <w:pPr>
              <w:spacing w:after="0"/>
              <w:rPr>
                <w:sz w:val="20"/>
                <w:szCs w:val="20"/>
                <w:color w:val="auto"/>
              </w:rPr>
            </w:pPr>
            <w:r>
              <w:rPr>
                <w:rFonts w:ascii="Arial" w:cs="Arial" w:eastAsia="Arial" w:hAnsi="Arial"/>
                <w:sz w:val="22"/>
                <w:szCs w:val="22"/>
                <w:b w:val="1"/>
                <w:bCs w:val="1"/>
                <w:color w:val="2D53A6"/>
              </w:rPr>
              <w:t>Board Committees:</w:t>
            </w:r>
          </w:p>
        </w:tc>
        <w:tc>
          <w:tcPr>
            <w:tcW w:w="7780" w:type="dxa"/>
            <w:vAlign w:val="bottom"/>
          </w:tcPr>
          <w:p>
            <w:pPr>
              <w:ind w:left="700"/>
              <w:spacing w:after="0"/>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215"/>
        </w:trPr>
        <w:tc>
          <w:tcPr>
            <w:tcW w:w="3460" w:type="dxa"/>
            <w:vAlign w:val="bottom"/>
          </w:tcPr>
          <w:p>
            <w:pPr>
              <w:spacing w:after="0" w:line="216" w:lineRule="exact"/>
              <w:rPr>
                <w:sz w:val="20"/>
                <w:szCs w:val="20"/>
                <w:color w:val="auto"/>
              </w:rPr>
            </w:pPr>
            <w:r>
              <w:rPr>
                <w:rFonts w:ascii="Arial" w:cs="Arial" w:eastAsia="Arial" w:hAnsi="Arial"/>
                <w:sz w:val="22"/>
                <w:szCs w:val="22"/>
                <w:color w:val="auto"/>
              </w:rPr>
              <w:t>Audit Committee</w:t>
            </w:r>
          </w:p>
        </w:tc>
        <w:tc>
          <w:tcPr>
            <w:tcW w:w="7780" w:type="dxa"/>
            <w:vAlign w:val="bottom"/>
          </w:tcPr>
          <w:p>
            <w:pPr>
              <w:ind w:left="700"/>
              <w:spacing w:after="0"/>
              <w:rPr>
                <w:sz w:val="20"/>
                <w:szCs w:val="20"/>
                <w:color w:val="auto"/>
              </w:rPr>
            </w:pPr>
            <w:r>
              <w:rPr>
                <w:rFonts w:ascii="Arial" w:cs="Arial" w:eastAsia="Arial" w:hAnsi="Arial"/>
                <w:sz w:val="18"/>
                <w:szCs w:val="18"/>
                <w:color w:val="auto"/>
                <w:w w:val="99"/>
              </w:rPr>
              <w:t>We believe Mr. Caggia’s qualifications to sit on our Board include his extensive executive</w:t>
            </w: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Arial" w:cs="Arial" w:eastAsia="Arial" w:hAnsi="Arial"/>
                <w:sz w:val="22"/>
                <w:szCs w:val="22"/>
                <w:color w:val="auto"/>
              </w:rPr>
              <w:t>Nominating and Governance</w:t>
            </w:r>
          </w:p>
        </w:tc>
        <w:tc>
          <w:tcPr>
            <w:tcW w:w="7780" w:type="dxa"/>
            <w:vAlign w:val="bottom"/>
          </w:tcPr>
          <w:p>
            <w:pPr>
              <w:ind w:left="700"/>
              <w:spacing w:after="0"/>
              <w:rPr>
                <w:sz w:val="20"/>
                <w:szCs w:val="20"/>
                <w:color w:val="auto"/>
              </w:rPr>
            </w:pPr>
            <w:r>
              <w:rPr>
                <w:rFonts w:ascii="Arial" w:cs="Arial" w:eastAsia="Arial" w:hAnsi="Arial"/>
                <w:sz w:val="18"/>
                <w:szCs w:val="18"/>
                <w:color w:val="auto"/>
              </w:rPr>
              <w:t>experience in the semiconductor industry and his experience with financial accounting</w:t>
            </w:r>
          </w:p>
        </w:tc>
        <w:tc>
          <w:tcPr>
            <w:tcW w:w="0" w:type="dxa"/>
            <w:vAlign w:val="bottom"/>
          </w:tcPr>
          <w:p>
            <w:pPr>
              <w:spacing w:after="0"/>
              <w:rPr>
                <w:sz w:val="1"/>
                <w:szCs w:val="1"/>
                <w:color w:val="auto"/>
              </w:rPr>
            </w:pPr>
          </w:p>
        </w:tc>
      </w:tr>
      <w:tr>
        <w:trPr>
          <w:trHeight w:val="157"/>
        </w:trPr>
        <w:tc>
          <w:tcPr>
            <w:tcW w:w="3460" w:type="dxa"/>
            <w:vAlign w:val="bottom"/>
            <w:vMerge w:val="restart"/>
          </w:tcPr>
          <w:p>
            <w:pPr>
              <w:spacing w:after="0"/>
              <w:rPr>
                <w:sz w:val="20"/>
                <w:szCs w:val="20"/>
                <w:color w:val="auto"/>
              </w:rPr>
            </w:pPr>
            <w:r>
              <w:rPr>
                <w:rFonts w:ascii="Arial" w:cs="Arial" w:eastAsia="Arial" w:hAnsi="Arial"/>
                <w:sz w:val="22"/>
                <w:szCs w:val="22"/>
                <w:color w:val="auto"/>
              </w:rPr>
              <w:t>(Chair)</w:t>
            </w:r>
          </w:p>
        </w:tc>
        <w:tc>
          <w:tcPr>
            <w:tcW w:w="7780" w:type="dxa"/>
            <w:vAlign w:val="bottom"/>
          </w:tcPr>
          <w:p>
            <w:pPr>
              <w:ind w:left="700"/>
              <w:spacing w:after="0" w:line="157" w:lineRule="exact"/>
              <w:rPr>
                <w:sz w:val="20"/>
                <w:szCs w:val="20"/>
                <w:color w:val="auto"/>
              </w:rPr>
            </w:pPr>
            <w:r>
              <w:rPr>
                <w:rFonts w:ascii="Arial" w:cs="Arial" w:eastAsia="Arial" w:hAnsi="Arial"/>
                <w:sz w:val="18"/>
                <w:szCs w:val="18"/>
                <w:color w:val="auto"/>
              </w:rPr>
              <w:t>matters for complex global organizations as well as his knowledge of business strategy.</w:t>
            </w:r>
          </w:p>
        </w:tc>
        <w:tc>
          <w:tcPr>
            <w:tcW w:w="0" w:type="dxa"/>
            <w:vAlign w:val="bottom"/>
          </w:tcPr>
          <w:p>
            <w:pPr>
              <w:spacing w:after="0"/>
              <w:rPr>
                <w:sz w:val="1"/>
                <w:szCs w:val="1"/>
                <w:color w:val="auto"/>
              </w:rPr>
            </w:pPr>
          </w:p>
        </w:tc>
      </w:tr>
      <w:tr>
        <w:trPr>
          <w:trHeight w:val="154"/>
        </w:trPr>
        <w:tc>
          <w:tcPr>
            <w:tcW w:w="3460" w:type="dxa"/>
            <w:vAlign w:val="bottom"/>
            <w:vMerge w:val="continue"/>
          </w:tcPr>
          <w:p>
            <w:pPr>
              <w:spacing w:after="0"/>
              <w:rPr>
                <w:sz w:val="13"/>
                <w:szCs w:val="13"/>
                <w:color w:val="auto"/>
              </w:rPr>
            </w:pPr>
          </w:p>
        </w:tc>
        <w:tc>
          <w:tcPr>
            <w:tcW w:w="7780" w:type="dxa"/>
            <w:vAlign w:val="bottom"/>
            <w:vMerge w:val="restart"/>
          </w:tcPr>
          <w:p>
            <w:pPr>
              <w:ind w:left="700"/>
              <w:spacing w:after="0" w:line="202" w:lineRule="exact"/>
              <w:rPr>
                <w:sz w:val="20"/>
                <w:szCs w:val="20"/>
                <w:color w:val="auto"/>
              </w:rPr>
            </w:pPr>
            <w:r>
              <w:rPr>
                <w:rFonts w:ascii="Arial" w:cs="Arial" w:eastAsia="Arial" w:hAnsi="Arial"/>
                <w:sz w:val="18"/>
                <w:szCs w:val="18"/>
                <w:color w:val="auto"/>
              </w:rPr>
              <w:t>Mr. Caggia qualifies as an “audit committee financial expert” under SEC guidelines.</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7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Given these qualifications, the Board has determined that it is in the best interests of the</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2D53A6"/>
            </w:tcBorders>
          </w:tcPr>
          <w:p>
            <w:pPr>
              <w:spacing w:after="0"/>
              <w:rPr>
                <w:sz w:val="19"/>
                <w:szCs w:val="19"/>
                <w:color w:val="auto"/>
              </w:rPr>
            </w:pPr>
          </w:p>
        </w:tc>
        <w:tc>
          <w:tcPr>
            <w:tcW w:w="7780" w:type="dxa"/>
            <w:vAlign w:val="bottom"/>
            <w:tcBorders>
              <w:bottom w:val="single" w:sz="8" w:color="2D53A6"/>
            </w:tcBorders>
          </w:tcPr>
          <w:p>
            <w:pPr>
              <w:ind w:left="700"/>
              <w:spacing w:after="0"/>
              <w:rPr>
                <w:sz w:val="20"/>
                <w:szCs w:val="20"/>
                <w:color w:val="auto"/>
              </w:rPr>
            </w:pPr>
            <w:r>
              <w:rPr>
                <w:rFonts w:ascii="Arial" w:cs="Arial" w:eastAsia="Arial" w:hAnsi="Arial"/>
                <w:sz w:val="18"/>
                <w:szCs w:val="18"/>
                <w:color w:val="auto"/>
              </w:rPr>
              <w:t>Company and its stockholders for Mr. Caggia to continue serving on the Board.</w:t>
            </w:r>
          </w:p>
        </w:tc>
        <w:tc>
          <w:tcPr>
            <w:tcW w:w="0" w:type="dxa"/>
            <w:vAlign w:val="bottom"/>
          </w:tcPr>
          <w:p>
            <w:pPr>
              <w:spacing w:after="0"/>
              <w:rPr>
                <w:sz w:val="1"/>
                <w:szCs w:val="1"/>
                <w:color w:val="auto"/>
              </w:rPr>
            </w:pPr>
          </w:p>
        </w:tc>
      </w:tr>
      <w:tr>
        <w:trPr>
          <w:trHeight w:val="416"/>
        </w:trPr>
        <w:tc>
          <w:tcPr>
            <w:tcW w:w="3460" w:type="dxa"/>
            <w:vAlign w:val="bottom"/>
          </w:tcPr>
          <w:p>
            <w:pPr>
              <w:spacing w:after="0"/>
              <w:rPr>
                <w:sz w:val="24"/>
                <w:szCs w:val="24"/>
                <w:color w:val="auto"/>
              </w:rPr>
            </w:pPr>
          </w:p>
        </w:tc>
        <w:tc>
          <w:tcPr>
            <w:tcW w:w="7780" w:type="dxa"/>
            <w:vAlign w:val="bottom"/>
          </w:tcPr>
          <w:p>
            <w:pPr>
              <w:ind w:left="20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98"/>
        </w:trPr>
        <w:tc>
          <w:tcPr>
            <w:tcW w:w="346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Yon Y. Jorden</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2021</w:t>
      </w:r>
    </w:p>
    <w:p>
      <w:pPr>
        <w:spacing w:after="0"/>
        <w:rPr>
          <w:sz w:val="20"/>
          <w:szCs w:val="20"/>
          <w:color w:val="auto"/>
        </w:rPr>
      </w:pPr>
      <w:r>
        <w:rPr>
          <w:rFonts w:ascii="Arial" w:cs="Arial" w:eastAsia="Arial" w:hAnsi="Arial"/>
          <w:sz w:val="22"/>
          <w:szCs w:val="22"/>
          <w:color w:val="auto"/>
        </w:rPr>
        <w:t>Age 69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ind w:right="820"/>
        <w:spacing w:after="0" w:line="263" w:lineRule="auto"/>
        <w:rPr>
          <w:sz w:val="20"/>
          <w:szCs w:val="20"/>
          <w:color w:val="auto"/>
        </w:rPr>
      </w:pPr>
      <w:r>
        <w:rPr>
          <w:rFonts w:ascii="Arial" w:cs="Arial" w:eastAsia="Arial" w:hAnsi="Arial"/>
          <w:sz w:val="21"/>
          <w:szCs w:val="21"/>
          <w:color w:val="auto"/>
        </w:rPr>
        <w:t>Audit Committee Nominating and Governance</w:t>
      </w:r>
    </w:p>
    <w:p>
      <w:pPr>
        <w:spacing w:after="0" w:line="178" w:lineRule="exact"/>
        <w:rPr>
          <w:sz w:val="20"/>
          <w:szCs w:val="20"/>
          <w:color w:val="auto"/>
        </w:rPr>
      </w:pPr>
    </w:p>
    <w:p>
      <w:pPr>
        <w:ind w:right="144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Alignment Healthcare, Inc., Capstone Green Energy Corp.</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-151765</wp:posOffset>
            </wp:positionV>
            <wp:extent cx="7132320" cy="2665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ind w:right="100"/>
        <w:spacing w:after="0" w:line="237" w:lineRule="auto"/>
        <w:rPr>
          <w:sz w:val="20"/>
          <w:szCs w:val="20"/>
          <w:color w:val="auto"/>
        </w:rPr>
      </w:pPr>
      <w:r>
        <w:rPr>
          <w:rFonts w:ascii="Arial" w:cs="Arial" w:eastAsia="Arial" w:hAnsi="Arial"/>
          <w:sz w:val="18"/>
          <w:szCs w:val="18"/>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of Capstone Green Energy, a position she has held since April 2017; as a director of Alignment Healthcare, Inc., a position she has held since January 2022, and as a director for the not-for-profit Methodist Health System, a position she has held since 2008. She previously served as a director at Maxwell Technologies (2008 to 2017), BioScrip (2014 to 2015), Magnetek, Inc. (2004 to 2013) and U.S. Oncology (2008 to 2010).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7 different public company boards, including time serving as chairperson of the Board as well as the audit, compensation and nominating and governance committees. Ms. Jorden is also a board leadership fellow of the National Association of Corporate Directors, demonstrating her commitment and leadership as a board member.</w:t>
      </w:r>
    </w:p>
    <w:p>
      <w:pPr>
        <w:spacing w:after="0" w:line="182" w:lineRule="exact"/>
        <w:rPr>
          <w:sz w:val="20"/>
          <w:szCs w:val="20"/>
          <w:color w:val="auto"/>
        </w:rPr>
      </w:pPr>
    </w:p>
    <w:p>
      <w:pPr>
        <w:sectPr>
          <w:pgSz w:w="11900" w:h="16838" w:orient="portrait"/>
          <w:cols w:equalWidth="0" w:num="2">
            <w:col w:w="3580" w:space="580"/>
            <w:col w:w="70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180" w:type="dxa"/>
            <w:vAlign w:val="bottom"/>
            <w:tcBorders>
              <w:top w:val="single" w:sz="8" w:color="2D53A6"/>
              <w:right w:val="single" w:sz="8" w:color="2D53A6"/>
            </w:tcBorders>
            <w:shd w:val="clear" w:color="auto" w:fill="E6E6E6"/>
          </w:tcPr>
          <w:p>
            <w:pPr>
              <w:spacing w:after="0"/>
              <w:rPr>
                <w:sz w:val="20"/>
                <w:szCs w:val="20"/>
                <w:color w:val="auto"/>
              </w:rPr>
            </w:pPr>
          </w:p>
        </w:tc>
        <w:tc>
          <w:tcPr>
            <w:tcW w:w="7060" w:type="dxa"/>
            <w:vAlign w:val="bottom"/>
            <w:tcBorders>
              <w:top w:val="single" w:sz="8" w:color="2D53A6"/>
            </w:tcBorders>
          </w:tcPr>
          <w:p>
            <w:pPr>
              <w:spacing w:after="0" w:line="238" w:lineRule="exact"/>
              <w:rPr>
                <w:sz w:val="20"/>
                <w:szCs w:val="20"/>
                <w:color w:val="auto"/>
              </w:rPr>
            </w:pPr>
            <w:r>
              <w:rPr>
                <w:rFonts w:ascii="Arial" w:cs="Arial" w:eastAsia="Arial" w:hAnsi="Arial"/>
                <w:sz w:val="22"/>
                <w:szCs w:val="22"/>
                <w:color w:val="2D53A6"/>
              </w:rPr>
              <w:t>Business Experience and Other Directorships</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Dr. Müller has been the President and Chief Executive Officer of Cohu since</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December 28, 2014. He also currently serves as a director of Celestica Inc., a position</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5"/>
                <w:szCs w:val="25"/>
                <w:b w:val="1"/>
                <w:bCs w:val="1"/>
                <w:color w:val="2D53A6"/>
              </w:rPr>
              <w:t>Luis A. M</w:t>
            </w:r>
            <w:r>
              <w:rPr>
                <w:rFonts w:ascii="Arial" w:cs="Arial" w:eastAsia="Arial" w:hAnsi="Arial"/>
                <w:sz w:val="25"/>
                <w:szCs w:val="25"/>
                <w:color w:val="2D53A6"/>
              </w:rPr>
              <w:t>ü</w:t>
            </w:r>
            <w:r>
              <w:rPr>
                <w:rFonts w:ascii="Arial" w:cs="Arial" w:eastAsia="Arial" w:hAnsi="Arial"/>
                <w:sz w:val="25"/>
                <w:szCs w:val="25"/>
                <w:b w:val="1"/>
                <w:bCs w:val="1"/>
                <w:color w:val="2D53A6"/>
              </w:rPr>
              <w:t>ller</w:t>
            </w: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he has held since August 2021. His previous roles at Cohu include serving as President</w:t>
            </w:r>
          </w:p>
        </w:tc>
        <w:tc>
          <w:tcPr>
            <w:tcW w:w="0" w:type="dxa"/>
            <w:vAlign w:val="bottom"/>
          </w:tcPr>
          <w:p>
            <w:pPr>
              <w:spacing w:after="0"/>
              <w:rPr>
                <w:sz w:val="1"/>
                <w:szCs w:val="1"/>
                <w:color w:val="auto"/>
              </w:rPr>
            </w:pPr>
          </w:p>
        </w:tc>
      </w:tr>
      <w:tr>
        <w:trPr>
          <w:trHeight w:val="181"/>
        </w:trPr>
        <w:tc>
          <w:tcPr>
            <w:tcW w:w="4180" w:type="dxa"/>
            <w:vAlign w:val="bottom"/>
            <w:tcBorders>
              <w:right w:val="single" w:sz="8" w:color="2D53A6"/>
            </w:tcBorders>
            <w:vMerge w:val="continue"/>
            <w:shd w:val="clear" w:color="auto" w:fill="E6E6E6"/>
          </w:tcPr>
          <w:p>
            <w:pPr>
              <w:spacing w:after="0"/>
              <w:rPr>
                <w:sz w:val="15"/>
                <w:szCs w:val="15"/>
                <w:color w:val="auto"/>
              </w:rPr>
            </w:pPr>
          </w:p>
        </w:tc>
        <w:tc>
          <w:tcPr>
            <w:tcW w:w="7060" w:type="dxa"/>
            <w:vAlign w:val="bottom"/>
          </w:tcPr>
          <w:p>
            <w:pPr>
              <w:spacing w:after="0" w:line="181" w:lineRule="exact"/>
              <w:rPr>
                <w:sz w:val="20"/>
                <w:szCs w:val="20"/>
                <w:color w:val="auto"/>
              </w:rPr>
            </w:pPr>
            <w:r>
              <w:rPr>
                <w:rFonts w:ascii="Arial" w:cs="Arial" w:eastAsia="Arial" w:hAnsi="Arial"/>
                <w:sz w:val="18"/>
                <w:szCs w:val="18"/>
                <w:color w:val="auto"/>
              </w:rPr>
              <w:t>of Cohu’s Semiconductor Equipment Group (“SEG”) from 2011 to 2014; Managing</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line="203" w:lineRule="exact"/>
              <w:rPr>
                <w:sz w:val="20"/>
                <w:szCs w:val="20"/>
                <w:color w:val="auto"/>
              </w:rPr>
            </w:pPr>
            <w:r>
              <w:rPr>
                <w:rFonts w:ascii="Arial" w:cs="Arial" w:eastAsia="Arial" w:hAnsi="Arial"/>
                <w:sz w:val="22"/>
                <w:szCs w:val="22"/>
                <w:color w:val="auto"/>
              </w:rPr>
              <w:t>Director since 2014</w:t>
            </w:r>
          </w:p>
        </w:tc>
        <w:tc>
          <w:tcPr>
            <w:tcW w:w="7060" w:type="dxa"/>
            <w:vAlign w:val="bottom"/>
          </w:tcPr>
          <w:p>
            <w:pPr>
              <w:spacing w:after="0" w:line="203" w:lineRule="exact"/>
              <w:rPr>
                <w:sz w:val="20"/>
                <w:szCs w:val="20"/>
                <w:color w:val="auto"/>
              </w:rPr>
            </w:pPr>
            <w:r>
              <w:rPr>
                <w:rFonts w:ascii="Arial" w:cs="Arial" w:eastAsia="Arial" w:hAnsi="Arial"/>
                <w:sz w:val="18"/>
                <w:szCs w:val="18"/>
                <w:color w:val="auto"/>
              </w:rPr>
              <w:t>Director of Rasco GmbH from 2009 to 2011; Vice President of Delta Design’s High</w:t>
            </w:r>
          </w:p>
        </w:tc>
        <w:tc>
          <w:tcPr>
            <w:tcW w:w="0" w:type="dxa"/>
            <w:vAlign w:val="bottom"/>
          </w:tcPr>
          <w:p>
            <w:pPr>
              <w:spacing w:after="0"/>
              <w:rPr>
                <w:sz w:val="1"/>
                <w:szCs w:val="1"/>
                <w:color w:val="auto"/>
              </w:rPr>
            </w:pPr>
          </w:p>
        </w:tc>
      </w:tr>
      <w:tr>
        <w:trPr>
          <w:trHeight w:val="224"/>
        </w:trPr>
        <w:tc>
          <w:tcPr>
            <w:tcW w:w="4180" w:type="dxa"/>
            <w:vAlign w:val="bottom"/>
            <w:tcBorders>
              <w:right w:val="single" w:sz="8" w:color="2D53A6"/>
            </w:tcBorders>
            <w:shd w:val="clear" w:color="auto" w:fill="E6E6E6"/>
          </w:tcPr>
          <w:p>
            <w:pPr>
              <w:spacing w:after="0" w:line="224" w:lineRule="exact"/>
              <w:rPr>
                <w:sz w:val="20"/>
                <w:szCs w:val="20"/>
                <w:color w:val="auto"/>
              </w:rPr>
            </w:pPr>
            <w:r>
              <w:rPr>
                <w:rFonts w:ascii="Arial" w:cs="Arial" w:eastAsia="Arial" w:hAnsi="Arial"/>
                <w:sz w:val="22"/>
                <w:szCs w:val="22"/>
                <w:color w:val="auto"/>
              </w:rPr>
              <w:t>Age 54</w:t>
            </w:r>
          </w:p>
        </w:tc>
        <w:tc>
          <w:tcPr>
            <w:tcW w:w="7060" w:type="dxa"/>
            <w:vAlign w:val="bottom"/>
          </w:tcPr>
          <w:p>
            <w:pPr>
              <w:spacing w:after="0"/>
              <w:rPr>
                <w:sz w:val="20"/>
                <w:szCs w:val="20"/>
                <w:color w:val="auto"/>
              </w:rPr>
            </w:pPr>
            <w:r>
              <w:rPr>
                <w:rFonts w:ascii="Arial" w:cs="Arial" w:eastAsia="Arial" w:hAnsi="Arial"/>
                <w:sz w:val="18"/>
                <w:szCs w:val="18"/>
                <w:color w:val="auto"/>
              </w:rPr>
              <w:t>Speed Handling Group from 2008 to 2009; and Director of Engineering at Delta Design</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from 2005 to 2008. Prior to joining Cohu, Dr. Müller spent nine years at Teradyne Inc.,</w:t>
            </w:r>
          </w:p>
        </w:tc>
        <w:tc>
          <w:tcPr>
            <w:tcW w:w="0" w:type="dxa"/>
            <w:vAlign w:val="bottom"/>
          </w:tcPr>
          <w:p>
            <w:pPr>
              <w:spacing w:after="0"/>
              <w:rPr>
                <w:sz w:val="1"/>
                <w:szCs w:val="1"/>
                <w:color w:val="auto"/>
              </w:rPr>
            </w:pPr>
          </w:p>
        </w:tc>
      </w:tr>
      <w:tr>
        <w:trPr>
          <w:trHeight w:val="301"/>
        </w:trPr>
        <w:tc>
          <w:tcPr>
            <w:tcW w:w="418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22"/>
                <w:szCs w:val="22"/>
                <w:b w:val="1"/>
                <w:bCs w:val="1"/>
                <w:color w:val="2D53A6"/>
              </w:rPr>
              <w:t>Other Current Public</w:t>
            </w:r>
          </w:p>
        </w:tc>
        <w:tc>
          <w:tcPr>
            <w:tcW w:w="7060" w:type="dxa"/>
            <w:vAlign w:val="bottom"/>
          </w:tcPr>
          <w:p>
            <w:pPr>
              <w:spacing w:after="0"/>
              <w:rPr>
                <w:sz w:val="20"/>
                <w:szCs w:val="20"/>
                <w:color w:val="auto"/>
              </w:rPr>
            </w:pPr>
            <w:r>
              <w:rPr>
                <w:rFonts w:ascii="Arial" w:cs="Arial" w:eastAsia="Arial" w:hAnsi="Arial"/>
                <w:sz w:val="18"/>
                <w:szCs w:val="18"/>
                <w:color w:val="auto"/>
              </w:rPr>
              <w:t>where he held management positions in engineering and business development.</w:t>
            </w:r>
          </w:p>
        </w:tc>
        <w:tc>
          <w:tcPr>
            <w:tcW w:w="0" w:type="dxa"/>
            <w:vAlign w:val="bottom"/>
          </w:tcPr>
          <w:p>
            <w:pPr>
              <w:spacing w:after="0"/>
              <w:rPr>
                <w:sz w:val="1"/>
                <w:szCs w:val="1"/>
                <w:color w:val="auto"/>
              </w:rPr>
            </w:pPr>
          </w:p>
        </w:tc>
      </w:tr>
      <w:tr>
        <w:trPr>
          <w:trHeight w:val="245"/>
        </w:trPr>
        <w:tc>
          <w:tcPr>
            <w:tcW w:w="4180" w:type="dxa"/>
            <w:vAlign w:val="bottom"/>
            <w:tcBorders>
              <w:right w:val="single" w:sz="8" w:color="2D53A6"/>
            </w:tcBorders>
            <w:shd w:val="clear" w:color="auto" w:fill="E6E6E6"/>
          </w:tcPr>
          <w:p>
            <w:pPr>
              <w:spacing w:after="0" w:line="245" w:lineRule="exact"/>
              <w:rPr>
                <w:sz w:val="20"/>
                <w:szCs w:val="20"/>
                <w:color w:val="auto"/>
              </w:rPr>
            </w:pPr>
            <w:r>
              <w:rPr>
                <w:rFonts w:ascii="Arial" w:cs="Arial" w:eastAsia="Arial" w:hAnsi="Arial"/>
                <w:sz w:val="22"/>
                <w:szCs w:val="22"/>
                <w:b w:val="1"/>
                <w:bCs w:val="1"/>
                <w:color w:val="2D53A6"/>
              </w:rPr>
              <w:t>Company Boards:</w:t>
            </w:r>
          </w:p>
        </w:tc>
        <w:tc>
          <w:tcPr>
            <w:tcW w:w="7060" w:type="dxa"/>
            <w:vAlign w:val="bottom"/>
            <w:vMerge w:val="restart"/>
          </w:tcPr>
          <w:p>
            <w:pPr>
              <w:spacing w:after="0"/>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143"/>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2"/>
                <w:szCs w:val="22"/>
                <w:color w:val="auto"/>
              </w:rPr>
              <w:t>Celestica Inc.</w:t>
            </w:r>
          </w:p>
        </w:tc>
        <w:tc>
          <w:tcPr>
            <w:tcW w:w="7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tcBorders>
              <w:right w:val="single" w:sz="8" w:color="2D53A6"/>
            </w:tcBorders>
            <w:vMerge w:val="continue"/>
            <w:shd w:val="clear" w:color="auto" w:fill="E6E6E6"/>
          </w:tcPr>
          <w:p>
            <w:pPr>
              <w:spacing w:after="0"/>
              <w:rPr>
                <w:sz w:val="12"/>
                <w:szCs w:val="12"/>
                <w:color w:val="auto"/>
              </w:rPr>
            </w:pPr>
          </w:p>
        </w:tc>
        <w:tc>
          <w:tcPr>
            <w:tcW w:w="7060" w:type="dxa"/>
            <w:vAlign w:val="bottom"/>
            <w:vMerge w:val="restart"/>
          </w:tcPr>
          <w:p>
            <w:pPr>
              <w:spacing w:after="0" w:line="202" w:lineRule="exact"/>
              <w:rPr>
                <w:sz w:val="20"/>
                <w:szCs w:val="20"/>
                <w:color w:val="auto"/>
              </w:rPr>
            </w:pPr>
            <w:r>
              <w:rPr>
                <w:rFonts w:ascii="Arial" w:cs="Arial" w:eastAsia="Arial" w:hAnsi="Arial"/>
                <w:sz w:val="18"/>
                <w:szCs w:val="18"/>
                <w:color w:val="auto"/>
              </w:rPr>
              <w:t>We believe Dr. Müller’s qualifications to sit on our Board include his extensive executive,</w:t>
            </w:r>
          </w:p>
        </w:tc>
        <w:tc>
          <w:tcPr>
            <w:tcW w:w="0" w:type="dxa"/>
            <w:vAlign w:val="bottom"/>
          </w:tcPr>
          <w:p>
            <w:pPr>
              <w:spacing w:after="0"/>
              <w:rPr>
                <w:sz w:val="1"/>
                <w:szCs w:val="1"/>
                <w:color w:val="auto"/>
              </w:rPr>
            </w:pPr>
          </w:p>
        </w:tc>
      </w:tr>
      <w:tr>
        <w:trPr>
          <w:trHeight w:val="62"/>
        </w:trPr>
        <w:tc>
          <w:tcPr>
            <w:tcW w:w="4180" w:type="dxa"/>
            <w:vAlign w:val="bottom"/>
            <w:tcBorders>
              <w:right w:val="single" w:sz="8" w:color="2D53A6"/>
            </w:tcBorders>
            <w:shd w:val="clear" w:color="auto" w:fill="E6E6E6"/>
          </w:tcPr>
          <w:p>
            <w:pPr>
              <w:spacing w:after="0"/>
              <w:rPr>
                <w:sz w:val="5"/>
                <w:szCs w:val="5"/>
                <w:color w:val="auto"/>
              </w:rPr>
            </w:pPr>
          </w:p>
        </w:tc>
        <w:tc>
          <w:tcPr>
            <w:tcW w:w="7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w w:val="99"/>
              </w:rPr>
              <w:t>including CEO, experience in the semiconductor equipment industry, broad knowledge of</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business development and strategy, semiconductor technologies, corporate governance</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2D53A6"/>
              <w:right w:val="single" w:sz="8" w:color="2D53A6"/>
            </w:tcBorders>
            <w:shd w:val="clear" w:color="auto" w:fill="E6E6E6"/>
          </w:tcPr>
          <w:p>
            <w:pPr>
              <w:spacing w:after="0"/>
              <w:rPr>
                <w:sz w:val="19"/>
                <w:szCs w:val="19"/>
                <w:color w:val="auto"/>
              </w:rPr>
            </w:pPr>
          </w:p>
        </w:tc>
        <w:tc>
          <w:tcPr>
            <w:tcW w:w="70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and international operations.</w:t>
            </w:r>
          </w:p>
        </w:tc>
        <w:tc>
          <w:tcPr>
            <w:tcW w:w="0" w:type="dxa"/>
            <w:vAlign w:val="bottom"/>
          </w:tcPr>
          <w:p>
            <w:pPr>
              <w:spacing w:after="0"/>
              <w:rPr>
                <w:sz w:val="1"/>
                <w:szCs w:val="1"/>
                <w:color w:val="auto"/>
              </w:rPr>
            </w:pPr>
          </w:p>
        </w:tc>
      </w:tr>
      <w:tr>
        <w:trPr>
          <w:trHeight w:val="416"/>
        </w:trPr>
        <w:tc>
          <w:tcPr>
            <w:tcW w:w="4180" w:type="dxa"/>
            <w:vAlign w:val="bottom"/>
          </w:tcPr>
          <w:p>
            <w:pPr>
              <w:spacing w:after="0"/>
              <w:rPr>
                <w:sz w:val="24"/>
                <w:szCs w:val="24"/>
                <w:color w:val="auto"/>
              </w:rPr>
            </w:pPr>
          </w:p>
        </w:tc>
        <w:tc>
          <w:tcPr>
            <w:tcW w:w="7060" w:type="dxa"/>
            <w:vAlign w:val="bottom"/>
          </w:tcPr>
          <w:p>
            <w:pPr>
              <w:jc w:val="right"/>
              <w:ind w:right="542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98"/>
        </w:trPr>
        <w:tc>
          <w:tcPr>
            <w:tcW w:w="418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Other Continuing Directors Not Standing for Election in 2024</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2025 - Class 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Steven J. Bilodeau</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2009</w:t>
      </w:r>
    </w:p>
    <w:p>
      <w:pPr>
        <w:spacing w:after="0"/>
        <w:rPr>
          <w:sz w:val="20"/>
          <w:szCs w:val="20"/>
          <w:color w:val="auto"/>
        </w:rPr>
      </w:pPr>
      <w:r>
        <w:rPr>
          <w:rFonts w:ascii="Arial" w:cs="Arial" w:eastAsia="Arial" w:hAnsi="Arial"/>
          <w:sz w:val="22"/>
          <w:szCs w:val="22"/>
          <w:color w:val="auto"/>
        </w:rPr>
        <w:t>Age 65</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Compensation Committee (Chair)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Nominating and Governance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-151765</wp:posOffset>
            </wp:positionV>
            <wp:extent cx="7132320" cy="2151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ind w:right="20"/>
        <w:spacing w:after="0" w:line="237" w:lineRule="auto"/>
        <w:rPr>
          <w:sz w:val="20"/>
          <w:szCs w:val="20"/>
          <w:color w:val="auto"/>
        </w:rPr>
      </w:pPr>
      <w:r>
        <w:rPr>
          <w:rFonts w:ascii="Arial" w:cs="Arial" w:eastAsia="Arial" w:hAnsi="Arial"/>
          <w:sz w:val="18"/>
          <w:szCs w:val="18"/>
          <w:color w:val="auto"/>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 2019. Mr. Bilodeau also served as a director of SMSC from 1999 until 2012, including as SMSC’s Chairperson of the Board from 2000 until 2012. Mr. Bilodeau also previously served as a director of NuHorizons Electronic Corp. (2009 to 2011), Conexant Systems, Inc. (2004 to 2011) and Gennum Corporation (2008 to 2012).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186"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James A. Donahue</w:t>
      </w:r>
    </w:p>
    <w:p>
      <w:pPr>
        <w:spacing w:after="0" w:line="28" w:lineRule="exact"/>
        <w:rPr>
          <w:sz w:val="20"/>
          <w:szCs w:val="20"/>
          <w:color w:val="auto"/>
        </w:rPr>
      </w:pPr>
    </w:p>
    <w:p>
      <w:pPr>
        <w:ind w:right="1200"/>
        <w:spacing w:after="0" w:line="235" w:lineRule="auto"/>
        <w:rPr>
          <w:sz w:val="20"/>
          <w:szCs w:val="20"/>
          <w:color w:val="auto"/>
        </w:rPr>
      </w:pPr>
      <w:r>
        <w:rPr>
          <w:rFonts w:ascii="Arial" w:cs="Arial" w:eastAsia="Arial" w:hAnsi="Arial"/>
          <w:sz w:val="22"/>
          <w:szCs w:val="22"/>
          <w:color w:val="auto"/>
        </w:rPr>
        <w:t>Director since 1999 (non-executive Director since 2015) Age 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-151765</wp:posOffset>
            </wp:positionV>
            <wp:extent cx="7132320" cy="2023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8"/>
          <w:szCs w:val="18"/>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w:t>
      </w:r>
    </w:p>
    <w:p>
      <w:pPr>
        <w:spacing w:after="0" w:line="180"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Andreas W. Mattes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2022</w:t>
      </w:r>
    </w:p>
    <w:p>
      <w:pPr>
        <w:spacing w:after="0"/>
        <w:rPr>
          <w:sz w:val="20"/>
          <w:szCs w:val="20"/>
          <w:color w:val="auto"/>
        </w:rPr>
      </w:pPr>
      <w:r>
        <w:rPr>
          <w:rFonts w:ascii="Arial" w:cs="Arial" w:eastAsia="Arial" w:hAnsi="Arial"/>
          <w:sz w:val="22"/>
          <w:szCs w:val="22"/>
          <w:color w:val="auto"/>
        </w:rPr>
        <w:t>Age 63</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Board Committees: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Compensation Committee</w:t>
      </w:r>
    </w:p>
    <w:p>
      <w:pPr>
        <w:spacing w:after="0" w:line="223" w:lineRule="exact"/>
        <w:rPr>
          <w:sz w:val="20"/>
          <w:szCs w:val="20"/>
          <w:color w:val="auto"/>
        </w:rPr>
      </w:pPr>
    </w:p>
    <w:p>
      <w:pPr>
        <w:ind w:right="1300"/>
        <w:spacing w:after="0" w:line="252" w:lineRule="auto"/>
        <w:rPr>
          <w:sz w:val="20"/>
          <w:szCs w:val="20"/>
          <w:color w:val="auto"/>
        </w:rPr>
      </w:pPr>
      <w:r>
        <w:rPr>
          <w:rFonts w:ascii="Arial" w:cs="Arial" w:eastAsia="Arial" w:hAnsi="Arial"/>
          <w:sz w:val="21"/>
          <w:szCs w:val="21"/>
          <w:b w:val="1"/>
          <w:bCs w:val="1"/>
          <w:color w:val="2D53A6"/>
        </w:rPr>
        <w:t>Other Current Public Company Boards: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ams-OSRAM AG</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-151765</wp:posOffset>
            </wp:positionV>
            <wp:extent cx="7132320" cy="2922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He previously served on the board of Velodyne Lidar, Inc. until its merger with Ouster in February 2023 (2022-2023).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172"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spacing w:after="0"/>
        <w:rPr>
          <w:sz w:val="20"/>
          <w:szCs w:val="20"/>
          <w:color w:val="auto"/>
        </w:rPr>
      </w:pPr>
      <w:r>
        <w:rPr>
          <w:rFonts w:ascii="Arial" w:cs="Arial" w:eastAsia="Arial" w:hAnsi="Arial"/>
          <w:sz w:val="22"/>
          <w:szCs w:val="22"/>
          <w:color w:val="2D53A6"/>
        </w:rPr>
        <w:t>Directors Whose Term Expires in 2026 - Class 1</w:t>
      </w:r>
    </w:p>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152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152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3460" w:type="dxa"/>
            <w:vAlign w:val="bottom"/>
          </w:tcPr>
          <w:p>
            <w:pPr>
              <w:spacing w:after="0"/>
              <w:rPr>
                <w:sz w:val="17"/>
                <w:szCs w:val="17"/>
                <w:color w:val="auto"/>
              </w:rPr>
            </w:pPr>
          </w:p>
        </w:tc>
        <w:tc>
          <w:tcPr>
            <w:tcW w:w="7780" w:type="dxa"/>
            <w:vAlign w:val="bottom"/>
          </w:tcPr>
          <w:p>
            <w:pPr>
              <w:ind w:left="700"/>
              <w:spacing w:after="0" w:line="201" w:lineRule="exact"/>
              <w:rPr>
                <w:sz w:val="20"/>
                <w:szCs w:val="20"/>
                <w:color w:val="auto"/>
              </w:rPr>
            </w:pPr>
            <w:r>
              <w:rPr>
                <w:rFonts w:ascii="Arial" w:cs="Arial" w:eastAsia="Arial" w:hAnsi="Arial"/>
                <w:sz w:val="18"/>
                <w:szCs w:val="18"/>
                <w:color w:val="auto"/>
              </w:rPr>
              <w:t>Mr. Bendush is the retired Senior Vice President and Chief Financial Officer of Applied</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Micro Circuits Corporation (“AMCC”), a communications semiconductor company, and</w:t>
            </w:r>
          </w:p>
        </w:tc>
        <w:tc>
          <w:tcPr>
            <w:tcW w:w="0" w:type="dxa"/>
            <w:vAlign w:val="bottom"/>
          </w:tcPr>
          <w:p>
            <w:pPr>
              <w:spacing w:after="0"/>
              <w:rPr>
                <w:sz w:val="1"/>
                <w:szCs w:val="1"/>
                <w:color w:val="auto"/>
              </w:rPr>
            </w:pPr>
          </w:p>
        </w:tc>
      </w:tr>
      <w:tr>
        <w:trPr>
          <w:trHeight w:val="203"/>
        </w:trPr>
        <w:tc>
          <w:tcPr>
            <w:tcW w:w="3460" w:type="dxa"/>
            <w:vAlign w:val="bottom"/>
            <w:vMerge w:val="restart"/>
          </w:tcPr>
          <w:p>
            <w:pPr>
              <w:spacing w:after="0"/>
              <w:rPr>
                <w:sz w:val="20"/>
                <w:szCs w:val="20"/>
                <w:color w:val="auto"/>
              </w:rPr>
            </w:pPr>
            <w:r>
              <w:rPr>
                <w:rFonts w:ascii="Arial" w:cs="Arial" w:eastAsia="Arial" w:hAnsi="Arial"/>
                <w:sz w:val="25"/>
                <w:szCs w:val="25"/>
                <w:b w:val="1"/>
                <w:bCs w:val="1"/>
                <w:color w:val="2D53A6"/>
              </w:rPr>
              <w:t>William E. Bendush</w:t>
            </w: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during his tenure an S&amp;P 500 constituent company, where he served from 1999 to 2003.</w:t>
            </w: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Mr. Bendush was a director of Microsemi Corp. from 2003 until the company was</w:t>
            </w:r>
          </w:p>
        </w:tc>
        <w:tc>
          <w:tcPr>
            <w:tcW w:w="0" w:type="dxa"/>
            <w:vAlign w:val="bottom"/>
          </w:tcPr>
          <w:p>
            <w:pPr>
              <w:spacing w:after="0"/>
              <w:rPr>
                <w:sz w:val="1"/>
                <w:szCs w:val="1"/>
                <w:color w:val="auto"/>
              </w:rPr>
            </w:pPr>
          </w:p>
        </w:tc>
      </w:tr>
      <w:tr>
        <w:trPr>
          <w:trHeight w:val="248"/>
        </w:trPr>
        <w:tc>
          <w:tcPr>
            <w:tcW w:w="3460" w:type="dxa"/>
            <w:vAlign w:val="bottom"/>
          </w:tcPr>
          <w:p>
            <w:pPr>
              <w:spacing w:after="0" w:line="248" w:lineRule="exact"/>
              <w:rPr>
                <w:sz w:val="20"/>
                <w:szCs w:val="20"/>
                <w:color w:val="auto"/>
              </w:rPr>
            </w:pPr>
            <w:r>
              <w:rPr>
                <w:rFonts w:ascii="Arial" w:cs="Arial" w:eastAsia="Arial" w:hAnsi="Arial"/>
                <w:sz w:val="22"/>
                <w:szCs w:val="22"/>
                <w:color w:val="auto"/>
              </w:rPr>
              <w:t>Director since 2011</w:t>
            </w:r>
          </w:p>
        </w:tc>
        <w:tc>
          <w:tcPr>
            <w:tcW w:w="7780" w:type="dxa"/>
            <w:vAlign w:val="bottom"/>
          </w:tcPr>
          <w:p>
            <w:pPr>
              <w:ind w:left="700"/>
              <w:spacing w:after="0"/>
              <w:rPr>
                <w:sz w:val="20"/>
                <w:szCs w:val="20"/>
                <w:color w:val="auto"/>
              </w:rPr>
            </w:pPr>
            <w:r>
              <w:rPr>
                <w:rFonts w:ascii="Arial" w:cs="Arial" w:eastAsia="Arial" w:hAnsi="Arial"/>
                <w:sz w:val="18"/>
                <w:szCs w:val="18"/>
                <w:color w:val="auto"/>
              </w:rPr>
              <w:t>acquired in 2018, and also previously served as a director at Conexant Systems, Inc.</w:t>
            </w:r>
          </w:p>
        </w:tc>
        <w:tc>
          <w:tcPr>
            <w:tcW w:w="0" w:type="dxa"/>
            <w:vAlign w:val="bottom"/>
          </w:tcPr>
          <w:p>
            <w:pPr>
              <w:spacing w:after="0"/>
              <w:rPr>
                <w:sz w:val="1"/>
                <w:szCs w:val="1"/>
                <w:color w:val="auto"/>
              </w:rPr>
            </w:pPr>
          </w:p>
        </w:tc>
      </w:tr>
      <w:tr>
        <w:trPr>
          <w:trHeight w:val="239"/>
        </w:trPr>
        <w:tc>
          <w:tcPr>
            <w:tcW w:w="3460" w:type="dxa"/>
            <w:vAlign w:val="bottom"/>
            <w:vMerge w:val="restart"/>
          </w:tcPr>
          <w:p>
            <w:pPr>
              <w:spacing w:after="0"/>
              <w:rPr>
                <w:sz w:val="20"/>
                <w:szCs w:val="20"/>
                <w:color w:val="auto"/>
              </w:rPr>
            </w:pPr>
            <w:r>
              <w:rPr>
                <w:rFonts w:ascii="Arial" w:cs="Arial" w:eastAsia="Arial" w:hAnsi="Arial"/>
                <w:sz w:val="22"/>
                <w:szCs w:val="22"/>
                <w:color w:val="auto"/>
              </w:rPr>
              <w:t>Age 75</w:t>
            </w:r>
          </w:p>
        </w:tc>
        <w:tc>
          <w:tcPr>
            <w:tcW w:w="7780" w:type="dxa"/>
            <w:vAlign w:val="bottom"/>
          </w:tcPr>
          <w:p>
            <w:pPr>
              <w:ind w:left="700"/>
              <w:spacing w:after="0"/>
              <w:rPr>
                <w:sz w:val="20"/>
                <w:szCs w:val="20"/>
                <w:color w:val="auto"/>
              </w:rPr>
            </w:pPr>
            <w:r>
              <w:rPr>
                <w:rFonts w:ascii="Arial" w:cs="Arial" w:eastAsia="Arial" w:hAnsi="Arial"/>
                <w:sz w:val="18"/>
                <w:szCs w:val="18"/>
                <w:color w:val="auto"/>
              </w:rPr>
              <w:t>(2008 to 2011) and Smartflex Systems, Inc. (1993 to 1999).</w:t>
            </w:r>
          </w:p>
        </w:tc>
        <w:tc>
          <w:tcPr>
            <w:tcW w:w="0" w:type="dxa"/>
            <w:vAlign w:val="bottom"/>
          </w:tcPr>
          <w:p>
            <w:pPr>
              <w:spacing w:after="0"/>
              <w:rPr>
                <w:sz w:val="1"/>
                <w:szCs w:val="1"/>
                <w:color w:val="auto"/>
              </w:rPr>
            </w:pPr>
          </w:p>
        </w:tc>
      </w:tr>
      <w:tr>
        <w:trPr>
          <w:trHeight w:val="72"/>
        </w:trPr>
        <w:tc>
          <w:tcPr>
            <w:tcW w:w="3460" w:type="dxa"/>
            <w:vAlign w:val="bottom"/>
            <w:vMerge w:val="continue"/>
          </w:tcPr>
          <w:p>
            <w:pPr>
              <w:spacing w:after="0"/>
              <w:rPr>
                <w:sz w:val="6"/>
                <w:szCs w:val="6"/>
                <w:color w:val="auto"/>
              </w:rPr>
            </w:pPr>
          </w:p>
        </w:tc>
        <w:tc>
          <w:tcPr>
            <w:tcW w:w="7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460" w:type="dxa"/>
            <w:vAlign w:val="bottom"/>
            <w:vMerge w:val="restart"/>
          </w:tcPr>
          <w:p>
            <w:pPr>
              <w:spacing w:after="0"/>
              <w:rPr>
                <w:sz w:val="20"/>
                <w:szCs w:val="20"/>
                <w:color w:val="auto"/>
              </w:rPr>
            </w:pPr>
            <w:r>
              <w:rPr>
                <w:rFonts w:ascii="Arial" w:cs="Arial" w:eastAsia="Arial" w:hAnsi="Arial"/>
                <w:sz w:val="22"/>
                <w:szCs w:val="22"/>
                <w:b w:val="1"/>
                <w:bCs w:val="1"/>
                <w:color w:val="2D53A6"/>
              </w:rPr>
              <w:t>Board Committees:</w:t>
            </w:r>
          </w:p>
        </w:tc>
        <w:tc>
          <w:tcPr>
            <w:tcW w:w="7780" w:type="dxa"/>
            <w:vAlign w:val="bottom"/>
          </w:tcPr>
          <w:p>
            <w:pPr>
              <w:ind w:left="700"/>
              <w:spacing w:after="0"/>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7780" w:type="dxa"/>
            <w:vAlign w:val="bottom"/>
            <w:vMerge w:val="restart"/>
          </w:tcPr>
          <w:p>
            <w:pPr>
              <w:ind w:left="700"/>
              <w:spacing w:after="0" w:line="202" w:lineRule="exact"/>
              <w:rPr>
                <w:sz w:val="20"/>
                <w:szCs w:val="20"/>
                <w:color w:val="auto"/>
              </w:rPr>
            </w:pPr>
            <w:r>
              <w:rPr>
                <w:rFonts w:ascii="Arial" w:cs="Arial" w:eastAsia="Arial" w:hAnsi="Arial"/>
                <w:sz w:val="18"/>
                <w:szCs w:val="18"/>
                <w:color w:val="auto"/>
              </w:rPr>
              <w:t>We believe Mr. Bendush’s qualifications to sit on our Board include his extensive board</w:t>
            </w:r>
          </w:p>
        </w:tc>
        <w:tc>
          <w:tcPr>
            <w:tcW w:w="0" w:type="dxa"/>
            <w:vAlign w:val="bottom"/>
          </w:tcPr>
          <w:p>
            <w:pPr>
              <w:spacing w:after="0"/>
              <w:rPr>
                <w:sz w:val="1"/>
                <w:szCs w:val="1"/>
                <w:color w:val="auto"/>
              </w:rPr>
            </w:pPr>
          </w:p>
        </w:tc>
      </w:tr>
      <w:tr>
        <w:trPr>
          <w:trHeight w:val="89"/>
        </w:trPr>
        <w:tc>
          <w:tcPr>
            <w:tcW w:w="3460" w:type="dxa"/>
            <w:vAlign w:val="bottom"/>
            <w:vMerge w:val="restart"/>
          </w:tcPr>
          <w:p>
            <w:pPr>
              <w:spacing w:after="0"/>
              <w:rPr>
                <w:sz w:val="20"/>
                <w:szCs w:val="20"/>
                <w:color w:val="auto"/>
              </w:rPr>
            </w:pPr>
            <w:r>
              <w:rPr>
                <w:rFonts w:ascii="Arial" w:cs="Arial" w:eastAsia="Arial" w:hAnsi="Arial"/>
                <w:sz w:val="22"/>
                <w:szCs w:val="22"/>
                <w:color w:val="auto"/>
              </w:rPr>
              <w:t>Audit Committee (Chair)</w:t>
            </w: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460" w:type="dxa"/>
            <w:vAlign w:val="bottom"/>
            <w:vMerge w:val="continue"/>
          </w:tcPr>
          <w:p>
            <w:pPr>
              <w:spacing w:after="0"/>
              <w:rPr>
                <w:sz w:val="15"/>
                <w:szCs w:val="15"/>
                <w:color w:val="auto"/>
              </w:rPr>
            </w:pPr>
          </w:p>
        </w:tc>
        <w:tc>
          <w:tcPr>
            <w:tcW w:w="7780" w:type="dxa"/>
            <w:vAlign w:val="bottom"/>
          </w:tcPr>
          <w:p>
            <w:pPr>
              <w:ind w:left="700"/>
              <w:spacing w:after="0" w:line="181" w:lineRule="exact"/>
              <w:rPr>
                <w:sz w:val="20"/>
                <w:szCs w:val="20"/>
                <w:color w:val="auto"/>
              </w:rPr>
            </w:pPr>
            <w:r>
              <w:rPr>
                <w:rFonts w:ascii="Arial" w:cs="Arial" w:eastAsia="Arial" w:hAnsi="Arial"/>
                <w:sz w:val="18"/>
                <w:szCs w:val="18"/>
                <w:color w:val="auto"/>
                <w:w w:val="99"/>
              </w:rPr>
              <w:t>and executive experience in the semiconductor industry and his experience with financial</w:t>
            </w:r>
          </w:p>
        </w:tc>
        <w:tc>
          <w:tcPr>
            <w:tcW w:w="0" w:type="dxa"/>
            <w:vAlign w:val="bottom"/>
          </w:tcPr>
          <w:p>
            <w:pPr>
              <w:spacing w:after="0"/>
              <w:rPr>
                <w:sz w:val="1"/>
                <w:szCs w:val="1"/>
                <w:color w:val="auto"/>
              </w:rPr>
            </w:pPr>
          </w:p>
        </w:tc>
      </w:tr>
      <w:tr>
        <w:trPr>
          <w:trHeight w:val="224"/>
        </w:trPr>
        <w:tc>
          <w:tcPr>
            <w:tcW w:w="3460" w:type="dxa"/>
            <w:vAlign w:val="bottom"/>
          </w:tcPr>
          <w:p>
            <w:pPr>
              <w:spacing w:after="0" w:line="224" w:lineRule="exact"/>
              <w:rPr>
                <w:sz w:val="20"/>
                <w:szCs w:val="20"/>
                <w:color w:val="auto"/>
              </w:rPr>
            </w:pPr>
            <w:r>
              <w:rPr>
                <w:rFonts w:ascii="Arial" w:cs="Arial" w:eastAsia="Arial" w:hAnsi="Arial"/>
                <w:sz w:val="22"/>
                <w:szCs w:val="22"/>
                <w:color w:val="auto"/>
              </w:rPr>
              <w:t>Nominating and Governance</w:t>
            </w:r>
          </w:p>
        </w:tc>
        <w:tc>
          <w:tcPr>
            <w:tcW w:w="7780" w:type="dxa"/>
            <w:vAlign w:val="bottom"/>
          </w:tcPr>
          <w:p>
            <w:pPr>
              <w:ind w:left="700"/>
              <w:spacing w:after="0"/>
              <w:rPr>
                <w:sz w:val="20"/>
                <w:szCs w:val="20"/>
                <w:color w:val="auto"/>
              </w:rPr>
            </w:pPr>
            <w:r>
              <w:rPr>
                <w:rFonts w:ascii="Arial" w:cs="Arial" w:eastAsia="Arial" w:hAnsi="Arial"/>
                <w:sz w:val="18"/>
                <w:szCs w:val="18"/>
                <w:color w:val="auto"/>
              </w:rPr>
              <w:t>accounting matters for complex global organizations as well as his knowledge of</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business strategy. He has been a member of four public company audit committees and</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chaired three, and also served as Chair of Microsemi’s compensation and nominating</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w w:val="99"/>
              </w:rPr>
              <w:t>and governance committees during portions of his tenure there. Mr. Bendush qualifies as</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2D53A6"/>
            </w:tcBorders>
          </w:tcPr>
          <w:p>
            <w:pPr>
              <w:spacing w:after="0"/>
              <w:rPr>
                <w:sz w:val="19"/>
                <w:szCs w:val="19"/>
                <w:color w:val="auto"/>
              </w:rPr>
            </w:pPr>
          </w:p>
        </w:tc>
        <w:tc>
          <w:tcPr>
            <w:tcW w:w="7780" w:type="dxa"/>
            <w:vAlign w:val="bottom"/>
            <w:tcBorders>
              <w:bottom w:val="single" w:sz="8" w:color="2D53A6"/>
            </w:tcBorders>
          </w:tcPr>
          <w:p>
            <w:pPr>
              <w:ind w:left="700"/>
              <w:spacing w:after="0"/>
              <w:rPr>
                <w:sz w:val="20"/>
                <w:szCs w:val="20"/>
                <w:color w:val="auto"/>
              </w:rPr>
            </w:pPr>
            <w:r>
              <w:rPr>
                <w:rFonts w:ascii="Arial" w:cs="Arial" w:eastAsia="Arial" w:hAnsi="Arial"/>
                <w:sz w:val="18"/>
                <w:szCs w:val="18"/>
                <w:color w:val="auto"/>
              </w:rPr>
              <w:t>an “audit committee financial expert” under SEC guidelines.</w:t>
            </w:r>
          </w:p>
        </w:tc>
        <w:tc>
          <w:tcPr>
            <w:tcW w:w="0" w:type="dxa"/>
            <w:vAlign w:val="bottom"/>
          </w:tcPr>
          <w:p>
            <w:pPr>
              <w:spacing w:after="0"/>
              <w:rPr>
                <w:sz w:val="1"/>
                <w:szCs w:val="1"/>
                <w:color w:val="auto"/>
              </w:rPr>
            </w:pPr>
          </w:p>
        </w:tc>
      </w:tr>
      <w:tr>
        <w:trPr>
          <w:trHeight w:val="416"/>
        </w:trPr>
        <w:tc>
          <w:tcPr>
            <w:tcW w:w="3460" w:type="dxa"/>
            <w:vAlign w:val="bottom"/>
          </w:tcPr>
          <w:p>
            <w:pPr>
              <w:spacing w:after="0"/>
              <w:rPr>
                <w:sz w:val="24"/>
                <w:szCs w:val="24"/>
                <w:color w:val="auto"/>
              </w:rPr>
            </w:pPr>
          </w:p>
        </w:tc>
        <w:tc>
          <w:tcPr>
            <w:tcW w:w="7780" w:type="dxa"/>
            <w:vAlign w:val="bottom"/>
          </w:tcPr>
          <w:p>
            <w:pPr>
              <w:ind w:left="20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8"/>
        </w:trPr>
        <w:tc>
          <w:tcPr>
            <w:tcW w:w="346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top w:val="single" w:sz="8" w:color="2D53A6"/>
              <w:right w:val="single" w:sz="8" w:color="2D53A6"/>
            </w:tcBorders>
            <w:shd w:val="clear" w:color="auto" w:fill="E6E6E6"/>
          </w:tcPr>
          <w:p>
            <w:pPr>
              <w:spacing w:after="0"/>
              <w:rPr>
                <w:sz w:val="20"/>
                <w:szCs w:val="20"/>
                <w:color w:val="auto"/>
              </w:rPr>
            </w:pPr>
          </w:p>
        </w:tc>
        <w:tc>
          <w:tcPr>
            <w:tcW w:w="7060" w:type="dxa"/>
            <w:vAlign w:val="bottom"/>
            <w:tcBorders>
              <w:top w:val="single" w:sz="8" w:color="2D53A6"/>
            </w:tcBorders>
          </w:tcPr>
          <w:p>
            <w:pPr>
              <w:spacing w:after="0" w:line="238" w:lineRule="exact"/>
              <w:rPr>
                <w:sz w:val="20"/>
                <w:szCs w:val="20"/>
                <w:color w:val="auto"/>
              </w:rPr>
            </w:pPr>
            <w:r>
              <w:rPr>
                <w:rFonts w:ascii="Arial" w:cs="Arial" w:eastAsia="Arial" w:hAnsi="Arial"/>
                <w:sz w:val="22"/>
                <w:szCs w:val="22"/>
                <w:color w:val="2D53A6"/>
              </w:rPr>
              <w:t>Business Experience and Other Directorships</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Ms. Richardson served as chief operating officer of GoPro, Inc. from February 2013 to</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February 2015. Prior to that, she held several executive positions of increasing</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responsibility at Flex Ltd., a global electronics and manufacturing service provider,</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5"/>
                <w:szCs w:val="25"/>
                <w:b w:val="1"/>
                <w:bCs w:val="1"/>
                <w:color w:val="2D53A6"/>
              </w:rPr>
              <w:t>Nina L. Richardson</w:t>
            </w: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leading electronics manufacturing operations with over 1000 employees in multiple</w:t>
            </w:r>
          </w:p>
        </w:tc>
        <w:tc>
          <w:tcPr>
            <w:tcW w:w="0" w:type="dxa"/>
            <w:vAlign w:val="bottom"/>
          </w:tcPr>
          <w:p>
            <w:pPr>
              <w:spacing w:after="0"/>
              <w:rPr>
                <w:sz w:val="1"/>
                <w:szCs w:val="1"/>
                <w:color w:val="auto"/>
              </w:rPr>
            </w:pPr>
          </w:p>
        </w:tc>
      </w:tr>
      <w:tr>
        <w:trPr>
          <w:trHeight w:val="181"/>
        </w:trPr>
        <w:tc>
          <w:tcPr>
            <w:tcW w:w="4180" w:type="dxa"/>
            <w:vAlign w:val="bottom"/>
            <w:tcBorders>
              <w:right w:val="single" w:sz="8" w:color="2D53A6"/>
            </w:tcBorders>
            <w:vMerge w:val="continue"/>
            <w:shd w:val="clear" w:color="auto" w:fill="E6E6E6"/>
          </w:tcPr>
          <w:p>
            <w:pPr>
              <w:spacing w:after="0"/>
              <w:rPr>
                <w:sz w:val="15"/>
                <w:szCs w:val="15"/>
                <w:color w:val="auto"/>
              </w:rPr>
            </w:pPr>
          </w:p>
        </w:tc>
        <w:tc>
          <w:tcPr>
            <w:tcW w:w="7060" w:type="dxa"/>
            <w:vAlign w:val="bottom"/>
          </w:tcPr>
          <w:p>
            <w:pPr>
              <w:spacing w:after="0" w:line="181" w:lineRule="exact"/>
              <w:rPr>
                <w:sz w:val="20"/>
                <w:szCs w:val="20"/>
                <w:color w:val="auto"/>
              </w:rPr>
            </w:pPr>
            <w:r>
              <w:rPr>
                <w:rFonts w:ascii="Arial" w:cs="Arial" w:eastAsia="Arial" w:hAnsi="Arial"/>
                <w:sz w:val="18"/>
                <w:szCs w:val="18"/>
                <w:color w:val="auto"/>
              </w:rPr>
              <w:t>geographies. Currently, she serves as managing director of Three Rivers Energy, Inc., a</w:t>
            </w:r>
          </w:p>
        </w:tc>
        <w:tc>
          <w:tcPr>
            <w:tcW w:w="0" w:type="dxa"/>
            <w:vAlign w:val="bottom"/>
          </w:tcPr>
          <w:p>
            <w:pPr>
              <w:spacing w:after="0"/>
              <w:rPr>
                <w:sz w:val="1"/>
                <w:szCs w:val="1"/>
                <w:color w:val="auto"/>
              </w:rPr>
            </w:pPr>
          </w:p>
        </w:tc>
      </w:tr>
      <w:tr>
        <w:trPr>
          <w:trHeight w:val="217"/>
        </w:trPr>
        <w:tc>
          <w:tcPr>
            <w:tcW w:w="4180" w:type="dxa"/>
            <w:vAlign w:val="bottom"/>
            <w:tcBorders>
              <w:right w:val="single" w:sz="8" w:color="2D53A6"/>
            </w:tcBorders>
            <w:shd w:val="clear" w:color="auto" w:fill="E6E6E6"/>
          </w:tcPr>
          <w:p>
            <w:pPr>
              <w:spacing w:after="0" w:line="217" w:lineRule="exact"/>
              <w:rPr>
                <w:sz w:val="20"/>
                <w:szCs w:val="20"/>
                <w:color w:val="auto"/>
              </w:rPr>
            </w:pPr>
            <w:r>
              <w:rPr>
                <w:rFonts w:ascii="Arial" w:cs="Arial" w:eastAsia="Arial" w:hAnsi="Arial"/>
                <w:sz w:val="22"/>
                <w:szCs w:val="22"/>
                <w:color w:val="auto"/>
              </w:rPr>
              <w:t>Director since 2019</w:t>
            </w:r>
          </w:p>
        </w:tc>
        <w:tc>
          <w:tcPr>
            <w:tcW w:w="7060" w:type="dxa"/>
            <w:vAlign w:val="bottom"/>
          </w:tcPr>
          <w:p>
            <w:pPr>
              <w:spacing w:after="0"/>
              <w:rPr>
                <w:sz w:val="20"/>
                <w:szCs w:val="20"/>
                <w:color w:val="auto"/>
              </w:rPr>
            </w:pPr>
            <w:r>
              <w:rPr>
                <w:rFonts w:ascii="Arial" w:cs="Arial" w:eastAsia="Arial" w:hAnsi="Arial"/>
                <w:sz w:val="18"/>
                <w:szCs w:val="18"/>
                <w:color w:val="auto"/>
              </w:rPr>
              <w:t>company she co-founded in 2004, and she has been an independent consultant since</w:t>
            </w:r>
          </w:p>
        </w:tc>
        <w:tc>
          <w:tcPr>
            <w:tcW w:w="0" w:type="dxa"/>
            <w:vAlign w:val="bottom"/>
          </w:tcPr>
          <w:p>
            <w:pPr>
              <w:spacing w:after="0"/>
              <w:rPr>
                <w:sz w:val="1"/>
                <w:szCs w:val="1"/>
                <w:color w:val="auto"/>
              </w:rPr>
            </w:pPr>
          </w:p>
        </w:tc>
      </w:tr>
      <w:tr>
        <w:trPr>
          <w:trHeight w:val="215"/>
        </w:trPr>
        <w:tc>
          <w:tcPr>
            <w:tcW w:w="4180" w:type="dxa"/>
            <w:vAlign w:val="bottom"/>
            <w:tcBorders>
              <w:right w:val="single" w:sz="8" w:color="2D53A6"/>
            </w:tcBorders>
            <w:shd w:val="clear" w:color="auto" w:fill="E6E6E6"/>
          </w:tcPr>
          <w:p>
            <w:pPr>
              <w:spacing w:after="0" w:line="216" w:lineRule="exact"/>
              <w:rPr>
                <w:sz w:val="20"/>
                <w:szCs w:val="20"/>
                <w:color w:val="auto"/>
              </w:rPr>
            </w:pPr>
            <w:r>
              <w:rPr>
                <w:rFonts w:ascii="Arial" w:cs="Arial" w:eastAsia="Arial" w:hAnsi="Arial"/>
                <w:sz w:val="22"/>
                <w:szCs w:val="22"/>
                <w:color w:val="auto"/>
              </w:rPr>
              <w:t>Age 65</w:t>
            </w:r>
          </w:p>
        </w:tc>
        <w:tc>
          <w:tcPr>
            <w:tcW w:w="7060" w:type="dxa"/>
            <w:vAlign w:val="bottom"/>
          </w:tcPr>
          <w:p>
            <w:pPr>
              <w:spacing w:after="0"/>
              <w:rPr>
                <w:sz w:val="20"/>
                <w:szCs w:val="20"/>
                <w:color w:val="auto"/>
              </w:rPr>
            </w:pPr>
            <w:r>
              <w:rPr>
                <w:rFonts w:ascii="Arial" w:cs="Arial" w:eastAsia="Arial" w:hAnsi="Arial"/>
                <w:sz w:val="18"/>
                <w:szCs w:val="18"/>
                <w:color w:val="auto"/>
              </w:rPr>
              <w:t>March 2015. Ms. Richardson also currently serves as a director of Silicon Laboratories</w:t>
            </w:r>
          </w:p>
        </w:tc>
        <w:tc>
          <w:tcPr>
            <w:tcW w:w="0" w:type="dxa"/>
            <w:vAlign w:val="bottom"/>
          </w:tcPr>
          <w:p>
            <w:pPr>
              <w:spacing w:after="0"/>
              <w:rPr>
                <w:sz w:val="1"/>
                <w:szCs w:val="1"/>
                <w:color w:val="auto"/>
              </w:rPr>
            </w:pPr>
          </w:p>
        </w:tc>
      </w:tr>
      <w:tr>
        <w:trPr>
          <w:trHeight w:val="197"/>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197" w:lineRule="exact"/>
              <w:rPr>
                <w:sz w:val="20"/>
                <w:szCs w:val="20"/>
                <w:color w:val="auto"/>
              </w:rPr>
            </w:pPr>
            <w:r>
              <w:rPr>
                <w:rFonts w:ascii="Arial" w:cs="Arial" w:eastAsia="Arial" w:hAnsi="Arial"/>
                <w:sz w:val="18"/>
                <w:szCs w:val="18"/>
                <w:color w:val="auto"/>
              </w:rPr>
              <w:t>Inc., a position she has held since January 2016; and as a director of Resideo</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2"/>
                <w:szCs w:val="22"/>
                <w:b w:val="1"/>
                <w:bCs w:val="1"/>
                <w:color w:val="2D53A6"/>
              </w:rPr>
              <w:t>Board Committees:</w:t>
            </w: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Technologies, Inc., a position she has held since October 2018. She previously served</w:t>
            </w:r>
          </w:p>
        </w:tc>
        <w:tc>
          <w:tcPr>
            <w:tcW w:w="0" w:type="dxa"/>
            <w:vAlign w:val="bottom"/>
          </w:tcPr>
          <w:p>
            <w:pPr>
              <w:spacing w:after="0"/>
              <w:rPr>
                <w:sz w:val="1"/>
                <w:szCs w:val="1"/>
                <w:color w:val="auto"/>
              </w:rPr>
            </w:pPr>
          </w:p>
        </w:tc>
      </w:tr>
      <w:tr>
        <w:trPr>
          <w:trHeight w:val="114"/>
        </w:trPr>
        <w:tc>
          <w:tcPr>
            <w:tcW w:w="4180" w:type="dxa"/>
            <w:vAlign w:val="bottom"/>
            <w:tcBorders>
              <w:right w:val="single" w:sz="8" w:color="2D53A6"/>
            </w:tcBorders>
            <w:vMerge w:val="continue"/>
            <w:shd w:val="clear" w:color="auto" w:fill="E6E6E6"/>
          </w:tcPr>
          <w:p>
            <w:pPr>
              <w:spacing w:after="0"/>
              <w:rPr>
                <w:sz w:val="9"/>
                <w:szCs w:val="9"/>
                <w:color w:val="auto"/>
              </w:rPr>
            </w:pPr>
          </w:p>
        </w:tc>
        <w:tc>
          <w:tcPr>
            <w:tcW w:w="7060" w:type="dxa"/>
            <w:vAlign w:val="bottom"/>
            <w:vMerge w:val="restart"/>
          </w:tcPr>
          <w:p>
            <w:pPr>
              <w:spacing w:after="0" w:line="202" w:lineRule="exact"/>
              <w:rPr>
                <w:sz w:val="20"/>
                <w:szCs w:val="20"/>
                <w:color w:val="auto"/>
              </w:rPr>
            </w:pPr>
            <w:r>
              <w:rPr>
                <w:rFonts w:ascii="Arial" w:cs="Arial" w:eastAsia="Arial" w:hAnsi="Arial"/>
                <w:sz w:val="18"/>
                <w:szCs w:val="18"/>
                <w:color w:val="auto"/>
              </w:rPr>
              <w:t>as a director at Eargo, Inc. (2020 to 2022), Zayo Group Holdings, Inc. (2015 to 2018),</w:t>
            </w:r>
          </w:p>
        </w:tc>
        <w:tc>
          <w:tcPr>
            <w:tcW w:w="0" w:type="dxa"/>
            <w:vAlign w:val="bottom"/>
          </w:tcPr>
          <w:p>
            <w:pPr>
              <w:spacing w:after="0"/>
              <w:rPr>
                <w:sz w:val="1"/>
                <w:szCs w:val="1"/>
                <w:color w:val="auto"/>
              </w:rPr>
            </w:pPr>
          </w:p>
        </w:tc>
      </w:tr>
      <w:tr>
        <w:trPr>
          <w:trHeight w:val="89"/>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2"/>
                <w:szCs w:val="22"/>
                <w:color w:val="auto"/>
              </w:rPr>
              <w:t>Compensation Committee</w:t>
            </w:r>
          </w:p>
        </w:tc>
        <w:tc>
          <w:tcPr>
            <w:tcW w:w="7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vMerge w:val="continue"/>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Callidus Software, Inc. (2017 to 2018) and Silicon Graphics International Corp. (“SGI”)</w:t>
            </w:r>
          </w:p>
        </w:tc>
        <w:tc>
          <w:tcPr>
            <w:tcW w:w="0" w:type="dxa"/>
            <w:vAlign w:val="bottom"/>
          </w:tcPr>
          <w:p>
            <w:pPr>
              <w:spacing w:after="0"/>
              <w:rPr>
                <w:sz w:val="1"/>
                <w:szCs w:val="1"/>
                <w:color w:val="auto"/>
              </w:rPr>
            </w:pPr>
          </w:p>
        </w:tc>
      </w:tr>
      <w:tr>
        <w:trPr>
          <w:trHeight w:val="239"/>
        </w:trPr>
        <w:tc>
          <w:tcPr>
            <w:tcW w:w="418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2"/>
                <w:szCs w:val="22"/>
                <w:b w:val="1"/>
                <w:bCs w:val="1"/>
                <w:color w:val="2D53A6"/>
              </w:rPr>
              <w:t>Other Current Public</w:t>
            </w:r>
          </w:p>
        </w:tc>
        <w:tc>
          <w:tcPr>
            <w:tcW w:w="7060" w:type="dxa"/>
            <w:vAlign w:val="bottom"/>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7"/>
        </w:trPr>
        <w:tc>
          <w:tcPr>
            <w:tcW w:w="4180" w:type="dxa"/>
            <w:vAlign w:val="bottom"/>
            <w:tcBorders>
              <w:right w:val="single" w:sz="8" w:color="2D53A6"/>
            </w:tcBorders>
            <w:vMerge w:val="continue"/>
            <w:shd w:val="clear" w:color="auto" w:fill="E6E6E6"/>
          </w:tcPr>
          <w:p>
            <w:pPr>
              <w:spacing w:after="0"/>
              <w:rPr>
                <w:sz w:val="17"/>
                <w:szCs w:val="17"/>
                <w:color w:val="auto"/>
              </w:rPr>
            </w:pPr>
          </w:p>
        </w:tc>
        <w:tc>
          <w:tcPr>
            <w:tcW w:w="7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80" w:type="dxa"/>
            <w:vAlign w:val="bottom"/>
            <w:tcBorders>
              <w:right w:val="single" w:sz="8" w:color="2D53A6"/>
            </w:tcBorders>
            <w:shd w:val="clear" w:color="auto" w:fill="E6E6E6"/>
          </w:tcPr>
          <w:p>
            <w:pPr>
              <w:spacing w:after="0" w:line="245" w:lineRule="exact"/>
              <w:rPr>
                <w:sz w:val="20"/>
                <w:szCs w:val="20"/>
                <w:color w:val="auto"/>
              </w:rPr>
            </w:pPr>
            <w:r>
              <w:rPr>
                <w:rFonts w:ascii="Arial" w:cs="Arial" w:eastAsia="Arial" w:hAnsi="Arial"/>
                <w:sz w:val="22"/>
                <w:szCs w:val="22"/>
                <w:b w:val="1"/>
                <w:bCs w:val="1"/>
                <w:color w:val="2D53A6"/>
              </w:rPr>
              <w:t>Company Boards:</w:t>
            </w:r>
          </w:p>
        </w:tc>
        <w:tc>
          <w:tcPr>
            <w:tcW w:w="7060" w:type="dxa"/>
            <w:vAlign w:val="bottom"/>
          </w:tcPr>
          <w:p>
            <w:pPr>
              <w:spacing w:after="0" w:line="245" w:lineRule="exact"/>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215"/>
        </w:trPr>
        <w:tc>
          <w:tcPr>
            <w:tcW w:w="4180" w:type="dxa"/>
            <w:vAlign w:val="bottom"/>
            <w:tcBorders>
              <w:right w:val="single" w:sz="8" w:color="2D53A6"/>
            </w:tcBorders>
            <w:shd w:val="clear" w:color="auto" w:fill="E6E6E6"/>
          </w:tcPr>
          <w:p>
            <w:pPr>
              <w:spacing w:after="0" w:line="216" w:lineRule="exact"/>
              <w:rPr>
                <w:sz w:val="20"/>
                <w:szCs w:val="20"/>
                <w:color w:val="auto"/>
              </w:rPr>
            </w:pPr>
            <w:r>
              <w:rPr>
                <w:rFonts w:ascii="Arial" w:cs="Arial" w:eastAsia="Arial" w:hAnsi="Arial"/>
                <w:sz w:val="22"/>
                <w:szCs w:val="22"/>
                <w:color w:val="auto"/>
              </w:rPr>
              <w:t>Resideo Technologies Inc.,</w:t>
            </w:r>
          </w:p>
        </w:tc>
        <w:tc>
          <w:tcPr>
            <w:tcW w:w="7060" w:type="dxa"/>
            <w:vAlign w:val="bottom"/>
          </w:tcPr>
          <w:p>
            <w:pPr>
              <w:spacing w:after="0"/>
              <w:rPr>
                <w:sz w:val="20"/>
                <w:szCs w:val="20"/>
                <w:color w:val="auto"/>
              </w:rPr>
            </w:pPr>
            <w:r>
              <w:rPr>
                <w:rFonts w:ascii="Arial" w:cs="Arial" w:eastAsia="Arial" w:hAnsi="Arial"/>
                <w:sz w:val="18"/>
                <w:szCs w:val="18"/>
                <w:color w:val="auto"/>
              </w:rPr>
              <w:t>We believe Ms. Richardson’s qualifications to sit on our Board include her extensive</w:t>
            </w:r>
          </w:p>
        </w:tc>
        <w:tc>
          <w:tcPr>
            <w:tcW w:w="0" w:type="dxa"/>
            <w:vAlign w:val="bottom"/>
          </w:tcPr>
          <w:p>
            <w:pPr>
              <w:spacing w:after="0"/>
              <w:rPr>
                <w:sz w:val="1"/>
                <w:szCs w:val="1"/>
                <w:color w:val="auto"/>
              </w:rPr>
            </w:pPr>
          </w:p>
        </w:tc>
      </w:tr>
      <w:tr>
        <w:trPr>
          <w:trHeight w:val="243"/>
        </w:trPr>
        <w:tc>
          <w:tcPr>
            <w:tcW w:w="4180" w:type="dxa"/>
            <w:vAlign w:val="bottom"/>
            <w:tcBorders>
              <w:right w:val="single" w:sz="8" w:color="2D53A6"/>
            </w:tcBorders>
            <w:shd w:val="clear" w:color="auto" w:fill="E6E6E6"/>
          </w:tcPr>
          <w:p>
            <w:pPr>
              <w:spacing w:after="0" w:line="243" w:lineRule="exact"/>
              <w:rPr>
                <w:sz w:val="20"/>
                <w:szCs w:val="20"/>
                <w:color w:val="auto"/>
              </w:rPr>
            </w:pPr>
            <w:r>
              <w:rPr>
                <w:rFonts w:ascii="Arial" w:cs="Arial" w:eastAsia="Arial" w:hAnsi="Arial"/>
                <w:sz w:val="22"/>
                <w:szCs w:val="22"/>
                <w:color w:val="auto"/>
              </w:rPr>
              <w:t>Silicon Laboratories Inc.</w:t>
            </w:r>
          </w:p>
        </w:tc>
        <w:tc>
          <w:tcPr>
            <w:tcW w:w="7060" w:type="dxa"/>
            <w:vAlign w:val="bottom"/>
          </w:tcPr>
          <w:p>
            <w:pPr>
              <w:spacing w:after="0"/>
              <w:rPr>
                <w:sz w:val="20"/>
                <w:szCs w:val="20"/>
                <w:color w:val="auto"/>
              </w:rPr>
            </w:pPr>
            <w:r>
              <w:rPr>
                <w:rFonts w:ascii="Arial" w:cs="Arial" w:eastAsia="Arial" w:hAnsi="Arial"/>
                <w:sz w:val="18"/>
                <w:szCs w:val="18"/>
                <w:color w:val="auto"/>
              </w:rPr>
              <w:t>board and executive experience in engineering, manufacturing, sales, supply chain</w:t>
            </w:r>
          </w:p>
        </w:tc>
        <w:tc>
          <w:tcPr>
            <w:tcW w:w="0" w:type="dxa"/>
            <w:vAlign w:val="bottom"/>
          </w:tcPr>
          <w:p>
            <w:pPr>
              <w:spacing w:after="0"/>
              <w:rPr>
                <w:sz w:val="1"/>
                <w:szCs w:val="1"/>
                <w:color w:val="auto"/>
              </w:rPr>
            </w:pPr>
          </w:p>
        </w:tc>
      </w:tr>
      <w:tr>
        <w:trPr>
          <w:trHeight w:val="157"/>
        </w:trPr>
        <w:tc>
          <w:tcPr>
            <w:tcW w:w="4180" w:type="dxa"/>
            <w:vAlign w:val="bottom"/>
            <w:tcBorders>
              <w:right w:val="single" w:sz="8" w:color="2D53A6"/>
            </w:tcBorders>
            <w:shd w:val="clear" w:color="auto" w:fill="E6E6E6"/>
          </w:tcPr>
          <w:p>
            <w:pPr>
              <w:spacing w:after="0"/>
              <w:rPr>
                <w:sz w:val="13"/>
                <w:szCs w:val="13"/>
                <w:color w:val="auto"/>
              </w:rPr>
            </w:pPr>
          </w:p>
        </w:tc>
        <w:tc>
          <w:tcPr>
            <w:tcW w:w="7060" w:type="dxa"/>
            <w:vAlign w:val="bottom"/>
          </w:tcPr>
          <w:p>
            <w:pPr>
              <w:spacing w:after="0" w:line="157" w:lineRule="exact"/>
              <w:rPr>
                <w:sz w:val="20"/>
                <w:szCs w:val="20"/>
                <w:color w:val="auto"/>
              </w:rPr>
            </w:pPr>
            <w:r>
              <w:rPr>
                <w:rFonts w:ascii="Arial" w:cs="Arial" w:eastAsia="Arial" w:hAnsi="Arial"/>
                <w:sz w:val="18"/>
                <w:szCs w:val="18"/>
                <w:color w:val="auto"/>
              </w:rPr>
              <w:t>management and global operations. She has held executive positions in a variety of</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industry sectors including consumer electronics, technology, and manufacturing. Ms.</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Richardson offers a uniquely broad perspective in that she has been a member of six</w:t>
            </w:r>
          </w:p>
        </w:tc>
        <w:tc>
          <w:tcPr>
            <w:tcW w:w="0" w:type="dxa"/>
            <w:vAlign w:val="bottom"/>
          </w:tcPr>
          <w:p>
            <w:pPr>
              <w:spacing w:after="0"/>
              <w:rPr>
                <w:sz w:val="1"/>
                <w:szCs w:val="1"/>
                <w:color w:val="auto"/>
              </w:rPr>
            </w:pPr>
          </w:p>
        </w:tc>
      </w:tr>
      <w:tr>
        <w:trPr>
          <w:trHeight w:val="203"/>
        </w:trPr>
        <w:tc>
          <w:tcPr>
            <w:tcW w:w="4180" w:type="dxa"/>
            <w:vAlign w:val="bottom"/>
            <w:tcBorders>
              <w:right w:val="single" w:sz="8" w:color="2D53A6"/>
            </w:tcBorders>
            <w:shd w:val="clear" w:color="auto" w:fill="E6E6E6"/>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color w:val="auto"/>
              </w:rPr>
              <w:t>public company compensation committees and is presently Chair of one public company</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2D53A6"/>
              <w:right w:val="single" w:sz="8" w:color="2D53A6"/>
            </w:tcBorders>
            <w:shd w:val="clear" w:color="auto" w:fill="E6E6E6"/>
          </w:tcPr>
          <w:p>
            <w:pPr>
              <w:spacing w:after="0"/>
              <w:rPr>
                <w:sz w:val="19"/>
                <w:szCs w:val="19"/>
                <w:color w:val="auto"/>
              </w:rPr>
            </w:pPr>
          </w:p>
        </w:tc>
        <w:tc>
          <w:tcPr>
            <w:tcW w:w="70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nominating and governance committee.</w:t>
            </w:r>
          </w:p>
        </w:tc>
        <w:tc>
          <w:tcPr>
            <w:tcW w:w="0" w:type="dxa"/>
            <w:vAlign w:val="bottom"/>
          </w:tcPr>
          <w:p>
            <w:pPr>
              <w:spacing w:after="0"/>
              <w:rPr>
                <w:sz w:val="1"/>
                <w:szCs w:val="1"/>
                <w:color w:val="auto"/>
              </w:rPr>
            </w:pPr>
          </w:p>
        </w:tc>
      </w:tr>
      <w:tr>
        <w:trPr>
          <w:trHeight w:val="416"/>
        </w:trPr>
        <w:tc>
          <w:tcPr>
            <w:tcW w:w="4180" w:type="dxa"/>
            <w:vAlign w:val="bottom"/>
          </w:tcPr>
          <w:p>
            <w:pPr>
              <w:spacing w:after="0"/>
              <w:rPr>
                <w:sz w:val="24"/>
                <w:szCs w:val="24"/>
                <w:color w:val="auto"/>
              </w:rPr>
            </w:pPr>
          </w:p>
        </w:tc>
        <w:tc>
          <w:tcPr>
            <w:tcW w:w="7060" w:type="dxa"/>
            <w:vAlign w:val="bottom"/>
          </w:tcPr>
          <w:p>
            <w:pPr>
              <w:jc w:val="right"/>
              <w:ind w:right="542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98"/>
        </w:trPr>
        <w:tc>
          <w:tcPr>
            <w:tcW w:w="418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2: Advisory Vote to Approve Named Executive Compensation</w:t>
      </w:r>
    </w:p>
    <w:p>
      <w:pPr>
        <w:spacing w:after="0" w:line="21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our 2023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last year’s annual meeting, we provided our stockholders with the opportunity to cast an advisory vote regarding the compensation of our NEOs as disclosed in the proxy statement for the 2023 Annual Meeting of Stockholders. At our 2023 Annual Meeting, our stockholders approved the proposal, with approximately 99% of the votes cast voting in favor of the proposal.</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Program and Philosophy</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described under the Compensation Discussion and Analysis section of this proxy statement (the “CD&amp;A”), the Compensation Committee has structured our executive compensation program to achieve the following key objectives:</w:t>
      </w:r>
    </w:p>
    <w:p>
      <w:pPr>
        <w:spacing w:after="0" w:line="14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pay for performance;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ind w:left="660" w:right="100" w:hanging="328"/>
        <w:spacing w:after="0" w:line="23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 term and long-term performance;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urge stockholders to read the CD&amp;A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“RESOLVED, that the stockholders of Cohu approve, in a non-binding vote, the compensation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NEOs as disclosed pursuant to the CD&amp;A, the tabular disclosure regarding such compensation, and the accompanying narrative disclosure set forth in the proxy statement relating to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2024 Annual Meeting of Stockholders.</w:t>
      </w:r>
      <w:r>
        <w:rPr>
          <w:rFonts w:ascii="Arial" w:cs="Arial" w:eastAsia="Arial" w:hAnsi="Arial"/>
          <w:sz w:val="18"/>
          <w:szCs w:val="18"/>
          <w:color w:val="auto"/>
        </w:rPr>
        <w:t>”</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164" w:lineRule="exact"/>
        <w:rPr>
          <w:sz w:val="20"/>
          <w:szCs w:val="20"/>
          <w:color w:val="auto"/>
        </w:rPr>
      </w:pPr>
    </w:p>
    <w:p>
      <w:pPr>
        <w:ind w:right="3500"/>
        <w:spacing w:after="0" w:line="297" w:lineRule="auto"/>
        <w:rPr>
          <w:sz w:val="20"/>
          <w:szCs w:val="20"/>
          <w:color w:val="auto"/>
        </w:rPr>
      </w:pPr>
      <w:r>
        <w:rPr>
          <w:rFonts w:ascii="Arial" w:cs="Arial" w:eastAsia="Arial" w:hAnsi="Arial"/>
          <w:sz w:val="21"/>
          <w:szCs w:val="21"/>
          <w:b w:val="1"/>
          <w:bCs w:val="1"/>
          <w:color w:val="FFFFFF"/>
          <w:shd w:val="clear" w:color="auto" w:fill="2D53A6"/>
        </w:rPr>
        <w:t xml:space="preserve">The Board of Directors unanimously recommends a vote </w:t>
      </w:r>
      <w:r>
        <w:rPr>
          <w:rFonts w:ascii="Arial" w:cs="Arial" w:eastAsia="Arial" w:hAnsi="Arial"/>
          <w:sz w:val="21"/>
          <w:szCs w:val="21"/>
          <w:color w:val="FFFFFF"/>
          <w:shd w:val="clear" w:color="auto" w:fill="2D53A6"/>
        </w:rPr>
        <w:t>√ “</w:t>
      </w:r>
      <w:r>
        <w:rPr>
          <w:rFonts w:ascii="Arial" w:cs="Arial" w:eastAsia="Arial" w:hAnsi="Arial"/>
          <w:sz w:val="21"/>
          <w:szCs w:val="21"/>
          <w:b w:val="1"/>
          <w:bCs w:val="1"/>
          <w:color w:val="FFFFFF"/>
          <w:shd w:val="clear" w:color="auto" w:fill="2D53A6"/>
        </w:rPr>
        <w:t>FOR</w:t>
      </w:r>
      <w:r>
        <w:rPr>
          <w:rFonts w:ascii="Arial" w:cs="Arial" w:eastAsia="Arial" w:hAnsi="Arial"/>
          <w:sz w:val="21"/>
          <w:szCs w:val="21"/>
          <w:color w:val="FFFFFF"/>
          <w:shd w:val="clear" w:color="auto" w:fill="2D53A6"/>
        </w:rPr>
        <w:t>”</w:t>
      </w:r>
      <w:r>
        <w:rPr>
          <w:rFonts w:ascii="Arial" w:cs="Arial" w:eastAsia="Arial" w:hAnsi="Arial"/>
          <w:sz w:val="21"/>
          <w:szCs w:val="21"/>
          <w:b w:val="1"/>
          <w:bCs w:val="1"/>
          <w:color w:val="FFFFFF"/>
          <w:shd w:val="clear" w:color="auto" w:fill="2D53A6"/>
        </w:rPr>
        <w:t xml:space="preserve"> approval, on an advisory basis, of the resolution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325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560"/>
        <w:spacing w:after="0" w:line="298" w:lineRule="auto"/>
        <w:rPr>
          <w:sz w:val="20"/>
          <w:szCs w:val="20"/>
          <w:color w:val="auto"/>
        </w:rPr>
      </w:pPr>
      <w:r>
        <w:rPr>
          <w:rFonts w:ascii="Arial" w:cs="Arial" w:eastAsia="Arial" w:hAnsi="Arial"/>
          <w:sz w:val="25"/>
          <w:szCs w:val="25"/>
          <w:b w:val="1"/>
          <w:bCs w:val="1"/>
          <w:color w:val="auto"/>
        </w:rPr>
        <w:t>Proposal No. 3: Approve an Amendment to our Amended and Restated Certificate of Incorporation to Reflect New Delaware Law Provisions Regarding Exculpation of Officers</w:t>
      </w:r>
    </w:p>
    <w:p>
      <w:pPr>
        <w:spacing w:after="0" w:line="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Article Nineteenth of our Amended and Restated Certificate of Incorporation (“Certificate”) currently provides for the Company to limit the monetary liability of directors in certain circumstances pursuant to and consistent with the Delaware General Corporation Law (“DGCL”). The State of Delaware, which is the Company’s state of incorporation, recently amended Section 102(b)(7) of the DGCL to allow Delaware corporations to extend similar protections to officers. Specifically, the amendments to the DGCL allow Delaware corporations to exculpate their officers for personal liability for breaches of the duty of care in certain circumstances. For both directors and officers, the liability limitation does not apply to breaches of the duty of loyalty, acts or omissions not in good faith or acts or omissions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 The rationale for generally limiting the scope of liability is to strike a balance between stockholders’ interest in accountability and their interest in the Company being able to attract and retain quality officers to work on its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the Board believes it is important to provide protection to officers to the extent permitted by the DGCL to attract and retain key executive talent. This protection has long been afforded to directors. Other public companies have recently updated their governing documents to align with amended Section 102(b)(7) of the DGCL, and we expect this practice to continue. Therefore, our ability to attract and retain highly qualified officer candidates may be adversely impacted if we do not similarly implement the expanded protections now offered under Delaware law. For these reasons, the Board unanimously approved the amendment to our Certificate described in this proposal, subject to approval by stockholders.</w:t>
      </w:r>
    </w:p>
    <w:p>
      <w:pPr>
        <w:spacing w:after="0" w:line="16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If this proposal is approved by stockholders, Article Nineteenth of our Certificate will be amended and restated to read in its entirety as set forth below:</w:t>
      </w:r>
    </w:p>
    <w:p>
      <w:pPr>
        <w:spacing w:after="0" w:line="140" w:lineRule="exact"/>
        <w:rPr>
          <w:sz w:val="20"/>
          <w:szCs w:val="20"/>
          <w:color w:val="auto"/>
        </w:rPr>
      </w:pPr>
    </w:p>
    <w:p>
      <w:pPr>
        <w:ind w:left="660" w:right="80"/>
        <w:spacing w:after="0" w:line="244" w:lineRule="auto"/>
        <w:rPr>
          <w:sz w:val="20"/>
          <w:szCs w:val="20"/>
          <w:color w:val="auto"/>
        </w:rPr>
      </w:pPr>
      <w:r>
        <w:rPr>
          <w:rFonts w:ascii="Arial" w:cs="Arial" w:eastAsia="Arial" w:hAnsi="Arial"/>
          <w:sz w:val="18"/>
          <w:szCs w:val="18"/>
          <w:b w:val="1"/>
          <w:bCs w:val="1"/>
          <w:color w:val="auto"/>
        </w:rPr>
        <w:t>ARTICLE NINETEENTH: 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Delaware General Corporation Law (the “DGCL”) as presently in effect or as the same may hereafter be amended. 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 majority of the issued and outstanding shares of the company’s common stock as of the record date is required to approve Proposal No. 3. Brokers do not have discretion to vote on this proposal without your instruction. If you do not instruct your broker how to vote on this proposal, your broker will deliver a non-vote on this proposal. Abstentions and broker non-votes will have the same effect as a vote against this proposal.</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If the proposed amendment to our Certificate is approved at the Annual Meeting, we will file an Amended and Restated Certificate of Incorporation with the Delaware Secretary of State shortly following the Annual Meeting to incorporate the approved amendment, at which point the amendment will become effective. Should stockholder approval not be obtained, this amendment will not be implemented, and our Certificate will continue in effect pursuant to its current terms.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Board believes that the amendment to our Certificate described herein is in the best interests of the Company and its stockholders for the reasons stated above.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788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an amendment to our Amended and Restated Certificate of Incorporation to reflect new Delaware law provisions regarding exculpation of officers.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4: Ratification of Independent Registered Public Accounting Firm</w:t>
      </w: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Audit Committee of the Board has appointed Ernst &amp; Young LLP as Cohu’s independent registered public accounting firm for the fiscal year ending December 28, 2024. Ernst &amp; Young LLP served as Cohu’s independent registered public accounting firm for the fiscal year ended December 30, 2023, and also provided certain tax services. See “Principal Accounting Fees and Services” on page 53.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28, 2024. If the appointment is not ratified, the Audit Committee will consider whether it should select another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votes cast is required to approve Proposal No. 4.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788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The Board of Directors unanimously recommends a vote </w:t>
      </w:r>
      <w:r>
        <w:rPr>
          <w:rFonts w:ascii="Arial" w:cs="Arial" w:eastAsia="Arial" w:hAnsi="Arial"/>
          <w:sz w:val="21"/>
          <w:szCs w:val="21"/>
          <w:color w:val="FFFFFF"/>
        </w:rPr>
        <w:t>√ “</w:t>
      </w:r>
      <w:r>
        <w:rPr>
          <w:rFonts w:ascii="Arial" w:cs="Arial" w:eastAsia="Arial" w:hAnsi="Arial"/>
          <w:sz w:val="21"/>
          <w:szCs w:val="21"/>
          <w:b w:val="1"/>
          <w:bCs w:val="1"/>
          <w:color w:val="FFFFFF"/>
        </w:rPr>
        <w:t>FOR</w:t>
      </w:r>
      <w:r>
        <w:rPr>
          <w:rFonts w:ascii="Arial" w:cs="Arial" w:eastAsia="Arial" w:hAnsi="Arial"/>
          <w:sz w:val="21"/>
          <w:szCs w:val="21"/>
          <w:color w:val="FFFFFF"/>
        </w:rPr>
        <w:t>”</w:t>
      </w:r>
      <w:r>
        <w:rPr>
          <w:rFonts w:ascii="Arial" w:cs="Arial" w:eastAsia="Arial" w:hAnsi="Arial"/>
          <w:sz w:val="21"/>
          <w:szCs w:val="21"/>
          <w:b w:val="1"/>
          <w:bCs w:val="1"/>
          <w:color w:val="FFFFFF"/>
        </w:rPr>
        <w:t xml:space="preserve"> the ratification of the appointment of Ernst</w:t>
      </w:r>
    </w:p>
    <w:p>
      <w:pPr>
        <w:spacing w:after="0" w:line="24" w:lineRule="exact"/>
        <w:rPr>
          <w:sz w:val="20"/>
          <w:szCs w:val="20"/>
          <w:color w:val="auto"/>
        </w:rPr>
      </w:pPr>
    </w:p>
    <w:p>
      <w:pPr>
        <w:ind w:right="240" w:firstLine="8"/>
        <w:spacing w:after="0" w:line="251" w:lineRule="auto"/>
        <w:tabs>
          <w:tab w:leader="none" w:pos="216" w:val="left"/>
        </w:tabs>
        <w:numPr>
          <w:ilvl w:val="0"/>
          <w:numId w:val="53"/>
        </w:numPr>
        <w:rPr>
          <w:rFonts w:ascii="Arial" w:cs="Arial" w:eastAsia="Arial" w:hAnsi="Arial"/>
          <w:sz w:val="22"/>
          <w:szCs w:val="22"/>
          <w:b w:val="1"/>
          <w:bCs w:val="1"/>
          <w:color w:val="FFFFFF"/>
        </w:rPr>
      </w:pPr>
      <w:r>
        <w:rPr>
          <w:rFonts w:ascii="Arial" w:cs="Arial" w:eastAsia="Arial" w:hAnsi="Arial"/>
          <w:sz w:val="22"/>
          <w:szCs w:val="22"/>
          <w:b w:val="1"/>
          <w:bCs w:val="1"/>
          <w:color w:val="FFFFFF"/>
        </w:rPr>
        <w:t>Young LLP as Cohu</w:t>
      </w:r>
      <w:r>
        <w:rPr>
          <w:rFonts w:ascii="Arial" w:cs="Arial" w:eastAsia="Arial" w:hAnsi="Arial"/>
          <w:sz w:val="22"/>
          <w:szCs w:val="22"/>
          <w:color w:val="FFFFFF"/>
        </w:rPr>
        <w:t>’</w:t>
      </w:r>
      <w:r>
        <w:rPr>
          <w:rFonts w:ascii="Arial" w:cs="Arial" w:eastAsia="Arial" w:hAnsi="Arial"/>
          <w:sz w:val="22"/>
          <w:szCs w:val="22"/>
          <w:b w:val="1"/>
          <w:bCs w:val="1"/>
          <w:color w:val="FFFFFF"/>
        </w:rPr>
        <w:t>s independent registered public accounting firm for the fiscal year ending December 28, 2024.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Voting and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6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General Information</w:t>
      </w:r>
    </w:p>
    <w:p>
      <w:pPr>
        <w:spacing w:after="0" w:line="2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Cohu, Inc., a Delaware corporation (“Cohu”), of your proxy for use at the 2024 Annual Meeting of Stockholders to be held on Wednesday, June 5, 2024, at 1:00 p.m. Pacific Time (the “Meeting”). The Meeting will be a ‘‘virtual-only”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http://www.virtualshareholdermeeting.com/COHU2024</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Electronic Distribution</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furnishing our proxy materials to our stockholders over the internet using “Notice and Access” delivery. Electronic delivery is faster, convenient, economical and more environmentally friendly. On or about April 22, 2024 we expect to mail to our stockholders a Notice of Internet Availability of Proxy Materials containing instructions on how to access our proxy materials and the Cohu 2023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Voting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On April 12, 2024, the record date fixed by our Board of Directors (the “Board”), Cohu had outstanding 47,085,873,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Only stockholders of record as of the close of business on April 12, 2024, will be entitled to vote at the Meeting and any adjournment thereof.</w:t>
      </w:r>
    </w:p>
    <w:p>
      <w:pPr>
        <w:spacing w:after="0"/>
        <w:rPr>
          <w:sz w:val="20"/>
          <w:szCs w:val="20"/>
          <w:color w:val="auto"/>
        </w:rPr>
      </w:pPr>
      <w:r>
        <w:rPr>
          <w:rFonts w:ascii="Arial" w:cs="Arial" w:eastAsia="Arial" w:hAnsi="Arial"/>
          <w:sz w:val="18"/>
          <w:szCs w:val="18"/>
          <w:color w:val="auto"/>
        </w:rPr>
        <w:t>We encourage you to read the entire Proxy Statement for more information prior to voting.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2D53A6"/>
        </w:rPr>
        <w:t>Voting Procedures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three (3) Class 2 directors nominated by the Board; an advisory vote on named executive officer compensation; amendments to our Amended and Restated Certificate of Incorporation;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Methods of Voting</w:t>
      </w:r>
    </w:p>
    <w:p>
      <w:pPr>
        <w:spacing w:after="0" w:line="20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you are a stockholder of record and return a signed proxy card but do not specify how you want to vote your shares, your shares will be voted FOR the named nominees for Class 2 director, FOR the advisory vote to approve named executive officer compensation, FOR the amendments to our Amended and Restated Certificate of Incorporation, and FOR the ratification of the appointment of Ernst &amp; Young LLP as Cohu’s independent registered public accounting firm for fiscal year 2024, and in the discretion of the proxies (as defined below) as to other matters that may properly come before the Meeting.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If you are a stockholder of record, to vote over the Internet, please follow the instructions included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Internet Availability of Proxy Materials.</w:t>
      </w:r>
    </w:p>
    <w:p>
      <w:pPr>
        <w:spacing w:after="0" w:line="14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Voting by Mai</w:t>
      </w:r>
      <w:r>
        <w:rPr>
          <w:rFonts w:ascii="Arial" w:cs="Arial" w:eastAsia="Arial" w:hAnsi="Arial"/>
          <w:sz w:val="18"/>
          <w:szCs w:val="18"/>
          <w:color w:val="auto"/>
        </w:rPr>
        <w:t>l. If you are a stockholder of record and have requested a paper copy of the proxy materials you may vote by mail by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6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by following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If you vote by telephone, you do not need to complete and mail your proxy card.</w:t>
      </w:r>
    </w:p>
    <w:p>
      <w:pPr>
        <w:spacing w:after="0" w:line="1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Voting in Person at the Virtual Meeting</w:t>
      </w:r>
      <w:r>
        <w:rPr>
          <w:rFonts w:ascii="Arial" w:cs="Arial" w:eastAsia="Arial" w:hAnsi="Arial"/>
          <w:sz w:val="18"/>
          <w:szCs w:val="18"/>
          <w:color w:val="auto"/>
        </w:rPr>
        <w:t>. The Meeting will be held entirely online to allow for greater participation.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in the Meeting by visiting the following website: </w:t>
      </w:r>
      <w:r>
        <w:rPr>
          <w:rFonts w:ascii="Arial" w:cs="Arial" w:eastAsia="Arial" w:hAnsi="Arial"/>
          <w:sz w:val="18"/>
          <w:szCs w:val="18"/>
          <w:u w:val="single" w:color="auto"/>
          <w:color w:val="auto"/>
        </w:rPr>
        <w:t>http://www.virtualshareholdermeeting.com/COHU2024</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7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auto"/>
        </w:rPr>
        <w:t>Log in Instructions</w:t>
      </w:r>
      <w:r>
        <w:rPr>
          <w:rFonts w:ascii="Arial" w:cs="Arial" w:eastAsia="Arial" w:hAnsi="Arial"/>
          <w:sz w:val="18"/>
          <w:szCs w:val="18"/>
          <w:color w:val="auto"/>
        </w:rPr>
        <w:t>. To attend the Meeting, please log in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http://www.virtualshareholdermeeting.com/COHU2024</w:t>
      </w:r>
      <w:r>
        <w:rPr>
          <w:rFonts w:ascii="Arial" w:cs="Arial" w:eastAsia="Arial" w:hAnsi="Arial"/>
          <w:sz w:val="18"/>
          <w:szCs w:val="18"/>
          <w:color w:val="auto"/>
        </w:rPr>
        <w:t>. Stockholders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Submitting Questions Prior To or at the Meeting</w:t>
      </w:r>
      <w:r>
        <w:rPr>
          <w:rFonts w:ascii="Arial" w:cs="Arial" w:eastAsia="Arial" w:hAnsi="Arial"/>
          <w:sz w:val="18"/>
          <w:szCs w:val="18"/>
          <w:color w:val="auto"/>
        </w:rPr>
        <w:t>. If you would like to submit a question to be addressed during the question and answer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portion of the Meeting, you may do so in advance at </w:t>
      </w:r>
      <w:r>
        <w:rPr>
          <w:rFonts w:ascii="Arial" w:cs="Arial" w:eastAsia="Arial" w:hAnsi="Arial"/>
          <w:sz w:val="18"/>
          <w:szCs w:val="18"/>
          <w:u w:val="single" w:color="auto"/>
          <w:color w:val="auto"/>
        </w:rPr>
        <w:t>http://www.virtualshareholdermeeting.com/COHU2024</w:t>
      </w:r>
      <w:r>
        <w:rPr>
          <w:rFonts w:ascii="Arial" w:cs="Arial" w:eastAsia="Arial" w:hAnsi="Arial"/>
          <w:sz w:val="18"/>
          <w:szCs w:val="18"/>
          <w:color w:val="auto"/>
        </w:rPr>
        <w:t>,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Technical Assistance</w:t>
      </w:r>
      <w:r>
        <w:rPr>
          <w:rFonts w:ascii="Arial" w:cs="Arial" w:eastAsia="Arial" w:hAnsi="Arial"/>
          <w:sz w:val="18"/>
          <w:szCs w:val="18"/>
          <w:color w:val="auto"/>
        </w:rPr>
        <w:t>. Beginning approximately thirty minutes prior to the start of and during the Meeting, we will have a support team ready</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Revoking Your Proxy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at the Meeting. In order to do this as a stockholder of record, you must:</w:t>
      </w:r>
    </w:p>
    <w:p>
      <w:pPr>
        <w:spacing w:after="0" w:line="19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Quorum Requirement</w:t>
      </w:r>
    </w:p>
    <w:p>
      <w:pPr>
        <w:spacing w:after="0" w:line="20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 quorum, which is a majority of the outstanding shares entitled to vote as of the record date, April 12, 2024,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Votes Required for the Proposals</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affirmative vote of a majority of the shares of Cohu common stock cast at the Meeting is required for approval of the advisory vote on named executive compensation (Proposal No. 2) and the ratification of the appointment of Cohu’s independent registered public accounting firm (Proposal No. 4). The affirmative vote of a majority of the issued and</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outstanding shares of the company’s common stock as of the record date is required to approve the amendments to our Amended and Restated Certificate of Incorporation (Proposal No. 3).</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2D53A6"/>
        </w:rPr>
        <w:t>Broker Non-Votes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4 (the ratification of the appointment of Cohu’s independent registered public accounting firm) is considered “routine.” Your broker will not have discretion to vote on any of the other matters, which are deemed “non-routine” matters, absent direction from you. Accordingly, shares subject to a broker “non-vote” will not be considered entitled to vote with respect to Proposal Nos. 1 and 2 and will not affect the outcome of these proposals. With respect to Proposal No. 3, a broker “non-vote” will have the same effect as a vote against this proposal. We strongly encourage you to provide instructions to your broker regarding the voting of your shares.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Abstentions</w:t>
      </w:r>
    </w:p>
    <w:p>
      <w:pPr>
        <w:spacing w:after="0" w:line="2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Abstentions are counted as present and entitled to vote for purposes of determining a quorum. However, abstentions are not deemed to be votes cast and, therefore, with respect to Proposal Nos, 1, 2 and 4, abstentions will have no effect on the outcome of voting on the proposals to be voted upon at the Meeting. With respect to Proposal No. 3, an abstention will have the same effect as a vote against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Voting Confidentiality</w:t>
      </w:r>
    </w:p>
    <w:p>
      <w:pPr>
        <w:spacing w:after="0" w:line="20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Voting Results</w:t>
      </w:r>
    </w:p>
    <w:p>
      <w:pPr>
        <w:spacing w:after="0" w:line="20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5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 848-8106; 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2D53A6"/>
        </w:rPr>
        <w:t>Proxy Solicitation Costs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Householding</w:t>
      </w:r>
    </w:p>
    <w:p>
      <w:pPr>
        <w:spacing w:after="0" w:line="20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12367 Crosthwaite Circle, Poway, CA 92064-6817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JUNE 5, 2024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Cohu</w:t>
      </w:r>
      <w:r>
        <w:rPr>
          <w:rFonts w:ascii="Arial" w:cs="Arial" w:eastAsia="Arial" w:hAnsi="Arial"/>
          <w:sz w:val="18"/>
          <w:szCs w:val="18"/>
          <w:color w:val="auto"/>
        </w:rPr>
        <w:t>’</w:t>
      </w:r>
      <w:r>
        <w:rPr>
          <w:rFonts w:ascii="Arial" w:cs="Arial" w:eastAsia="Arial" w:hAnsi="Arial"/>
          <w:sz w:val="18"/>
          <w:szCs w:val="18"/>
          <w:b w:val="1"/>
          <w:bCs w:val="1"/>
          <w:color w:val="auto"/>
        </w:rPr>
        <w:t>s Fiscal Year 2023 Annual Report are both</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available at </w:t>
      </w:r>
      <w:r>
        <w:rPr>
          <w:rFonts w:ascii="Arial" w:cs="Arial" w:eastAsia="Arial" w:hAnsi="Arial"/>
          <w:sz w:val="18"/>
          <w:szCs w:val="18"/>
          <w:b w:val="1"/>
          <w:bCs w:val="1"/>
          <w:u w:val="single" w:color="auto"/>
          <w:color w:val="auto"/>
        </w:rPr>
        <w:t>http://materials.proxyvote.com/192576</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www.cohu.com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82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A</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Non-GAAP Financial Measures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This Proxy Statement includes references to non-GAAP Net Income, EPS, Gross Profit and Pre-tax Income. These financial measures differ from such figures prepared under generally accepted accounting principles (GAAP) by adjusting Cohu’s actual results prepared under GAAP to exclude charges and the related income tax effect for: share-based compensation, the amortization of acquired intangible assets, restructuring costs, manufacturing transition and severance costs, acquisition-related costs and associated professional fees, fair value adjustment to contingent consideration, reduction of indemnification receivable, amortization of favorable/unfavorable lease adjustments and purchase accounting inventory step-up included in cost of sales. Reconciliations of GAAP to non-GAAP amounts for the periods presented herein are provided below and should be considered together with the Condensed Consolidated Statements of Income. Human Resources and the Compensation Committee utilized these non-GAAP measure in evaluating compensation decisions in 2023 to benchmark compensation decisions based on measures utilized by management and the Board in evaluating Cohu’s performance.</w:t>
      </w:r>
    </w:p>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r>
              <w:rPr>
                <w:rFonts w:ascii="Arial" w:cs="Arial" w:eastAsia="Arial" w:hAnsi="Arial"/>
                <w:sz w:val="18"/>
                <w:szCs w:val="18"/>
                <w:color w:val="auto"/>
              </w:rPr>
              <w:t>A reconciliation of these non-GAAP measures to GAAP is as follows: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80" w:type="dxa"/>
            <w:vAlign w:val="bottom"/>
            <w:shd w:val="clear" w:color="auto" w:fill="2D53A6"/>
          </w:tcPr>
          <w:p>
            <w:pPr>
              <w:spacing w:after="0"/>
              <w:rPr>
                <w:sz w:val="15"/>
                <w:szCs w:val="15"/>
                <w:color w:val="auto"/>
              </w:rPr>
            </w:pPr>
          </w:p>
        </w:tc>
        <w:tc>
          <w:tcPr>
            <w:tcW w:w="120" w:type="dxa"/>
            <w:vAlign w:val="bottom"/>
            <w:tcBorders>
              <w:right w:val="single" w:sz="8" w:color="2D53A6"/>
            </w:tcBorders>
            <w:shd w:val="clear" w:color="auto" w:fill="2D53A6"/>
          </w:tcPr>
          <w:p>
            <w:pPr>
              <w:spacing w:after="0"/>
              <w:rPr>
                <w:sz w:val="15"/>
                <w:szCs w:val="15"/>
                <w:color w:val="auto"/>
              </w:rPr>
            </w:pPr>
          </w:p>
        </w:tc>
        <w:tc>
          <w:tcPr>
            <w:tcW w:w="1580" w:type="dxa"/>
            <w:vAlign w:val="bottom"/>
            <w:tcBorders>
              <w:right w:val="single" w:sz="8" w:color="2D53A6"/>
            </w:tcBorders>
            <w:gridSpan w:val="3"/>
            <w:shd w:val="clear" w:color="auto" w:fill="2D53A6"/>
          </w:tcPr>
          <w:p>
            <w:pPr>
              <w:jc w:val="center"/>
              <w:ind w:right="100"/>
              <w:spacing w:after="0" w:line="183" w:lineRule="exact"/>
              <w:rPr>
                <w:sz w:val="20"/>
                <w:szCs w:val="20"/>
                <w:color w:val="auto"/>
              </w:rPr>
            </w:pPr>
            <w:r>
              <w:rPr>
                <w:rFonts w:ascii="Arial" w:cs="Arial" w:eastAsia="Arial" w:hAnsi="Arial"/>
                <w:sz w:val="18"/>
                <w:szCs w:val="18"/>
                <w:b w:val="1"/>
                <w:bCs w:val="1"/>
                <w:color w:val="FFFFFF"/>
                <w:w w:val="99"/>
              </w:rPr>
              <w:t>Twelve Months</w:t>
            </w:r>
          </w:p>
        </w:tc>
        <w:tc>
          <w:tcPr>
            <w:tcW w:w="1000" w:type="dxa"/>
            <w:vAlign w:val="bottom"/>
            <w:shd w:val="clear" w:color="auto" w:fill="2D53A6"/>
          </w:tcPr>
          <w:p>
            <w:pPr>
              <w:spacing w:after="0"/>
              <w:rPr>
                <w:sz w:val="15"/>
                <w:szCs w:val="15"/>
                <w:color w:val="auto"/>
              </w:rPr>
            </w:pPr>
          </w:p>
        </w:tc>
        <w:tc>
          <w:tcPr>
            <w:tcW w:w="100" w:type="dxa"/>
            <w:vAlign w:val="bottom"/>
            <w:shd w:val="clear" w:color="auto" w:fill="2D53A6"/>
          </w:tcPr>
          <w:p>
            <w:pPr>
              <w:spacing w:after="0"/>
              <w:rPr>
                <w:sz w:val="15"/>
                <w:szCs w:val="15"/>
                <w:color w:val="auto"/>
              </w:rPr>
            </w:pPr>
          </w:p>
        </w:tc>
        <w:tc>
          <w:tcPr>
            <w:tcW w:w="460" w:type="dxa"/>
            <w:vAlign w:val="bottom"/>
            <w:shd w:val="clear" w:color="auto" w:fill="2D53A6"/>
          </w:tcPr>
          <w:p>
            <w:pPr>
              <w:spacing w:after="0"/>
              <w:rPr>
                <w:sz w:val="15"/>
                <w:szCs w:val="15"/>
                <w:color w:val="auto"/>
              </w:rPr>
            </w:pPr>
          </w:p>
        </w:tc>
        <w:tc>
          <w:tcPr>
            <w:tcW w:w="100" w:type="dxa"/>
            <w:vAlign w:val="bottom"/>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vMerge w:val="restart"/>
            <w:shd w:val="clear" w:color="auto" w:fill="2D53A6"/>
          </w:tcPr>
          <w:p>
            <w:pPr>
              <w:spacing w:after="0"/>
              <w:rPr>
                <w:sz w:val="20"/>
                <w:szCs w:val="20"/>
                <w:color w:val="auto"/>
              </w:rPr>
            </w:pPr>
            <w:r>
              <w:rPr>
                <w:rFonts w:ascii="Arial" w:cs="Arial" w:eastAsia="Arial" w:hAnsi="Arial"/>
                <w:sz w:val="18"/>
                <w:szCs w:val="18"/>
                <w:b w:val="1"/>
                <w:bCs w:val="1"/>
                <w:color w:val="FFFFFF"/>
              </w:rPr>
              <w:t>Net income reconciliation (in thousands)</w:t>
            </w:r>
          </w:p>
        </w:tc>
        <w:tc>
          <w:tcPr>
            <w:tcW w:w="120" w:type="dxa"/>
            <w:vAlign w:val="bottom"/>
            <w:tcBorders>
              <w:right w:val="single" w:sz="8" w:color="2D53A6"/>
            </w:tcBorders>
            <w:shd w:val="clear" w:color="auto" w:fill="2D53A6"/>
          </w:tcPr>
          <w:p>
            <w:pPr>
              <w:spacing w:after="0"/>
              <w:rPr>
                <w:sz w:val="17"/>
                <w:szCs w:val="17"/>
                <w:color w:val="auto"/>
              </w:rPr>
            </w:pPr>
          </w:p>
        </w:tc>
        <w:tc>
          <w:tcPr>
            <w:tcW w:w="1580" w:type="dxa"/>
            <w:vAlign w:val="bottom"/>
            <w:tcBorders>
              <w:right w:val="single" w:sz="8" w:color="2D53A6"/>
            </w:tcBorders>
            <w:gridSpan w:val="3"/>
            <w:shd w:val="clear" w:color="auto" w:fill="2D53A6"/>
          </w:tcPr>
          <w:p>
            <w:pPr>
              <w:jc w:val="center"/>
              <w:ind w:right="100"/>
              <w:spacing w:after="0" w:line="202" w:lineRule="exact"/>
              <w:rPr>
                <w:sz w:val="20"/>
                <w:szCs w:val="20"/>
                <w:color w:val="auto"/>
              </w:rPr>
            </w:pPr>
            <w:r>
              <w:rPr>
                <w:rFonts w:ascii="Arial" w:cs="Arial" w:eastAsia="Arial" w:hAnsi="Arial"/>
                <w:sz w:val="18"/>
                <w:szCs w:val="18"/>
                <w:b w:val="1"/>
                <w:bCs w:val="1"/>
                <w:color w:val="FFFFFF"/>
              </w:rPr>
              <w:t>Ended</w:t>
            </w:r>
          </w:p>
        </w:tc>
        <w:tc>
          <w:tcPr>
            <w:tcW w:w="1660" w:type="dxa"/>
            <w:vAlign w:val="bottom"/>
            <w:gridSpan w:val="4"/>
            <w:vMerge w:val="restart"/>
            <w:shd w:val="clear" w:color="auto" w:fill="2D53A6"/>
          </w:tcPr>
          <w:p>
            <w:pPr>
              <w:jc w:val="right"/>
              <w:ind w:right="320"/>
              <w:spacing w:after="0"/>
              <w:rPr>
                <w:sz w:val="20"/>
                <w:szCs w:val="20"/>
                <w:color w:val="auto"/>
              </w:rPr>
            </w:pPr>
            <w:r>
              <w:rPr>
                <w:rFonts w:ascii="Arial" w:cs="Arial" w:eastAsia="Arial" w:hAnsi="Arial"/>
                <w:sz w:val="18"/>
                <w:szCs w:val="18"/>
                <w:b w:val="1"/>
                <w:bCs w:val="1"/>
                <w:color w:val="FFFFFF"/>
              </w:rPr>
              <w:t>Diluted EPS</w:t>
            </w:r>
          </w:p>
        </w:tc>
        <w:tc>
          <w:tcPr>
            <w:tcW w:w="0" w:type="dxa"/>
            <w:vAlign w:val="bottom"/>
          </w:tcPr>
          <w:p>
            <w:pPr>
              <w:spacing w:after="0"/>
              <w:rPr>
                <w:sz w:val="1"/>
                <w:szCs w:val="1"/>
                <w:color w:val="auto"/>
              </w:rPr>
            </w:pPr>
          </w:p>
        </w:tc>
      </w:tr>
      <w:tr>
        <w:trPr>
          <w:trHeight w:val="139"/>
        </w:trPr>
        <w:tc>
          <w:tcPr>
            <w:tcW w:w="7880" w:type="dxa"/>
            <w:vAlign w:val="bottom"/>
            <w:vMerge w:val="continue"/>
            <w:shd w:val="clear" w:color="auto" w:fill="2D53A6"/>
          </w:tcPr>
          <w:p>
            <w:pPr>
              <w:spacing w:after="0"/>
              <w:rPr>
                <w:sz w:val="12"/>
                <w:szCs w:val="12"/>
                <w:color w:val="auto"/>
              </w:rPr>
            </w:pPr>
          </w:p>
        </w:tc>
        <w:tc>
          <w:tcPr>
            <w:tcW w:w="120" w:type="dxa"/>
            <w:vAlign w:val="bottom"/>
            <w:tcBorders>
              <w:right w:val="single" w:sz="8" w:color="2D53A6"/>
            </w:tcBorders>
            <w:shd w:val="clear" w:color="auto" w:fill="2D53A6"/>
          </w:tcPr>
          <w:p>
            <w:pPr>
              <w:spacing w:after="0"/>
              <w:rPr>
                <w:sz w:val="12"/>
                <w:szCs w:val="12"/>
                <w:color w:val="auto"/>
              </w:rPr>
            </w:pPr>
          </w:p>
        </w:tc>
        <w:tc>
          <w:tcPr>
            <w:tcW w:w="1580" w:type="dxa"/>
            <w:vAlign w:val="bottom"/>
            <w:tcBorders>
              <w:right w:val="single" w:sz="8" w:color="2D53A6"/>
            </w:tcBorders>
            <w:gridSpan w:val="3"/>
            <w:vMerge w:val="restart"/>
            <w:shd w:val="clear" w:color="auto" w:fill="2D53A6"/>
          </w:tcPr>
          <w:p>
            <w:pPr>
              <w:jc w:val="center"/>
              <w:ind w:right="100"/>
              <w:spacing w:after="0" w:line="202" w:lineRule="exact"/>
              <w:rPr>
                <w:sz w:val="20"/>
                <w:szCs w:val="20"/>
                <w:color w:val="auto"/>
              </w:rPr>
            </w:pPr>
            <w:r>
              <w:rPr>
                <w:rFonts w:ascii="Arial" w:cs="Arial" w:eastAsia="Arial" w:hAnsi="Arial"/>
                <w:sz w:val="18"/>
                <w:szCs w:val="18"/>
                <w:b w:val="1"/>
                <w:bCs w:val="1"/>
                <w:color w:val="FFFFFF"/>
                <w:w w:val="99"/>
              </w:rPr>
              <w:t>December 30,</w:t>
            </w:r>
          </w:p>
        </w:tc>
        <w:tc>
          <w:tcPr>
            <w:tcW w:w="1660" w:type="dxa"/>
            <w:vAlign w:val="bottom"/>
            <w:gridSpan w:val="4"/>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7880" w:type="dxa"/>
            <w:vAlign w:val="bottom"/>
            <w:shd w:val="clear" w:color="auto" w:fill="2D53A6"/>
          </w:tcPr>
          <w:p>
            <w:pPr>
              <w:spacing w:after="0"/>
              <w:rPr>
                <w:sz w:val="5"/>
                <w:szCs w:val="5"/>
                <w:color w:val="auto"/>
              </w:rPr>
            </w:pPr>
          </w:p>
        </w:tc>
        <w:tc>
          <w:tcPr>
            <w:tcW w:w="120" w:type="dxa"/>
            <w:vAlign w:val="bottom"/>
            <w:tcBorders>
              <w:right w:val="single" w:sz="8" w:color="2D53A6"/>
            </w:tcBorders>
            <w:shd w:val="clear" w:color="auto" w:fill="2D53A6"/>
          </w:tcPr>
          <w:p>
            <w:pPr>
              <w:spacing w:after="0"/>
              <w:rPr>
                <w:sz w:val="5"/>
                <w:szCs w:val="5"/>
                <w:color w:val="auto"/>
              </w:rPr>
            </w:pPr>
          </w:p>
        </w:tc>
        <w:tc>
          <w:tcPr>
            <w:tcW w:w="1580" w:type="dxa"/>
            <w:vAlign w:val="bottom"/>
            <w:tcBorders>
              <w:right w:val="single" w:sz="8" w:color="2D53A6"/>
            </w:tcBorders>
            <w:gridSpan w:val="3"/>
            <w:vMerge w:val="continue"/>
            <w:shd w:val="clear" w:color="auto" w:fill="2D53A6"/>
          </w:tcPr>
          <w:p>
            <w:pPr>
              <w:spacing w:after="0"/>
              <w:rPr>
                <w:sz w:val="5"/>
                <w:szCs w:val="5"/>
                <w:color w:val="auto"/>
              </w:rPr>
            </w:pPr>
          </w:p>
        </w:tc>
        <w:tc>
          <w:tcPr>
            <w:tcW w:w="1000" w:type="dxa"/>
            <w:vAlign w:val="bottom"/>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460" w:type="dxa"/>
            <w:vAlign w:val="bottom"/>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880" w:type="dxa"/>
            <w:vAlign w:val="bottom"/>
            <w:shd w:val="clear" w:color="auto" w:fill="2D53A6"/>
          </w:tcPr>
          <w:p>
            <w:pPr>
              <w:spacing w:after="0"/>
              <w:rPr>
                <w:sz w:val="20"/>
                <w:szCs w:val="20"/>
                <w:color w:val="auto"/>
              </w:rPr>
            </w:pPr>
          </w:p>
        </w:tc>
        <w:tc>
          <w:tcPr>
            <w:tcW w:w="120" w:type="dxa"/>
            <w:vAlign w:val="bottom"/>
            <w:tcBorders>
              <w:right w:val="single" w:sz="8" w:color="2D53A6"/>
            </w:tcBorders>
            <w:shd w:val="clear" w:color="auto" w:fill="2D53A6"/>
          </w:tcPr>
          <w:p>
            <w:pPr>
              <w:spacing w:after="0"/>
              <w:rPr>
                <w:sz w:val="20"/>
                <w:szCs w:val="20"/>
                <w:color w:val="auto"/>
              </w:rPr>
            </w:pPr>
          </w:p>
        </w:tc>
        <w:tc>
          <w:tcPr>
            <w:tcW w:w="1480" w:type="dxa"/>
            <w:vAlign w:val="bottom"/>
            <w:gridSpan w:val="2"/>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2023</w:t>
            </w:r>
          </w:p>
        </w:tc>
        <w:tc>
          <w:tcPr>
            <w:tcW w:w="100" w:type="dxa"/>
            <w:vAlign w:val="bottom"/>
            <w:tcBorders>
              <w:right w:val="single" w:sz="8" w:color="2D53A6"/>
            </w:tcBorders>
            <w:shd w:val="clear" w:color="auto" w:fill="2D53A6"/>
          </w:tcPr>
          <w:p>
            <w:pPr>
              <w:spacing w:after="0"/>
              <w:rPr>
                <w:sz w:val="20"/>
                <w:szCs w:val="20"/>
                <w:color w:val="auto"/>
              </w:rPr>
            </w:pPr>
          </w:p>
        </w:tc>
        <w:tc>
          <w:tcPr>
            <w:tcW w:w="1000" w:type="dxa"/>
            <w:vAlign w:val="bottom"/>
            <w:shd w:val="clear" w:color="auto" w:fill="2D53A6"/>
          </w:tcPr>
          <w:p>
            <w:pPr>
              <w:spacing w:after="0"/>
              <w:rPr>
                <w:sz w:val="20"/>
                <w:szCs w:val="20"/>
                <w:color w:val="auto"/>
              </w:rPr>
            </w:pPr>
          </w:p>
        </w:tc>
        <w:tc>
          <w:tcPr>
            <w:tcW w:w="100" w:type="dxa"/>
            <w:vAlign w:val="bottom"/>
            <w:shd w:val="clear" w:color="auto" w:fill="2D53A6"/>
          </w:tcPr>
          <w:p>
            <w:pPr>
              <w:spacing w:after="0"/>
              <w:rPr>
                <w:sz w:val="20"/>
                <w:szCs w:val="20"/>
                <w:color w:val="auto"/>
              </w:rPr>
            </w:pPr>
          </w:p>
        </w:tc>
        <w:tc>
          <w:tcPr>
            <w:tcW w:w="460" w:type="dxa"/>
            <w:vAlign w:val="bottom"/>
            <w:shd w:val="clear" w:color="auto" w:fill="2D53A6"/>
          </w:tcPr>
          <w:p>
            <w:pPr>
              <w:spacing w:after="0"/>
              <w:rPr>
                <w:sz w:val="20"/>
                <w:szCs w:val="20"/>
                <w:color w:val="auto"/>
              </w:rPr>
            </w:pPr>
          </w:p>
        </w:tc>
        <w:tc>
          <w:tcPr>
            <w:tcW w:w="100" w:type="dxa"/>
            <w:vAlign w:val="bottom"/>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line="183" w:lineRule="exact"/>
              <w:rPr>
                <w:sz w:val="20"/>
                <w:szCs w:val="20"/>
                <w:color w:val="auto"/>
              </w:rPr>
            </w:pPr>
            <w:r>
              <w:rPr>
                <w:rFonts w:ascii="Arial" w:cs="Arial" w:eastAsia="Arial" w:hAnsi="Arial"/>
                <w:sz w:val="18"/>
                <w:szCs w:val="18"/>
                <w:color w:val="auto"/>
              </w:rPr>
              <w:t>Net income from continuing operations - GAAP basis</w:t>
            </w:r>
          </w:p>
        </w:tc>
        <w:tc>
          <w:tcPr>
            <w:tcW w:w="120" w:type="dxa"/>
            <w:vAlign w:val="bottom"/>
            <w:tcBorders>
              <w:right w:val="single" w:sz="8" w:color="2D53A6"/>
            </w:tcBorders>
          </w:tcPr>
          <w:p>
            <w:pPr>
              <w:spacing w:after="0"/>
              <w:rPr>
                <w:sz w:val="15"/>
                <w:szCs w:val="15"/>
                <w:color w:val="auto"/>
              </w:rPr>
            </w:pPr>
          </w:p>
        </w:tc>
        <w:tc>
          <w:tcPr>
            <w:tcW w:w="1580" w:type="dxa"/>
            <w:vAlign w:val="bottom"/>
            <w:tcBorders>
              <w:right w:val="single" w:sz="8" w:color="2D53A6"/>
            </w:tcBorders>
            <w:gridSpan w:val="3"/>
          </w:tcPr>
          <w:p>
            <w:pPr>
              <w:jc w:val="right"/>
              <w:ind w:right="100"/>
              <w:spacing w:after="0" w:line="183" w:lineRule="exact"/>
              <w:rPr>
                <w:sz w:val="20"/>
                <w:szCs w:val="20"/>
                <w:color w:val="auto"/>
              </w:rPr>
            </w:pPr>
            <w:r>
              <w:rPr>
                <w:rFonts w:ascii="Arial" w:cs="Arial" w:eastAsia="Arial" w:hAnsi="Arial"/>
                <w:sz w:val="18"/>
                <w:szCs w:val="18"/>
                <w:color w:val="auto"/>
              </w:rPr>
              <w:t>$28,156</w:t>
            </w:r>
          </w:p>
        </w:tc>
        <w:tc>
          <w:tcPr>
            <w:tcW w:w="156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17,237</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36,355</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6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2,421</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1,054</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Other acquisition costs</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1,571</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PP&amp;E step-up included in SG&amp;A</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Inventory step-up</w:t>
            </w:r>
          </w:p>
        </w:tc>
        <w:tc>
          <w:tcPr>
            <w:tcW w:w="120" w:type="dxa"/>
            <w:vAlign w:val="bottom"/>
            <w:tcBorders>
              <w:right w:val="single" w:sz="8" w:color="2D53A6"/>
            </w:tcBorders>
          </w:tcPr>
          <w:p>
            <w:pPr>
              <w:spacing w:after="0"/>
              <w:rPr>
                <w:sz w:val="17"/>
                <w:szCs w:val="17"/>
                <w:color w:val="auto"/>
              </w:rPr>
            </w:pPr>
          </w:p>
        </w:tc>
        <w:tc>
          <w:tcPr>
            <w:tcW w:w="1580" w:type="dxa"/>
            <w:vAlign w:val="bottom"/>
            <w:tcBorders>
              <w:right w:val="single" w:sz="8" w:color="2D53A6"/>
            </w:tcBorders>
            <w:gridSpan w:val="3"/>
          </w:tcPr>
          <w:p>
            <w:pPr>
              <w:jc w:val="right"/>
              <w:ind w:right="100"/>
              <w:spacing w:after="0" w:line="202" w:lineRule="exact"/>
              <w:rPr>
                <w:sz w:val="20"/>
                <w:szCs w:val="20"/>
                <w:color w:val="auto"/>
              </w:rPr>
            </w:pPr>
            <w:r>
              <w:rPr>
                <w:rFonts w:ascii="Arial" w:cs="Arial" w:eastAsia="Arial" w:hAnsi="Arial"/>
                <w:sz w:val="18"/>
                <w:szCs w:val="18"/>
                <w:color w:val="auto"/>
              </w:rPr>
              <w:t>1,141</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80" w:type="dxa"/>
            <w:vAlign w:val="bottom"/>
            <w:tcBorders>
              <w:bottom w:val="single" w:sz="8" w:color="2D53A6"/>
            </w:tcBorders>
          </w:tcPr>
          <w:p>
            <w:pPr>
              <w:ind w:left="180"/>
              <w:spacing w:after="0"/>
              <w:rPr>
                <w:sz w:val="20"/>
                <w:szCs w:val="20"/>
                <w:color w:val="auto"/>
              </w:rPr>
            </w:pPr>
            <w:r>
              <w:rPr>
                <w:rFonts w:ascii="Arial" w:cs="Arial" w:eastAsia="Arial" w:hAnsi="Arial"/>
                <w:sz w:val="18"/>
                <w:szCs w:val="18"/>
                <w:color w:val="auto"/>
              </w:rPr>
              <w:t>Tax effect of non-GAAP adjustments</w:t>
            </w:r>
          </w:p>
        </w:tc>
        <w:tc>
          <w:tcPr>
            <w:tcW w:w="120" w:type="dxa"/>
            <w:vAlign w:val="bottom"/>
            <w:tcBorders>
              <w:bottom w:val="single" w:sz="8" w:color="2D53A6"/>
              <w:right w:val="single" w:sz="8" w:color="2D53A6"/>
            </w:tcBorders>
          </w:tcPr>
          <w:p>
            <w:pPr>
              <w:spacing w:after="0"/>
              <w:rPr>
                <w:sz w:val="19"/>
                <w:szCs w:val="19"/>
                <w:color w:val="auto"/>
              </w:rPr>
            </w:pPr>
          </w:p>
        </w:tc>
        <w:tc>
          <w:tcPr>
            <w:tcW w:w="1580" w:type="dxa"/>
            <w:vAlign w:val="bottom"/>
            <w:tcBorders>
              <w:bottom w:val="single" w:sz="8" w:color="2D53A6"/>
              <w:right w:val="single" w:sz="8" w:color="2D53A6"/>
            </w:tcBorders>
            <w:gridSpan w:val="3"/>
          </w:tcPr>
          <w:p>
            <w:pPr>
              <w:jc w:val="right"/>
              <w:ind w:right="40"/>
              <w:spacing w:after="0"/>
              <w:rPr>
                <w:sz w:val="20"/>
                <w:szCs w:val="20"/>
                <w:color w:val="auto"/>
              </w:rPr>
            </w:pPr>
            <w:r>
              <w:rPr>
                <w:rFonts w:ascii="Arial" w:cs="Arial" w:eastAsia="Arial" w:hAnsi="Arial"/>
                <w:sz w:val="18"/>
                <w:szCs w:val="18"/>
                <w:color w:val="auto"/>
              </w:rPr>
              <w:t>(10,054)</w:t>
            </w:r>
          </w:p>
        </w:tc>
        <w:tc>
          <w:tcPr>
            <w:tcW w:w="1660" w:type="dxa"/>
            <w:vAlign w:val="bottom"/>
            <w:tcBorders>
              <w:bottom w:val="single" w:sz="8" w:color="2D53A6"/>
            </w:tcBorders>
            <w:gridSpan w:val="4"/>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69"/>
        </w:trPr>
        <w:tc>
          <w:tcPr>
            <w:tcW w:w="7880" w:type="dxa"/>
            <w:vAlign w:val="bottom"/>
          </w:tcPr>
          <w:p>
            <w:pPr>
              <w:spacing w:after="0" w:line="169" w:lineRule="exact"/>
              <w:rPr>
                <w:sz w:val="20"/>
                <w:szCs w:val="20"/>
                <w:color w:val="auto"/>
              </w:rPr>
            </w:pPr>
            <w:r>
              <w:rPr>
                <w:rFonts w:ascii="Arial" w:cs="Arial" w:eastAsia="Arial" w:hAnsi="Arial"/>
                <w:sz w:val="18"/>
                <w:szCs w:val="18"/>
                <w:color w:val="auto"/>
              </w:rPr>
              <w:t>Net income - non-GAAP basis</w:t>
            </w:r>
          </w:p>
        </w:tc>
        <w:tc>
          <w:tcPr>
            <w:tcW w:w="1700" w:type="dxa"/>
            <w:vAlign w:val="bottom"/>
            <w:gridSpan w:val="4"/>
          </w:tcPr>
          <w:p>
            <w:pPr>
              <w:jc w:val="right"/>
              <w:ind w:right="10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77,886</w:t>
            </w:r>
          </w:p>
        </w:tc>
        <w:tc>
          <w:tcPr>
            <w:tcW w:w="1560" w:type="dxa"/>
            <w:vAlign w:val="bottom"/>
            <w:gridSpan w:val="3"/>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2D53A6"/>
            </w:tcBorders>
          </w:tcPr>
          <w:p>
            <w:pPr>
              <w:spacing w:after="0" w:line="20" w:lineRule="exact"/>
              <w:rPr>
                <w:sz w:val="1"/>
                <w:szCs w:val="1"/>
                <w:color w:val="auto"/>
              </w:rPr>
            </w:pPr>
          </w:p>
        </w:tc>
        <w:tc>
          <w:tcPr>
            <w:tcW w:w="120" w:type="dxa"/>
            <w:vAlign w:val="bottom"/>
            <w:tcBorders>
              <w:bottom w:val="single" w:sz="8" w:color="2D53A6"/>
            </w:tcBorders>
          </w:tcPr>
          <w:p>
            <w:pPr>
              <w:spacing w:after="0" w:line="20" w:lineRule="exact"/>
              <w:rPr>
                <w:sz w:val="1"/>
                <w:szCs w:val="1"/>
                <w:color w:val="auto"/>
              </w:rPr>
            </w:pPr>
          </w:p>
        </w:tc>
        <w:tc>
          <w:tcPr>
            <w:tcW w:w="820" w:type="dxa"/>
            <w:vAlign w:val="bottom"/>
            <w:tcBorders>
              <w:bottom w:val="single" w:sz="8" w:color="2D53A6"/>
            </w:tcBorders>
          </w:tcPr>
          <w:p>
            <w:pPr>
              <w:spacing w:after="0" w:line="20" w:lineRule="exact"/>
              <w:rPr>
                <w:sz w:val="1"/>
                <w:szCs w:val="1"/>
                <w:color w:val="auto"/>
              </w:rPr>
            </w:pPr>
          </w:p>
        </w:tc>
        <w:tc>
          <w:tcPr>
            <w:tcW w:w="660" w:type="dxa"/>
            <w:vAlign w:val="bottom"/>
            <w:tcBorders>
              <w:top w:val="single" w:sz="8" w:color="auto"/>
              <w:bottom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1000" w:type="dxa"/>
            <w:vAlign w:val="bottom"/>
            <w:tcBorders>
              <w:bottom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460" w:type="dxa"/>
            <w:vAlign w:val="bottom"/>
            <w:tcBorders>
              <w:top w:val="single" w:sz="8" w:color="auto"/>
              <w:bottom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80" w:type="dxa"/>
            <w:vAlign w:val="bottom"/>
          </w:tcPr>
          <w:p>
            <w:pPr>
              <w:spacing w:after="0" w:line="164" w:lineRule="exact"/>
              <w:rPr>
                <w:sz w:val="20"/>
                <w:szCs w:val="20"/>
                <w:color w:val="auto"/>
              </w:rPr>
            </w:pPr>
            <w:r>
              <w:rPr>
                <w:rFonts w:ascii="Arial" w:cs="Arial" w:eastAsia="Arial" w:hAnsi="Arial"/>
                <w:sz w:val="18"/>
                <w:szCs w:val="18"/>
                <w:color w:val="auto"/>
              </w:rPr>
              <w:t>Weighted average diluted shares used in computing income (loss) per</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80" w:type="dxa"/>
            <w:vAlign w:val="bottom"/>
          </w:tcPr>
          <w:p>
            <w:pPr>
              <w:ind w:left="180"/>
              <w:spacing w:after="0" w:line="195" w:lineRule="exact"/>
              <w:rPr>
                <w:sz w:val="20"/>
                <w:szCs w:val="20"/>
                <w:color w:val="auto"/>
              </w:rPr>
            </w:pPr>
            <w:r>
              <w:rPr>
                <w:rFonts w:ascii="Arial" w:cs="Arial" w:eastAsia="Arial" w:hAnsi="Arial"/>
                <w:sz w:val="18"/>
                <w:szCs w:val="18"/>
                <w:color w:val="auto"/>
              </w:rPr>
              <w:t>GAAP-basis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48,025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80" w:type="dxa"/>
            <w:vAlign w:val="bottom"/>
          </w:tcPr>
          <w:p>
            <w:pPr>
              <w:ind w:left="180"/>
              <w:spacing w:after="0" w:line="182" w:lineRule="exact"/>
              <w:rPr>
                <w:sz w:val="20"/>
                <w:szCs w:val="20"/>
                <w:color w:val="auto"/>
              </w:rPr>
            </w:pPr>
            <w:r>
              <w:rPr>
                <w:rFonts w:ascii="Arial" w:cs="Arial" w:eastAsia="Arial" w:hAnsi="Arial"/>
                <w:sz w:val="18"/>
                <w:szCs w:val="18"/>
                <w:color w:val="auto"/>
              </w:rPr>
              <w:t>Non-GAAP basis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8"/>
              </w:rPr>
              <w:t>48,025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7880" w:type="dxa"/>
            <w:vAlign w:val="bottom"/>
          </w:tcPr>
          <w:p>
            <w:pPr>
              <w:ind w:left="55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0000EE"/>
            </w:tcBorders>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00" w:type="dxa"/>
            <w:vAlign w:val="bottom"/>
            <w:shd w:val="clear" w:color="auto" w:fill="2D53A6"/>
          </w:tcPr>
          <w:p>
            <w:pPr>
              <w:spacing w:after="0"/>
              <w:rPr>
                <w:sz w:val="15"/>
                <w:szCs w:val="15"/>
                <w:color w:val="auto"/>
              </w:rPr>
            </w:pPr>
          </w:p>
        </w:tc>
        <w:tc>
          <w:tcPr>
            <w:tcW w:w="6960" w:type="dxa"/>
            <w:vAlign w:val="bottom"/>
            <w:shd w:val="clear" w:color="auto" w:fill="2D53A6"/>
          </w:tcPr>
          <w:p>
            <w:pPr>
              <w:spacing w:after="0"/>
              <w:rPr>
                <w:sz w:val="15"/>
                <w:szCs w:val="15"/>
                <w:color w:val="auto"/>
              </w:rPr>
            </w:pPr>
          </w:p>
        </w:tc>
        <w:tc>
          <w:tcPr>
            <w:tcW w:w="100" w:type="dxa"/>
            <w:vAlign w:val="bottom"/>
            <w:tcBorders>
              <w:right w:val="single" w:sz="8" w:color="2D53A6"/>
            </w:tcBorders>
            <w:shd w:val="clear" w:color="auto" w:fill="2D53A6"/>
          </w:tcPr>
          <w:p>
            <w:pPr>
              <w:spacing w:after="0"/>
              <w:rPr>
                <w:sz w:val="15"/>
                <w:szCs w:val="15"/>
                <w:color w:val="auto"/>
              </w:rPr>
            </w:pPr>
          </w:p>
        </w:tc>
        <w:tc>
          <w:tcPr>
            <w:tcW w:w="1640" w:type="dxa"/>
            <w:vAlign w:val="bottom"/>
            <w:shd w:val="clear" w:color="auto" w:fill="2D53A6"/>
          </w:tcPr>
          <w:p>
            <w:pPr>
              <w:jc w:val="center"/>
              <w:ind w:right="70"/>
              <w:spacing w:after="0" w:line="183" w:lineRule="exact"/>
              <w:rPr>
                <w:sz w:val="20"/>
                <w:szCs w:val="20"/>
                <w:color w:val="auto"/>
              </w:rPr>
            </w:pPr>
            <w:r>
              <w:rPr>
                <w:rFonts w:ascii="Arial" w:cs="Arial" w:eastAsia="Arial" w:hAnsi="Arial"/>
                <w:sz w:val="18"/>
                <w:szCs w:val="18"/>
                <w:b w:val="1"/>
                <w:bCs w:val="1"/>
                <w:color w:val="FFFFFF"/>
                <w:w w:val="99"/>
              </w:rPr>
              <w:t>Twelve Months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vMerge w:val="restart"/>
            <w:shd w:val="clear" w:color="auto" w:fill="2D53A6"/>
          </w:tcPr>
          <w:p>
            <w:pPr>
              <w:spacing w:after="0"/>
              <w:rPr>
                <w:sz w:val="20"/>
                <w:szCs w:val="20"/>
                <w:color w:val="auto"/>
              </w:rPr>
            </w:pPr>
            <w:r>
              <w:rPr>
                <w:rFonts w:ascii="Arial" w:cs="Arial" w:eastAsia="Arial" w:hAnsi="Arial"/>
                <w:sz w:val="18"/>
                <w:szCs w:val="18"/>
                <w:b w:val="1"/>
                <w:bCs w:val="1"/>
                <w:color w:val="FFFFFF"/>
              </w:rPr>
              <w:t>Gross Profit Reconciliation (in thousands)</w:t>
            </w:r>
          </w:p>
        </w:tc>
        <w:tc>
          <w:tcPr>
            <w:tcW w:w="100" w:type="dxa"/>
            <w:vAlign w:val="bottom"/>
            <w:tcBorders>
              <w:right w:val="single" w:sz="8" w:color="2D53A6"/>
            </w:tcBorders>
            <w:shd w:val="clear" w:color="auto" w:fill="2D53A6"/>
          </w:tcPr>
          <w:p>
            <w:pPr>
              <w:spacing w:after="0"/>
              <w:rPr>
                <w:sz w:val="17"/>
                <w:szCs w:val="17"/>
                <w:color w:val="auto"/>
              </w:rPr>
            </w:pPr>
          </w:p>
        </w:tc>
        <w:tc>
          <w:tcPr>
            <w:tcW w:w="1640" w:type="dxa"/>
            <w:vAlign w:val="bottom"/>
            <w:shd w:val="clear" w:color="auto" w:fill="2D53A6"/>
          </w:tcPr>
          <w:p>
            <w:pPr>
              <w:jc w:val="center"/>
              <w:ind w:right="90"/>
              <w:spacing w:after="0" w:line="202" w:lineRule="exact"/>
              <w:rPr>
                <w:sz w:val="20"/>
                <w:szCs w:val="20"/>
                <w:color w:val="auto"/>
              </w:rPr>
            </w:pPr>
            <w:r>
              <w:rPr>
                <w:rFonts w:ascii="Arial" w:cs="Arial" w:eastAsia="Arial" w:hAnsi="Arial"/>
                <w:sz w:val="18"/>
                <w:szCs w:val="18"/>
                <w:b w:val="1"/>
                <w:bCs w:val="1"/>
                <w:color w:val="FFFFFF"/>
                <w:w w:val="98"/>
              </w:rPr>
              <w:t>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360" w:type="dxa"/>
            <w:vAlign w:val="bottom"/>
            <w:gridSpan w:val="2"/>
            <w:vMerge w:val="continue"/>
            <w:shd w:val="clear" w:color="auto" w:fill="2D53A6"/>
          </w:tcPr>
          <w:p>
            <w:pPr>
              <w:spacing w:after="0"/>
              <w:rPr>
                <w:sz w:val="12"/>
                <w:szCs w:val="12"/>
                <w:color w:val="auto"/>
              </w:rPr>
            </w:pPr>
          </w:p>
        </w:tc>
        <w:tc>
          <w:tcPr>
            <w:tcW w:w="100" w:type="dxa"/>
            <w:vAlign w:val="bottom"/>
            <w:tcBorders>
              <w:right w:val="single" w:sz="8" w:color="2D53A6"/>
            </w:tcBorders>
            <w:shd w:val="clear" w:color="auto" w:fill="2D53A6"/>
          </w:tcPr>
          <w:p>
            <w:pPr>
              <w:spacing w:after="0"/>
              <w:rPr>
                <w:sz w:val="12"/>
                <w:szCs w:val="12"/>
                <w:color w:val="auto"/>
              </w:rPr>
            </w:pPr>
          </w:p>
        </w:tc>
        <w:tc>
          <w:tcPr>
            <w:tcW w:w="1640" w:type="dxa"/>
            <w:vAlign w:val="bottom"/>
            <w:vMerge w:val="restart"/>
            <w:shd w:val="clear" w:color="auto" w:fill="2D53A6"/>
          </w:tcPr>
          <w:p>
            <w:pPr>
              <w:jc w:val="center"/>
              <w:ind w:right="90"/>
              <w:spacing w:after="0" w:line="202" w:lineRule="exact"/>
              <w:rPr>
                <w:sz w:val="20"/>
                <w:szCs w:val="20"/>
                <w:color w:val="auto"/>
              </w:rPr>
            </w:pPr>
            <w:r>
              <w:rPr>
                <w:rFonts w:ascii="Arial" w:cs="Arial" w:eastAsia="Arial" w:hAnsi="Arial"/>
                <w:sz w:val="18"/>
                <w:szCs w:val="18"/>
                <w:b w:val="1"/>
                <w:bCs w:val="1"/>
                <w:color w:val="FFFFFF"/>
              </w:rPr>
              <w:t>December 30,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400" w:type="dxa"/>
            <w:vAlign w:val="bottom"/>
            <w:shd w:val="clear" w:color="auto" w:fill="2D53A6"/>
          </w:tcPr>
          <w:p>
            <w:pPr>
              <w:spacing w:after="0"/>
              <w:rPr>
                <w:sz w:val="5"/>
                <w:szCs w:val="5"/>
                <w:color w:val="auto"/>
              </w:rPr>
            </w:pPr>
          </w:p>
        </w:tc>
        <w:tc>
          <w:tcPr>
            <w:tcW w:w="6960" w:type="dxa"/>
            <w:vAlign w:val="bottom"/>
            <w:shd w:val="clear" w:color="auto" w:fill="2D53A6"/>
          </w:tcPr>
          <w:p>
            <w:pPr>
              <w:spacing w:after="0"/>
              <w:rPr>
                <w:sz w:val="5"/>
                <w:szCs w:val="5"/>
                <w:color w:val="auto"/>
              </w:rPr>
            </w:pPr>
          </w:p>
        </w:tc>
        <w:tc>
          <w:tcPr>
            <w:tcW w:w="100" w:type="dxa"/>
            <w:vAlign w:val="bottom"/>
            <w:tcBorders>
              <w:right w:val="single" w:sz="8" w:color="2D53A6"/>
            </w:tcBorders>
            <w:shd w:val="clear" w:color="auto" w:fill="2D53A6"/>
          </w:tcPr>
          <w:p>
            <w:pPr>
              <w:spacing w:after="0"/>
              <w:rPr>
                <w:sz w:val="5"/>
                <w:szCs w:val="5"/>
                <w:color w:val="auto"/>
              </w:rPr>
            </w:pPr>
          </w:p>
        </w:tc>
        <w:tc>
          <w:tcPr>
            <w:tcW w:w="1640" w:type="dxa"/>
            <w:vAlign w:val="bottom"/>
            <w:vMerge w:val="continue"/>
            <w:shd w:val="clear" w:color="auto" w:fill="2D53A6"/>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400" w:type="dxa"/>
            <w:vAlign w:val="bottom"/>
            <w:shd w:val="clear" w:color="auto" w:fill="2D53A6"/>
          </w:tcPr>
          <w:p>
            <w:pPr>
              <w:spacing w:after="0"/>
              <w:rPr>
                <w:sz w:val="20"/>
                <w:szCs w:val="20"/>
                <w:color w:val="auto"/>
              </w:rPr>
            </w:pPr>
          </w:p>
        </w:tc>
        <w:tc>
          <w:tcPr>
            <w:tcW w:w="6960" w:type="dxa"/>
            <w:vAlign w:val="bottom"/>
            <w:shd w:val="clear" w:color="auto" w:fill="2D53A6"/>
          </w:tcPr>
          <w:p>
            <w:pPr>
              <w:spacing w:after="0"/>
              <w:rPr>
                <w:sz w:val="20"/>
                <w:szCs w:val="20"/>
                <w:color w:val="auto"/>
              </w:rPr>
            </w:pPr>
          </w:p>
        </w:tc>
        <w:tc>
          <w:tcPr>
            <w:tcW w:w="100" w:type="dxa"/>
            <w:vAlign w:val="bottom"/>
            <w:tcBorders>
              <w:right w:val="single" w:sz="8" w:color="2D53A6"/>
            </w:tcBorders>
            <w:shd w:val="clear" w:color="auto" w:fill="2D53A6"/>
          </w:tcPr>
          <w:p>
            <w:pPr>
              <w:spacing w:after="0"/>
              <w:rPr>
                <w:sz w:val="20"/>
                <w:szCs w:val="20"/>
                <w:color w:val="auto"/>
              </w:rPr>
            </w:pPr>
          </w:p>
        </w:tc>
        <w:tc>
          <w:tcPr>
            <w:tcW w:w="1640" w:type="dxa"/>
            <w:vAlign w:val="bottom"/>
            <w:shd w:val="clear" w:color="auto" w:fill="2D53A6"/>
          </w:tcPr>
          <w:p>
            <w:pPr>
              <w:jc w:val="center"/>
              <w:ind w:right="70"/>
              <w:spacing w:after="0"/>
              <w:rPr>
                <w:sz w:val="20"/>
                <w:szCs w:val="20"/>
                <w:color w:val="auto"/>
              </w:rPr>
            </w:pPr>
            <w:r>
              <w:rPr>
                <w:rFonts w:ascii="Arial" w:cs="Arial" w:eastAsia="Arial" w:hAnsi="Arial"/>
                <w:sz w:val="18"/>
                <w:szCs w:val="18"/>
                <w:b w:val="1"/>
                <w:bCs w:val="1"/>
                <w:color w:val="FFFFFF"/>
                <w:w w:val="99"/>
              </w:rPr>
              <w:t>2023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right w:val="single" w:sz="8" w:color="2D53A6"/>
            </w:tcBorders>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$636,322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360" w:type="dxa"/>
            <w:vAlign w:val="bottom"/>
            <w:gridSpan w:val="2"/>
          </w:tcPr>
          <w:p>
            <w:pPr>
              <w:spacing w:after="0"/>
              <w:rPr>
                <w:sz w:val="20"/>
                <w:szCs w:val="20"/>
                <w:color w:val="auto"/>
              </w:rPr>
            </w:pPr>
            <w:r>
              <w:rPr>
                <w:rFonts w:ascii="Arial" w:cs="Arial" w:eastAsia="Arial" w:hAnsi="Arial"/>
                <w:sz w:val="18"/>
                <w:szCs w:val="18"/>
                <w:color w:val="auto"/>
              </w:rPr>
              <w:t xml:space="preserve">Gross profit - GAAP basis </w:t>
            </w:r>
            <w:r>
              <w:rPr>
                <w:rFonts w:ascii="Arial" w:cs="Arial" w:eastAsia="Arial" w:hAnsi="Arial"/>
                <w:sz w:val="14"/>
                <w:szCs w:val="14"/>
                <w:color w:val="auto"/>
              </w:rPr>
              <w:t>(1)</w:t>
            </w:r>
          </w:p>
        </w:tc>
        <w:tc>
          <w:tcPr>
            <w:tcW w:w="100" w:type="dxa"/>
            <w:vAlign w:val="bottom"/>
            <w:tcBorders>
              <w:right w:val="single" w:sz="8" w:color="2D53A6"/>
            </w:tcBorders>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$302,868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Inventory step-up</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845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2D53A6"/>
            </w:tcBorders>
            <w:gridSpan w:val="2"/>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100" w:type="dxa"/>
            <w:vAlign w:val="bottom"/>
            <w:tcBorders>
              <w:bottom w:val="single" w:sz="8" w:color="2D53A6"/>
              <w:right w:val="single" w:sz="8" w:color="2D53A6"/>
            </w:tcBorders>
          </w:tcPr>
          <w:p>
            <w:pPr>
              <w:spacing w:after="0"/>
              <w:rPr>
                <w:sz w:val="19"/>
                <w:szCs w:val="19"/>
                <w:color w:val="auto"/>
              </w:rPr>
            </w:pPr>
          </w:p>
        </w:tc>
        <w:tc>
          <w:tcPr>
            <w:tcW w:w="1640" w:type="dxa"/>
            <w:vAlign w:val="bottom"/>
            <w:tcBorders>
              <w:bottom w:val="single" w:sz="8" w:color="2D53A6"/>
            </w:tcBorders>
          </w:tcPr>
          <w:p>
            <w:pPr>
              <w:jc w:val="right"/>
              <w:ind w:right="7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2D53A6"/>
            </w:tcBorders>
            <w:gridSpan w:val="2"/>
          </w:tcPr>
          <w:p>
            <w:pPr>
              <w:spacing w:after="0" w:line="196" w:lineRule="exact"/>
              <w:rPr>
                <w:sz w:val="20"/>
                <w:szCs w:val="20"/>
                <w:color w:val="auto"/>
              </w:rPr>
            </w:pPr>
            <w:r>
              <w:rPr>
                <w:rFonts w:ascii="Arial" w:cs="Arial" w:eastAsia="Arial" w:hAnsi="Arial"/>
                <w:sz w:val="18"/>
                <w:szCs w:val="18"/>
                <w:color w:val="auto"/>
              </w:rPr>
              <w:t>Gross profit - non-GAAP basis</w:t>
            </w:r>
          </w:p>
        </w:tc>
        <w:tc>
          <w:tcPr>
            <w:tcW w:w="1740" w:type="dxa"/>
            <w:vAlign w:val="bottom"/>
            <w:tcBorders>
              <w:bottom w:val="single" w:sz="8" w:color="2D53A6"/>
            </w:tcBorders>
            <w:gridSpan w:val="2"/>
          </w:tcPr>
          <w:p>
            <w:pPr>
              <w:jc w:val="right"/>
              <w:ind w:right="70"/>
              <w:spacing w:after="0" w:line="196" w:lineRule="exact"/>
              <w:rPr>
                <w:sz w:val="20"/>
                <w:szCs w:val="20"/>
                <w:color w:val="auto"/>
              </w:rPr>
            </w:pPr>
            <w:r>
              <w:rPr>
                <w:rFonts w:ascii="Arial" w:cs="Arial" w:eastAsia="Arial" w:hAnsi="Arial"/>
                <w:sz w:val="18"/>
                <w:szCs w:val="18"/>
                <w:color w:val="auto"/>
              </w:rPr>
              <w:t>$304,817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8360" w:type="dxa"/>
            <w:vAlign w:val="bottom"/>
            <w:gridSpan w:val="2"/>
          </w:tcPr>
          <w:p>
            <w:pPr>
              <w:spacing w:after="0"/>
              <w:rPr>
                <w:sz w:val="20"/>
                <w:szCs w:val="20"/>
                <w:color w:val="auto"/>
              </w:rPr>
            </w:pPr>
            <w:r>
              <w:rPr>
                <w:rFonts w:ascii="Arial" w:cs="Arial" w:eastAsia="Arial" w:hAnsi="Arial"/>
                <w:sz w:val="18"/>
                <w:szCs w:val="18"/>
                <w:color w:val="auto"/>
              </w:rPr>
              <w:t>(1) Excludes amortization of $28,417 for the twelve months ending December 30, 2023.</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60" w:type="dxa"/>
            <w:vAlign w:val="bottom"/>
            <w:gridSpan w:val="2"/>
          </w:tcPr>
          <w:p>
            <w:pPr>
              <w:spacing w:after="0"/>
              <w:rPr>
                <w:sz w:val="20"/>
                <w:szCs w:val="20"/>
                <w:color w:val="auto"/>
              </w:rPr>
            </w:pPr>
            <w:r>
              <w:rPr>
                <w:rFonts w:ascii="Arial" w:cs="Arial" w:eastAsia="Arial" w:hAnsi="Arial"/>
                <w:sz w:val="18"/>
                <w:szCs w:val="18"/>
                <w:color w:val="auto"/>
              </w:rPr>
              <w:t>GAAP gross profit (as a % of net sales)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60" w:type="dxa"/>
            <w:vAlign w:val="bottom"/>
            <w:gridSpan w:val="2"/>
          </w:tcPr>
          <w:p>
            <w:pPr>
              <w:spacing w:after="0"/>
              <w:rPr>
                <w:sz w:val="20"/>
                <w:szCs w:val="20"/>
                <w:color w:val="auto"/>
              </w:rPr>
            </w:pPr>
            <w:r>
              <w:rPr>
                <w:rFonts w:ascii="Arial" w:cs="Arial" w:eastAsia="Arial" w:hAnsi="Arial"/>
                <w:sz w:val="18"/>
                <w:szCs w:val="18"/>
                <w:color w:val="auto"/>
              </w:rPr>
              <w:t>Non-GAAP gross profit (as a % of net sales)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0" w:type="dxa"/>
            <w:vAlign w:val="bottom"/>
            <w:shd w:val="clear" w:color="auto" w:fill="2D53A6"/>
          </w:tcPr>
          <w:p>
            <w:pPr>
              <w:spacing w:after="0"/>
              <w:rPr>
                <w:sz w:val="15"/>
                <w:szCs w:val="15"/>
                <w:color w:val="auto"/>
              </w:rPr>
            </w:pPr>
          </w:p>
        </w:tc>
        <w:tc>
          <w:tcPr>
            <w:tcW w:w="6960" w:type="dxa"/>
            <w:vAlign w:val="bottom"/>
            <w:shd w:val="clear" w:color="auto" w:fill="2D53A6"/>
          </w:tcPr>
          <w:p>
            <w:pPr>
              <w:spacing w:after="0"/>
              <w:rPr>
                <w:sz w:val="15"/>
                <w:szCs w:val="15"/>
                <w:color w:val="auto"/>
              </w:rPr>
            </w:pPr>
          </w:p>
        </w:tc>
        <w:tc>
          <w:tcPr>
            <w:tcW w:w="100" w:type="dxa"/>
            <w:vAlign w:val="bottom"/>
            <w:tcBorders>
              <w:right w:val="single" w:sz="8" w:color="2D53A6"/>
            </w:tcBorders>
            <w:shd w:val="clear" w:color="auto" w:fill="2D53A6"/>
          </w:tcPr>
          <w:p>
            <w:pPr>
              <w:spacing w:after="0"/>
              <w:rPr>
                <w:sz w:val="15"/>
                <w:szCs w:val="15"/>
                <w:color w:val="auto"/>
              </w:rPr>
            </w:pPr>
          </w:p>
        </w:tc>
        <w:tc>
          <w:tcPr>
            <w:tcW w:w="1640" w:type="dxa"/>
            <w:vAlign w:val="bottom"/>
            <w:shd w:val="clear" w:color="auto" w:fill="2D53A6"/>
          </w:tcPr>
          <w:p>
            <w:pPr>
              <w:jc w:val="center"/>
              <w:ind w:right="70"/>
              <w:spacing w:after="0" w:line="183" w:lineRule="exact"/>
              <w:rPr>
                <w:sz w:val="20"/>
                <w:szCs w:val="20"/>
                <w:color w:val="auto"/>
              </w:rPr>
            </w:pPr>
            <w:r>
              <w:rPr>
                <w:rFonts w:ascii="Arial" w:cs="Arial" w:eastAsia="Arial" w:hAnsi="Arial"/>
                <w:sz w:val="18"/>
                <w:szCs w:val="18"/>
                <w:b w:val="1"/>
                <w:bCs w:val="1"/>
                <w:color w:val="FFFFFF"/>
                <w:w w:val="99"/>
              </w:rPr>
              <w:t>Twelve Months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vMerge w:val="restart"/>
            <w:shd w:val="clear" w:color="auto" w:fill="2D53A6"/>
          </w:tcPr>
          <w:p>
            <w:pPr>
              <w:spacing w:after="0"/>
              <w:rPr>
                <w:sz w:val="20"/>
                <w:szCs w:val="20"/>
                <w:color w:val="auto"/>
              </w:rPr>
            </w:pPr>
            <w:r>
              <w:rPr>
                <w:rFonts w:ascii="Arial" w:cs="Arial" w:eastAsia="Arial" w:hAnsi="Arial"/>
                <w:sz w:val="18"/>
                <w:szCs w:val="18"/>
                <w:b w:val="1"/>
                <w:bCs w:val="1"/>
                <w:color w:val="FFFFFF"/>
              </w:rPr>
              <w:t>Pretax income reconciliation (in thousands)</w:t>
            </w:r>
          </w:p>
        </w:tc>
        <w:tc>
          <w:tcPr>
            <w:tcW w:w="100" w:type="dxa"/>
            <w:vAlign w:val="bottom"/>
            <w:tcBorders>
              <w:right w:val="single" w:sz="8" w:color="2D53A6"/>
            </w:tcBorders>
            <w:shd w:val="clear" w:color="auto" w:fill="2D53A6"/>
          </w:tcPr>
          <w:p>
            <w:pPr>
              <w:spacing w:after="0"/>
              <w:rPr>
                <w:sz w:val="17"/>
                <w:szCs w:val="17"/>
                <w:color w:val="auto"/>
              </w:rPr>
            </w:pPr>
          </w:p>
        </w:tc>
        <w:tc>
          <w:tcPr>
            <w:tcW w:w="1640" w:type="dxa"/>
            <w:vAlign w:val="bottom"/>
            <w:shd w:val="clear" w:color="auto" w:fill="2D53A6"/>
          </w:tcPr>
          <w:p>
            <w:pPr>
              <w:jc w:val="center"/>
              <w:ind w:right="90"/>
              <w:spacing w:after="0" w:line="202" w:lineRule="exact"/>
              <w:rPr>
                <w:sz w:val="20"/>
                <w:szCs w:val="20"/>
                <w:color w:val="auto"/>
              </w:rPr>
            </w:pPr>
            <w:r>
              <w:rPr>
                <w:rFonts w:ascii="Arial" w:cs="Arial" w:eastAsia="Arial" w:hAnsi="Arial"/>
                <w:sz w:val="18"/>
                <w:szCs w:val="18"/>
                <w:b w:val="1"/>
                <w:bCs w:val="1"/>
                <w:color w:val="FFFFFF"/>
                <w:w w:val="98"/>
              </w:rPr>
              <w:t>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360" w:type="dxa"/>
            <w:vAlign w:val="bottom"/>
            <w:gridSpan w:val="2"/>
            <w:vMerge w:val="continue"/>
            <w:shd w:val="clear" w:color="auto" w:fill="2D53A6"/>
          </w:tcPr>
          <w:p>
            <w:pPr>
              <w:spacing w:after="0"/>
              <w:rPr>
                <w:sz w:val="12"/>
                <w:szCs w:val="12"/>
                <w:color w:val="auto"/>
              </w:rPr>
            </w:pPr>
          </w:p>
        </w:tc>
        <w:tc>
          <w:tcPr>
            <w:tcW w:w="100" w:type="dxa"/>
            <w:vAlign w:val="bottom"/>
            <w:tcBorders>
              <w:right w:val="single" w:sz="8" w:color="2D53A6"/>
            </w:tcBorders>
            <w:shd w:val="clear" w:color="auto" w:fill="2D53A6"/>
          </w:tcPr>
          <w:p>
            <w:pPr>
              <w:spacing w:after="0"/>
              <w:rPr>
                <w:sz w:val="12"/>
                <w:szCs w:val="12"/>
                <w:color w:val="auto"/>
              </w:rPr>
            </w:pPr>
          </w:p>
        </w:tc>
        <w:tc>
          <w:tcPr>
            <w:tcW w:w="1640" w:type="dxa"/>
            <w:vAlign w:val="bottom"/>
            <w:vMerge w:val="restart"/>
            <w:shd w:val="clear" w:color="auto" w:fill="2D53A6"/>
          </w:tcPr>
          <w:p>
            <w:pPr>
              <w:jc w:val="center"/>
              <w:ind w:right="90"/>
              <w:spacing w:after="0" w:line="202" w:lineRule="exact"/>
              <w:rPr>
                <w:sz w:val="20"/>
                <w:szCs w:val="20"/>
                <w:color w:val="auto"/>
              </w:rPr>
            </w:pPr>
            <w:r>
              <w:rPr>
                <w:rFonts w:ascii="Arial" w:cs="Arial" w:eastAsia="Arial" w:hAnsi="Arial"/>
                <w:sz w:val="18"/>
                <w:szCs w:val="18"/>
                <w:b w:val="1"/>
                <w:bCs w:val="1"/>
                <w:color w:val="FFFFFF"/>
              </w:rPr>
              <w:t>December 30,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400" w:type="dxa"/>
            <w:vAlign w:val="bottom"/>
            <w:shd w:val="clear" w:color="auto" w:fill="2D53A6"/>
          </w:tcPr>
          <w:p>
            <w:pPr>
              <w:spacing w:after="0"/>
              <w:rPr>
                <w:sz w:val="5"/>
                <w:szCs w:val="5"/>
                <w:color w:val="auto"/>
              </w:rPr>
            </w:pPr>
          </w:p>
        </w:tc>
        <w:tc>
          <w:tcPr>
            <w:tcW w:w="6960" w:type="dxa"/>
            <w:vAlign w:val="bottom"/>
            <w:shd w:val="clear" w:color="auto" w:fill="2D53A6"/>
          </w:tcPr>
          <w:p>
            <w:pPr>
              <w:spacing w:after="0"/>
              <w:rPr>
                <w:sz w:val="5"/>
                <w:szCs w:val="5"/>
                <w:color w:val="auto"/>
              </w:rPr>
            </w:pPr>
          </w:p>
        </w:tc>
        <w:tc>
          <w:tcPr>
            <w:tcW w:w="100" w:type="dxa"/>
            <w:vAlign w:val="bottom"/>
            <w:tcBorders>
              <w:right w:val="single" w:sz="8" w:color="2D53A6"/>
            </w:tcBorders>
            <w:shd w:val="clear" w:color="auto" w:fill="2D53A6"/>
          </w:tcPr>
          <w:p>
            <w:pPr>
              <w:spacing w:after="0"/>
              <w:rPr>
                <w:sz w:val="5"/>
                <w:szCs w:val="5"/>
                <w:color w:val="auto"/>
              </w:rPr>
            </w:pPr>
          </w:p>
        </w:tc>
        <w:tc>
          <w:tcPr>
            <w:tcW w:w="1640" w:type="dxa"/>
            <w:vAlign w:val="bottom"/>
            <w:vMerge w:val="continue"/>
            <w:shd w:val="clear" w:color="auto" w:fill="2D53A6"/>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400" w:type="dxa"/>
            <w:vAlign w:val="bottom"/>
            <w:tcBorders>
              <w:bottom w:val="single" w:sz="8" w:color="auto"/>
            </w:tcBorders>
            <w:shd w:val="clear" w:color="auto" w:fill="2D53A6"/>
          </w:tcPr>
          <w:p>
            <w:pPr>
              <w:spacing w:after="0"/>
              <w:rPr>
                <w:sz w:val="19"/>
                <w:szCs w:val="19"/>
                <w:color w:val="auto"/>
              </w:rPr>
            </w:pPr>
          </w:p>
        </w:tc>
        <w:tc>
          <w:tcPr>
            <w:tcW w:w="6960" w:type="dxa"/>
            <w:vAlign w:val="bottom"/>
            <w:tcBorders>
              <w:bottom w:val="single" w:sz="8" w:color="auto"/>
            </w:tcBorders>
            <w:shd w:val="clear" w:color="auto" w:fill="2D53A6"/>
          </w:tcPr>
          <w:p>
            <w:pPr>
              <w:spacing w:after="0"/>
              <w:rPr>
                <w:sz w:val="19"/>
                <w:szCs w:val="19"/>
                <w:color w:val="auto"/>
              </w:rPr>
            </w:pPr>
          </w:p>
        </w:tc>
        <w:tc>
          <w:tcPr>
            <w:tcW w:w="1740" w:type="dxa"/>
            <w:vAlign w:val="bottom"/>
            <w:tcBorders>
              <w:bottom w:val="single" w:sz="8" w:color="auto"/>
            </w:tcBorders>
            <w:gridSpan w:val="2"/>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2023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360" w:type="dxa"/>
            <w:vAlign w:val="bottom"/>
            <w:gridSpan w:val="2"/>
          </w:tcPr>
          <w:p>
            <w:pPr>
              <w:spacing w:after="0" w:line="177" w:lineRule="exact"/>
              <w:rPr>
                <w:sz w:val="20"/>
                <w:szCs w:val="20"/>
                <w:color w:val="auto"/>
              </w:rPr>
            </w:pPr>
            <w:r>
              <w:rPr>
                <w:rFonts w:ascii="Arial" w:cs="Arial" w:eastAsia="Arial" w:hAnsi="Arial"/>
                <w:sz w:val="18"/>
                <w:szCs w:val="18"/>
                <w:color w:val="auto"/>
              </w:rPr>
              <w:t>Pretax income - GAAP basis</w:t>
            </w:r>
          </w:p>
        </w:tc>
        <w:tc>
          <w:tcPr>
            <w:tcW w:w="100" w:type="dxa"/>
            <w:vAlign w:val="bottom"/>
            <w:tcBorders>
              <w:right w:val="single" w:sz="8" w:color="2D53A6"/>
            </w:tcBorders>
          </w:tcPr>
          <w:p>
            <w:pPr>
              <w:spacing w:after="0"/>
              <w:rPr>
                <w:sz w:val="15"/>
                <w:szCs w:val="15"/>
                <w:color w:val="auto"/>
              </w:rPr>
            </w:pPr>
          </w:p>
        </w:tc>
        <w:tc>
          <w:tcPr>
            <w:tcW w:w="1640" w:type="dxa"/>
            <w:vAlign w:val="bottom"/>
          </w:tcPr>
          <w:p>
            <w:pPr>
              <w:jc w:val="right"/>
              <w:ind w:right="70"/>
              <w:spacing w:after="0" w:line="177" w:lineRule="exact"/>
              <w:rPr>
                <w:sz w:val="20"/>
                <w:szCs w:val="20"/>
                <w:color w:val="auto"/>
              </w:rPr>
            </w:pPr>
            <w:r>
              <w:rPr>
                <w:rFonts w:ascii="Arial" w:cs="Arial" w:eastAsia="Arial" w:hAnsi="Arial"/>
                <w:sz w:val="18"/>
                <w:szCs w:val="18"/>
                <w:color w:val="auto"/>
              </w:rPr>
              <w:t>$45,816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17,237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36,355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2,421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1,054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acquisition costs</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1,571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PP&amp;E step-up included in SG&amp;A</w:t>
            </w:r>
          </w:p>
        </w:tc>
        <w:tc>
          <w:tcPr>
            <w:tcW w:w="100" w:type="dxa"/>
            <w:vAlign w:val="bottom"/>
            <w:tcBorders>
              <w:right w:val="single" w:sz="8" w:color="2D53A6"/>
            </w:tcBorders>
          </w:tcPr>
          <w:p>
            <w:pPr>
              <w:spacing w:after="0"/>
              <w:rPr>
                <w:sz w:val="17"/>
                <w:szCs w:val="17"/>
                <w:color w:val="auto"/>
              </w:rPr>
            </w:pP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60" w:type="dxa"/>
            <w:vAlign w:val="bottom"/>
            <w:tcBorders>
              <w:bottom w:val="single" w:sz="8" w:color="2D53A6"/>
            </w:tcBorders>
            <w:gridSpan w:val="2"/>
          </w:tcPr>
          <w:p>
            <w:pPr>
              <w:ind w:left="180"/>
              <w:spacing w:after="0"/>
              <w:rPr>
                <w:sz w:val="20"/>
                <w:szCs w:val="20"/>
                <w:color w:val="auto"/>
              </w:rPr>
            </w:pPr>
            <w:r>
              <w:rPr>
                <w:rFonts w:ascii="Arial" w:cs="Arial" w:eastAsia="Arial" w:hAnsi="Arial"/>
                <w:sz w:val="18"/>
                <w:szCs w:val="18"/>
                <w:color w:val="auto"/>
              </w:rPr>
              <w:t>Inventory step-up</w:t>
            </w:r>
          </w:p>
        </w:tc>
        <w:tc>
          <w:tcPr>
            <w:tcW w:w="100" w:type="dxa"/>
            <w:vAlign w:val="bottom"/>
            <w:tcBorders>
              <w:bottom w:val="single" w:sz="8" w:color="2D53A6"/>
              <w:right w:val="single" w:sz="8" w:color="2D53A6"/>
            </w:tcBorders>
          </w:tcPr>
          <w:p>
            <w:pPr>
              <w:spacing w:after="0"/>
              <w:rPr>
                <w:sz w:val="19"/>
                <w:szCs w:val="19"/>
                <w:color w:val="auto"/>
              </w:rPr>
            </w:pPr>
          </w:p>
        </w:tc>
        <w:tc>
          <w:tcPr>
            <w:tcW w:w="1640" w:type="dxa"/>
            <w:vAlign w:val="bottom"/>
            <w:tcBorders>
              <w:bottom w:val="single" w:sz="8" w:color="2D53A6"/>
            </w:tcBorders>
          </w:tcPr>
          <w:p>
            <w:pPr>
              <w:jc w:val="right"/>
              <w:ind w:right="70"/>
              <w:spacing w:after="0"/>
              <w:rPr>
                <w:sz w:val="20"/>
                <w:szCs w:val="20"/>
                <w:color w:val="auto"/>
              </w:rPr>
            </w:pPr>
            <w:r>
              <w:rPr>
                <w:rFonts w:ascii="Arial" w:cs="Arial" w:eastAsia="Arial" w:hAnsi="Arial"/>
                <w:sz w:val="18"/>
                <w:szCs w:val="18"/>
                <w:color w:val="auto"/>
              </w:rPr>
              <w:t>1,141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2D53A6"/>
            </w:tcBorders>
            <w:gridSpan w:val="2"/>
          </w:tcPr>
          <w:p>
            <w:pPr>
              <w:spacing w:after="0" w:line="196" w:lineRule="exact"/>
              <w:rPr>
                <w:sz w:val="20"/>
                <w:szCs w:val="20"/>
                <w:color w:val="auto"/>
              </w:rPr>
            </w:pPr>
            <w:r>
              <w:rPr>
                <w:rFonts w:ascii="Arial" w:cs="Arial" w:eastAsia="Arial" w:hAnsi="Arial"/>
                <w:sz w:val="18"/>
                <w:szCs w:val="18"/>
                <w:color w:val="auto"/>
              </w:rPr>
              <w:t>Pretax income - non-GAAP basis</w:t>
            </w:r>
          </w:p>
        </w:tc>
        <w:tc>
          <w:tcPr>
            <w:tcW w:w="1740" w:type="dxa"/>
            <w:vAlign w:val="bottom"/>
            <w:tcBorders>
              <w:bottom w:val="single" w:sz="8" w:color="2D53A6"/>
            </w:tcBorders>
            <w:gridSpan w:val="2"/>
          </w:tcPr>
          <w:p>
            <w:pPr>
              <w:jc w:val="right"/>
              <w:ind w:right="70"/>
              <w:spacing w:after="0" w:line="196" w:lineRule="exact"/>
              <w:rPr>
                <w:sz w:val="20"/>
                <w:szCs w:val="20"/>
                <w:color w:val="auto"/>
              </w:rPr>
            </w:pPr>
            <w:r>
              <w:rPr>
                <w:rFonts w:ascii="Arial" w:cs="Arial" w:eastAsia="Arial" w:hAnsi="Arial"/>
                <w:sz w:val="18"/>
                <w:szCs w:val="18"/>
                <w:color w:val="auto"/>
              </w:rPr>
              <w:t>$105,600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8360" w:type="dxa"/>
            <w:vAlign w:val="bottom"/>
            <w:gridSpan w:val="2"/>
          </w:tcPr>
          <w:p>
            <w:pPr>
              <w:spacing w:after="0"/>
              <w:rPr>
                <w:sz w:val="20"/>
                <w:szCs w:val="20"/>
                <w:color w:val="auto"/>
              </w:rPr>
            </w:pPr>
            <w:r>
              <w:rPr>
                <w:rFonts w:ascii="Arial" w:cs="Arial" w:eastAsia="Arial" w:hAnsi="Arial"/>
                <w:sz w:val="18"/>
                <w:szCs w:val="18"/>
                <w:color w:val="auto"/>
              </w:rPr>
              <w:t>Pretax income - GAAP basis (as a % of net sales)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60" w:type="dxa"/>
            <w:vAlign w:val="bottom"/>
            <w:gridSpan w:val="2"/>
          </w:tcPr>
          <w:p>
            <w:pPr>
              <w:spacing w:after="0"/>
              <w:rPr>
                <w:sz w:val="20"/>
                <w:szCs w:val="20"/>
                <w:color w:val="auto"/>
              </w:rPr>
            </w:pPr>
            <w:r>
              <w:rPr>
                <w:rFonts w:ascii="Arial" w:cs="Arial" w:eastAsia="Arial" w:hAnsi="Arial"/>
                <w:sz w:val="18"/>
                <w:szCs w:val="18"/>
                <w:color w:val="auto"/>
              </w:rPr>
              <w:t>Pretax income - non-GAAP basis (as a % of net sales)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60" w:type="dxa"/>
            <w:vAlign w:val="bottom"/>
            <w:gridSpan w:val="2"/>
          </w:tcPr>
          <w:p>
            <w:pPr>
              <w:ind w:left="55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5341620</wp:posOffset>
            </wp:positionH>
            <wp:positionV relativeFrom="paragraph">
              <wp:posOffset>-2566670</wp:posOffset>
            </wp:positionV>
            <wp:extent cx="34290" cy="548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480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15875</wp:posOffset>
            </wp:positionV>
            <wp:extent cx="6858000" cy="88722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15875</wp:posOffset>
            </wp:positionV>
            <wp:extent cx="6858000" cy="88722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307340</wp:posOffset>
            </wp:positionV>
            <wp:extent cx="6858000" cy="88722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15875</wp:posOffset>
            </wp:positionV>
            <wp:extent cx="6858000" cy="88722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75</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lvl w:ilvl="1">
      <w:lvlJc w:val="left"/>
      <w:lvlText w:val="o"/>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7"/>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lvl w:ilvl="1">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lvl w:ilvl="1">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lvl w:ilvl="1">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upperLetter"/>
      <w:start w:val="1"/>
    </w:lvl>
  </w:abstractNum>
  <w:abstractNum w:abstractNumId="46">
    <w:nsid w:val="1BA026FA"/>
    <w:multiLevelType w:val="hybridMultilevel"/>
    <w:lvl w:ilvl="0">
      <w:lvlJc w:val="left"/>
      <w:lvlText w:val="(%1)"/>
      <w:numFmt w:val="lowerRoman"/>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amp;"/>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2024-04-22T07:09:16Z</dcterms:created>
  <dcterms:modified xsi:type="dcterms:W3CDTF">2024-04-22T07:09:16Z</dcterms:modified>
</cp:coreProperties>
</file>