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4"/>
              </w:rPr>
              <w:t>Date of Report (Date of Earliest Event Reported):</w:t>
            </w:r>
          </w:p>
        </w:tc>
        <w:tc>
          <w:tcPr>
            <w:tcW w:w="4020" w:type="dxa"/>
            <w:vAlign w:val="bottom"/>
          </w:tcPr>
          <w:p>
            <w:pPr>
              <w:spacing w:after="0"/>
              <w:rPr>
                <w:sz w:val="20"/>
                <w:szCs w:val="20"/>
                <w:color w:val="auto"/>
              </w:rPr>
            </w:pPr>
          </w:p>
        </w:tc>
        <w:tc>
          <w:tcPr>
            <w:tcW w:w="3500" w:type="dxa"/>
            <w:vAlign w:val="bottom"/>
          </w:tcPr>
          <w:p>
            <w:pPr>
              <w:jc w:val="right"/>
              <w:ind w:right="1990"/>
              <w:spacing w:after="0"/>
              <w:rPr>
                <w:sz w:val="20"/>
                <w:szCs w:val="20"/>
                <w:color w:val="auto"/>
              </w:rPr>
            </w:pPr>
            <w:r>
              <w:rPr>
                <w:rFonts w:ascii="Arial" w:cs="Arial" w:eastAsia="Arial" w:hAnsi="Arial"/>
                <w:sz w:val="18"/>
                <w:szCs w:val="18"/>
                <w:color w:val="auto"/>
              </w:rPr>
              <w:t>June 16, 2023</w:t>
            </w:r>
          </w:p>
        </w:tc>
      </w:tr>
      <w:tr>
        <w:trPr>
          <w:trHeight w:val="738"/>
        </w:trPr>
        <w:tc>
          <w:tcPr>
            <w:tcW w:w="3720" w:type="dxa"/>
            <w:vAlign w:val="bottom"/>
          </w:tcPr>
          <w:p>
            <w:pPr>
              <w:spacing w:after="0"/>
              <w:rPr>
                <w:sz w:val="24"/>
                <w:szCs w:val="24"/>
                <w:color w:val="auto"/>
              </w:rPr>
            </w:pPr>
          </w:p>
        </w:tc>
        <w:tc>
          <w:tcPr>
            <w:tcW w:w="4020" w:type="dxa"/>
            <w:vAlign w:val="bottom"/>
          </w:tcPr>
          <w:p>
            <w:pPr>
              <w:jc w:val="center"/>
              <w:ind w:right="109"/>
              <w:spacing w:after="0"/>
              <w:rPr>
                <w:sz w:val="20"/>
                <w:szCs w:val="20"/>
                <w:color w:val="auto"/>
              </w:rPr>
            </w:pPr>
            <w:r>
              <w:rPr>
                <w:rFonts w:ascii="Arial" w:cs="Arial" w:eastAsia="Arial" w:hAnsi="Arial"/>
                <w:sz w:val="43"/>
                <w:szCs w:val="43"/>
                <w:color w:val="auto"/>
                <w:w w:val="91"/>
              </w:rPr>
              <w:t>Cohu, Inc.</w:t>
            </w:r>
          </w:p>
        </w:tc>
        <w:tc>
          <w:tcPr>
            <w:tcW w:w="3500" w:type="dxa"/>
            <w:vAlign w:val="bottom"/>
          </w:tcPr>
          <w:p>
            <w:pPr>
              <w:spacing w:after="0"/>
              <w:rPr>
                <w:sz w:val="24"/>
                <w:szCs w:val="24"/>
                <w:color w:val="auto"/>
              </w:rPr>
            </w:pPr>
          </w:p>
        </w:tc>
      </w:tr>
      <w:tr>
        <w:trPr>
          <w:trHeight w:val="248"/>
        </w:trPr>
        <w:tc>
          <w:tcPr>
            <w:tcW w:w="372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r>
      <w:tr>
        <w:trPr>
          <w:trHeight w:val="479"/>
        </w:trPr>
        <w:tc>
          <w:tcPr>
            <w:tcW w:w="3720" w:type="dxa"/>
            <w:vAlign w:val="bottom"/>
          </w:tcPr>
          <w:p>
            <w:pPr>
              <w:spacing w:after="0"/>
              <w:rPr>
                <w:sz w:val="24"/>
                <w:szCs w:val="24"/>
                <w:color w:val="auto"/>
              </w:rPr>
            </w:pPr>
          </w:p>
        </w:tc>
        <w:tc>
          <w:tcPr>
            <w:tcW w:w="4020" w:type="dxa"/>
            <w:vAlign w:val="bottom"/>
          </w:tcPr>
          <w:p>
            <w:pPr>
              <w:jc w:val="center"/>
              <w:ind w:right="109"/>
              <w:spacing w:after="0"/>
              <w:rPr>
                <w:sz w:val="20"/>
                <w:szCs w:val="20"/>
                <w:color w:val="auto"/>
              </w:rPr>
            </w:pPr>
            <w:r>
              <w:rPr>
                <w:rFonts w:ascii="Arial" w:cs="Arial" w:eastAsia="Arial" w:hAnsi="Arial"/>
                <w:sz w:val="18"/>
                <w:szCs w:val="18"/>
                <w:color w:val="auto"/>
                <w:w w:val="90"/>
              </w:rPr>
              <w:t>(Exact name of registrant as specified in its charter)</w:t>
            </w:r>
          </w:p>
        </w:tc>
        <w:tc>
          <w:tcPr>
            <w:tcW w:w="3500" w:type="dxa"/>
            <w:vAlign w:val="bottom"/>
          </w:tcPr>
          <w:p>
            <w:pPr>
              <w:spacing w:after="0"/>
              <w:rPr>
                <w:sz w:val="24"/>
                <w:szCs w:val="24"/>
                <w:color w:val="auto"/>
              </w:rPr>
            </w:pPr>
          </w:p>
        </w:tc>
      </w:tr>
      <w:tr>
        <w:trPr>
          <w:trHeight w:val="418"/>
        </w:trPr>
        <w:tc>
          <w:tcPr>
            <w:tcW w:w="3720" w:type="dxa"/>
            <w:vAlign w:val="bottom"/>
          </w:tcPr>
          <w:p>
            <w:pPr>
              <w:jc w:val="center"/>
              <w:ind w:left="1270"/>
              <w:spacing w:after="0"/>
              <w:rPr>
                <w:sz w:val="20"/>
                <w:szCs w:val="20"/>
                <w:color w:val="auto"/>
              </w:rPr>
            </w:pPr>
            <w:r>
              <w:rPr>
                <w:rFonts w:ascii="Arial" w:cs="Arial" w:eastAsia="Arial" w:hAnsi="Arial"/>
                <w:sz w:val="18"/>
                <w:szCs w:val="18"/>
                <w:color w:val="auto"/>
                <w:w w:val="89"/>
              </w:rPr>
              <w:t>Delaware</w:t>
            </w:r>
          </w:p>
        </w:tc>
        <w:tc>
          <w:tcPr>
            <w:tcW w:w="4020" w:type="dxa"/>
            <w:vAlign w:val="bottom"/>
          </w:tcPr>
          <w:p>
            <w:pPr>
              <w:jc w:val="center"/>
              <w:ind w:right="89"/>
              <w:spacing w:after="0"/>
              <w:rPr>
                <w:sz w:val="20"/>
                <w:szCs w:val="20"/>
                <w:color w:val="auto"/>
              </w:rPr>
            </w:pPr>
            <w:r>
              <w:rPr>
                <w:rFonts w:ascii="Arial" w:cs="Arial" w:eastAsia="Arial" w:hAnsi="Arial"/>
                <w:sz w:val="18"/>
                <w:szCs w:val="18"/>
                <w:color w:val="auto"/>
                <w:w w:val="90"/>
              </w:rPr>
              <w:t>001-04298</w:t>
            </w:r>
          </w:p>
        </w:tc>
        <w:tc>
          <w:tcPr>
            <w:tcW w:w="3500" w:type="dxa"/>
            <w:vAlign w:val="bottom"/>
          </w:tcPr>
          <w:p>
            <w:pPr>
              <w:jc w:val="right"/>
              <w:ind w:right="2010"/>
              <w:spacing w:after="0"/>
              <w:rPr>
                <w:sz w:val="20"/>
                <w:szCs w:val="20"/>
                <w:color w:val="auto"/>
              </w:rPr>
            </w:pPr>
            <w:r>
              <w:rPr>
                <w:rFonts w:ascii="Arial" w:cs="Arial" w:eastAsia="Arial" w:hAnsi="Arial"/>
                <w:sz w:val="18"/>
                <w:szCs w:val="18"/>
                <w:color w:val="auto"/>
              </w:rPr>
              <w:t>95-1934119</w:t>
            </w:r>
          </w:p>
        </w:tc>
      </w:tr>
      <w:tr>
        <w:trPr>
          <w:trHeight w:val="216"/>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2"/>
              </w:rPr>
              <w:t>(State or other jurisdiction</w:t>
            </w:r>
          </w:p>
        </w:tc>
        <w:tc>
          <w:tcPr>
            <w:tcW w:w="4020" w:type="dxa"/>
            <w:vAlign w:val="bottom"/>
          </w:tcPr>
          <w:p>
            <w:pPr>
              <w:jc w:val="center"/>
              <w:ind w:right="109"/>
              <w:spacing w:after="0"/>
              <w:rPr>
                <w:sz w:val="20"/>
                <w:szCs w:val="20"/>
                <w:color w:val="auto"/>
              </w:rPr>
            </w:pPr>
            <w:r>
              <w:rPr>
                <w:rFonts w:ascii="Arial" w:cs="Arial" w:eastAsia="Arial" w:hAnsi="Arial"/>
                <w:sz w:val="18"/>
                <w:szCs w:val="18"/>
                <w:color w:val="auto"/>
                <w:w w:val="91"/>
              </w:rPr>
              <w:t>(Commission</w:t>
            </w:r>
          </w:p>
        </w:tc>
        <w:tc>
          <w:tcPr>
            <w:tcW w:w="3500" w:type="dxa"/>
            <w:vAlign w:val="bottom"/>
          </w:tcPr>
          <w:p>
            <w:pPr>
              <w:jc w:val="center"/>
              <w:ind w:right="1470"/>
              <w:spacing w:after="0"/>
              <w:rPr>
                <w:sz w:val="20"/>
                <w:szCs w:val="20"/>
                <w:color w:val="auto"/>
              </w:rPr>
            </w:pPr>
            <w:r>
              <w:rPr>
                <w:rFonts w:ascii="Arial" w:cs="Arial" w:eastAsia="Arial" w:hAnsi="Arial"/>
                <w:sz w:val="18"/>
                <w:szCs w:val="18"/>
                <w:color w:val="auto"/>
                <w:w w:val="92"/>
              </w:rPr>
              <w:t>(I.R.S. Employer</w:t>
            </w:r>
          </w:p>
        </w:tc>
      </w:tr>
      <w:tr>
        <w:trPr>
          <w:trHeight w:val="230"/>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3"/>
              </w:rPr>
              <w:t>of incorporation)</w:t>
            </w:r>
          </w:p>
        </w:tc>
        <w:tc>
          <w:tcPr>
            <w:tcW w:w="4020" w:type="dxa"/>
            <w:vAlign w:val="bottom"/>
          </w:tcPr>
          <w:p>
            <w:pPr>
              <w:jc w:val="center"/>
              <w:ind w:right="89"/>
              <w:spacing w:after="0"/>
              <w:rPr>
                <w:sz w:val="20"/>
                <w:szCs w:val="20"/>
                <w:color w:val="auto"/>
              </w:rPr>
            </w:pPr>
            <w:r>
              <w:rPr>
                <w:rFonts w:ascii="Arial" w:cs="Arial" w:eastAsia="Arial" w:hAnsi="Arial"/>
                <w:sz w:val="18"/>
                <w:szCs w:val="18"/>
                <w:color w:val="auto"/>
                <w:w w:val="94"/>
              </w:rPr>
              <w:t>File Number)</w:t>
            </w:r>
          </w:p>
        </w:tc>
        <w:tc>
          <w:tcPr>
            <w:tcW w:w="3500" w:type="dxa"/>
            <w:vAlign w:val="bottom"/>
          </w:tcPr>
          <w:p>
            <w:pPr>
              <w:jc w:val="center"/>
              <w:ind w:righ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2"/>
              </w:rPr>
              <w:t>12367 Crosthwaite Circle,</w:t>
            </w:r>
          </w:p>
        </w:tc>
        <w:tc>
          <w:tcPr>
            <w:tcW w:w="4020" w:type="dxa"/>
            <w:vAlign w:val="bottom"/>
          </w:tcPr>
          <w:p>
            <w:pPr>
              <w:spacing w:after="0"/>
              <w:rPr>
                <w:sz w:val="24"/>
                <w:szCs w:val="24"/>
                <w:color w:val="auto"/>
              </w:rPr>
            </w:pPr>
          </w:p>
        </w:tc>
        <w:tc>
          <w:tcPr>
            <w:tcW w:w="3500" w:type="dxa"/>
            <w:vAlign w:val="bottom"/>
          </w:tcPr>
          <w:p>
            <w:pPr>
              <w:jc w:val="right"/>
              <w:ind w:right="2210"/>
              <w:spacing w:after="0"/>
              <w:rPr>
                <w:sz w:val="20"/>
                <w:szCs w:val="20"/>
                <w:color w:val="auto"/>
              </w:rPr>
            </w:pPr>
            <w:r>
              <w:rPr>
                <w:rFonts w:ascii="Arial" w:cs="Arial" w:eastAsia="Arial" w:hAnsi="Arial"/>
                <w:sz w:val="18"/>
                <w:szCs w:val="18"/>
                <w:color w:val="auto"/>
              </w:rPr>
              <w:t>92064</w:t>
            </w:r>
          </w:p>
        </w:tc>
      </w:tr>
      <w:tr>
        <w:trPr>
          <w:trHeight w:val="216"/>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2"/>
              </w:rPr>
              <w:t>Poway, California</w:t>
            </w:r>
          </w:p>
        </w:tc>
        <w:tc>
          <w:tcPr>
            <w:tcW w:w="40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w:t>
            </w:r>
          </w:p>
        </w:tc>
        <w:tc>
          <w:tcPr>
            <w:tcW w:w="4020" w:type="dxa"/>
            <w:vAlign w:val="bottom"/>
          </w:tcPr>
          <w:p>
            <w:pPr>
              <w:spacing w:after="0"/>
              <w:rPr>
                <w:sz w:val="18"/>
                <w:szCs w:val="18"/>
                <w:color w:val="auto"/>
              </w:rPr>
            </w:pPr>
          </w:p>
        </w:tc>
        <w:tc>
          <w:tcPr>
            <w:tcW w:w="3500" w:type="dxa"/>
            <w:vAlign w:val="bottom"/>
          </w:tcPr>
          <w:p>
            <w:pPr>
              <w:jc w:val="center"/>
              <w:ind w:right="1470"/>
              <w:spacing w:after="0"/>
              <w:rPr>
                <w:sz w:val="20"/>
                <w:szCs w:val="20"/>
                <w:color w:val="auto"/>
              </w:rPr>
            </w:pPr>
            <w:r>
              <w:rPr>
                <w:rFonts w:ascii="Arial" w:cs="Arial" w:eastAsia="Arial" w:hAnsi="Arial"/>
                <w:sz w:val="18"/>
                <w:szCs w:val="18"/>
                <w:color w:val="auto"/>
                <w:w w:val="91"/>
              </w:rPr>
              <w:t>(Zip Code)</w:t>
            </w:r>
          </w:p>
        </w:tc>
      </w:tr>
      <w:tr>
        <w:trPr>
          <w:trHeight w:val="230"/>
        </w:trPr>
        <w:tc>
          <w:tcPr>
            <w:tcW w:w="3720" w:type="dxa"/>
            <w:vAlign w:val="bottom"/>
          </w:tcPr>
          <w:p>
            <w:pPr>
              <w:jc w:val="center"/>
              <w:ind w:left="1250"/>
              <w:spacing w:after="0"/>
              <w:rPr>
                <w:sz w:val="20"/>
                <w:szCs w:val="20"/>
                <w:color w:val="auto"/>
              </w:rPr>
            </w:pPr>
            <w:r>
              <w:rPr>
                <w:rFonts w:ascii="Arial" w:cs="Arial" w:eastAsia="Arial" w:hAnsi="Arial"/>
                <w:sz w:val="18"/>
                <w:szCs w:val="18"/>
                <w:color w:val="auto"/>
                <w:w w:val="92"/>
              </w:rPr>
              <w:t>offices)</w:t>
            </w:r>
          </w:p>
        </w:tc>
        <w:tc>
          <w:tcPr>
            <w:tcW w:w="40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32"/>
        </w:trPr>
        <w:tc>
          <w:tcPr>
            <w:tcW w:w="7740" w:type="dxa"/>
            <w:vAlign w:val="bottom"/>
            <w:gridSpan w:val="2"/>
          </w:tcPr>
          <w:p>
            <w:pPr>
              <w:ind w:left="940"/>
              <w:spacing w:after="0"/>
              <w:rPr>
                <w:sz w:val="20"/>
                <w:szCs w:val="20"/>
                <w:color w:val="auto"/>
              </w:rPr>
            </w:pPr>
            <w:r>
              <w:rPr>
                <w:rFonts w:ascii="Arial" w:cs="Arial" w:eastAsia="Arial" w:hAnsi="Arial"/>
                <w:sz w:val="18"/>
                <w:szCs w:val="18"/>
                <w:color w:val="auto"/>
              </w:rPr>
              <w:t>Registrant’s telephone number, including area code:</w:t>
            </w:r>
          </w:p>
        </w:tc>
        <w:tc>
          <w:tcPr>
            <w:tcW w:w="3500" w:type="dxa"/>
            <w:vAlign w:val="bottom"/>
          </w:tcPr>
          <w:p>
            <w:pPr>
              <w:jc w:val="right"/>
              <w:ind w:right="2110"/>
              <w:spacing w:after="0"/>
              <w:rPr>
                <w:sz w:val="20"/>
                <w:szCs w:val="20"/>
                <w:color w:val="auto"/>
              </w:rPr>
            </w:pPr>
            <w:r>
              <w:rPr>
                <w:rFonts w:ascii="Arial" w:cs="Arial" w:eastAsia="Arial" w:hAnsi="Arial"/>
                <w:sz w:val="18"/>
                <w:szCs w:val="18"/>
                <w:color w:val="auto"/>
              </w:rPr>
              <w:t>858-848-8100</w:t>
            </w:r>
          </w:p>
        </w:tc>
      </w:tr>
      <w:tr>
        <w:trPr>
          <w:trHeight w:val="432"/>
        </w:trPr>
        <w:tc>
          <w:tcPr>
            <w:tcW w:w="3720" w:type="dxa"/>
            <w:vAlign w:val="bottom"/>
          </w:tcPr>
          <w:p>
            <w:pPr>
              <w:spacing w:after="0"/>
              <w:rPr>
                <w:sz w:val="24"/>
                <w:szCs w:val="24"/>
                <w:color w:val="auto"/>
              </w:rPr>
            </w:pPr>
          </w:p>
        </w:tc>
        <w:tc>
          <w:tcPr>
            <w:tcW w:w="4020" w:type="dxa"/>
            <w:vAlign w:val="bottom"/>
          </w:tcPr>
          <w:p>
            <w:pPr>
              <w:jc w:val="center"/>
              <w:ind w:right="89"/>
              <w:spacing w:after="0"/>
              <w:rPr>
                <w:sz w:val="20"/>
                <w:szCs w:val="20"/>
                <w:color w:val="auto"/>
              </w:rPr>
            </w:pPr>
            <w:r>
              <w:rPr>
                <w:rFonts w:ascii="Arial" w:cs="Arial" w:eastAsia="Arial" w:hAnsi="Arial"/>
                <w:sz w:val="18"/>
                <w:szCs w:val="18"/>
                <w:color w:val="auto"/>
                <w:w w:val="94"/>
              </w:rPr>
              <w:t>Not Applicable</w:t>
            </w:r>
          </w:p>
        </w:tc>
        <w:tc>
          <w:tcPr>
            <w:tcW w:w="35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449" w:right="3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20" w:space="720"/>
            <w:col w:w="2020" w:space="720"/>
            <w:col w:w="3560"/>
          </w:cols>
          <w:pgMar w:left="320" w:top="449" w:right="339" w:bottom="1440" w:gutter="0" w:footer="0" w:header="0"/>
          <w:type w:val="continuous"/>
        </w:sectPr>
      </w:pPr>
    </w:p>
    <w:p>
      <w:pPr>
        <w:spacing w:after="0" w:line="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June 16, 2023, Cohu, Inc. (the “Company”) entered into the First Amendment to Credit and Guaranty Agreement (the “Amendment”), which amended the Company’s Credit and Guaranty Agreement, dated as of October 1, 2018, with Deutsche Bank AG New York Branch, as administrative agent, and the lenders named therein. The Amendment replaced the London interbank offered rate with the forward-looking term rate based on the secured overnight financing rate as the interest rate benchmark, subject to adjustment as specified in the Amendment.</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summary of the Amendment in this report does not purport to be complete and is qualified by reference to the full text of the Amendment, which is filed as Exhibit 10.1 to this Current Report on Form 8-K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20" w:type="dxa"/>
            <w:vAlign w:val="bottom"/>
          </w:tcPr>
          <w:p>
            <w:pPr>
              <w:spacing w:after="0"/>
              <w:rPr>
                <w:sz w:val="18"/>
                <w:szCs w:val="18"/>
                <w:color w:val="auto"/>
              </w:rPr>
            </w:pPr>
          </w:p>
        </w:tc>
      </w:tr>
      <w:tr>
        <w:trPr>
          <w:trHeight w:val="234"/>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4"/>
                <w:szCs w:val="14"/>
                <w:color w:val="auto"/>
              </w:rPr>
            </w:pPr>
          </w:p>
        </w:tc>
        <w:tc>
          <w:tcPr>
            <w:tcW w:w="93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89"/>
              </w:rPr>
              <w:t>First Amendment to Credit and Guaranty Agreement, dated as of June 16, 2023, between Cohu, Inc. and Deutsche Bank AG New</w:t>
            </w:r>
          </w:p>
        </w:tc>
      </w:tr>
      <w:tr>
        <w:trPr>
          <w:trHeight w:val="196"/>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2"/>
          </w:tcPr>
          <w:p>
            <w:pPr>
              <w:spacing w:after="0" w:line="196" w:lineRule="exact"/>
              <w:rPr>
                <w:sz w:val="20"/>
                <w:szCs w:val="20"/>
                <w:color w:val="auto"/>
              </w:rPr>
            </w:pPr>
            <w:r>
              <w:rPr>
                <w:rFonts w:ascii="Arial" w:cs="Arial" w:eastAsia="Arial" w:hAnsi="Arial"/>
                <w:sz w:val="18"/>
                <w:szCs w:val="18"/>
                <w:color w:val="0000EE"/>
              </w:rPr>
              <w:t>York Branch, as administrative agent.</w:t>
            </w:r>
          </w:p>
        </w:tc>
      </w:tr>
      <w:tr>
        <w:trPr>
          <w:trHeight w:val="20"/>
        </w:trPr>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53"/>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Cohu,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i w:val="1"/>
                <w:iCs w:val="1"/>
                <w:color w:val="auto"/>
              </w:rPr>
              <w:t>June 23, 2023</w:t>
            </w:r>
          </w:p>
        </w:tc>
        <w:tc>
          <w:tcPr>
            <w:tcW w:w="7980" w:type="dxa"/>
            <w:vAlign w:val="bottom"/>
            <w:gridSpan w:val="2"/>
          </w:tcPr>
          <w:p>
            <w:pPr>
              <w:ind w:left="2260"/>
              <w:spacing w:after="0"/>
              <w:rPr>
                <w:sz w:val="20"/>
                <w:szCs w:val="20"/>
                <w:color w:val="auto"/>
              </w:rPr>
            </w:pPr>
            <w:r>
              <w:rPr>
                <w:rFonts w:ascii="Arial" w:cs="Arial" w:eastAsia="Arial" w:hAnsi="Arial"/>
                <w:sz w:val="18"/>
                <w:szCs w:val="18"/>
                <w:i w:val="1"/>
                <w:iCs w:val="1"/>
                <w:color w:val="auto"/>
              </w:rPr>
              <w:t>By:   /s/ Jeffrey D. Jones</w:t>
            </w:r>
          </w:p>
        </w:tc>
      </w:tr>
      <w:tr>
        <w:trPr>
          <w:trHeight w:val="195"/>
        </w:trPr>
        <w:tc>
          <w:tcPr>
            <w:tcW w:w="3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Name: Jeffrey D. Jones</w:t>
            </w:r>
          </w:p>
        </w:tc>
      </w:tr>
      <w:tr>
        <w:trPr>
          <w:trHeight w:val="230"/>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Title: Senior VP Finance and Chief Financial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CREDIT AND GUARANTY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FIRST AMENDMENT TO CREDIT AND GUARANTY AGREEMENT, dated as of June 16, 2023 (this “</w:t>
      </w:r>
      <w:r>
        <w:rPr>
          <w:rFonts w:ascii="Arial" w:cs="Arial" w:eastAsia="Arial" w:hAnsi="Arial"/>
          <w:sz w:val="17"/>
          <w:szCs w:val="17"/>
          <w:u w:val="single" w:color="auto"/>
          <w:color w:val="auto"/>
        </w:rPr>
        <w:t>First Amendment</w:t>
      </w:r>
      <w:r>
        <w:rPr>
          <w:rFonts w:ascii="Arial" w:cs="Arial" w:eastAsia="Arial" w:hAnsi="Arial"/>
          <w:sz w:val="17"/>
          <w:szCs w:val="17"/>
          <w:color w:val="auto"/>
        </w:rPr>
        <w:t>”), by and among COHU,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and DEUTSCHE BANK AG NEW YORK BRANCH,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Unless otherwise indicated, all capitalized terms used herein but not otherwise defined herein shall have the same meanings as specified in the Credit Agreement or, if not defined therein, the Amended Credit Agreement (each as defined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WHEREAS, the Borrower, the Guarantor Subsidiaries party thereto from time to time, each lender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Administrative Agent and Deutsche Bank AG New York Branch, as collateral agent, have previously entered into that certain Credit and Guaranty Agreement, dated as of October 1, 2018 (as amended, restated, amended and restated, supplemented and/or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Credit Agreement as amended by this First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WHEREAS, the Credit Agreement may be waived, amended or modified pursuant to an agreement or agreements in writing entered into by the Borrower and the Administrative Agent required pursuant to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of the Credit Agreement; and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pursuant to Section 2.18 of the Credit Agreement, the Administrative Agent and the Borrower desire to amend the Credit Agreement to implement an alternate rate of interest based on Term SOFR in replacement of the Eurodollar Rate for all purposes under the Credit Agreement, upon the terms and subject to the conditions set forth herein.</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sufficiency and receipt of all of which is hereby acknowledged, the parties hereto hereby agree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satisfaction (or waiver) of the conditions set forth in Section 2 hereof, effective as of the First Amendment Effective Date (as defined below) and subject to the terms and conditions set forth herein:</w:t>
      </w:r>
    </w:p>
    <w:p>
      <w:pPr>
        <w:spacing w:after="0" w:line="170" w:lineRule="exact"/>
        <w:rPr>
          <w:sz w:val="20"/>
          <w:szCs w:val="20"/>
          <w:color w:val="auto"/>
        </w:rPr>
      </w:pPr>
    </w:p>
    <w:p>
      <w:pPr>
        <w:jc w:val="both"/>
        <w:ind w:firstLine="1142"/>
        <w:spacing w:after="0" w:line="263" w:lineRule="auto"/>
        <w:tabs>
          <w:tab w:leader="none" w:pos="161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Credit Agreement is hereby amended by deleting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bold underlined text (indicated textually in the same manner as the following example: </w:t>
      </w:r>
      <w:r>
        <w:rPr>
          <w:rFonts w:ascii="Arial" w:cs="Arial" w:eastAsia="Arial" w:hAnsi="Arial"/>
          <w:sz w:val="18"/>
          <w:szCs w:val="18"/>
          <w:b w:val="1"/>
          <w:bCs w:val="1"/>
          <w:u w:val="single" w:color="auto"/>
          <w:color w:val="0000FF"/>
        </w:rPr>
        <w:t>underlined text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color w:val="auto"/>
        </w:rPr>
      </w:pPr>
    </w:p>
    <w:p>
      <w:pPr>
        <w:ind w:left="1540" w:hanging="398"/>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Exhibit A-1 of the Credit Agreement is hereby amended and restated in its entirety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236" w:lineRule="exact"/>
        <w:rPr>
          <w:rFonts w:ascii="Arial" w:cs="Arial" w:eastAsia="Arial" w:hAnsi="Arial"/>
          <w:sz w:val="17"/>
          <w:szCs w:val="17"/>
          <w:color w:val="auto"/>
        </w:rPr>
      </w:pPr>
    </w:p>
    <w:p>
      <w:pPr>
        <w:ind w:left="1520" w:hanging="378"/>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Exhibit A-2 of the Credit Agreement is hereby amended and restated in its entirety as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-671830</wp:posOffset>
            </wp:positionV>
            <wp:extent cx="754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to Effectiveness of First Amendment</w:t>
      </w:r>
      <w:r>
        <w:rPr>
          <w:rFonts w:ascii="Arial" w:cs="Arial" w:eastAsia="Arial" w:hAnsi="Arial"/>
          <w:sz w:val="18"/>
          <w:szCs w:val="18"/>
          <w:color w:val="auto"/>
        </w:rPr>
        <w:t>. This First Amendment shall become effective immediately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on which each of the following conditions have been satisfied or waived (which, in the case of clause (b), may occur concurrently with the satisfaction or waiver of the other conditions set forth below):</w:t>
      </w:r>
    </w:p>
    <w:p>
      <w:pPr>
        <w:spacing w:after="0" w:line="184" w:lineRule="exact"/>
        <w:rPr>
          <w:sz w:val="20"/>
          <w:szCs w:val="20"/>
          <w:color w:val="auto"/>
        </w:rPr>
      </w:pPr>
    </w:p>
    <w:p>
      <w:pPr>
        <w:jc w:val="both"/>
        <w:ind w:firstLine="1142"/>
        <w:spacing w:after="0" w:line="263" w:lineRule="auto"/>
        <w:tabs>
          <w:tab w:leader="none" w:pos="153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(or its counsel) will have received from the (i) Borrower and (ii) Administrative Agent, a counterpart of this First Amendment (whether the same or different counterparts) executed on behalf of each such Person (which may be transmitted by facsimile or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1142"/>
        <w:spacing w:after="0" w:line="259" w:lineRule="auto"/>
        <w:tabs>
          <w:tab w:leader="none" w:pos="165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Borrower shall have paid, by wire transfer of immediately available funds, all fees and reasonable out-of-pocket expenses (including the reasonable fees and expenses of White &amp; Case LLP) to the extent invoiced at least one day prior to the First Amendment Effective Date, incurred by the Administrative Agent in connection with the preparation, negotiation and execution of this First Amendment and required to be paid in connection with this First Amendment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w:t>
      </w:r>
    </w:p>
    <w:p>
      <w:pPr>
        <w:spacing w:after="0" w:line="186" w:lineRule="exact"/>
        <w:rPr>
          <w:rFonts w:ascii="Arial" w:cs="Arial" w:eastAsia="Arial" w:hAnsi="Arial"/>
          <w:sz w:val="18"/>
          <w:szCs w:val="18"/>
          <w:color w:val="auto"/>
        </w:rPr>
      </w:pPr>
    </w:p>
    <w:p>
      <w:pPr>
        <w:ind w:left="1520" w:hanging="378"/>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shall be true and correct;</w:t>
      </w:r>
    </w:p>
    <w:p>
      <w:pPr>
        <w:spacing w:after="0" w:line="225"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the time of and immediately after giving effect to First Amendment, no Default or Event of Default shall have occurred and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10" w:lineRule="exact"/>
        <w:rPr>
          <w:rFonts w:ascii="Arial" w:cs="Arial" w:eastAsia="Arial" w:hAnsi="Arial"/>
          <w:sz w:val="17"/>
          <w:szCs w:val="17"/>
          <w:color w:val="auto"/>
        </w:rPr>
      </w:pPr>
    </w:p>
    <w:p>
      <w:pPr>
        <w:ind w:firstLine="1142"/>
        <w:spacing w:after="0" w:line="277" w:lineRule="auto"/>
        <w:tabs>
          <w:tab w:leader="none" w:pos="160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of a Responsible Officer of the Borrower, certifying that the condition precedent set forth in clauses (c) and (d)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has been satisfied; and</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5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Administrative Agent shall not have received, by 5:00 p.m. (New York City time) on the fifth (5th) Business Day after the date of the posting of this First Amendment to the Lenders, a written notice from the Required Lenders stating that such Required Lenders object to this First Amendment (and the alternate rate of interest provided herein).</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First Amendment, the Borrower hereby represents and warrants to the Administrative Agent that:</w:t>
      </w:r>
    </w:p>
    <w:p>
      <w:pPr>
        <w:spacing w:after="0" w:line="170" w:lineRule="exact"/>
        <w:rPr>
          <w:sz w:val="20"/>
          <w:szCs w:val="20"/>
          <w:color w:val="auto"/>
        </w:rPr>
      </w:pPr>
    </w:p>
    <w:p>
      <w:pPr>
        <w:jc w:val="both"/>
        <w:ind w:firstLine="1142"/>
        <w:spacing w:after="0" w:line="254" w:lineRule="auto"/>
        <w:tabs>
          <w:tab w:leader="none" w:pos="1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First Amendment Effective Date, after giving effect to this First Amendment, all of the representations and warranties of the Credit Parties set forth in this First Amendment, the Credit Agreement and the other Credit Documents are true and correct in all material respects (except for those representations and warranties that are conditioned by materiality, which will be true in all respects) on and as of the First Amendment Effective Date to the same extent as though made on and as of the First Amendment Effective Date, except to the extent such representations and warranties specifically relate to an earlier date, in which case such representations and warranties will have been true and correct in all material respects (except for those representations and warranties that are conditioned by materiality, which will have been true and correct in all respects) on and as of such earlier date; and</w:t>
      </w:r>
    </w:p>
    <w:p>
      <w:pPr>
        <w:spacing w:after="0" w:line="194" w:lineRule="exact"/>
        <w:rPr>
          <w:rFonts w:ascii="Arial" w:cs="Arial" w:eastAsia="Arial" w:hAnsi="Arial"/>
          <w:sz w:val="18"/>
          <w:szCs w:val="18"/>
          <w:color w:val="auto"/>
        </w:rPr>
      </w:pPr>
    </w:p>
    <w:p>
      <w:pPr>
        <w:ind w:firstLine="1142"/>
        <w:spacing w:after="0" w:line="277" w:lineRule="auto"/>
        <w:tabs>
          <w:tab w:leader="none" w:pos="1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at the time of, or immediately after giving effect to the consummation of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ind w:firstLine="648"/>
        <w:spacing w:after="0" w:line="28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Conversion to Term SOFR</w:t>
      </w:r>
      <w:r>
        <w:rPr>
          <w:rFonts w:ascii="Arial" w:cs="Arial" w:eastAsia="Arial" w:hAnsi="Arial"/>
          <w:sz w:val="16"/>
          <w:szCs w:val="16"/>
          <w:color w:val="auto"/>
        </w:rPr>
        <w:t>. Notwithstanding the foregoing or anything to the contrary contained in this First Amendment (or Exhibit A hereto), the terms of the Credit Agreement in respect of the calculation, payment and administration of borrowings of Eurodollar Rate Loans (including the Existing Eurodollar Rate Borrowings referred to below) shall remain in full force and effect from and after the First Amendment Effective Date solely for purposes of the calculation, payment and administration of borrowings of Eurodollar Rate Loans (including the payment of interest, breakage fees and other amounts thereon). Each borrowing of Eurodollar Rate Loans that is outstanding on the First Amendment Effective Date (each, an “</w:t>
      </w:r>
      <w:r>
        <w:rPr>
          <w:rFonts w:ascii="Arial" w:cs="Arial" w:eastAsia="Arial" w:hAnsi="Arial"/>
          <w:sz w:val="16"/>
          <w:szCs w:val="16"/>
          <w:u w:val="single" w:color="auto"/>
          <w:color w:val="auto"/>
        </w:rPr>
        <w:t>Existing Eurodollar Rate Borrowing</w:t>
      </w:r>
      <w:r>
        <w:rPr>
          <w:rFonts w:ascii="Arial" w:cs="Arial" w:eastAsia="Arial" w:hAnsi="Arial"/>
          <w:sz w:val="16"/>
          <w:szCs w:val="16"/>
          <w:color w:val="auto"/>
        </w:rPr>
        <w:t>”) shall remain a borrowing of Eurodollar Rate Loans for all purposes under the Credit Agreement until June 30, 2023 or, if earlier, as of the date of any acceleration or prepayment of such existing Eurodollar Rate Loan (such earlier date, the “</w:t>
      </w:r>
      <w:r>
        <w:rPr>
          <w:rFonts w:ascii="Arial" w:cs="Arial" w:eastAsia="Arial" w:hAnsi="Arial"/>
          <w:sz w:val="16"/>
          <w:szCs w:val="16"/>
          <w:u w:val="single" w:color="auto"/>
          <w:color w:val="auto"/>
        </w:rPr>
        <w:t>SOFR Transition Date</w:t>
      </w:r>
      <w:r>
        <w:rPr>
          <w:rFonts w:ascii="Arial" w:cs="Arial" w:eastAsia="Arial" w:hAnsi="Arial"/>
          <w:sz w:val="16"/>
          <w:szCs w:val="16"/>
          <w:color w:val="auto"/>
        </w:rPr>
        <w:t xml:space="preserve">”), whereupon each such borrowing shall be converted to a borrowing of SOFR Loans with an Interest Period elected by the Borrower in accordance with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the Credit Agreement (or, if no such election is made, an Interest Period of one (1) month). From and after (x) the First Amendment Effective Date and prior to the SOFR Transition Date, any borrowing of new Loans shall be Loans bearing interest determined by reference to the Base Rate or Eurodollar Rate, as applicable, in accordance with the terms of the Credit Agreement which survive with respect to Eurodollar Rate Loans as provided in the first sentence of this Section 4 and (y) the SOFR Transition Date, (i) the Existing Eurodollar Rate Borrowings may not be continued as a borrowing of “Eurodollar Rate Loans” but shall be converted to SOFR Loans as provided above and (ii) new or continued borrowings of Loans shall be Loans bearing interest determined by reference to the Base Rate or the Term SOFR Reference Rate, as applicable, in accordance with the Amended Credit Agreement.</w:t>
      </w:r>
    </w:p>
    <w:p>
      <w:pPr>
        <w:spacing w:after="0" w:line="17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Reference to and Effect on the Credit Agreement and the Credit Documents</w:t>
      </w:r>
      <w:r>
        <w:rPr>
          <w:rFonts w:ascii="Arial" w:cs="Arial" w:eastAsia="Arial" w:hAnsi="Arial"/>
          <w:sz w:val="16"/>
          <w:szCs w:val="16"/>
          <w:color w:val="auto"/>
        </w:rPr>
        <w:t>.</w:t>
      </w:r>
    </w:p>
    <w:p>
      <w:pPr>
        <w:spacing w:after="0" w:line="225" w:lineRule="exact"/>
        <w:rPr>
          <w:sz w:val="20"/>
          <w:szCs w:val="20"/>
          <w:color w:val="auto"/>
        </w:rPr>
      </w:pPr>
    </w:p>
    <w:p>
      <w:pPr>
        <w:ind w:firstLine="1142"/>
        <w:spacing w:after="0" w:line="342" w:lineRule="auto"/>
        <w:tabs>
          <w:tab w:leader="none" w:pos="1532"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and after the First Amendment Effective Date, each reference in the Credit Agreement to “this Agreement,” “hereunder,” “hereof” or words of like import referring to the Credit Agreement shall mean and be a reference to the Credit Agreement, as amended by this First Amendment.</w:t>
      </w:r>
    </w:p>
    <w:p>
      <w:pPr>
        <w:spacing w:after="0" w:line="123" w:lineRule="exact"/>
        <w:rPr>
          <w:rFonts w:ascii="Arial" w:cs="Arial" w:eastAsia="Arial" w:hAnsi="Arial"/>
          <w:sz w:val="16"/>
          <w:szCs w:val="16"/>
          <w:color w:val="auto"/>
        </w:rPr>
      </w:pPr>
    </w:p>
    <w:p>
      <w:pPr>
        <w:jc w:val="both"/>
        <w:ind w:firstLine="1142"/>
        <w:spacing w:after="0" w:line="259" w:lineRule="auto"/>
        <w:tabs>
          <w:tab w:leader="none" w:pos="16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Credit Agreement and each of the other Credit Documents, as specifically amended by this First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under the Credit Documents, in each case, as amended by this First Amendment.</w:t>
      </w:r>
    </w:p>
    <w:p>
      <w:pPr>
        <w:spacing w:after="0" w:line="186" w:lineRule="exact"/>
        <w:rPr>
          <w:rFonts w:ascii="Arial" w:cs="Arial" w:eastAsia="Arial" w:hAnsi="Arial"/>
          <w:sz w:val="18"/>
          <w:szCs w:val="18"/>
          <w:color w:val="auto"/>
        </w:rPr>
      </w:pPr>
    </w:p>
    <w:p>
      <w:pPr>
        <w:jc w:val="both"/>
        <w:ind w:firstLine="1142"/>
        <w:spacing w:after="0" w:line="259" w:lineRule="auto"/>
        <w:tabs>
          <w:tab w:leader="none" w:pos="15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execution, delivery and effectiveness of this First Amendment shall not, except as expressly provided herein, operate as a waiver of any right, power or remedy of any Lender or the Administrative Agent under any of the Credit Documents, nor constitute a waiver of any provision of any of the Credit Documents. On and after the effectiveness of this First Amendment, this First Amendment shall for all purposes constitute a Credit Document.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Execution in Counterparts; Electronic Delivery</w:t>
      </w:r>
      <w:r>
        <w:rPr>
          <w:rFonts w:ascii="Arial" w:cs="Arial" w:eastAsia="Arial" w:hAnsi="Arial"/>
          <w:sz w:val="18"/>
          <w:szCs w:val="18"/>
          <w:color w:val="auto"/>
        </w:rPr>
        <w:t>. This First Amendment may be executed in one or more counterparts, each of which shall be deemed an original, but all of which together shall constitute one and the same instrument. Signature pages may be detached from multiple separate counterparts and attached to a single counterpart. Delivery of an executed signature page of this Agreement by facsimile transmission or Electronic Transmission will be as effective as delivery of a manually executed counterpart hereof. The words “execution”, “execute”, “signed”, “signature”, and words of like import in or related to any document to be signed in connection with this First Amendment shall be deemed to include electronic signatures, the electronic matching of assignment terms and contract formations on electronic platforms approved by us,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ind w:left="660"/>
        <w:spacing w:after="0"/>
        <w:tabs>
          <w:tab w:leader="none" w:pos="19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Governing Law; Miscellaneous</w:t>
      </w:r>
      <w:r>
        <w:rPr>
          <w:rFonts w:ascii="Arial" w:cs="Arial" w:eastAsia="Arial" w:hAnsi="Arial"/>
          <w:sz w:val="16"/>
          <w:szCs w:val="16"/>
          <w:color w:val="auto"/>
        </w:rPr>
        <w:t>.</w:t>
      </w:r>
    </w:p>
    <w:p>
      <w:pPr>
        <w:spacing w:after="0" w:line="225" w:lineRule="exact"/>
        <w:rPr>
          <w:sz w:val="20"/>
          <w:szCs w:val="20"/>
          <w:color w:val="auto"/>
        </w:rPr>
      </w:pPr>
    </w:p>
    <w:p>
      <w:pPr>
        <w:ind w:firstLine="1142"/>
        <w:spacing w:after="0" w:line="277" w:lineRule="auto"/>
        <w:tabs>
          <w:tab w:leader="none" w:pos="15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FIRST AMENDMENT SHALL BE SUBJECT TO, AND CONSTRUED IN ACCORDANCE WITH, SECTIONS 10.14 AND 10.16 OF THE CREDIT AGREEMENT, WHICH ARE HEREBY INCORPORATED BY REFERENCE INTO THIS FIRST AMENDMENT.</w:t>
      </w:r>
    </w:p>
    <w:p>
      <w:pPr>
        <w:spacing w:after="0" w:line="170" w:lineRule="exact"/>
        <w:rPr>
          <w:rFonts w:ascii="Arial" w:cs="Arial" w:eastAsia="Arial" w:hAnsi="Arial"/>
          <w:sz w:val="18"/>
          <w:szCs w:val="18"/>
          <w:color w:val="auto"/>
        </w:rPr>
      </w:pPr>
    </w:p>
    <w:p>
      <w:pPr>
        <w:ind w:left="1560" w:hanging="418"/>
        <w:spacing w:after="0"/>
        <w:tabs>
          <w:tab w:leader="none" w:pos="1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Nothing in this First Amendment shall be deemed to be a novation of any obligations under the Credit Agreement or any other Credit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First Amendment shall inure to the benefit of, and shall be binding upon, the respective successors and assigns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be executed by their respective officers thereunto duly authorized, as of the date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COHU, INC.</w:t>
      </w:r>
      <w:r>
        <w:rPr>
          <w:rFonts w:ascii="Arial" w:cs="Arial" w:eastAsia="Arial" w:hAnsi="Arial"/>
          <w:sz w:val="18"/>
          <w:szCs w:val="18"/>
          <w:color w:val="auto"/>
        </w:rPr>
        <w:t>, as Borrower</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First Amendment to Project Xavier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right"/>
        <w:ind w:right="739"/>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First Amendment to Project Xavier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FF0000"/>
          <w:strike w:val="1"/>
        </w:rPr>
        <w:t>EXECUTION VERSION</w:t>
      </w:r>
      <w:r>
        <w:rPr>
          <w:rFonts w:ascii="Arial" w:cs="Arial" w:eastAsia="Arial" w:hAnsi="Arial"/>
          <w:sz w:val="18"/>
          <w:szCs w:val="18"/>
          <w:u w:val="single" w:color="auto"/>
          <w:color w:val="0000FF"/>
          <w:strike w:val="1"/>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$350,000,000</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CREDIT AND GUARANTY AGREEMENT</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October 1, 2018,</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0000FF"/>
        </w:rPr>
        <w:t>as amended by the First Amendment, dated as of 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6350</wp:posOffset>
            </wp:positionV>
            <wp:extent cx="2914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CERTAIN SUBSIDIARIES OF THE BORROWER</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FROM TIME TO TIME PARTY HERETO,</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Guarantor Subsidiaries,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From Time to Time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 Lead Arranger and Lead Book Running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373380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00" w:type="dxa"/>
            <w:vAlign w:val="bottom"/>
            <w:gridSpan w:val="3"/>
          </w:tcPr>
          <w:p>
            <w:pPr>
              <w:ind w:left="3640"/>
              <w:spacing w:after="0"/>
              <w:rPr>
                <w:sz w:val="20"/>
                <w:szCs w:val="20"/>
                <w:color w:val="auto"/>
              </w:rPr>
            </w:pPr>
            <w:r>
              <w:rPr>
                <w:rFonts w:ascii="Arial" w:cs="Arial" w:eastAsia="Arial" w:hAnsi="Arial"/>
                <w:sz w:val="18"/>
                <w:szCs w:val="18"/>
                <w:b w:val="1"/>
                <w:bCs w:val="1"/>
                <w:color w:val="auto"/>
                <w:w w:val="78"/>
              </w:rPr>
              <w:t>Page</w:t>
            </w:r>
          </w:p>
        </w:tc>
      </w:tr>
      <w:tr>
        <w:trPr>
          <w:trHeight w:val="45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16"/>
        </w:trPr>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1.</w:t>
            </w: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DEFINITIONS AND INTERPRETATION</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1.1</w:t>
            </w:r>
          </w:p>
        </w:tc>
        <w:tc>
          <w:tcPr>
            <w:tcW w:w="980" w:type="dxa"/>
            <w:vAlign w:val="bottom"/>
            <w:shd w:val="clear" w:color="auto" w:fill="CCEEFF"/>
          </w:tcPr>
          <w:p>
            <w:pPr>
              <w:spacing w:after="0"/>
              <w:rPr>
                <w:sz w:val="18"/>
                <w:szCs w:val="18"/>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Definitions</w:t>
            </w:r>
          </w:p>
        </w:tc>
        <w:tc>
          <w:tcPr>
            <w:tcW w:w="4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75"/>
        </w:trPr>
        <w:tc>
          <w:tcPr>
            <w:tcW w:w="72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79"/>
              </w:rPr>
              <w:t>1.2</w:t>
            </w:r>
          </w:p>
        </w:tc>
        <w:tc>
          <w:tcPr>
            <w:tcW w:w="980" w:type="dxa"/>
            <w:vAlign w:val="bottom"/>
          </w:tcPr>
          <w:p>
            <w:pPr>
              <w:spacing w:after="0"/>
              <w:rPr>
                <w:sz w:val="15"/>
                <w:szCs w:val="15"/>
                <w:color w:val="auto"/>
              </w:rPr>
            </w:pPr>
          </w:p>
        </w:tc>
        <w:tc>
          <w:tcPr>
            <w:tcW w:w="5540" w:type="dxa"/>
            <w:vAlign w:val="bottom"/>
            <w:gridSpan w:val="4"/>
          </w:tcPr>
          <w:p>
            <w:pPr>
              <w:spacing w:after="0" w:line="176" w:lineRule="exact"/>
              <w:rPr>
                <w:sz w:val="20"/>
                <w:szCs w:val="20"/>
                <w:color w:val="auto"/>
              </w:rPr>
            </w:pPr>
            <w:r>
              <w:rPr>
                <w:rFonts w:ascii="Arial" w:cs="Arial" w:eastAsia="Arial" w:hAnsi="Arial"/>
                <w:sz w:val="18"/>
                <w:szCs w:val="18"/>
                <w:color w:val="auto"/>
              </w:rPr>
              <w:t>Accounting Terms</w:t>
            </w:r>
          </w:p>
        </w:tc>
        <w:tc>
          <w:tcPr>
            <w:tcW w:w="36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60</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1.3</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Interpretation, etc.</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61</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1.4</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Certifications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57</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61</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1.5</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Limited Condition Acquisitions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57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61</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0000FF"/>
                <w:w w:val="79"/>
              </w:rPr>
              <w:t>1.</w:t>
            </w:r>
            <w:r>
              <w:rPr>
                <w:rFonts w:ascii="Arial" w:cs="Arial" w:eastAsia="Arial" w:hAnsi="Arial"/>
                <w:sz w:val="18"/>
                <w:szCs w:val="18"/>
                <w:u w:val="single" w:color="auto"/>
                <w:color w:val="0000FF"/>
                <w:w w:val="79"/>
              </w:rPr>
              <w:t>6</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0000FF"/>
                <w:w w:val="90"/>
              </w:rPr>
              <w:t>Disclaimer and Exculpation With Respect to SOFR and any Benchmark Rate</w:t>
            </w:r>
          </w:p>
        </w:tc>
        <w:tc>
          <w:tcPr>
            <w:tcW w:w="3820" w:type="dxa"/>
            <w:vAlign w:val="bottom"/>
            <w:tcBorders>
              <w:top w:val="single" w:sz="8" w:color="CCEEFF"/>
            </w:tcBorders>
            <w:gridSpan w:val="2"/>
          </w:tcPr>
          <w:p>
            <w:pPr>
              <w:spacing w:after="0"/>
              <w:rPr>
                <w:sz w:val="13"/>
                <w:szCs w:val="13"/>
                <w:color w:val="auto"/>
              </w:rPr>
            </w:pPr>
          </w:p>
        </w:tc>
        <w:tc>
          <w:tcPr>
            <w:tcW w:w="1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0000FF"/>
                <w:w w:val="79"/>
              </w:rPr>
              <w:t>62</w:t>
            </w:r>
          </w:p>
        </w:tc>
      </w:tr>
      <w:tr>
        <w:trPr>
          <w:trHeight w:val="20"/>
        </w:trPr>
        <w:tc>
          <w:tcPr>
            <w:tcW w:w="500" w:type="dxa"/>
            <w:vAlign w:val="bottom"/>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700" w:type="dxa"/>
            <w:vAlign w:val="bottom"/>
            <w:gridSpan w:val="3"/>
          </w:tcPr>
          <w:p>
            <w:pPr>
              <w:spacing w:after="0" w:line="176" w:lineRule="exact"/>
              <w:rPr>
                <w:sz w:val="20"/>
                <w:szCs w:val="20"/>
                <w:color w:val="auto"/>
              </w:rPr>
            </w:pPr>
            <w:r>
              <w:rPr>
                <w:rFonts w:ascii="Arial" w:cs="Arial" w:eastAsia="Arial" w:hAnsi="Arial"/>
                <w:sz w:val="18"/>
                <w:szCs w:val="18"/>
                <w:color w:val="auto"/>
              </w:rPr>
              <w:t>Section 2.</w:t>
            </w:r>
          </w:p>
        </w:tc>
        <w:tc>
          <w:tcPr>
            <w:tcW w:w="5540" w:type="dxa"/>
            <w:vAlign w:val="bottom"/>
            <w:gridSpan w:val="4"/>
          </w:tcPr>
          <w:p>
            <w:pPr>
              <w:spacing w:after="0" w:line="176" w:lineRule="exact"/>
              <w:rPr>
                <w:sz w:val="20"/>
                <w:szCs w:val="20"/>
                <w:color w:val="auto"/>
              </w:rPr>
            </w:pPr>
            <w:r>
              <w:rPr>
                <w:rFonts w:ascii="Arial" w:cs="Arial" w:eastAsia="Arial" w:hAnsi="Arial"/>
                <w:sz w:val="18"/>
                <w:szCs w:val="18"/>
                <w:color w:val="auto"/>
              </w:rPr>
              <w:t>LOANS</w:t>
            </w:r>
          </w:p>
        </w:tc>
        <w:tc>
          <w:tcPr>
            <w:tcW w:w="36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FF0000"/>
                <w:strike w:val="1"/>
                <w:w w:val="79"/>
              </w:rPr>
              <w:t>58</w:t>
            </w:r>
          </w:p>
        </w:tc>
        <w:tc>
          <w:tcPr>
            <w:tcW w:w="18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63</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6"/>
        </w:trPr>
        <w:tc>
          <w:tcPr>
            <w:tcW w:w="72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79"/>
              </w:rPr>
              <w:t>2.1</w:t>
            </w:r>
          </w:p>
        </w:tc>
        <w:tc>
          <w:tcPr>
            <w:tcW w:w="980" w:type="dxa"/>
            <w:vAlign w:val="bottom"/>
          </w:tcPr>
          <w:p>
            <w:pPr>
              <w:spacing w:after="0"/>
              <w:rPr>
                <w:sz w:val="15"/>
                <w:szCs w:val="15"/>
                <w:color w:val="auto"/>
              </w:rPr>
            </w:pPr>
          </w:p>
        </w:tc>
        <w:tc>
          <w:tcPr>
            <w:tcW w:w="5540" w:type="dxa"/>
            <w:vAlign w:val="bottom"/>
            <w:gridSpan w:val="4"/>
          </w:tcPr>
          <w:p>
            <w:pPr>
              <w:spacing w:after="0" w:line="176" w:lineRule="exact"/>
              <w:rPr>
                <w:sz w:val="20"/>
                <w:szCs w:val="20"/>
                <w:color w:val="auto"/>
              </w:rPr>
            </w:pPr>
            <w:r>
              <w:rPr>
                <w:rFonts w:ascii="Arial" w:cs="Arial" w:eastAsia="Arial" w:hAnsi="Arial"/>
                <w:sz w:val="18"/>
                <w:szCs w:val="18"/>
                <w:color w:val="auto"/>
              </w:rPr>
              <w:t>Term Loans</w:t>
            </w:r>
          </w:p>
        </w:tc>
        <w:tc>
          <w:tcPr>
            <w:tcW w:w="36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FF0000"/>
                <w:strike w:val="1"/>
                <w:w w:val="79"/>
              </w:rPr>
              <w:t>58</w:t>
            </w:r>
          </w:p>
        </w:tc>
        <w:tc>
          <w:tcPr>
            <w:tcW w:w="18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63</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2.2</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[Reserved].</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63</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2.3</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[Reserved].</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59</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63</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2.4</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[Reserved].</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64</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2.5</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Pro Rata Shares; Availability of Funds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59</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64</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2.6</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Use of Proceeds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64</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2.7</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w w:val="98"/>
              </w:rPr>
              <w:t>Evidence of Debt; Register; Disqualified Lender List; Term Loan Notes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60</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65</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2.8</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Interest on Loans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66</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2.9</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Conversion/Continuation</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62</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67</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2.10</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Default Interest</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67</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2.11</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Loan Call Protection</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63</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68</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2.12</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Scheduled Payments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68</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2.13</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Voluntary Prepayments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64</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69</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2.14</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Mandatory Prepayments/Commitment Reductions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70</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2.15</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Application of Prepayments/Reductions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67</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72</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2.16</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General Provisions Regarding Payments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74</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2.17</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Ratable Sharing</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70</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75</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6"/>
        </w:trPr>
        <w:tc>
          <w:tcPr>
            <w:tcW w:w="1700" w:type="dxa"/>
            <w:vAlign w:val="bottom"/>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2.18</w:t>
            </w:r>
          </w:p>
        </w:tc>
        <w:tc>
          <w:tcPr>
            <w:tcW w:w="1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6"/>
              </w:rPr>
              <w:t>Making or Maintaining</w:t>
            </w:r>
          </w:p>
        </w:tc>
        <w:tc>
          <w:tcPr>
            <w:tcW w:w="1140" w:type="dxa"/>
            <w:vAlign w:val="bottom"/>
            <w:shd w:val="clear" w:color="auto" w:fill="CCEEFF"/>
          </w:tcPr>
          <w:p>
            <w:pPr>
              <w:spacing w:after="0" w:line="156" w:lineRule="exact"/>
              <w:rPr>
                <w:sz w:val="20"/>
                <w:szCs w:val="20"/>
                <w:color w:val="auto"/>
              </w:rPr>
            </w:pPr>
            <w:r>
              <w:rPr>
                <w:rFonts w:ascii="Arial" w:cs="Arial" w:eastAsia="Arial" w:hAnsi="Arial"/>
                <w:sz w:val="18"/>
                <w:szCs w:val="18"/>
                <w:color w:val="FF0000"/>
                <w:strike w:val="1"/>
                <w:w w:val="89"/>
              </w:rPr>
              <w:t>Eurodollar Rate</w:t>
            </w:r>
          </w:p>
        </w:tc>
        <w:tc>
          <w:tcPr>
            <w:tcW w:w="26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0000FF"/>
              </w:rPr>
              <w:t xml:space="preserve">SOFR </w:t>
            </w:r>
            <w:r>
              <w:rPr>
                <w:rFonts w:ascii="Arial" w:cs="Arial" w:eastAsia="Arial" w:hAnsi="Arial"/>
                <w:sz w:val="18"/>
                <w:szCs w:val="18"/>
                <w:color w:val="000000"/>
              </w:rPr>
              <w:t>Loans</w:t>
            </w:r>
          </w:p>
        </w:tc>
        <w:tc>
          <w:tcPr>
            <w:tcW w:w="3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71</w:t>
            </w: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75</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2.19</w:t>
            </w:r>
          </w:p>
        </w:tc>
        <w:tc>
          <w:tcPr>
            <w:tcW w:w="2860" w:type="dxa"/>
            <w:vAlign w:val="bottom"/>
            <w:tcBorders>
              <w:top w:val="single" w:sz="8" w:color="CCEEFF"/>
            </w:tcBorders>
            <w:gridSpan w:val="2"/>
          </w:tcPr>
          <w:p>
            <w:pPr>
              <w:spacing w:after="0" w:line="156" w:lineRule="exact"/>
              <w:rPr>
                <w:sz w:val="20"/>
                <w:szCs w:val="20"/>
                <w:color w:val="auto"/>
              </w:rPr>
            </w:pPr>
            <w:r>
              <w:rPr>
                <w:rFonts w:ascii="Arial" w:cs="Arial" w:eastAsia="Arial" w:hAnsi="Arial"/>
                <w:sz w:val="18"/>
                <w:szCs w:val="18"/>
                <w:color w:val="auto"/>
              </w:rPr>
              <w:t>Increased Costs; Capital Adequacy</w:t>
            </w:r>
          </w:p>
        </w:tc>
        <w:tc>
          <w:tcPr>
            <w:tcW w:w="460" w:type="dxa"/>
            <w:vAlign w:val="bottom"/>
            <w:tcBorders>
              <w:top w:val="single" w:sz="8" w:color="auto"/>
            </w:tcBorders>
          </w:tcPr>
          <w:p>
            <w:pPr>
              <w:spacing w:after="0"/>
              <w:rPr>
                <w:sz w:val="13"/>
                <w:szCs w:val="13"/>
                <w:color w:val="auto"/>
              </w:rPr>
            </w:pPr>
          </w:p>
        </w:tc>
        <w:tc>
          <w:tcPr>
            <w:tcW w:w="2220" w:type="dxa"/>
            <w:vAlign w:val="bottom"/>
            <w:tcBorders>
              <w:top w:val="single" w:sz="8" w:color="CCEEFF"/>
            </w:tcBorders>
          </w:tcPr>
          <w:p>
            <w:pPr>
              <w:spacing w:after="0"/>
              <w:rPr>
                <w:sz w:val="13"/>
                <w:szCs w:val="13"/>
                <w:color w:val="auto"/>
              </w:rPr>
            </w:pP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73</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78</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2.20</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Taxes; Withholding, etc</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79</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2.21</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Obligation to Mitigate</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78</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83</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2.22</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[Reserved]</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83</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2.23</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Removal or Replacement of a Lender</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78</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83</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2.24</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Incremental Facilities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79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84</w:t>
            </w:r>
          </w:p>
        </w:tc>
      </w:tr>
      <w:tr>
        <w:trPr>
          <w:trHeight w:val="156"/>
        </w:trPr>
        <w:tc>
          <w:tcPr>
            <w:tcW w:w="1700" w:type="dxa"/>
            <w:vAlign w:val="bottom"/>
            <w:tcBorders>
              <w:top w:val="single" w:sz="8" w:color="CCEEFF"/>
            </w:tcBorders>
            <w:gridSpan w:val="3"/>
          </w:tcPr>
          <w:p>
            <w:pPr>
              <w:ind w:left="500"/>
              <w:spacing w:after="0" w:line="156" w:lineRule="exact"/>
              <w:rPr>
                <w:sz w:val="20"/>
                <w:szCs w:val="20"/>
                <w:color w:val="auto"/>
              </w:rPr>
            </w:pPr>
            <w:r>
              <w:rPr>
                <w:rFonts w:ascii="Arial" w:cs="Arial" w:eastAsia="Arial" w:hAnsi="Arial"/>
                <w:sz w:val="18"/>
                <w:szCs w:val="18"/>
                <w:color w:val="auto"/>
              </w:rPr>
              <w:t>2.25</w:t>
            </w: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Discounted Prepayments</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83</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87</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700" w:type="dxa"/>
            <w:vAlign w:val="bottom"/>
            <w:tcBorders>
              <w:bottom w:val="single" w:sz="8" w:color="CCEEFF"/>
            </w:tcBorders>
            <w:gridSpan w:val="3"/>
            <w:shd w:val="clear" w:color="auto" w:fill="CCEEFF"/>
          </w:tcPr>
          <w:p>
            <w:pPr>
              <w:ind w:left="500"/>
              <w:spacing w:after="0" w:line="156" w:lineRule="exact"/>
              <w:rPr>
                <w:sz w:val="20"/>
                <w:szCs w:val="20"/>
                <w:color w:val="auto"/>
              </w:rPr>
            </w:pPr>
            <w:r>
              <w:rPr>
                <w:rFonts w:ascii="Arial" w:cs="Arial" w:eastAsia="Arial" w:hAnsi="Arial"/>
                <w:sz w:val="18"/>
                <w:szCs w:val="18"/>
                <w:color w:val="auto"/>
              </w:rPr>
              <w:t>2.26</w:t>
            </w: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96"/>
              </w:rPr>
              <w:t>Credit Agreement Refinancing Indebtedness; Refinancing Amendments</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85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90</w:t>
            </w:r>
          </w:p>
        </w:tc>
      </w:tr>
      <w:tr>
        <w:trPr>
          <w:trHeight w:val="197"/>
        </w:trPr>
        <w:tc>
          <w:tcPr>
            <w:tcW w:w="5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17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Section 3.</w:t>
            </w:r>
          </w:p>
        </w:tc>
        <w:tc>
          <w:tcPr>
            <w:tcW w:w="55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CONDITIONS PRECEDENT</w:t>
            </w:r>
          </w:p>
        </w:tc>
        <w:tc>
          <w:tcPr>
            <w:tcW w:w="3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90</w:t>
            </w:r>
          </w:p>
        </w:tc>
      </w:tr>
      <w:tr>
        <w:trPr>
          <w:trHeight w:val="196"/>
        </w:trPr>
        <w:tc>
          <w:tcPr>
            <w:tcW w:w="5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6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1"/>
        </w:trPr>
        <w:tc>
          <w:tcPr>
            <w:tcW w:w="720" w:type="dxa"/>
            <w:vAlign w:val="bottom"/>
            <w:tcBorders>
              <w:bottom w:val="single" w:sz="8" w:color="CCEEFF"/>
            </w:tcBorders>
            <w:gridSpan w:val="2"/>
            <w:shd w:val="clear" w:color="auto" w:fill="CCEEFF"/>
          </w:tcPr>
          <w:p>
            <w:pPr>
              <w:ind w:left="500"/>
              <w:spacing w:after="0" w:line="176" w:lineRule="exact"/>
              <w:rPr>
                <w:sz w:val="20"/>
                <w:szCs w:val="20"/>
                <w:color w:val="auto"/>
              </w:rPr>
            </w:pPr>
            <w:r>
              <w:rPr>
                <w:rFonts w:ascii="Arial" w:cs="Arial" w:eastAsia="Arial" w:hAnsi="Arial"/>
                <w:sz w:val="18"/>
                <w:szCs w:val="18"/>
                <w:color w:val="auto"/>
                <w:w w:val="79"/>
              </w:rPr>
              <w:t>3.1</w:t>
            </w:r>
          </w:p>
        </w:tc>
        <w:tc>
          <w:tcPr>
            <w:tcW w:w="98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Closing Date</w:t>
            </w:r>
          </w:p>
        </w:tc>
        <w:tc>
          <w:tcPr>
            <w:tcW w:w="3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90</w:t>
            </w:r>
          </w:p>
        </w:tc>
      </w:tr>
      <w:tr>
        <w:trPr>
          <w:trHeight w:val="156"/>
        </w:trPr>
        <w:tc>
          <w:tcPr>
            <w:tcW w:w="720" w:type="dxa"/>
            <w:vAlign w:val="bottom"/>
            <w:tcBorders>
              <w:top w:val="single" w:sz="8" w:color="CCEEFF"/>
            </w:tcBorders>
            <w:gridSpan w:val="2"/>
          </w:tcPr>
          <w:p>
            <w:pPr>
              <w:ind w:left="500"/>
              <w:spacing w:after="0" w:line="156" w:lineRule="exact"/>
              <w:rPr>
                <w:sz w:val="20"/>
                <w:szCs w:val="20"/>
                <w:color w:val="auto"/>
              </w:rPr>
            </w:pPr>
            <w:r>
              <w:rPr>
                <w:rFonts w:ascii="Arial" w:cs="Arial" w:eastAsia="Arial" w:hAnsi="Arial"/>
                <w:sz w:val="18"/>
                <w:szCs w:val="18"/>
                <w:color w:val="auto"/>
                <w:w w:val="79"/>
              </w:rPr>
              <w:t>3.2</w:t>
            </w:r>
          </w:p>
        </w:tc>
        <w:tc>
          <w:tcPr>
            <w:tcW w:w="980" w:type="dxa"/>
            <w:vAlign w:val="bottom"/>
            <w:tcBorders>
              <w:top w:val="single" w:sz="8" w:color="CCEEFF"/>
            </w:tcBorders>
          </w:tcPr>
          <w:p>
            <w:pPr>
              <w:spacing w:after="0"/>
              <w:rPr>
                <w:sz w:val="13"/>
                <w:szCs w:val="13"/>
                <w:color w:val="auto"/>
              </w:rPr>
            </w:pPr>
          </w:p>
        </w:tc>
        <w:tc>
          <w:tcPr>
            <w:tcW w:w="5540" w:type="dxa"/>
            <w:vAlign w:val="bottom"/>
            <w:tcBorders>
              <w:top w:val="single" w:sz="8" w:color="CCEEFF"/>
            </w:tcBorders>
            <w:gridSpan w:val="4"/>
          </w:tcPr>
          <w:p>
            <w:pPr>
              <w:spacing w:after="0" w:line="156" w:lineRule="exact"/>
              <w:rPr>
                <w:sz w:val="20"/>
                <w:szCs w:val="20"/>
                <w:color w:val="auto"/>
              </w:rPr>
            </w:pPr>
            <w:r>
              <w:rPr>
                <w:rFonts w:ascii="Arial" w:cs="Arial" w:eastAsia="Arial" w:hAnsi="Arial"/>
                <w:sz w:val="18"/>
                <w:szCs w:val="18"/>
                <w:color w:val="auto"/>
              </w:rPr>
              <w:t>Conditions to Each Credit Extension After the Closing Date</w:t>
            </w:r>
          </w:p>
        </w:tc>
        <w:tc>
          <w:tcPr>
            <w:tcW w:w="36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FF0000"/>
                <w:strike w:val="1"/>
                <w:w w:val="79"/>
              </w:rPr>
              <w:t>89</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94</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7"/>
        </w:trPr>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700" w:type="dxa"/>
            <w:vAlign w:val="bottom"/>
            <w:gridSpan w:val="3"/>
          </w:tcPr>
          <w:p>
            <w:pPr>
              <w:spacing w:after="0" w:line="176" w:lineRule="exact"/>
              <w:rPr>
                <w:sz w:val="20"/>
                <w:szCs w:val="20"/>
                <w:color w:val="auto"/>
              </w:rPr>
            </w:pPr>
            <w:r>
              <w:rPr>
                <w:rFonts w:ascii="Arial" w:cs="Arial" w:eastAsia="Arial" w:hAnsi="Arial"/>
                <w:sz w:val="18"/>
                <w:szCs w:val="18"/>
                <w:color w:val="auto"/>
              </w:rPr>
              <w:t>Section 4.</w:t>
            </w:r>
          </w:p>
        </w:tc>
        <w:tc>
          <w:tcPr>
            <w:tcW w:w="5540" w:type="dxa"/>
            <w:vAlign w:val="bottom"/>
            <w:gridSpan w:val="4"/>
          </w:tcPr>
          <w:p>
            <w:pPr>
              <w:spacing w:after="0" w:line="176" w:lineRule="exact"/>
              <w:rPr>
                <w:sz w:val="20"/>
                <w:szCs w:val="20"/>
                <w:color w:val="auto"/>
              </w:rPr>
            </w:pPr>
            <w:r>
              <w:rPr>
                <w:rFonts w:ascii="Arial" w:cs="Arial" w:eastAsia="Arial" w:hAnsi="Arial"/>
                <w:sz w:val="18"/>
                <w:szCs w:val="18"/>
                <w:color w:val="auto"/>
              </w:rPr>
              <w:t>REPRESENTATIONS AND WARRANTIES</w:t>
            </w:r>
          </w:p>
        </w:tc>
        <w:tc>
          <w:tcPr>
            <w:tcW w:w="36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FF0000"/>
                <w:strike w:val="1"/>
                <w:w w:val="79"/>
              </w:rPr>
              <w:t>90</w:t>
            </w:r>
          </w:p>
        </w:tc>
        <w:tc>
          <w:tcPr>
            <w:tcW w:w="18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94</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6"/>
        </w:trPr>
        <w:tc>
          <w:tcPr>
            <w:tcW w:w="720" w:type="dxa"/>
            <w:vAlign w:val="bottom"/>
            <w:gridSpan w:val="2"/>
          </w:tcPr>
          <w:p>
            <w:pPr>
              <w:ind w:left="500"/>
              <w:spacing w:after="0" w:line="176" w:lineRule="exact"/>
              <w:rPr>
                <w:sz w:val="20"/>
                <w:szCs w:val="20"/>
                <w:color w:val="auto"/>
              </w:rPr>
            </w:pPr>
            <w:r>
              <w:rPr>
                <w:rFonts w:ascii="Arial" w:cs="Arial" w:eastAsia="Arial" w:hAnsi="Arial"/>
                <w:sz w:val="18"/>
                <w:szCs w:val="18"/>
                <w:color w:val="auto"/>
                <w:w w:val="79"/>
              </w:rPr>
              <w:t>4.1</w:t>
            </w:r>
          </w:p>
        </w:tc>
        <w:tc>
          <w:tcPr>
            <w:tcW w:w="980" w:type="dxa"/>
            <w:vAlign w:val="bottom"/>
          </w:tcPr>
          <w:p>
            <w:pPr>
              <w:spacing w:after="0"/>
              <w:rPr>
                <w:sz w:val="15"/>
                <w:szCs w:val="15"/>
                <w:color w:val="auto"/>
              </w:rPr>
            </w:pPr>
          </w:p>
        </w:tc>
        <w:tc>
          <w:tcPr>
            <w:tcW w:w="5540" w:type="dxa"/>
            <w:vAlign w:val="bottom"/>
            <w:gridSpan w:val="4"/>
          </w:tcPr>
          <w:p>
            <w:pPr>
              <w:spacing w:after="0" w:line="176" w:lineRule="exact"/>
              <w:rPr>
                <w:sz w:val="20"/>
                <w:szCs w:val="20"/>
                <w:color w:val="auto"/>
              </w:rPr>
            </w:pPr>
            <w:r>
              <w:rPr>
                <w:rFonts w:ascii="Arial" w:cs="Arial" w:eastAsia="Arial" w:hAnsi="Arial"/>
                <w:sz w:val="18"/>
                <w:szCs w:val="18"/>
                <w:color w:val="auto"/>
              </w:rPr>
              <w:t>Organization; Requisite Power and Authority; Qualification</w:t>
            </w:r>
          </w:p>
        </w:tc>
        <w:tc>
          <w:tcPr>
            <w:tcW w:w="36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FF0000"/>
                <w:strike w:val="1"/>
                <w:w w:val="79"/>
              </w:rPr>
              <w:t>90</w:t>
            </w:r>
          </w:p>
        </w:tc>
        <w:tc>
          <w:tcPr>
            <w:tcW w:w="18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94</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720" w:type="dxa"/>
            <w:vAlign w:val="bottom"/>
            <w:tcBorders>
              <w:bottom w:val="single" w:sz="8" w:color="CCEEFF"/>
            </w:tcBorders>
            <w:gridSpan w:val="2"/>
            <w:shd w:val="clear" w:color="auto" w:fill="CCEEFF"/>
          </w:tcPr>
          <w:p>
            <w:pPr>
              <w:ind w:left="500"/>
              <w:spacing w:after="0" w:line="156" w:lineRule="exact"/>
              <w:rPr>
                <w:sz w:val="20"/>
                <w:szCs w:val="20"/>
                <w:color w:val="auto"/>
              </w:rPr>
            </w:pPr>
            <w:r>
              <w:rPr>
                <w:rFonts w:ascii="Arial" w:cs="Arial" w:eastAsia="Arial" w:hAnsi="Arial"/>
                <w:sz w:val="18"/>
                <w:szCs w:val="18"/>
                <w:color w:val="auto"/>
                <w:w w:val="79"/>
              </w:rPr>
              <w:t>4.2</w:t>
            </w:r>
          </w:p>
        </w:tc>
        <w:tc>
          <w:tcPr>
            <w:tcW w:w="9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Due Authorization</w:t>
            </w:r>
          </w:p>
        </w:tc>
        <w:tc>
          <w:tcPr>
            <w:tcW w:w="3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FF0000"/>
                <w:strike w:val="1"/>
                <w:w w:val="79"/>
              </w:rPr>
              <w:t>90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95</w:t>
            </w:r>
          </w:p>
        </w:tc>
      </w:tr>
      <w:tr>
        <w:trPr>
          <w:trHeight w:val="554"/>
        </w:trPr>
        <w:tc>
          <w:tcPr>
            <w:tcW w:w="5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c>
          <w:tcPr>
            <w:tcW w:w="36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4.3</w:t>
            </w:r>
          </w:p>
        </w:tc>
        <w:tc>
          <w:tcPr>
            <w:tcW w:w="9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 Conflict; Government Consents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FF0000"/>
                <w:strike w:val="1"/>
              </w:rPr>
              <w:t>90</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79"/>
              </w:rPr>
              <w:t>95</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4.4</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Binding Obligation</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4.5</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Historical Financial Statements</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95</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4.6</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[Reserved]</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4.7</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No Material Adverse Effect</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96</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4.8</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Adverse Proceedings</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4.9</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Payment of Taxes</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96</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4.10</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Ownership of Material Property</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91</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4.11</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Environmental Matters</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4.12</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Governmental Regulation</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92</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4.13</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Margin Stock</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4.14</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Employee Matters</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92</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4.15</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Employee Benefit Plans</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98</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4.16</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Solvency</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93</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98</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4.17</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Compliance with Laws</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98</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4.18</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Disclosure</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94</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99</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4.19</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Perfection of Security Interests in the Collateral</w:t>
            </w:r>
          </w:p>
        </w:tc>
        <w:tc>
          <w:tcPr>
            <w:tcW w:w="36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99</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4.20</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Use of Proceeds</w:t>
            </w:r>
          </w:p>
        </w:tc>
        <w:tc>
          <w:tcPr>
            <w:tcW w:w="360" w:type="dxa"/>
            <w:vAlign w:val="bottom"/>
            <w:tcBorders>
              <w:top w:val="single" w:sz="8" w:color="CCEEFF"/>
            </w:tcBorders>
            <w:gridSpan w:val="2"/>
          </w:tcPr>
          <w:p>
            <w:pPr>
              <w:jc w:val="right"/>
              <w:spacing w:after="0" w:line="156" w:lineRule="exact"/>
              <w:rPr>
                <w:sz w:val="20"/>
                <w:szCs w:val="20"/>
                <w:color w:val="auto"/>
              </w:rPr>
            </w:pPr>
            <w:r>
              <w:rPr>
                <w:rFonts w:ascii="Arial" w:cs="Arial" w:eastAsia="Arial" w:hAnsi="Arial"/>
                <w:sz w:val="18"/>
                <w:szCs w:val="18"/>
                <w:color w:val="FF0000"/>
                <w:strike w:val="1"/>
              </w:rPr>
              <w:t>95</w:t>
            </w:r>
          </w:p>
        </w:tc>
        <w:tc>
          <w:tcPr>
            <w:tcW w:w="18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99</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260" w:type="dxa"/>
            <w:vAlign w:val="bottom"/>
          </w:tcPr>
          <w:p>
            <w:pPr>
              <w:spacing w:after="0" w:line="176" w:lineRule="exact"/>
              <w:rPr>
                <w:sz w:val="20"/>
                <w:szCs w:val="20"/>
                <w:color w:val="auto"/>
              </w:rPr>
            </w:pPr>
            <w:r>
              <w:rPr>
                <w:rFonts w:ascii="Arial" w:cs="Arial" w:eastAsia="Arial" w:hAnsi="Arial"/>
                <w:sz w:val="18"/>
                <w:szCs w:val="18"/>
                <w:color w:val="auto"/>
              </w:rPr>
              <w:t>Section 5.</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rPr>
              <w:t>95</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18"/>
                <w:szCs w:val="18"/>
                <w:color w:val="0000FF"/>
                <w:w w:val="79"/>
              </w:rPr>
              <w:t>100</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6"/>
        </w:trPr>
        <w:tc>
          <w:tcPr>
            <w:tcW w:w="1260" w:type="dxa"/>
            <w:vAlign w:val="bottom"/>
          </w:tcPr>
          <w:p>
            <w:pPr>
              <w:ind w:left="500"/>
              <w:spacing w:after="0" w:line="176" w:lineRule="exact"/>
              <w:rPr>
                <w:sz w:val="20"/>
                <w:szCs w:val="20"/>
                <w:color w:val="auto"/>
              </w:rPr>
            </w:pPr>
            <w:r>
              <w:rPr>
                <w:rFonts w:ascii="Arial" w:cs="Arial" w:eastAsia="Arial" w:hAnsi="Arial"/>
                <w:sz w:val="18"/>
                <w:szCs w:val="18"/>
                <w:color w:val="auto"/>
              </w:rPr>
              <w:t>5.1</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Financial Statements; Notices and Other Reports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rPr>
              <w:t>95</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18"/>
                <w:szCs w:val="18"/>
                <w:color w:val="0000FF"/>
                <w:w w:val="79"/>
              </w:rPr>
              <w:t>100</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Existence</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98</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103</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Payment of Taxes and Claims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rPr>
              <w:t>98</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103</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5.4</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Maintenance of Properties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98</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103</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5.5</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Insurance</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rPr>
              <w:t>98</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103</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5.6</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Books and Records; Inspections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rPr>
              <w:t>99</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104</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5.7</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Compliance with Laws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rPr>
              <w:t>99</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104</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5.8</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Anti-Money Laundering Laws and Anti-Corruption Laws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104</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5.9</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[Reserved]</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100</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104</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5.10</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Additional Subsidiaries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104</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5.11</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Material Real Estate Assets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101</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5.12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Further Assurances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101</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106</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5.13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Designation of Subsidiaries and Unrestricted Subsidiaries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5.14</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Annual Lender Calls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5.15</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Maintenance of Ratings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5.16</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Use of Proceeds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107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5.17</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Post-Closing Matters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107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6"/>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260" w:type="dxa"/>
            <w:vAlign w:val="bottom"/>
          </w:tcPr>
          <w:p>
            <w:pPr>
              <w:spacing w:after="0" w:line="176" w:lineRule="exact"/>
              <w:rPr>
                <w:sz w:val="20"/>
                <w:szCs w:val="20"/>
                <w:color w:val="auto"/>
              </w:rPr>
            </w:pPr>
            <w:r>
              <w:rPr>
                <w:rFonts w:ascii="Arial" w:cs="Arial" w:eastAsia="Arial" w:hAnsi="Arial"/>
                <w:sz w:val="18"/>
                <w:szCs w:val="18"/>
                <w:color w:val="auto"/>
              </w:rPr>
              <w:t>Section 6.</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18"/>
                <w:szCs w:val="18"/>
                <w:color w:val="0000FF"/>
                <w:w w:val="79"/>
              </w:rPr>
              <w:t>107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1260" w:type="dxa"/>
            <w:vAlign w:val="bottom"/>
          </w:tcPr>
          <w:p>
            <w:pPr>
              <w:ind w:left="500"/>
              <w:spacing w:after="0" w:line="176" w:lineRule="exact"/>
              <w:rPr>
                <w:sz w:val="20"/>
                <w:szCs w:val="20"/>
                <w:color w:val="auto"/>
              </w:rPr>
            </w:pPr>
            <w:r>
              <w:rPr>
                <w:rFonts w:ascii="Arial" w:cs="Arial" w:eastAsia="Arial" w:hAnsi="Arial"/>
                <w:sz w:val="18"/>
                <w:szCs w:val="18"/>
                <w:color w:val="auto"/>
              </w:rPr>
              <w:t>6.1</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102</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18"/>
                <w:szCs w:val="18"/>
                <w:color w:val="0000FF"/>
                <w:w w:val="79"/>
              </w:rPr>
              <w:t>107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Liens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106</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111</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6.3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No Further Negative Pledges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111</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115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6.4</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Restricted Junior Payments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112</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117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6.5</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Restrictions on Subsidiary Distributions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114</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118</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6.6</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115</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120</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6.7</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[Reserved].</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118</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123</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6.8</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Fundamental Changes; Disposition of Assets.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118</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123</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6.9</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Transactions with Affiliates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120</w:t>
            </w:r>
          </w:p>
        </w:tc>
        <w:tc>
          <w:tcPr>
            <w:tcW w:w="260" w:type="dxa"/>
            <w:vAlign w:val="bottom"/>
            <w:tcBorders>
              <w:top w:val="single" w:sz="8" w:color="auto"/>
              <w:bottom w:val="single" w:sz="8" w:color="0000FF"/>
            </w:tcBorders>
            <w:gridSpan w:val="2"/>
          </w:tcPr>
          <w:p>
            <w:pPr>
              <w:jc w:val="right"/>
              <w:spacing w:after="0" w:line="156" w:lineRule="exact"/>
              <w:rPr>
                <w:sz w:val="20"/>
                <w:szCs w:val="20"/>
                <w:color w:val="auto"/>
              </w:rPr>
            </w:pPr>
            <w:r>
              <w:rPr>
                <w:rFonts w:ascii="Arial" w:cs="Arial" w:eastAsia="Arial" w:hAnsi="Arial"/>
                <w:sz w:val="18"/>
                <w:szCs w:val="18"/>
                <w:color w:val="0000FF"/>
                <w:w w:val="79"/>
              </w:rPr>
              <w:t>124</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6.10</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Conduct of Business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125</w:t>
            </w:r>
          </w:p>
        </w:tc>
      </w:tr>
      <w:tr>
        <w:trPr>
          <w:trHeight w:val="554"/>
        </w:trPr>
        <w:tc>
          <w:tcPr>
            <w:tcW w:w="1260" w:type="dxa"/>
            <w:vAlign w:val="bottom"/>
            <w:tcBorders>
              <w:top w:val="single" w:sz="8" w:color="CCEEFF"/>
              <w:bottom w:val="single" w:sz="8" w:color="auto"/>
            </w:tcBorders>
          </w:tcPr>
          <w:p>
            <w:pPr>
              <w:spacing w:after="0"/>
              <w:rPr>
                <w:sz w:val="24"/>
                <w:szCs w:val="24"/>
                <w:color w:val="auto"/>
              </w:rPr>
            </w:pPr>
          </w:p>
        </w:tc>
        <w:tc>
          <w:tcPr>
            <w:tcW w:w="9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6.11</w:t>
            </w:r>
          </w:p>
        </w:tc>
        <w:tc>
          <w:tcPr>
            <w:tcW w:w="9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[Reserved].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FF0000"/>
                <w:strike w:val="1"/>
                <w:w w:val="86"/>
              </w:rPr>
              <w:t>121</w:t>
            </w:r>
          </w:p>
        </w:tc>
        <w:tc>
          <w:tcPr>
            <w:tcW w:w="26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79"/>
              </w:rPr>
              <w:t>125</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6.12</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Certain Amendments or Waivers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121</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6.13</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Fiscal Year</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121</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125</w:t>
            </w:r>
          </w:p>
        </w:tc>
      </w:tr>
      <w:tr>
        <w:trPr>
          <w:trHeight w:val="197"/>
        </w:trPr>
        <w:tc>
          <w:tcPr>
            <w:tcW w:w="1260" w:type="dxa"/>
            <w:vAlign w:val="bottom"/>
            <w:tcBorders>
              <w:top w:val="single" w:sz="8" w:color="CCEEFF"/>
            </w:tcBorders>
          </w:tcPr>
          <w:p>
            <w:pPr>
              <w:spacing w:after="0"/>
              <w:rPr>
                <w:sz w:val="17"/>
                <w:szCs w:val="17"/>
                <w:color w:val="auto"/>
              </w:rPr>
            </w:pPr>
          </w:p>
        </w:tc>
        <w:tc>
          <w:tcPr>
            <w:tcW w:w="9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0"/>
        </w:trPr>
        <w:tc>
          <w:tcPr>
            <w:tcW w:w="1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Section 7.</w:t>
            </w:r>
          </w:p>
        </w:tc>
        <w:tc>
          <w:tcPr>
            <w:tcW w:w="94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GUARANTY</w:t>
            </w: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121</w:t>
            </w:r>
          </w:p>
        </w:tc>
        <w:tc>
          <w:tcPr>
            <w:tcW w:w="26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126</w:t>
            </w:r>
          </w:p>
        </w:tc>
      </w:tr>
      <w:tr>
        <w:trPr>
          <w:trHeight w:val="197"/>
        </w:trPr>
        <w:tc>
          <w:tcPr>
            <w:tcW w:w="1260" w:type="dxa"/>
            <w:vAlign w:val="bottom"/>
            <w:tcBorders>
              <w:top w:val="single" w:sz="8" w:color="CCEEFF"/>
            </w:tcBorders>
          </w:tcPr>
          <w:p>
            <w:pPr>
              <w:spacing w:after="0"/>
              <w:rPr>
                <w:sz w:val="17"/>
                <w:szCs w:val="17"/>
                <w:color w:val="auto"/>
              </w:rPr>
            </w:pPr>
          </w:p>
        </w:tc>
        <w:tc>
          <w:tcPr>
            <w:tcW w:w="9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1"/>
        </w:trPr>
        <w:tc>
          <w:tcPr>
            <w:tcW w:w="126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7.1</w:t>
            </w:r>
          </w:p>
        </w:tc>
        <w:tc>
          <w:tcPr>
            <w:tcW w:w="94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Guaranty of the Obligations</w:t>
            </w: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121</w:t>
            </w:r>
          </w:p>
        </w:tc>
        <w:tc>
          <w:tcPr>
            <w:tcW w:w="26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126</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7.2</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Contribution by Guarantors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121</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7.3</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Liability of Guarantors Absolute</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122</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126</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7.4</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Waivers by Guarantors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123</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128</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7.5</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Guarantors’ Rights of Subrogation, Contribution, etc</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124</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129</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7.6</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Subordination of Other Obligations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125</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129</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7.7</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Continuing Guaranty</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125</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129</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7.8</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Authority of Guarantors or the Borrower</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125</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7.9</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Financial Condition of the Borrower</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125</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130</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7.10</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Bankruptcy, etc</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125</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7.11</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Discharge of Guaranty upon Sale of Guarantor</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126</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130</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7.12</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[Reserved].</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126</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131</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7.13</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General Limitation on Guarantee Obligations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126</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131</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7.14</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Keepwell</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126</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131</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color w:val="auto"/>
              </w:rPr>
              <w:t>Section 8.</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131</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5"/>
        </w:trPr>
        <w:tc>
          <w:tcPr>
            <w:tcW w:w="1260" w:type="dxa"/>
            <w:vAlign w:val="bottom"/>
          </w:tcPr>
          <w:p>
            <w:pPr>
              <w:ind w:left="500"/>
              <w:spacing w:after="0" w:line="176" w:lineRule="exact"/>
              <w:rPr>
                <w:sz w:val="20"/>
                <w:szCs w:val="20"/>
                <w:color w:val="auto"/>
              </w:rPr>
            </w:pPr>
            <w:r>
              <w:rPr>
                <w:rFonts w:ascii="Arial" w:cs="Arial" w:eastAsia="Arial" w:hAnsi="Arial"/>
                <w:sz w:val="18"/>
                <w:szCs w:val="18"/>
                <w:color w:val="auto"/>
              </w:rPr>
              <w:t>8.1</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127</w:t>
            </w:r>
          </w:p>
        </w:tc>
        <w:tc>
          <w:tcPr>
            <w:tcW w:w="26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131</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8.2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Remedies upon an Event of Default</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129</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134</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8.3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Application of Proceeds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130</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color w:val="auto"/>
              </w:rPr>
              <w:t>Section 9.</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AGENTS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136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1260" w:type="dxa"/>
            <w:vAlign w:val="bottom"/>
            <w:shd w:val="clear" w:color="auto" w:fill="CCEEFF"/>
          </w:tcPr>
          <w:p>
            <w:pPr>
              <w:spacing w:after="0"/>
              <w:rPr>
                <w:sz w:val="17"/>
                <w:szCs w:val="17"/>
                <w:color w:val="auto"/>
              </w:rPr>
            </w:pPr>
          </w:p>
        </w:tc>
        <w:tc>
          <w:tcPr>
            <w:tcW w:w="9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176"/>
        </w:trPr>
        <w:tc>
          <w:tcPr>
            <w:tcW w:w="1260" w:type="dxa"/>
            <w:vAlign w:val="bottom"/>
          </w:tcPr>
          <w:p>
            <w:pPr>
              <w:ind w:left="500"/>
              <w:spacing w:after="0" w:line="176" w:lineRule="exact"/>
              <w:rPr>
                <w:sz w:val="20"/>
                <w:szCs w:val="20"/>
                <w:color w:val="auto"/>
              </w:rPr>
            </w:pPr>
            <w:r>
              <w:rPr>
                <w:rFonts w:ascii="Arial" w:cs="Arial" w:eastAsia="Arial" w:hAnsi="Arial"/>
                <w:sz w:val="18"/>
                <w:szCs w:val="18"/>
                <w:color w:val="auto"/>
              </w:rPr>
              <w:t>9.1</w:t>
            </w:r>
          </w:p>
        </w:tc>
        <w:tc>
          <w:tcPr>
            <w:tcW w:w="9440" w:type="dxa"/>
            <w:vAlign w:val="bottom"/>
          </w:tcPr>
          <w:p>
            <w:pPr>
              <w:ind w:left="440"/>
              <w:spacing w:after="0" w:line="176" w:lineRule="exact"/>
              <w:rPr>
                <w:sz w:val="20"/>
                <w:szCs w:val="20"/>
                <w:color w:val="auto"/>
              </w:rPr>
            </w:pPr>
            <w:r>
              <w:rPr>
                <w:rFonts w:ascii="Arial" w:cs="Arial" w:eastAsia="Arial" w:hAnsi="Arial"/>
                <w:sz w:val="18"/>
                <w:szCs w:val="18"/>
                <w:color w:val="auto"/>
              </w:rPr>
              <w:t>Appointment and Duties</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tcPr>
          <w:p>
            <w:pPr>
              <w:jc w:val="right"/>
              <w:spacing w:after="0" w:line="176" w:lineRule="exact"/>
              <w:rPr>
                <w:sz w:val="20"/>
                <w:szCs w:val="20"/>
                <w:color w:val="auto"/>
              </w:rPr>
            </w:pPr>
            <w:r>
              <w:rPr>
                <w:rFonts w:ascii="Arial" w:cs="Arial" w:eastAsia="Arial" w:hAnsi="Arial"/>
                <w:sz w:val="18"/>
                <w:szCs w:val="18"/>
                <w:color w:val="0000FF"/>
                <w:w w:val="79"/>
              </w:rPr>
              <w:t>136</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Binding Effect</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Use of Discretion</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137</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9.4</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Delegation of Rights and Duties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133</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138</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9.5</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Reliance and Liability</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134</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138</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9.6</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Agent Individually</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140</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9.7</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Lender Credit Decision</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135</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140</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9.8</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Expenses; Indemnities; Withholding</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136</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141</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9.9</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Resignation of Administrative Agent or Collateral Agent</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137</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142</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9.10</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Release of Collateral or Guarantors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138</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143</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9.11</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[Reserved]</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140</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144</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9.12</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Lead Arranger and Bookrunner</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140</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145</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9.13</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Administrative Agent May File Bankruptcy Disclosure and Proofs of Claim</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140</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145</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9.14</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Certain ERISA Matters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141</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146</w:t>
            </w:r>
          </w:p>
        </w:tc>
      </w:tr>
      <w:tr>
        <w:trPr>
          <w:trHeight w:val="196"/>
        </w:trPr>
        <w:tc>
          <w:tcPr>
            <w:tcW w:w="1260" w:type="dxa"/>
            <w:vAlign w:val="bottom"/>
            <w:tcBorders>
              <w:top w:val="single" w:sz="8" w:color="CCEEFF"/>
            </w:tcBorders>
          </w:tcPr>
          <w:p>
            <w:pPr>
              <w:spacing w:after="0"/>
              <w:rPr>
                <w:sz w:val="17"/>
                <w:szCs w:val="17"/>
                <w:color w:val="auto"/>
              </w:rPr>
            </w:pPr>
          </w:p>
        </w:tc>
        <w:tc>
          <w:tcPr>
            <w:tcW w:w="9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0"/>
        </w:trPr>
        <w:tc>
          <w:tcPr>
            <w:tcW w:w="1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Section 10.</w:t>
            </w:r>
          </w:p>
        </w:tc>
        <w:tc>
          <w:tcPr>
            <w:tcW w:w="94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MISCELLANEOUS</w:t>
            </w: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142</w:t>
            </w:r>
          </w:p>
        </w:tc>
        <w:tc>
          <w:tcPr>
            <w:tcW w:w="26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147</w:t>
            </w:r>
          </w:p>
        </w:tc>
      </w:tr>
      <w:tr>
        <w:trPr>
          <w:trHeight w:val="197"/>
        </w:trPr>
        <w:tc>
          <w:tcPr>
            <w:tcW w:w="1260" w:type="dxa"/>
            <w:vAlign w:val="bottom"/>
            <w:tcBorders>
              <w:top w:val="single" w:sz="8" w:color="CCEEFF"/>
            </w:tcBorders>
          </w:tcPr>
          <w:p>
            <w:pPr>
              <w:spacing w:after="0"/>
              <w:rPr>
                <w:sz w:val="17"/>
                <w:szCs w:val="17"/>
                <w:color w:val="auto"/>
              </w:rPr>
            </w:pPr>
          </w:p>
        </w:tc>
        <w:tc>
          <w:tcPr>
            <w:tcW w:w="94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r>
      <w:tr>
        <w:trPr>
          <w:trHeight w:val="220"/>
        </w:trPr>
        <w:tc>
          <w:tcPr>
            <w:tcW w:w="126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rPr>
              <w:t>10.1</w:t>
            </w:r>
          </w:p>
        </w:tc>
        <w:tc>
          <w:tcPr>
            <w:tcW w:w="944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Notices</w:t>
            </w:r>
          </w:p>
        </w:tc>
        <w:tc>
          <w:tcPr>
            <w:tcW w:w="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142</w:t>
            </w:r>
          </w:p>
        </w:tc>
        <w:tc>
          <w:tcPr>
            <w:tcW w:w="260" w:type="dxa"/>
            <w:vAlign w:val="bottom"/>
            <w:tcBorders>
              <w:bottom w:val="single" w:sz="8" w:color="0000FF"/>
            </w:tcBorders>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147</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10.2</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Expenses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144</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149</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10.3</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Indemnity; Certain Waivers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145</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150</w:t>
            </w:r>
          </w:p>
        </w:tc>
      </w:tr>
      <w:tr>
        <w:trPr>
          <w:trHeight w:val="156"/>
        </w:trPr>
        <w:tc>
          <w:tcPr>
            <w:tcW w:w="126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10.4</w:t>
            </w:r>
          </w:p>
        </w:tc>
        <w:tc>
          <w:tcPr>
            <w:tcW w:w="9440" w:type="dxa"/>
            <w:vAlign w:val="bottom"/>
            <w:tcBorders>
              <w:top w:val="single" w:sz="8" w:color="CCEEFF"/>
            </w:tcBorders>
          </w:tcPr>
          <w:p>
            <w:pPr>
              <w:ind w:left="440"/>
              <w:spacing w:after="0" w:line="156" w:lineRule="exact"/>
              <w:rPr>
                <w:sz w:val="20"/>
                <w:szCs w:val="20"/>
                <w:color w:val="auto"/>
              </w:rPr>
            </w:pPr>
            <w:r>
              <w:rPr>
                <w:rFonts w:ascii="Arial" w:cs="Arial" w:eastAsia="Arial" w:hAnsi="Arial"/>
                <w:sz w:val="18"/>
                <w:szCs w:val="18"/>
                <w:color w:val="auto"/>
              </w:rPr>
              <w:t>Set-Off</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146</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151</w:t>
            </w:r>
          </w:p>
        </w:tc>
      </w:tr>
      <w:tr>
        <w:trPr>
          <w:trHeight w:val="20"/>
        </w:trPr>
        <w:tc>
          <w:tcPr>
            <w:tcW w:w="126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26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10.5</w:t>
            </w:r>
          </w:p>
        </w:tc>
        <w:tc>
          <w:tcPr>
            <w:tcW w:w="9440" w:type="dxa"/>
            <w:vAlign w:val="bottom"/>
            <w:tcBorders>
              <w:bottom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rPr>
              <w:t>Amendments and Waivers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147</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151</w:t>
            </w:r>
          </w:p>
        </w:tc>
      </w:tr>
      <w:tr>
        <w:trPr>
          <w:trHeight w:val="554"/>
        </w:trPr>
        <w:tc>
          <w:tcPr>
            <w:tcW w:w="1260" w:type="dxa"/>
            <w:vAlign w:val="bottom"/>
            <w:tcBorders>
              <w:top w:val="single" w:sz="8" w:color="CCEEFF"/>
              <w:bottom w:val="single" w:sz="8" w:color="auto"/>
            </w:tcBorders>
          </w:tcPr>
          <w:p>
            <w:pPr>
              <w:spacing w:after="0"/>
              <w:rPr>
                <w:sz w:val="24"/>
                <w:szCs w:val="24"/>
                <w:color w:val="auto"/>
              </w:rPr>
            </w:pPr>
          </w:p>
        </w:tc>
        <w:tc>
          <w:tcPr>
            <w:tcW w:w="9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10.6</w:t>
            </w:r>
          </w:p>
        </w:tc>
        <w:tc>
          <w:tcPr>
            <w:tcW w:w="9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Successors and Assigns; Participations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FF0000"/>
                <w:strike w:val="1"/>
                <w:w w:val="86"/>
              </w:rPr>
              <w:t>153</w:t>
            </w:r>
          </w:p>
        </w:tc>
        <w:tc>
          <w:tcPr>
            <w:tcW w:w="26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79"/>
              </w:rPr>
              <w:t>158</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10.7</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Independence of Covenants; Interpretation</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158</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163</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10.8</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Survival of Representations, Warranties and Agreements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158</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163</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10.9</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No Waiver; Remedies Cumulative</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159</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163</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10.10</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Marshalling; Payments Set Aside</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159</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164</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10.11</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Severability</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159</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164</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10.12</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Obligations Several; Independent Nature of the Lenders’ Rights</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159</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164</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10.13</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Headings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160</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164</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10.14</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Applicable Law</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160</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164</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10.15</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Consent to Jurisdiction</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160</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165</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10.16</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WAIVER OF JURY TRIAL</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160</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165</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10.17</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Confidentiality; Tombstones; Etc</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161</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165</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10.18</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Usury Savings Clause</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161</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166</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10.19</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Counterparts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162</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167</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10.20</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No Strict Construction</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162</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167</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10.21</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Effectiveness; Entire Agreement</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162</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167</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10.22</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No Fiduciary Duty</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162</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167</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10.23</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No Third Parties Benefit</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163</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168</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01"/>
        </w:trPr>
        <w:tc>
          <w:tcPr>
            <w:tcW w:w="1300" w:type="dxa"/>
            <w:vAlign w:val="bottom"/>
            <w:tcBorders>
              <w:bottom w:val="single" w:sz="8" w:color="CCEEFF"/>
            </w:tcBorders>
            <w:shd w:val="clear" w:color="auto" w:fill="CCEEFF"/>
          </w:tcPr>
          <w:p>
            <w:pPr>
              <w:ind w:left="500"/>
              <w:spacing w:after="0" w:line="156" w:lineRule="exact"/>
              <w:rPr>
                <w:sz w:val="20"/>
                <w:szCs w:val="20"/>
                <w:color w:val="auto"/>
              </w:rPr>
            </w:pPr>
            <w:r>
              <w:rPr>
                <w:rFonts w:ascii="Arial" w:cs="Arial" w:eastAsia="Arial" w:hAnsi="Arial"/>
                <w:sz w:val="18"/>
                <w:szCs w:val="18"/>
                <w:color w:val="auto"/>
              </w:rPr>
              <w:t>10.24</w:t>
            </w:r>
          </w:p>
        </w:tc>
        <w:tc>
          <w:tcPr>
            <w:tcW w:w="9400" w:type="dxa"/>
            <w:vAlign w:val="bottom"/>
            <w:tcBorders>
              <w:bottom w:val="single" w:sz="8" w:color="CCEEFF"/>
            </w:tcBorders>
            <w:shd w:val="clear" w:color="auto" w:fill="CCEEFF"/>
          </w:tcPr>
          <w:p>
            <w:pPr>
              <w:ind w:left="400"/>
              <w:spacing w:after="0" w:line="156" w:lineRule="exact"/>
              <w:rPr>
                <w:sz w:val="20"/>
                <w:szCs w:val="20"/>
                <w:color w:val="auto"/>
              </w:rPr>
            </w:pPr>
            <w:r>
              <w:rPr>
                <w:rFonts w:ascii="Arial" w:cs="Arial" w:eastAsia="Arial" w:hAnsi="Arial"/>
                <w:sz w:val="18"/>
                <w:szCs w:val="18"/>
                <w:color w:val="auto"/>
              </w:rPr>
              <w:t>PATRIOT Act</w:t>
            </w:r>
          </w:p>
        </w:tc>
        <w:tc>
          <w:tcPr>
            <w:tcW w:w="28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FF0000"/>
                <w:strike w:val="1"/>
                <w:w w:val="86"/>
              </w:rPr>
              <w:t>163</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79"/>
              </w:rPr>
              <w:t>168</w:t>
            </w:r>
          </w:p>
        </w:tc>
      </w:tr>
      <w:tr>
        <w:trPr>
          <w:trHeight w:val="156"/>
        </w:trPr>
        <w:tc>
          <w:tcPr>
            <w:tcW w:w="1300" w:type="dxa"/>
            <w:vAlign w:val="bottom"/>
            <w:tcBorders>
              <w:top w:val="single" w:sz="8" w:color="CCEEFF"/>
            </w:tcBorders>
          </w:tcPr>
          <w:p>
            <w:pPr>
              <w:ind w:left="500"/>
              <w:spacing w:after="0" w:line="156" w:lineRule="exact"/>
              <w:rPr>
                <w:sz w:val="20"/>
                <w:szCs w:val="20"/>
                <w:color w:val="auto"/>
              </w:rPr>
            </w:pPr>
            <w:r>
              <w:rPr>
                <w:rFonts w:ascii="Arial" w:cs="Arial" w:eastAsia="Arial" w:hAnsi="Arial"/>
                <w:sz w:val="18"/>
                <w:szCs w:val="18"/>
                <w:color w:val="auto"/>
              </w:rPr>
              <w:t>10.25</w:t>
            </w:r>
          </w:p>
        </w:tc>
        <w:tc>
          <w:tcPr>
            <w:tcW w:w="9400" w:type="dxa"/>
            <w:vAlign w:val="bottom"/>
            <w:tcBorders>
              <w:top w:val="single" w:sz="8" w:color="CCEEFF"/>
            </w:tcBorders>
          </w:tcPr>
          <w:p>
            <w:pPr>
              <w:ind w:left="400"/>
              <w:spacing w:after="0" w:line="156" w:lineRule="exact"/>
              <w:rPr>
                <w:sz w:val="20"/>
                <w:szCs w:val="20"/>
                <w:color w:val="auto"/>
              </w:rPr>
            </w:pPr>
            <w:r>
              <w:rPr>
                <w:rFonts w:ascii="Arial" w:cs="Arial" w:eastAsia="Arial" w:hAnsi="Arial"/>
                <w:sz w:val="18"/>
                <w:szCs w:val="18"/>
                <w:color w:val="auto"/>
              </w:rPr>
              <w:t>Acknowledgement and Consent to Bail-In of EEA Financial Institutions</w:t>
            </w:r>
          </w:p>
        </w:tc>
        <w:tc>
          <w:tcPr>
            <w:tcW w:w="28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FF0000"/>
                <w:strike w:val="1"/>
                <w:w w:val="86"/>
              </w:rPr>
              <w:t>163</w:t>
            </w:r>
          </w:p>
        </w:tc>
        <w:tc>
          <w:tcPr>
            <w:tcW w:w="260" w:type="dxa"/>
            <w:vAlign w:val="bottom"/>
            <w:tcBorders>
              <w:top w:val="single" w:sz="8" w:color="auto"/>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168</w:t>
            </w:r>
          </w:p>
        </w:tc>
      </w:tr>
      <w:tr>
        <w:trPr>
          <w:trHeight w:val="20"/>
        </w:trPr>
        <w:tc>
          <w:tcPr>
            <w:tcW w:w="13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770"/>
        </w:trPr>
        <w:tc>
          <w:tcPr>
            <w:tcW w:w="13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Appendices</w:t>
            </w:r>
          </w:p>
        </w:tc>
        <w:tc>
          <w:tcPr>
            <w:tcW w:w="400" w:type="dxa"/>
            <w:vAlign w:val="bottom"/>
          </w:tcPr>
          <w:p>
            <w:pPr>
              <w:spacing w:after="0"/>
              <w:rPr>
                <w:sz w:val="17"/>
                <w:szCs w:val="17"/>
                <w:color w:val="auto"/>
              </w:rPr>
            </w:pPr>
          </w:p>
        </w:tc>
        <w:tc>
          <w:tcPr>
            <w:tcW w:w="9940" w:type="dxa"/>
            <w:vAlign w:val="bottom"/>
          </w:tcPr>
          <w:p>
            <w:pPr>
              <w:spacing w:after="0"/>
              <w:rPr>
                <w:sz w:val="17"/>
                <w:szCs w:val="17"/>
                <w:color w:val="auto"/>
              </w:rPr>
            </w:pPr>
          </w:p>
        </w:tc>
      </w:tr>
      <w:tr>
        <w:trPr>
          <w:trHeight w:val="222"/>
        </w:trPr>
        <w:tc>
          <w:tcPr>
            <w:tcW w:w="1300" w:type="dxa"/>
            <w:vAlign w:val="bottom"/>
            <w:gridSpan w:val="4"/>
          </w:tcPr>
          <w:p>
            <w:pPr>
              <w:spacing w:after="0"/>
              <w:rPr>
                <w:sz w:val="20"/>
                <w:szCs w:val="20"/>
                <w:color w:val="auto"/>
              </w:rPr>
            </w:pPr>
            <w:r>
              <w:rPr>
                <w:rFonts w:ascii="Arial" w:cs="Arial" w:eastAsia="Arial" w:hAnsi="Arial"/>
                <w:sz w:val="18"/>
                <w:szCs w:val="18"/>
                <w:color w:val="auto"/>
              </w:rPr>
              <w:t>Appendix A-1</w:t>
            </w:r>
          </w:p>
        </w:tc>
        <w:tc>
          <w:tcPr>
            <w:tcW w:w="9940" w:type="dxa"/>
            <w:vAlign w:val="bottom"/>
          </w:tcPr>
          <w:p>
            <w:pPr>
              <w:ind w:left="60"/>
              <w:spacing w:after="0"/>
              <w:rPr>
                <w:sz w:val="20"/>
                <w:szCs w:val="20"/>
                <w:color w:val="auto"/>
              </w:rPr>
            </w:pPr>
            <w:r>
              <w:rPr>
                <w:rFonts w:ascii="Arial" w:cs="Arial" w:eastAsia="Arial" w:hAnsi="Arial"/>
                <w:sz w:val="18"/>
                <w:szCs w:val="18"/>
                <w:color w:val="auto"/>
              </w:rPr>
              <w:t>Initial Term B Loan Commitments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Appendix A-2</w:t>
            </w:r>
          </w:p>
        </w:tc>
        <w:tc>
          <w:tcPr>
            <w:tcW w:w="9940" w:type="dxa"/>
            <w:vAlign w:val="bottom"/>
          </w:tcPr>
          <w:p>
            <w:pPr>
              <w:ind w:left="60"/>
              <w:spacing w:after="0"/>
              <w:rPr>
                <w:sz w:val="20"/>
                <w:szCs w:val="20"/>
                <w:color w:val="auto"/>
              </w:rPr>
            </w:pPr>
            <w:r>
              <w:rPr>
                <w:rFonts w:ascii="Arial" w:cs="Arial" w:eastAsia="Arial" w:hAnsi="Arial"/>
                <w:sz w:val="18"/>
                <w:szCs w:val="18"/>
                <w:color w:val="auto"/>
              </w:rPr>
              <w:t>Term C Loan Commitments</w:t>
            </w:r>
          </w:p>
        </w:tc>
      </w:tr>
      <w:tr>
        <w:trPr>
          <w:trHeight w:val="230"/>
        </w:trPr>
        <w:tc>
          <w:tcPr>
            <w:tcW w:w="1300" w:type="dxa"/>
            <w:vAlign w:val="bottom"/>
            <w:gridSpan w:val="4"/>
          </w:tcPr>
          <w:p>
            <w:pPr>
              <w:spacing w:after="0"/>
              <w:rPr>
                <w:sz w:val="20"/>
                <w:szCs w:val="20"/>
                <w:color w:val="auto"/>
              </w:rPr>
            </w:pPr>
            <w:r>
              <w:rPr>
                <w:rFonts w:ascii="Arial" w:cs="Arial" w:eastAsia="Arial" w:hAnsi="Arial"/>
                <w:sz w:val="18"/>
                <w:szCs w:val="18"/>
                <w:color w:val="auto"/>
              </w:rPr>
              <w:t>Appendix B</w:t>
            </w:r>
          </w:p>
        </w:tc>
        <w:tc>
          <w:tcPr>
            <w:tcW w:w="9940" w:type="dxa"/>
            <w:vAlign w:val="bottom"/>
          </w:tcPr>
          <w:p>
            <w:pPr>
              <w:ind w:left="60"/>
              <w:spacing w:after="0"/>
              <w:rPr>
                <w:sz w:val="20"/>
                <w:szCs w:val="20"/>
                <w:color w:val="auto"/>
              </w:rPr>
            </w:pPr>
            <w:r>
              <w:rPr>
                <w:rFonts w:ascii="Arial" w:cs="Arial" w:eastAsia="Arial" w:hAnsi="Arial"/>
                <w:sz w:val="18"/>
                <w:szCs w:val="18"/>
                <w:color w:val="auto"/>
              </w:rPr>
              <w:t>Notice Addresses</w:t>
            </w:r>
          </w:p>
        </w:tc>
      </w:tr>
      <w:tr>
        <w:trPr>
          <w:trHeight w:val="392"/>
        </w:trPr>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c>
          <w:tcPr>
            <w:tcW w:w="99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8"/>
        </w:trPr>
        <w:tc>
          <w:tcPr>
            <w:tcW w:w="1300" w:type="dxa"/>
            <w:vAlign w:val="bottom"/>
            <w:gridSpan w:val="4"/>
          </w:tcPr>
          <w:p>
            <w:pPr>
              <w:spacing w:after="0"/>
              <w:rPr>
                <w:sz w:val="20"/>
                <w:szCs w:val="20"/>
                <w:color w:val="auto"/>
              </w:rPr>
            </w:pPr>
            <w:r>
              <w:rPr>
                <w:rFonts w:ascii="Arial" w:cs="Arial" w:eastAsia="Arial" w:hAnsi="Arial"/>
                <w:sz w:val="18"/>
                <w:szCs w:val="18"/>
                <w:color w:val="auto"/>
                <w:w w:val="93"/>
              </w:rPr>
              <w:t>Schedule 4.10(b)</w:t>
            </w:r>
          </w:p>
        </w:tc>
        <w:tc>
          <w:tcPr>
            <w:tcW w:w="9940" w:type="dxa"/>
            <w:vAlign w:val="bottom"/>
          </w:tcPr>
          <w:p>
            <w:pPr>
              <w:ind w:left="60"/>
              <w:spacing w:after="0"/>
              <w:rPr>
                <w:sz w:val="20"/>
                <w:szCs w:val="20"/>
                <w:color w:val="auto"/>
              </w:rPr>
            </w:pPr>
            <w:r>
              <w:rPr>
                <w:rFonts w:ascii="Arial" w:cs="Arial" w:eastAsia="Arial" w:hAnsi="Arial"/>
                <w:sz w:val="18"/>
                <w:szCs w:val="18"/>
                <w:color w:val="auto"/>
              </w:rPr>
              <w:t>Capital Stock and Ownership</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Schedule 5.17</w:t>
            </w:r>
          </w:p>
        </w:tc>
        <w:tc>
          <w:tcPr>
            <w:tcW w:w="9940" w:type="dxa"/>
            <w:vAlign w:val="bottom"/>
          </w:tcPr>
          <w:p>
            <w:pPr>
              <w:ind w:left="60"/>
              <w:spacing w:after="0"/>
              <w:rPr>
                <w:sz w:val="20"/>
                <w:szCs w:val="20"/>
                <w:color w:val="auto"/>
              </w:rPr>
            </w:pPr>
            <w:r>
              <w:rPr>
                <w:rFonts w:ascii="Arial" w:cs="Arial" w:eastAsia="Arial" w:hAnsi="Arial"/>
                <w:sz w:val="18"/>
                <w:szCs w:val="18"/>
                <w:color w:val="auto"/>
              </w:rPr>
              <w:t>Post-Closing Matters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Schedule 6.1</w:t>
            </w:r>
          </w:p>
        </w:tc>
        <w:tc>
          <w:tcPr>
            <w:tcW w:w="9940" w:type="dxa"/>
            <w:vAlign w:val="bottom"/>
          </w:tcPr>
          <w:p>
            <w:pPr>
              <w:ind w:left="60"/>
              <w:spacing w:after="0"/>
              <w:rPr>
                <w:sz w:val="20"/>
                <w:szCs w:val="20"/>
                <w:color w:val="auto"/>
              </w:rPr>
            </w:pPr>
            <w:r>
              <w:rPr>
                <w:rFonts w:ascii="Arial" w:cs="Arial" w:eastAsia="Arial" w:hAnsi="Arial"/>
                <w:sz w:val="18"/>
                <w:szCs w:val="18"/>
                <w:color w:val="auto"/>
              </w:rPr>
              <w:t>Indebtedness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Schedule 6.2</w:t>
            </w:r>
          </w:p>
        </w:tc>
        <w:tc>
          <w:tcPr>
            <w:tcW w:w="9940" w:type="dxa"/>
            <w:vAlign w:val="bottom"/>
          </w:tcPr>
          <w:p>
            <w:pPr>
              <w:ind w:left="60"/>
              <w:spacing w:after="0"/>
              <w:rPr>
                <w:sz w:val="20"/>
                <w:szCs w:val="20"/>
                <w:color w:val="auto"/>
              </w:rPr>
            </w:pPr>
            <w:r>
              <w:rPr>
                <w:rFonts w:ascii="Arial" w:cs="Arial" w:eastAsia="Arial" w:hAnsi="Arial"/>
                <w:sz w:val="18"/>
                <w:szCs w:val="18"/>
                <w:color w:val="auto"/>
              </w:rPr>
              <w:t>Liens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Schedule 6.3</w:t>
            </w:r>
          </w:p>
        </w:tc>
        <w:tc>
          <w:tcPr>
            <w:tcW w:w="9940" w:type="dxa"/>
            <w:vAlign w:val="bottom"/>
          </w:tcPr>
          <w:p>
            <w:pPr>
              <w:ind w:left="60"/>
              <w:spacing w:after="0"/>
              <w:rPr>
                <w:sz w:val="20"/>
                <w:szCs w:val="20"/>
                <w:color w:val="auto"/>
              </w:rPr>
            </w:pPr>
            <w:r>
              <w:rPr>
                <w:rFonts w:ascii="Arial" w:cs="Arial" w:eastAsia="Arial" w:hAnsi="Arial"/>
                <w:sz w:val="18"/>
                <w:szCs w:val="18"/>
                <w:color w:val="auto"/>
              </w:rPr>
              <w:t>No Further Negative Pledges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Schedule 6.6</w:t>
            </w:r>
          </w:p>
        </w:tc>
        <w:tc>
          <w:tcPr>
            <w:tcW w:w="9940" w:type="dxa"/>
            <w:vAlign w:val="bottom"/>
          </w:tcPr>
          <w:p>
            <w:pPr>
              <w:ind w:left="60"/>
              <w:spacing w:after="0"/>
              <w:rPr>
                <w:sz w:val="20"/>
                <w:szCs w:val="20"/>
                <w:color w:val="auto"/>
              </w:rPr>
            </w:pPr>
            <w:r>
              <w:rPr>
                <w:rFonts w:ascii="Arial" w:cs="Arial" w:eastAsia="Arial" w:hAnsi="Arial"/>
                <w:sz w:val="18"/>
                <w:szCs w:val="18"/>
                <w:color w:val="auto"/>
              </w:rPr>
              <w:t>Investments</w:t>
            </w:r>
          </w:p>
        </w:tc>
      </w:tr>
      <w:tr>
        <w:trPr>
          <w:trHeight w:val="230"/>
        </w:trPr>
        <w:tc>
          <w:tcPr>
            <w:tcW w:w="1300" w:type="dxa"/>
            <w:vAlign w:val="bottom"/>
            <w:gridSpan w:val="4"/>
          </w:tcPr>
          <w:p>
            <w:pPr>
              <w:spacing w:after="0"/>
              <w:rPr>
                <w:sz w:val="20"/>
                <w:szCs w:val="20"/>
                <w:color w:val="auto"/>
              </w:rPr>
            </w:pPr>
            <w:r>
              <w:rPr>
                <w:rFonts w:ascii="Arial" w:cs="Arial" w:eastAsia="Arial" w:hAnsi="Arial"/>
                <w:sz w:val="18"/>
                <w:szCs w:val="18"/>
                <w:color w:val="auto"/>
              </w:rPr>
              <w:t>Schedule 6.9</w:t>
            </w:r>
          </w:p>
        </w:tc>
        <w:tc>
          <w:tcPr>
            <w:tcW w:w="9940" w:type="dxa"/>
            <w:vAlign w:val="bottom"/>
          </w:tcPr>
          <w:p>
            <w:pPr>
              <w:ind w:left="60"/>
              <w:spacing w:after="0"/>
              <w:rPr>
                <w:sz w:val="20"/>
                <w:szCs w:val="20"/>
                <w:color w:val="auto"/>
              </w:rPr>
            </w:pPr>
            <w:r>
              <w:rPr>
                <w:rFonts w:ascii="Arial" w:cs="Arial" w:eastAsia="Arial" w:hAnsi="Arial"/>
                <w:sz w:val="18"/>
                <w:szCs w:val="18"/>
                <w:color w:val="auto"/>
              </w:rPr>
              <w:t>Affiliate Transactions</w:t>
            </w:r>
          </w:p>
        </w:tc>
      </w:tr>
      <w:tr>
        <w:trPr>
          <w:trHeight w:val="392"/>
        </w:trPr>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99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8"/>
        </w:trPr>
        <w:tc>
          <w:tcPr>
            <w:tcW w:w="1300" w:type="dxa"/>
            <w:vAlign w:val="bottom"/>
            <w:gridSpan w:val="4"/>
          </w:tcPr>
          <w:p>
            <w:pPr>
              <w:spacing w:after="0"/>
              <w:rPr>
                <w:sz w:val="20"/>
                <w:szCs w:val="20"/>
                <w:color w:val="auto"/>
              </w:rPr>
            </w:pPr>
            <w:r>
              <w:rPr>
                <w:rFonts w:ascii="Arial" w:cs="Arial" w:eastAsia="Arial" w:hAnsi="Arial"/>
                <w:sz w:val="18"/>
                <w:szCs w:val="18"/>
                <w:color w:val="auto"/>
              </w:rPr>
              <w:t>Exhibit A-1</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Funding Notice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A-2</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Conversion/Continuation Notice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B-1</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Initial Term B Loan Note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B-2</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Term C Loan Note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F-1</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U.S. Tax Compliance Certificate (Non-U.S. Lenders; not partnerships)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F-2</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U.S. Tax Compliance Certificate (Non-U.S. participants; not partnerships)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F-3</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U.S. Tax Compliance Certificate (Non-U.S. participants; partnerships)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F-4</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U.S. Tax Compliance Certificate (Non-U.S. Lenders; partnerships)</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G</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Closing Date Certificate</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H</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Counterpart Agreement</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I</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Pledge and Security Agreement</w:t>
            </w:r>
          </w:p>
        </w:tc>
      </w:tr>
      <w:tr>
        <w:trPr>
          <w:trHeight w:val="216"/>
        </w:trPr>
        <w:tc>
          <w:tcPr>
            <w:tcW w:w="1300" w:type="dxa"/>
            <w:vAlign w:val="bottom"/>
            <w:gridSpan w:val="4"/>
          </w:tcPr>
          <w:p>
            <w:pPr>
              <w:spacing w:after="0"/>
              <w:rPr>
                <w:sz w:val="20"/>
                <w:szCs w:val="20"/>
                <w:color w:val="auto"/>
              </w:rPr>
            </w:pPr>
            <w:r>
              <w:rPr>
                <w:rFonts w:ascii="Arial" w:cs="Arial" w:eastAsia="Arial" w:hAnsi="Arial"/>
                <w:sz w:val="18"/>
                <w:szCs w:val="18"/>
                <w:color w:val="auto"/>
              </w:rPr>
              <w:t>Exhibit J</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Global Intercompany Note</w:t>
            </w:r>
          </w:p>
        </w:tc>
      </w:tr>
      <w:tr>
        <w:trPr>
          <w:trHeight w:val="230"/>
        </w:trPr>
        <w:tc>
          <w:tcPr>
            <w:tcW w:w="1300" w:type="dxa"/>
            <w:vAlign w:val="bottom"/>
            <w:gridSpan w:val="4"/>
          </w:tcPr>
          <w:p>
            <w:pPr>
              <w:spacing w:after="0"/>
              <w:rPr>
                <w:sz w:val="20"/>
                <w:szCs w:val="20"/>
                <w:color w:val="auto"/>
              </w:rPr>
            </w:pPr>
            <w:r>
              <w:rPr>
                <w:rFonts w:ascii="Arial" w:cs="Arial" w:eastAsia="Arial" w:hAnsi="Arial"/>
                <w:sz w:val="18"/>
                <w:szCs w:val="18"/>
                <w:color w:val="auto"/>
              </w:rPr>
              <w:t>Exhibit K</w:t>
            </w:r>
          </w:p>
        </w:tc>
        <w:tc>
          <w:tcPr>
            <w:tcW w:w="9940" w:type="dxa"/>
            <w:vAlign w:val="bottom"/>
          </w:tcPr>
          <w:p>
            <w:pPr>
              <w:ind w:left="60"/>
              <w:spacing w:after="0"/>
              <w:rPr>
                <w:sz w:val="20"/>
                <w:szCs w:val="20"/>
                <w:color w:val="auto"/>
              </w:rPr>
            </w:pPr>
            <w:r>
              <w:rPr>
                <w:rFonts w:ascii="Arial" w:cs="Arial" w:eastAsia="Arial" w:hAnsi="Arial"/>
                <w:sz w:val="18"/>
                <w:szCs w:val="18"/>
                <w:color w:val="auto"/>
              </w:rPr>
              <w:t>Form of Perfection Certificate</w:t>
            </w:r>
          </w:p>
        </w:tc>
      </w:tr>
      <w:tr>
        <w:trPr>
          <w:trHeight w:val="574"/>
        </w:trPr>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CREDIT AND GUARANTY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CREDIT AND GUARANTY AGREEMENT</w:t>
      </w:r>
      <w:r>
        <w:rPr>
          <w:rFonts w:ascii="Arial" w:cs="Arial" w:eastAsia="Arial" w:hAnsi="Arial"/>
          <w:sz w:val="18"/>
          <w:szCs w:val="18"/>
          <w:color w:val="auto"/>
        </w:rPr>
        <w:t>, dated as of October 1, 2018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by and among </w:t>
      </w:r>
      <w:r>
        <w:rPr>
          <w:rFonts w:ascii="Arial" w:cs="Arial" w:eastAsia="Arial" w:hAnsi="Arial"/>
          <w:sz w:val="18"/>
          <w:szCs w:val="18"/>
          <w:b w:val="1"/>
          <w:bCs w:val="1"/>
          <w:color w:val="auto"/>
        </w:rPr>
        <w:t>COHU,</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certain Subsidiaries of the Borrower from time to time party hereto, as Guarantor Subsidiaries,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from time to time party hereto,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administrative agent (together with its permitted successors in such capacity,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as collateral agent (together with its permitted successors in such capacity, the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capitalized terms used in these recitals will have the respective meanings set forth for such terms in Section 1.1;</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the transactions undertaken in connection with that certain Agreement and Plan of Merger, dated as of May 7, 2018, by</w:t>
      </w:r>
      <w:r>
        <w:rPr>
          <w:rFonts w:ascii="Arial" w:cs="Arial" w:eastAsia="Arial" w:hAnsi="Arial"/>
          <w:sz w:val="16"/>
          <w:szCs w:val="16"/>
          <w:b w:val="1"/>
          <w:bCs w:val="1"/>
          <w:color w:val="auto"/>
        </w:rPr>
        <w:t xml:space="preserve"> </w:t>
      </w:r>
      <w:r>
        <w:rPr>
          <w:rFonts w:ascii="Arial" w:cs="Arial" w:eastAsia="Arial" w:hAnsi="Arial"/>
          <w:sz w:val="16"/>
          <w:szCs w:val="16"/>
          <w:color w:val="auto"/>
        </w:rPr>
        <w:t>and among the Borrower, Xavier Acquisition Corporation, a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Xcerra Corporation, a Massachusetts corporation (the “</w:t>
      </w:r>
      <w:r>
        <w:rPr>
          <w:rFonts w:ascii="Arial" w:cs="Arial" w:eastAsia="Arial" w:hAnsi="Arial"/>
          <w:sz w:val="16"/>
          <w:szCs w:val="16"/>
          <w:b w:val="1"/>
          <w:bCs w:val="1"/>
          <w:color w:val="auto"/>
        </w:rPr>
        <w:t>Closing Date Target</w:t>
      </w:r>
      <w:r>
        <w:rPr>
          <w:rFonts w:ascii="Arial" w:cs="Arial" w:eastAsia="Arial" w:hAnsi="Arial"/>
          <w:sz w:val="16"/>
          <w:szCs w:val="16"/>
          <w:color w:val="auto"/>
        </w:rPr>
        <w:t>” and, together with its subsidiaries, the “</w:t>
      </w:r>
      <w:r>
        <w:rPr>
          <w:rFonts w:ascii="Arial" w:cs="Arial" w:eastAsia="Arial" w:hAnsi="Arial"/>
          <w:sz w:val="16"/>
          <w:szCs w:val="16"/>
          <w:b w:val="1"/>
          <w:bCs w:val="1"/>
          <w:color w:val="auto"/>
        </w:rPr>
        <w:t>Acquired Business</w:t>
      </w:r>
      <w:r>
        <w:rPr>
          <w:rFonts w:ascii="Arial" w:cs="Arial" w:eastAsia="Arial" w:hAnsi="Arial"/>
          <w:sz w:val="16"/>
          <w:szCs w:val="16"/>
          <w:color w:val="auto"/>
        </w:rPr>
        <w:t>”) (such agreement, including all exhibits, schedules and disclosure schedules thereto, as amended, restated, supplemented or otherwise modified prior to the Closing Date,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the Borrower will acquire 100% of the Capital Stock of the Closing Date Target by way of a merger of Merger Sub within and into the Closing Date Target, with the Closing Date Target continuing as the surviving entity of such merger and a wholly-owned subsidiary of the Borrower (the “</w:t>
      </w:r>
      <w:r>
        <w:rPr>
          <w:rFonts w:ascii="Arial" w:cs="Arial" w:eastAsia="Arial" w:hAnsi="Arial"/>
          <w:sz w:val="16"/>
          <w:szCs w:val="16"/>
          <w:b w:val="1"/>
          <w:bCs w:val="1"/>
          <w:color w:val="auto"/>
        </w:rPr>
        <w:t>Acquisition</w:t>
      </w:r>
      <w:r>
        <w:rPr>
          <w:rFonts w:ascii="Arial" w:cs="Arial" w:eastAsia="Arial" w:hAnsi="Arial"/>
          <w:sz w:val="16"/>
          <w:szCs w:val="16"/>
          <w:color w:val="auto"/>
        </w:rPr>
        <w:t>”);</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Lenders have agreed to extend certain credit facilities to the Borrower, in an aggregate principal amount of $350,000,000,</w:t>
      </w:r>
      <w:r>
        <w:rPr>
          <w:rFonts w:ascii="Arial" w:cs="Arial" w:eastAsia="Arial" w:hAnsi="Arial"/>
          <w:sz w:val="17"/>
          <w:szCs w:val="17"/>
          <w:b w:val="1"/>
          <w:bCs w:val="1"/>
          <w:color w:val="auto"/>
        </w:rPr>
        <w:t xml:space="preserve"> </w:t>
      </w:r>
      <w:r>
        <w:rPr>
          <w:rFonts w:ascii="Arial" w:cs="Arial" w:eastAsia="Arial" w:hAnsi="Arial"/>
          <w:sz w:val="17"/>
          <w:szCs w:val="17"/>
          <w:color w:val="auto"/>
        </w:rPr>
        <w:t>consisting of (a) $350,000,000 in aggregate principal amount of Initial Term B Loans and (b) up to $100,000,000 in aggregate principal amount of Term C Loans (or such lesser principal amount as the Borrower may elect by notice to the Administrative Agent prior to the Closing Date);</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proceeds of the Initial Term B Loans and the Term C Loans, if any, will be used on the Closing Date, together with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cash on hand of the Borrower and the Acquired Business, to (A) consummate the Acquisition and the other Transactions, and (B) pay the Transaction Costs;</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Borrower has agreed to secure all of its Obligations by granting to the Collateral Agent, for the benefit of the Secured Parties, a</w:t>
      </w:r>
      <w:r>
        <w:rPr>
          <w:rFonts w:ascii="Arial" w:cs="Arial" w:eastAsia="Arial" w:hAnsi="Arial"/>
          <w:sz w:val="17"/>
          <w:szCs w:val="17"/>
          <w:b w:val="1"/>
          <w:bCs w:val="1"/>
          <w:color w:val="auto"/>
        </w:rPr>
        <w:t xml:space="preserve"> </w:t>
      </w:r>
      <w:r>
        <w:rPr>
          <w:rFonts w:ascii="Arial" w:cs="Arial" w:eastAsia="Arial" w:hAnsi="Arial"/>
          <w:sz w:val="17"/>
          <w:szCs w:val="17"/>
          <w:color w:val="auto"/>
        </w:rPr>
        <w:t>Lien on substantially all of its assets subject to certain exceptions set forth herein and in the Pledge and Security Agreement; and</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Guarantor Subsidiaries have agreed to guarantee the obligations of the Borrower hereunder and to secure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by granting to the Collateral Agent, for the benefit of the Secured Parties, a Lien on substantially all of their respective assets subject to certain exceptions as set forth herein and in the Pledge and Security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tabs>
          <w:tab w:leader="none" w:pos="1160" w:val="left"/>
        </w:tabs>
        <w:rPr>
          <w:sz w:val="20"/>
          <w:szCs w:val="20"/>
          <w:color w:val="auto"/>
        </w:rPr>
      </w:pPr>
      <w:r>
        <w:rPr>
          <w:rFonts w:ascii="Arial" w:cs="Arial" w:eastAsia="Arial" w:hAnsi="Arial"/>
          <w:sz w:val="18"/>
          <w:szCs w:val="18"/>
          <w:b w:val="1"/>
          <w:bCs w:val="1"/>
          <w:color w:val="auto"/>
        </w:rPr>
        <w:t>SECTION 1.</w:t>
        <w:tab/>
        <w:t>DEFINITIONS AND INTERPRETATION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following terms used herein, including in the preamble, recitals, exhibits and schedules hereto, will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Discount Price</w:t>
      </w:r>
      <w:r>
        <w:rPr>
          <w:rFonts w:ascii="Arial" w:cs="Arial" w:eastAsia="Arial" w:hAnsi="Arial"/>
          <w:sz w:val="18"/>
          <w:szCs w:val="18"/>
          <w:color w:val="auto"/>
        </w:rPr>
        <w:t>” as defined in Section 2.25(b).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w:t>
      </w:r>
      <w:r>
        <w:rPr>
          <w:rFonts w:ascii="Arial" w:cs="Arial" w:eastAsia="Arial" w:hAnsi="Arial"/>
          <w:sz w:val="18"/>
          <w:szCs w:val="18"/>
          <w:color w:val="auto"/>
        </w:rPr>
        <w:t>” as defined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as defined in the recitals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Incremental RCF Basket Amount</w:t>
      </w:r>
      <w:r>
        <w:rPr>
          <w:rFonts w:ascii="Arial" w:cs="Arial" w:eastAsia="Arial" w:hAnsi="Arial"/>
          <w:sz w:val="18"/>
          <w:szCs w:val="18"/>
          <w:color w:val="auto"/>
        </w:rPr>
        <w:t xml:space="preserve">” means, as of any date of measurement, the sum of (a) $35,000,000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(b) the aggregate principal amount of Incremental Revolving Facilities previously incurred in reliance on this definition,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 the aggregate principal amount of voluntary permanent reductions of Incremental Revolving Credit Commitments previously incurred in reliance on this definition (solely to the extent not funded with the proceeds of Funded Debt).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xml:space="preserve">” means, at any time, any bank, other financial institution or institutional investor that, in any case, is not an existing Lender and that agrees to provide any portion of any (a) Incremental Loan in accordance with Section 2.24 or (b) Credit Agreement Refinancing Indebtedness pursuant to a Refinancing Amendment in accordance with Section 2.26;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Additional Lender (other than any Person that is a Lender, an Affiliate of a Lender or an Approved Fund of a Lender at such time) will be subject to the approval of the Administrative Agent (such approval not to be unreasonably withheld, conditioned or delayed), to the extent any such consent would be required from the Administrative Agent under Section 10.6(c) for an assignment of Loans to such Additional Lender.</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Adjusted Term SOFR</w:t>
      </w:r>
      <w:r>
        <w:rPr>
          <w:rFonts w:ascii="Arial" w:cs="Arial" w:eastAsia="Arial" w:hAnsi="Arial"/>
          <w:sz w:val="18"/>
          <w:szCs w:val="18"/>
          <w:u w:val="single" w:color="auto"/>
          <w:color w:val="0000FF"/>
        </w:rPr>
        <w:t xml:space="preserve">” means, for purposes of any calculation, the rate per annum equal to (a) Term SOFR for such calculation plus (b) the Term SOFR Adjustment;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if Adjusted Term SOFR as so determined shall ever be less than the Floor, then Adjusted Term SOFR shall be deemed to be the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-295910</wp:posOffset>
            </wp:positionV>
            <wp:extent cx="67208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10712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the Borrower or any Subsidiary) at law or in equity, or before or by any Governmental Authority, domestic or foreign (including any Environmental Claims), whether pending or, to the knowledge of any Executive Officer of the Borrower, threatened against or affecting the Borrower or any Subsidiary or any property of the Borrower or any Subsidiary.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as defined in Section 2.18(c).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Loans</w:t>
      </w:r>
      <w:r>
        <w:rPr>
          <w:rFonts w:ascii="Arial" w:cs="Arial" w:eastAsia="Arial" w:hAnsi="Arial"/>
          <w:sz w:val="18"/>
          <w:szCs w:val="18"/>
          <w:color w:val="auto"/>
        </w:rPr>
        <w:t>” as defined in Section 2.18(c).</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 For the avoidance of doubt, none of the Agents or their respective lender affiliates shall be deemed to be an Affiliate of the Borrower, any Subsidiary or any Unrestricted Subsidiary.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that certain Fee Letter, dated May 7, 2018, by and among the Borrower, DBNY and DBSI.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collectively, the Administrative Agent, the Collateral Agent, the Bookrunner and the Lead Arranger.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Amounts Due</w:t>
      </w:r>
      <w:r>
        <w:rPr>
          <w:rFonts w:ascii="Arial" w:cs="Arial" w:eastAsia="Arial" w:hAnsi="Arial"/>
          <w:sz w:val="18"/>
          <w:szCs w:val="18"/>
          <w:color w:val="auto"/>
        </w:rPr>
        <w:t>” as defined in Section 2.17.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as defined in Section 7.2.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All-In Yield</w:t>
      </w:r>
      <w:r>
        <w:rPr>
          <w:rFonts w:ascii="Arial" w:cs="Arial" w:eastAsia="Arial" w:hAnsi="Arial"/>
          <w:sz w:val="17"/>
          <w:szCs w:val="17"/>
          <w:color w:val="auto"/>
        </w:rPr>
        <w:t xml:space="preserve">” means, as to any Indebtedness or Term Loans of any Class, the yield thereof, whether in the form of interest rate, margin, original issue discount, upfront fees, </w:t>
      </w:r>
      <w:r>
        <w:rPr>
          <w:rFonts w:ascii="Arial" w:cs="Arial" w:eastAsia="Arial" w:hAnsi="Arial"/>
          <w:sz w:val="17"/>
          <w:szCs w:val="17"/>
          <w:color w:val="FF0000"/>
          <w:strike w:val="1"/>
        </w:rPr>
        <w:t>a Eurodollar Rate</w:t>
      </w:r>
      <w:r>
        <w:rPr>
          <w:rFonts w:ascii="Arial" w:cs="Arial" w:eastAsia="Arial" w:hAnsi="Arial"/>
          <w:sz w:val="17"/>
          <w:szCs w:val="17"/>
          <w:u w:val="single" w:color="auto"/>
          <w:color w:val="0000FF"/>
        </w:rPr>
        <w:t>an Adjusted Term SOFR</w:t>
      </w:r>
      <w:r>
        <w:rPr>
          <w:rFonts w:ascii="Arial" w:cs="Arial" w:eastAsia="Arial" w:hAnsi="Arial"/>
          <w:sz w:val="17"/>
          <w:szCs w:val="17"/>
          <w:color w:val="auto"/>
        </w:rPr>
        <w:t xml:space="preserve"> floor or Base Rate floor to the extent greater than 0.00% per annum or 1.00% per annum, respectively (with such increased amount being equated to interest margins for purposes of determining any increase to the Applicable Margin);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original issue discount and upfront fees will be equated to interest rate assuming a 4-year life to maturity (or, if less, the stated life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maturity at the time of its incurrence of the applicable Indebtedness); (ii) that “All-In Yield” will not include arrangement fees, structuring fees, underwriting fees, commitment fees, ticking fees, amendment fees, closing fees or any other similar fees payable to the Lead Arranger in connection with the Initial Term B Loans or to one or more arrangers or lenders (or their respective affiliates) in connection with any other applicable Indebtedness or commitments in respect thereof (regardless of how such fees are computed); and (iii) if </w:t>
      </w:r>
      <w:r>
        <w:rPr>
          <w:rFonts w:ascii="Arial" w:cs="Arial" w:eastAsia="Arial" w:hAnsi="Arial"/>
          <w:sz w:val="17"/>
          <w:szCs w:val="17"/>
          <w:color w:val="FF0000"/>
          <w:strike w:val="1"/>
        </w:rPr>
        <w:t>a Eurodollar Rate</w:t>
      </w:r>
      <w:r>
        <w:rPr>
          <w:rFonts w:ascii="Arial" w:cs="Arial" w:eastAsia="Arial" w:hAnsi="Arial"/>
          <w:sz w:val="17"/>
          <w:szCs w:val="17"/>
          <w:u w:val="single" w:color="auto"/>
          <w:color w:val="0000FF"/>
        </w:rPr>
        <w:t>an Adjusted Term SOFR</w:t>
      </w:r>
      <w:r>
        <w:rPr>
          <w:rFonts w:ascii="Arial" w:cs="Arial" w:eastAsia="Arial" w:hAnsi="Arial"/>
          <w:sz w:val="17"/>
          <w:szCs w:val="17"/>
          <w:color w:val="auto"/>
        </w:rPr>
        <w:t xml:space="preserve"> floor or Base Rate floor for the applicable Indebtedness or commitments in respect thereof being incurred is greater than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Adjusted Term SOFR</w:t>
      </w:r>
      <w:r>
        <w:rPr>
          <w:rFonts w:ascii="Arial" w:cs="Arial" w:eastAsia="Arial" w:hAnsi="Arial"/>
          <w:sz w:val="17"/>
          <w:szCs w:val="17"/>
          <w:color w:val="auto"/>
        </w:rPr>
        <w:t xml:space="preserve"> floor or Base Rate floor, respectively, for the Initial Term B Loans, the difference between such floor for such applicable new Indebtedness or commitments and the Initial Term B Loans will be equated to an increase in the Applicable Margin, and in such case the interest rate floor (expressed in the definition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Adjusted Term SOFR</w:t>
      </w:r>
      <w:r>
        <w:rPr>
          <w:rFonts w:ascii="Arial" w:cs="Arial" w:eastAsia="Arial" w:hAnsi="Arial"/>
          <w:sz w:val="17"/>
          <w:szCs w:val="17"/>
          <w:color w:val="FF0000"/>
        </w:rPr>
        <w:t xml:space="preserve"> </w:t>
      </w:r>
      <w:r>
        <w:rPr>
          <w:rFonts w:ascii="Arial" w:cs="Arial" w:eastAsia="Arial" w:hAnsi="Arial"/>
          <w:sz w:val="17"/>
          <w:szCs w:val="17"/>
          <w:color w:val="000000"/>
        </w:rPr>
        <w:t>or Base Rate), but not the Applicable Margin, as applicable to the Initial Term B Loans will be increased to the extent</w:t>
      </w:r>
      <w:r>
        <w:rPr>
          <w:rFonts w:ascii="Arial" w:cs="Arial" w:eastAsia="Arial" w:hAnsi="Arial"/>
          <w:sz w:val="17"/>
          <w:szCs w:val="17"/>
          <w:color w:val="FF0000"/>
        </w:rPr>
        <w:t xml:space="preserve"> </w:t>
      </w:r>
      <w:r>
        <w:rPr>
          <w:rFonts w:ascii="Arial" w:cs="Arial" w:eastAsia="Arial" w:hAnsi="Arial"/>
          <w:sz w:val="17"/>
          <w:szCs w:val="17"/>
          <w:color w:val="000000"/>
        </w:rPr>
        <w:t>of such differential between interest rate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-1530350</wp:posOffset>
            </wp:positionV>
            <wp:extent cx="1139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-707390</wp:posOffset>
            </wp:positionV>
            <wp:extent cx="11315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-570230</wp:posOffset>
            </wp:positionV>
            <wp:extent cx="10115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-158750</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Budget</w:t>
      </w:r>
      <w:r>
        <w:rPr>
          <w:rFonts w:ascii="Arial" w:cs="Arial" w:eastAsia="Arial" w:hAnsi="Arial"/>
          <w:sz w:val="18"/>
          <w:szCs w:val="18"/>
          <w:color w:val="auto"/>
        </w:rPr>
        <w:t>” as defined in Section 5.1(c).</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Anti-Corruption Laws</w:t>
      </w:r>
      <w:r>
        <w:rPr>
          <w:rFonts w:ascii="Arial" w:cs="Arial" w:eastAsia="Arial" w:hAnsi="Arial"/>
          <w:sz w:val="16"/>
          <w:szCs w:val="16"/>
          <w:color w:val="auto"/>
        </w:rPr>
        <w:t>” means Laws relating to anti-bribery or anti-corruption (governmental or commercial) which apply to the Credit Parties, their Subsidiaries or their Unrestricted Subsidiaries, including Laws that prohibit the corrupt payment, offer, promise, or authorization of the payment or transfer of anything of value (including gifts or entertainment), directly or indirectly, to any Government Official, any foreign government employee or commercial entity in order to obtain an improper business advantage; including the FCPA, the United Kingdom Bribery Act of 2010, and all national and international Laws enacted to implement the OECD Convention on Combating Bribery of Foreign Officials in International Business Transactions.</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any of the Laws relating to money laundering, including, but not limited to, (i) the PATRIOT Act, and (ii) the Laws comprising or implementing the Bank Secrecy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Discount Price</w:t>
      </w:r>
      <w:r>
        <w:rPr>
          <w:rFonts w:ascii="Arial" w:cs="Arial" w:eastAsia="Arial" w:hAnsi="Arial"/>
          <w:sz w:val="18"/>
          <w:szCs w:val="18"/>
          <w:color w:val="auto"/>
        </w:rPr>
        <w:t>” as defined in Section 2.25(b).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w:t>
      </w:r>
    </w:p>
    <w:p>
      <w:pPr>
        <w:spacing w:after="0" w:line="229" w:lineRule="exact"/>
        <w:rPr>
          <w:sz w:val="20"/>
          <w:szCs w:val="20"/>
          <w:color w:val="auto"/>
        </w:rPr>
      </w:pPr>
    </w:p>
    <w:p>
      <w:pPr>
        <w:ind w:left="1100" w:hanging="444"/>
        <w:spacing w:after="0"/>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with respect to Initial Term B Loans, a percentage per annum equal to (i) for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3.00% and (ii) for Base Rate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Loans,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-139065</wp:posOffset>
            </wp:positionV>
            <wp:extent cx="291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firstLine="656"/>
        <w:spacing w:after="0" w:line="277" w:lineRule="auto"/>
        <w:tabs>
          <w:tab w:leader="none" w:pos="10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with respect to Term C Loans, if any, a percentage per annum equal to (i) for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2.00% and (ii) for Base Rate Loans, 1.00%; and</w:t>
      </w:r>
    </w:p>
    <w:p>
      <w:pPr>
        <w:spacing w:after="0" w:line="170" w:lineRule="exact"/>
        <w:rPr>
          <w:rFonts w:ascii="Arial" w:cs="Arial" w:eastAsia="Arial" w:hAnsi="Arial"/>
          <w:sz w:val="18"/>
          <w:szCs w:val="18"/>
          <w:color w:val="auto"/>
        </w:rPr>
      </w:pPr>
    </w:p>
    <w:p>
      <w:pPr>
        <w:ind w:firstLine="656"/>
        <w:spacing w:after="0" w:line="277" w:lineRule="auto"/>
        <w:tabs>
          <w:tab w:leader="none" w:pos="10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any Term Loans (other than Initial Term B Loans and Term C Loans), as specified in the applicable Incremental Amendment, Extension Amendment or Refinancing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-576580</wp:posOffset>
            </wp:positionV>
            <wp:extent cx="282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Electronic Communications</w:t>
      </w:r>
      <w:r>
        <w:rPr>
          <w:rFonts w:ascii="Arial" w:cs="Arial" w:eastAsia="Arial" w:hAnsi="Arial"/>
          <w:sz w:val="18"/>
          <w:szCs w:val="18"/>
          <w:color w:val="auto"/>
        </w:rPr>
        <w:t>” means any notice, demand, communication, information, document or other material that any Credit Party provides to the Administrative Agent pursuant to any Credit Document or the transactions contemplated therein which is distributed to the Administrative Agent or to the Lenders by means of electronic communications pursuant to Section 10.1(d).</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 any investment company, fund, securitization vehicle, trust or conduit that is engaged in making, purchasing, holding or investing in commercial loans and similar extensions of credit in the ordinary course of its business and (b) any Person (other than a Natural Person) which temporarily warehouses loans for any Lender or any entity described in the preceding clause (a) and that in the case of each of the preceding clauses (a) and (b) with respect to any Lender, is administered or managed by (i) such Lender, (ii) an Affiliate of such Lender or (iii) an entity or an Affiliate of an entity that administers or manages such Lender.</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means a sale, lease or sub-lease (as lessor or sublessor), sale and lease-back, assignment, conveyance, exclusive license (as licensor or sublicensor), transfer or other disposition (including any disposition of property to a Delaware Divided LLC pursuant to a Delaware LLC Division) to, or any exchange of property with (each, a “</w:t>
      </w:r>
      <w:r>
        <w:rPr>
          <w:rFonts w:ascii="Arial" w:cs="Arial" w:eastAsia="Arial" w:hAnsi="Arial"/>
          <w:sz w:val="17"/>
          <w:szCs w:val="17"/>
          <w:b w:val="1"/>
          <w:bCs w:val="1"/>
          <w:color w:val="auto"/>
        </w:rPr>
        <w:t>disposition</w:t>
      </w:r>
      <w:r>
        <w:rPr>
          <w:rFonts w:ascii="Arial" w:cs="Arial" w:eastAsia="Arial" w:hAnsi="Arial"/>
          <w:sz w:val="17"/>
          <w:szCs w:val="17"/>
          <w:color w:val="auto"/>
        </w:rPr>
        <w:t>”), any Person in one transaction or a series of related transactions, of all or any part of the Borrower’s or any Subsidiary’s assets or properties of any kind, whether real, personal, or mixed and whether tangible or intangible, whether now owned or hereafter acquired, leased or licensed, including the Capital Stock of any Subsidiary, other than:</w:t>
      </w:r>
    </w:p>
    <w:p>
      <w:pPr>
        <w:spacing w:after="0" w:line="172"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inventory and goods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worn-out, obsolete, used or surplus property and property no longer used or useful in the Business;</w:t>
      </w:r>
    </w:p>
    <w:p>
      <w:pPr>
        <w:spacing w:after="0" w:line="225" w:lineRule="exact"/>
        <w:rPr>
          <w:rFonts w:ascii="Arial" w:cs="Arial" w:eastAsia="Arial" w:hAnsi="Arial"/>
          <w:sz w:val="18"/>
          <w:szCs w:val="18"/>
          <w:color w:val="auto"/>
        </w:rPr>
      </w:pPr>
    </w:p>
    <w:p>
      <w:pPr>
        <w:ind w:firstLine="656"/>
        <w:spacing w:after="0" w:line="277" w:lineRule="auto"/>
        <w:tabs>
          <w:tab w:leader="none" w:pos="11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assets that are made subject to a Capital Lease or Purchase Money Indebtedness within 270 days after the acquisition, construction, lease or improvement of the asset financed;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disposition of property that constitutes a Casualty Event;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cash or Cash Equivalents (or Investments that were cash or Cash Equivalents when made);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equipment or Real Estate Assets to the extent that (i) such property is exchanged for credit against the purchase price of similar replacement property or (ii) any portion of the net cash proceeds of such disposition that are applied within 270 days of the receipt thereof to the purchase price of replacement property;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discounts or forgiveness by the Borrower or any Subsidiary of accounts, receivables or notes receivable in connection with the collection or compromise thereof, including supplier financing arrangements without recourse to the Borrower or any Subsidiary that accelerate collection of receivables from clients or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ind w:firstLine="656"/>
        <w:spacing w:after="0" w:line="263" w:lineRule="auto"/>
        <w:tabs>
          <w:tab w:leader="none" w:pos="10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licenses or sub-licenses of Intellectual Property granted in the ordinary course of business and (ii) the expiration, lapse, abandonment, sale, transfer or other disposition of Intellectual Property that is in the reasonable good faith judgment of the Borrower, no longer economically practicable to maintain or useful in the conduct of the business of the Credit Parties taken as a whole;</w:t>
      </w:r>
    </w:p>
    <w:p>
      <w:pPr>
        <w:spacing w:after="0" w:line="183" w:lineRule="exact"/>
        <w:rPr>
          <w:rFonts w:ascii="Arial" w:cs="Arial" w:eastAsia="Arial" w:hAnsi="Arial"/>
          <w:sz w:val="18"/>
          <w:szCs w:val="18"/>
          <w:color w:val="auto"/>
        </w:rPr>
      </w:pPr>
    </w:p>
    <w:p>
      <w:pPr>
        <w:ind w:left="1060" w:hanging="40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leases, subleases, licenses or sub-licenses of real property or personal property (other than Intellectual Property)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jc w:val="both"/>
        <w:ind w:firstLine="656"/>
        <w:spacing w:after="0" w:line="255" w:lineRule="auto"/>
        <w:tabs>
          <w:tab w:leader="none" w:pos="10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dispositions of any business, asset or property between or among the Borrower and the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disposition outside the ordinary course of business (A) by any Subsidiary that is not a Guarantor Subsidiary to the Borrower or to another Guarantor Subsidiary or (B) by the Borrower or any Guarantor Subsidiary to a Subsidiary that is not a Guarantor Subsidiary is, in each case, on terms that are, taken as a whole, at least as favorable to the Borrower or such Guarantor Subsidiary, as the case may be, as the terms of an arm’s length disposition of such business, asset or property, taken as a whole, between unaffiliated Persons;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such disposition as described in clause (B) shall not be permitted unless treated as an Investment that is permitted by Section 6.6;</w:t>
      </w:r>
    </w:p>
    <w:p>
      <w:pPr>
        <w:spacing w:after="0" w:line="192" w:lineRule="exact"/>
        <w:rPr>
          <w:rFonts w:ascii="Arial" w:cs="Arial" w:eastAsia="Arial" w:hAnsi="Arial"/>
          <w:sz w:val="18"/>
          <w:szCs w:val="18"/>
          <w:color w:val="auto"/>
        </w:rPr>
      </w:pPr>
    </w:p>
    <w:p>
      <w:pPr>
        <w:ind w:firstLine="656"/>
        <w:spacing w:after="0" w:line="277" w:lineRule="auto"/>
        <w:tabs>
          <w:tab w:leader="none" w:pos="10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of other assets for aggregate consideration not to exceed (i) $2,500,000 in the case of any single transaction or series of related transactions or (ii) $10,000,000 in the aggregate during any Fiscal Year;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of non-core assets acquired in a Permitted Acquisition or other Investment permitted under Section 6.6 disposed of within eighteen (18) months following the consummation of such Permitted Acquisition or other Investment and in the aggregate amount not to exceed 25% of the cash purchase consideration paid in respect of such Permitted Acquisition or other Investment;</w:t>
      </w:r>
    </w:p>
    <w:p>
      <w:pPr>
        <w:spacing w:after="0" w:line="183" w:lineRule="exact"/>
        <w:rPr>
          <w:rFonts w:ascii="Arial" w:cs="Arial" w:eastAsia="Arial" w:hAnsi="Arial"/>
          <w:sz w:val="18"/>
          <w:szCs w:val="18"/>
          <w:color w:val="auto"/>
        </w:rPr>
      </w:pPr>
    </w:p>
    <w:p>
      <w:pPr>
        <w:ind w:left="1160" w:hanging="504"/>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dispositions of real property and related assets in connection with relocation of Executive Officers or employees of the Borrower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unwinding of Rate Contracts;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Capital Stock by a Subsidiary to the Borrower or any other Subsidiary;</w:t>
      </w:r>
    </w:p>
    <w:p>
      <w:pPr>
        <w:spacing w:after="0" w:line="225" w:lineRule="exact"/>
        <w:rPr>
          <w:rFonts w:ascii="Arial" w:cs="Arial" w:eastAsia="Arial" w:hAnsi="Arial"/>
          <w:sz w:val="18"/>
          <w:szCs w:val="18"/>
          <w:color w:val="auto"/>
        </w:rPr>
      </w:pPr>
    </w:p>
    <w:p>
      <w:pPr>
        <w:ind w:firstLine="656"/>
        <w:spacing w:after="0" w:line="277" w:lineRule="auto"/>
        <w:tabs>
          <w:tab w:leader="none" w:pos="1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constituting dispositions, Liens permitted by Section 6.2, Restricted Junior Payments permitted by Section 6.4 and Investments permitted by Section 6.6;</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of Capital Stock held in any Unrestricted Subsidiary;</w:t>
      </w:r>
    </w:p>
    <w:p>
      <w:pPr>
        <w:spacing w:after="0" w:line="225" w:lineRule="exact"/>
        <w:rPr>
          <w:rFonts w:ascii="Arial" w:cs="Arial" w:eastAsia="Arial" w:hAnsi="Arial"/>
          <w:sz w:val="18"/>
          <w:szCs w:val="18"/>
          <w:color w:val="auto"/>
        </w:rPr>
      </w:pPr>
    </w:p>
    <w:p>
      <w:pPr>
        <w:ind w:firstLine="656"/>
        <w:spacing w:after="0" w:line="277" w:lineRule="auto"/>
        <w:tabs>
          <w:tab w:leader="none" w:pos="10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of Capital Stock in Joint Ventures and Joint Venture Subsidiaries pursuant to buy/sell arrangements set forth in joint venture agreements and similar binding agreements; and</w:t>
      </w:r>
    </w:p>
    <w:p>
      <w:pPr>
        <w:spacing w:after="0" w:line="170" w:lineRule="exact"/>
        <w:rPr>
          <w:rFonts w:ascii="Arial" w:cs="Arial" w:eastAsia="Arial" w:hAnsi="Arial"/>
          <w:sz w:val="18"/>
          <w:szCs w:val="18"/>
          <w:color w:val="auto"/>
        </w:rPr>
      </w:pPr>
    </w:p>
    <w:p>
      <w:pPr>
        <w:ind w:firstLine="656"/>
        <w:spacing w:after="0" w:line="277" w:lineRule="auto"/>
        <w:tabs>
          <w:tab w:leader="none" w:pos="10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of Capital Stock of Foreign Subsidiaries issued to foreign nationals as requred by applicable Law.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Sweep Percentage</w:t>
      </w:r>
      <w:r>
        <w:rPr>
          <w:rFonts w:ascii="Arial" w:cs="Arial" w:eastAsia="Arial" w:hAnsi="Arial"/>
          <w:sz w:val="18"/>
          <w:szCs w:val="18"/>
          <w:color w:val="auto"/>
        </w:rPr>
        <w:t>” as defined in Section 2.14(a).</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xml:space="preserve">” means an Assignment and Assumption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with such amendments or modifications as may be approved by 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Effective Date</w:t>
      </w:r>
      <w:r>
        <w:rPr>
          <w:rFonts w:ascii="Arial" w:cs="Arial" w:eastAsia="Arial" w:hAnsi="Arial"/>
          <w:sz w:val="18"/>
          <w:szCs w:val="18"/>
          <w:color w:val="auto"/>
        </w:rPr>
        <w:t>” as defined in Section 10.6(b).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means, as applied to any Person, any individual holding the position of chairman of the board (if an officer), chief executive officer, chief operating officer, chief financial officer, president, vice president, treasurer and any other officer having substantially the same authority and responsibility as any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means, as at any date of determination, an amount equal to:</w:t>
      </w:r>
    </w:p>
    <w:p>
      <w:pPr>
        <w:spacing w:after="0" w:line="229" w:lineRule="exact"/>
        <w:rPr>
          <w:sz w:val="20"/>
          <w:szCs w:val="20"/>
          <w:color w:val="auto"/>
        </w:rPr>
      </w:pPr>
    </w:p>
    <w:p>
      <w:pPr>
        <w:ind w:firstLine="656"/>
        <w:spacing w:after="0" w:line="277" w:lineRule="auto"/>
        <w:tabs>
          <w:tab w:leader="none" w:pos="10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(and, in the case of clauses (ii) through (vii) below, received or retained, as applicable, after the Closing Date and prior to such date of determination), without duplication, of:</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greater of (x) $35,000,000 and (y) 25% of LTM Consolidated Adjusted EBITDA;</w:t>
      </w:r>
    </w:p>
    <w:p>
      <w:pPr>
        <w:spacing w:after="0" w:line="225" w:lineRule="exact"/>
        <w:rPr>
          <w:rFonts w:ascii="Arial" w:cs="Arial" w:eastAsia="Arial" w:hAnsi="Arial"/>
          <w:sz w:val="18"/>
          <w:szCs w:val="18"/>
          <w:color w:val="auto"/>
        </w:rPr>
      </w:pPr>
    </w:p>
    <w:p>
      <w:pPr>
        <w:jc w:val="both"/>
        <w:ind w:firstLine="1142"/>
        <w:spacing w:after="0" w:line="259" w:lineRule="auto"/>
        <w:tabs>
          <w:tab w:leader="none" w:pos="15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50.0% of the Consolidated Net Income of the Borrower for the period (taken as one accounting period) beginning from the first day of the first full Fiscal Quarter of the Borrower commencing after the Closing Date to the end of the Borrower’s most recently ended Fiscal Quarter for which financial statements have been delivered pursuant to Section 5.1(a) or (b) at such time, or, in the case such Consolidated Net Income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100.0% of such deficit (which amount shall not be less than zero);</w:t>
      </w:r>
    </w:p>
    <w:p>
      <w:pPr>
        <w:spacing w:after="0" w:line="186" w:lineRule="exact"/>
        <w:rPr>
          <w:rFonts w:ascii="Arial" w:cs="Arial" w:eastAsia="Arial" w:hAnsi="Arial"/>
          <w:sz w:val="18"/>
          <w:szCs w:val="18"/>
          <w:color w:val="auto"/>
        </w:rPr>
      </w:pPr>
    </w:p>
    <w:p>
      <w:pPr>
        <w:jc w:val="both"/>
        <w:ind w:firstLine="1142"/>
        <w:spacing w:after="0" w:line="263" w:lineRule="auto"/>
        <w:tabs>
          <w:tab w:leader="none" w:pos="16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net cash proceeds received by the Borrower after the Closing Date (and prior to such date of determination) from issuances or sales of its Capital Stock (that is not Disqualified Capital Stock), other than to the extent such proceeds have been previously utilized in accordance with the terms of this Agreement;</w:t>
      </w:r>
    </w:p>
    <w:p>
      <w:pPr>
        <w:spacing w:after="0" w:line="183" w:lineRule="exact"/>
        <w:rPr>
          <w:rFonts w:ascii="Arial" w:cs="Arial" w:eastAsia="Arial" w:hAnsi="Arial"/>
          <w:sz w:val="18"/>
          <w:szCs w:val="18"/>
          <w:color w:val="auto"/>
        </w:rPr>
      </w:pPr>
    </w:p>
    <w:p>
      <w:pPr>
        <w:ind w:firstLine="1142"/>
        <w:spacing w:after="0" w:line="277" w:lineRule="auto"/>
        <w:tabs>
          <w:tab w:leader="none" w:pos="16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amount of any Waivable Mandatory Prepayment retained by the Borrower (and not otherwise utilized) in accordance with the terms of this Agreement;</w:t>
      </w:r>
    </w:p>
    <w:p>
      <w:pPr>
        <w:spacing w:after="0" w:line="170" w:lineRule="exact"/>
        <w:rPr>
          <w:rFonts w:ascii="Arial" w:cs="Arial" w:eastAsia="Arial" w:hAnsi="Arial"/>
          <w:sz w:val="18"/>
          <w:szCs w:val="18"/>
          <w:color w:val="auto"/>
        </w:rPr>
      </w:pPr>
    </w:p>
    <w:p>
      <w:pPr>
        <w:jc w:val="both"/>
        <w:ind w:firstLine="1142"/>
        <w:spacing w:after="0" w:line="259" w:lineRule="auto"/>
        <w:tabs>
          <w:tab w:leader="none" w:pos="15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net cash proceeds received by the Borrower or any Subsidiary in connection with the sale, transfer or other disposition of any Investment (including its ownership interest in any Joint Ventures or Unrestricted Subsidiaries) during the period from and including the Business Day immediately following the Closing Date through and including the date of determination, in each case, to the extent that the original Investments were made in reliance on the Available Amount;</w:t>
      </w:r>
    </w:p>
    <w:p>
      <w:pPr>
        <w:spacing w:after="0" w:line="186" w:lineRule="exact"/>
        <w:rPr>
          <w:rFonts w:ascii="Arial" w:cs="Arial" w:eastAsia="Arial" w:hAnsi="Arial"/>
          <w:sz w:val="18"/>
          <w:szCs w:val="18"/>
          <w:color w:val="auto"/>
        </w:rPr>
      </w:pPr>
    </w:p>
    <w:p>
      <w:pPr>
        <w:jc w:val="both"/>
        <w:ind w:firstLine="1142"/>
        <w:spacing w:after="0" w:line="257" w:lineRule="auto"/>
        <w:tabs>
          <w:tab w:leader="none" w:pos="15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Investments of the Borrower or any Subsidiary made in reliance on the Available Amount in any Unrestricted Subsidiary that has been re-designated as a Subsidiary or that has been merged or consolidated with or into the Borrower or any Subsidiary (up to the lesser of (A) the fair market value (as determined in good faith by the Borrower) of the investments of the Borrower or any Subsidiary in such Unrestricted Subsidiary at the time of such re-designation or merger or consolidation and (B) the fair market value (as determined in good faith by the Borrower) of the original investments by the Borrower or any Subsidiary in such Unrestricted Subsidiary); and</w:t>
      </w:r>
    </w:p>
    <w:p>
      <w:pPr>
        <w:spacing w:after="0" w:line="187" w:lineRule="exact"/>
        <w:rPr>
          <w:rFonts w:ascii="Arial" w:cs="Arial" w:eastAsia="Arial" w:hAnsi="Arial"/>
          <w:sz w:val="18"/>
          <w:szCs w:val="18"/>
          <w:color w:val="auto"/>
        </w:rPr>
      </w:pPr>
    </w:p>
    <w:p>
      <w:pPr>
        <w:jc w:val="both"/>
        <w:ind w:firstLine="1142"/>
        <w:spacing w:after="0" w:line="259" w:lineRule="auto"/>
        <w:tabs>
          <w:tab w:leader="none" w:pos="16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returns (including repayments of principal and payments of interest), profits, distributions, returns of capital and similar amounts received in cash or Cash Equivalents by the Borrower or any Subsidiary on Investments made by the Borrower or any Subsidiary in reliance on the Available Amount pursuant to Section 6.6(l) (including as a result of any termination or unwinding of such Investments) to the extent not included in the calculation of Consolidated Adjusted EBITDA;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minus</w:t>
      </w:r>
    </w:p>
    <w:p>
      <w:pPr>
        <w:spacing w:after="0" w:line="225" w:lineRule="exact"/>
        <w:rPr>
          <w:sz w:val="20"/>
          <w:szCs w:val="20"/>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1500" w:hanging="358"/>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amount of Restricted Junior Payments made after the Closing Date (and prior to such date of determination)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6.4(g); and</w:t>
      </w:r>
    </w:p>
    <w:p>
      <w:pPr>
        <w:spacing w:after="0" w:line="210" w:lineRule="exact"/>
        <w:rPr>
          <w:rFonts w:ascii="Arial" w:cs="Arial" w:eastAsia="Arial" w:hAnsi="Arial"/>
          <w:sz w:val="16"/>
          <w:szCs w:val="16"/>
          <w:color w:val="auto"/>
        </w:rPr>
      </w:pPr>
    </w:p>
    <w:p>
      <w:pPr>
        <w:ind w:right="100" w:firstLine="1142"/>
        <w:spacing w:after="0" w:line="277" w:lineRule="auto"/>
        <w:tabs>
          <w:tab w:leader="none" w:pos="15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amount of Investments made after the Closing Date (and prior to such date of determination) pursuant to Section 6.6(l), with each such Investment measured as of the date made and without giving effect to subsequent changes in value.</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Available Tenor</w:t>
      </w:r>
      <w:r>
        <w:rPr>
          <w:rFonts w:ascii="Arial" w:cs="Arial" w:eastAsia="Arial" w:hAnsi="Arial"/>
          <w:sz w:val="16"/>
          <w:szCs w:val="16"/>
          <w:u w:val="single" w:color="auto"/>
          <w:color w:val="0000FF"/>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-281305</wp:posOffset>
            </wp:positionV>
            <wp:extent cx="6720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determining any frequency of making payments of interest calculated with reference to such Benchmark pursuant to this Agreement, in each case,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such date and not including, for the avoidance of doubt, any tenor for such Benchmark that is then-removed from the definition of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pursuant to Section 2.18(b)(iv).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40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 Agreement</w:t>
      </w:r>
      <w:r>
        <w:rPr>
          <w:rFonts w:ascii="Arial" w:cs="Arial" w:eastAsia="Arial" w:hAnsi="Arial"/>
          <w:sz w:val="18"/>
          <w:szCs w:val="18"/>
          <w:color w:val="auto"/>
        </w:rPr>
        <w:t>” means any agreement evidencing Bank Product Obligations.</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Product Obligations</w:t>
      </w:r>
      <w:r>
        <w:rPr>
          <w:rFonts w:ascii="Arial" w:cs="Arial" w:eastAsia="Arial" w:hAnsi="Arial"/>
          <w:sz w:val="16"/>
          <w:szCs w:val="16"/>
          <w:color w:val="auto"/>
        </w:rPr>
        <w:t>” means all obligations of every nature of the Borrower or any Subsidiary from time to time owed to any Bank Product Provider in connection with any Bank Product, whether for principal, interest (including interest which, but for the filing of a petition in bankruptcy with respect to the Borrower or such Subsidiary, would have accrued on any Bank Product Obligation, whether or not a claim is allowed against the Borrower or such Subsidiary for such interest in the related bankruptcy proceeding), reimbursement, fees, expenses, indemnification or otherwise.</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 Provider</w:t>
      </w:r>
      <w:r>
        <w:rPr>
          <w:rFonts w:ascii="Arial" w:cs="Arial" w:eastAsia="Arial" w:hAnsi="Arial"/>
          <w:sz w:val="18"/>
          <w:szCs w:val="18"/>
          <w:color w:val="auto"/>
        </w:rPr>
        <w:t>” means a Lender or Agent, or any Affiliate of a Lender or Agent, in its capacity as such, in each case that provides Bank Products to the Borrower or any Subsidiary (or a Person who was a Lender or an Affiliate of a Lender at the time of execution and delivery of a Bank Product Agreement), whether or not such Person subsequently ceases to be a Lender, an Agent or an Affiliate of a Lender or Agent, in the case of any such Affiliate, that has executed and delivered to the Administrative Agent a letter agreement in form and substance reasonably acceptable to the Administrative Agent pursuant to which such Affiliate of such Lender or Agent appoints the Administrative Agent and the Collateral Agent as agents under the applicable Credit Documents.</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Products</w:t>
      </w:r>
      <w:r>
        <w:rPr>
          <w:rFonts w:ascii="Arial" w:cs="Arial" w:eastAsia="Arial" w:hAnsi="Arial"/>
          <w:sz w:val="18"/>
          <w:szCs w:val="18"/>
          <w:color w:val="auto"/>
        </w:rPr>
        <w:t>” means all facilities or services related to (a) cash management and related services, including automated clearinghouse of funds, treasury, depository, overdraft, electronic funds transfer, cash pooling, controlled disbursements and other cash management arrangements, (b) commercial credit card and merchant card services, credit or debit cards, stored value cards and purchase cards and the processing of related sales or receipts and (c) E-payables and comparable services.</w:t>
      </w:r>
    </w:p>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means Title 11 of the United States Code entitled “Bankruptcy,” as now and hereafter in effect, or any successor statute.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Proceeding</w:t>
      </w:r>
      <w:r>
        <w:rPr>
          <w:rFonts w:ascii="Arial" w:cs="Arial" w:eastAsia="Arial" w:hAnsi="Arial"/>
          <w:sz w:val="18"/>
          <w:szCs w:val="18"/>
          <w:color w:val="auto"/>
        </w:rPr>
        <w:t>” means any voluntary or involuntary proceeding commenced under the Bankruptcy Code.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for any day, a rate per annum equal to the highest of (a) the rate of interest last announced or established by the Administrative Agent as the “prime” rate in the United States for Dollar loans or, if the Administrative Agent ceases to announce or establish such rate, the highest per annum interest rate published by the Board of Governors in Federal Reserve Statistical Release H.15 (519) (Selected Interest Rates) as the “bank prime loan” rate or, if such rate is no longer quoted therein, any similar rate quoted therein (as determined by the Administrative Agent) or any similar release by the Board of Governors (as determined by the Administrative Agent), (b) the sum of 0.50% per annum and the Federal Funds Rate, and</w:t>
      </w:r>
    </w:p>
    <w:p>
      <w:pPr>
        <w:spacing w:after="0" w:line="2" w:lineRule="exact"/>
        <w:rPr>
          <w:sz w:val="20"/>
          <w:szCs w:val="20"/>
          <w:color w:val="auto"/>
        </w:rPr>
      </w:pPr>
    </w:p>
    <w:p>
      <w:pPr>
        <w:jc w:val="both"/>
        <w:ind w:firstLine="8"/>
        <w:spacing w:after="0" w:line="253" w:lineRule="auto"/>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sum of (i) </w:t>
      </w:r>
      <w:r>
        <w:rPr>
          <w:rFonts w:ascii="Arial" w:cs="Arial" w:eastAsia="Arial" w:hAnsi="Arial"/>
          <w:sz w:val="18"/>
          <w:szCs w:val="18"/>
          <w:color w:val="FF0000"/>
          <w:strike w:val="1"/>
        </w:rPr>
        <w:t>the Eurodollar Rate</w:t>
      </w:r>
      <w:r>
        <w:rPr>
          <w:rFonts w:ascii="Arial" w:cs="Arial" w:eastAsia="Arial" w:hAnsi="Arial"/>
          <w:sz w:val="18"/>
          <w:szCs w:val="18"/>
          <w:u w:val="single" w:color="auto"/>
          <w:color w:val="0000FF"/>
        </w:rPr>
        <w:t>Adjusted Term SOFR</w:t>
      </w:r>
      <w:r>
        <w:rPr>
          <w:rFonts w:ascii="Arial" w:cs="Arial" w:eastAsia="Arial" w:hAnsi="Arial"/>
          <w:sz w:val="18"/>
          <w:szCs w:val="18"/>
          <w:color w:val="auto"/>
        </w:rPr>
        <w:t xml:space="preserve"> calculated for each such day based on an Interest Period of one month determined two (2) Business Days prior to such day,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(ii)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Base Rate shall never be less than zero percent (0.00%). Any change in the Base Rate due to a change in any of the foregoing will be effective on the effective date of such change in the “prime” rate, the Federal Funds Rate or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Adjusted Term SOFR</w:t>
      </w:r>
      <w:r>
        <w:rPr>
          <w:rFonts w:ascii="Arial" w:cs="Arial" w:eastAsia="Arial" w:hAnsi="Arial"/>
          <w:sz w:val="18"/>
          <w:szCs w:val="18"/>
          <w:color w:val="FF0000"/>
        </w:rPr>
        <w:t xml:space="preserve"> </w:t>
      </w:r>
      <w:r>
        <w:rPr>
          <w:rFonts w:ascii="Arial" w:cs="Arial" w:eastAsia="Arial" w:hAnsi="Arial"/>
          <w:sz w:val="18"/>
          <w:szCs w:val="18"/>
          <w:color w:val="000000"/>
        </w:rPr>
        <w:t>for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-424815</wp:posOffset>
            </wp:positionV>
            <wp:extent cx="1019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-13335</wp:posOffset>
            </wp:positionV>
            <wp:extent cx="994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bearing interest at a rate determined by reference to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Base Rate Term SOFR Determination Day</w:t>
      </w:r>
      <w:r>
        <w:rPr>
          <w:rFonts w:ascii="Arial" w:cs="Arial" w:eastAsia="Arial" w:hAnsi="Arial"/>
          <w:sz w:val="18"/>
          <w:szCs w:val="18"/>
          <w:u w:val="single" w:color="auto"/>
          <w:color w:val="0000FF"/>
        </w:rPr>
        <w:t>” has the meaning set forth in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49466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466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Benchmark</w:t>
      </w:r>
      <w:r>
        <w:rPr>
          <w:rFonts w:ascii="Arial" w:cs="Arial" w:eastAsia="Arial" w:hAnsi="Arial"/>
          <w:sz w:val="18"/>
          <w:szCs w:val="18"/>
          <w:u w:val="single" w:color="auto"/>
          <w:color w:val="0000FF"/>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2.18(b)(i).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-295910</wp:posOffset>
            </wp:positionV>
            <wp:extent cx="67208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4380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5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Benchmark Replacement</w:t>
      </w:r>
      <w:r>
        <w:rPr>
          <w:rFonts w:ascii="Arial" w:cs="Arial" w:eastAsia="Arial" w:hAnsi="Arial"/>
          <w:sz w:val="18"/>
          <w:szCs w:val="18"/>
          <w:u w:val="single" w:color="auto"/>
          <w:color w:val="0000FF"/>
        </w:rPr>
        <w:t>” means, with respect to any Benchmark Transition Event, the first alternative set forth in the order below that can be determined by the 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4114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46" w:lineRule="exact"/>
        <w:rPr>
          <w:sz w:val="20"/>
          <w:szCs w:val="20"/>
          <w:color w:val="auto"/>
        </w:rPr>
      </w:pPr>
    </w:p>
    <w:p>
      <w:pPr>
        <w:ind w:left="1540" w:hanging="236"/>
        <w:spacing w:after="0"/>
        <w:tabs>
          <w:tab w:leader="none" w:pos="1540" w:val="left"/>
        </w:tabs>
        <w:numPr>
          <w:ilvl w:val="0"/>
          <w:numId w:val="1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sum of (i) Daily Simple SOFR and (ii) the Benchmark Replacement Adjustment; or</w:t>
      </w:r>
    </w:p>
    <w:p>
      <w:pPr>
        <w:spacing w:after="0" w:line="225" w:lineRule="exact"/>
        <w:rPr>
          <w:rFonts w:ascii="Arial" w:cs="Arial" w:eastAsia="Arial" w:hAnsi="Arial"/>
          <w:sz w:val="18"/>
          <w:szCs w:val="18"/>
          <w:u w:val="single" w:color="auto"/>
          <w:color w:val="0000FF"/>
        </w:rPr>
      </w:pPr>
    </w:p>
    <w:p>
      <w:pPr>
        <w:jc w:val="both"/>
        <w:ind w:firstLine="1304"/>
        <w:spacing w:after="0" w:line="279" w:lineRule="auto"/>
        <w:tabs>
          <w:tab w:leader="none" w:pos="1587" w:val="left"/>
        </w:tabs>
        <w:numPr>
          <w:ilvl w:val="0"/>
          <w:numId w:val="1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-713105</wp:posOffset>
            </wp:positionV>
            <wp:extent cx="4140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-438785</wp:posOffset>
            </wp:positionV>
            <wp:extent cx="6309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5494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15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0000FF"/>
        </w:rPr>
        <w:t>If the Benchmark Replacement as determined pursuant to clause (a) or (b) above would be less than the Floor, the Benchmark Replacement will be deemed to be the Floor for the purposes of this Agreement and the other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-165100</wp:posOffset>
            </wp:positionV>
            <wp:extent cx="63093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5151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Benchmark Replacement Adjustment</w:t>
      </w:r>
      <w:r>
        <w:rPr>
          <w:rFonts w:ascii="Arial" w:cs="Arial" w:eastAsia="Arial" w:hAnsi="Arial"/>
          <w:sz w:val="16"/>
          <w:szCs w:val="16"/>
          <w:u w:val="single" w:color="auto"/>
          <w:color w:val="0000FF"/>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-281305</wp:posOffset>
            </wp:positionV>
            <wp:extent cx="6720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0000FF"/>
        </w:rPr>
        <w:t>adjustment, or method for calculating or determining such spread adjustment, for the replacement of such Benchmark with the applicable Unadjusted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Benchmark Replacement by the Relevant Governmental Body or (b) any evolving or then-prevailing market convention for determining a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adjustment, or method for calculating or determining such spread adjustment, for the replacement of such Benchmark with the applicable Unadjusted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Benchmark Replacement for Dollar-denominated syndicated credit facilities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097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Benchmark Replacement Date</w:t>
      </w:r>
      <w:r>
        <w:rPr>
          <w:rFonts w:ascii="Arial" w:cs="Arial" w:eastAsia="Arial" w:hAnsi="Arial"/>
          <w:sz w:val="18"/>
          <w:szCs w:val="18"/>
          <w:u w:val="single" w:color="auto"/>
          <w:color w:val="0000FF"/>
        </w:rPr>
        <w:t>” means a date and time determined by the Administrative Agent, which date shall be no later than the earliest to occur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3386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311" w:lineRule="auto"/>
        <w:tabs>
          <w:tab w:leader="none" w:pos="1937" w:val="left"/>
        </w:tabs>
        <w:numPr>
          <w:ilvl w:val="0"/>
          <w:numId w:val="1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48" w:lineRule="exact"/>
        <w:rPr>
          <w:rFonts w:ascii="Arial" w:cs="Arial" w:eastAsia="Arial" w:hAnsi="Arial"/>
          <w:sz w:val="16"/>
          <w:szCs w:val="16"/>
          <w:u w:val="single" w:color="auto"/>
          <w:color w:val="0000FF"/>
        </w:rPr>
      </w:pPr>
    </w:p>
    <w:p>
      <w:pPr>
        <w:jc w:val="both"/>
        <w:ind w:firstLine="1304"/>
        <w:spacing w:after="0" w:line="257" w:lineRule="auto"/>
        <w:tabs>
          <w:tab w:leader="none" w:pos="2057" w:val="left"/>
        </w:tabs>
        <w:numPr>
          <w:ilvl w:val="0"/>
          <w:numId w:val="1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-1113790</wp:posOffset>
            </wp:positionV>
            <wp:extent cx="63093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63182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825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-565150</wp:posOffset>
            </wp:positionV>
            <wp:extent cx="63093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11741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0000FF"/>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-294005</wp:posOffset>
            </wp:positionV>
            <wp:extent cx="6309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3334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Benchmark Transition Event</w:t>
      </w:r>
      <w:r>
        <w:rPr>
          <w:rFonts w:ascii="Arial" w:cs="Arial" w:eastAsia="Arial" w:hAnsi="Arial"/>
          <w:sz w:val="17"/>
          <w:szCs w:val="17"/>
          <w:u w:val="single" w:color="auto"/>
          <w:color w:val="0000FF"/>
        </w:rPr>
        <w:t>” means the occurrence of one or more of the following events with respect to the then-current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6369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21" w:lineRule="exact"/>
        <w:rPr>
          <w:sz w:val="20"/>
          <w:szCs w:val="20"/>
          <w:color w:val="auto"/>
        </w:rPr>
      </w:pPr>
    </w:p>
    <w:p>
      <w:pPr>
        <w:jc w:val="both"/>
        <w:ind w:firstLine="1304"/>
        <w:spacing w:after="0" w:line="279" w:lineRule="auto"/>
        <w:tabs>
          <w:tab w:leader="none" w:pos="2084" w:val="left"/>
        </w:tabs>
        <w:numPr>
          <w:ilvl w:val="0"/>
          <w:numId w:val="1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at the time of such statement or publication, there is no successor administrator that will continue to provide any Available Tenor of such Benchmark (or such component thereof);</w:t>
      </w:r>
    </w:p>
    <w:p>
      <w:pPr>
        <w:spacing w:after="0" w:line="171" w:lineRule="exact"/>
        <w:rPr>
          <w:rFonts w:ascii="Arial" w:cs="Arial" w:eastAsia="Arial" w:hAnsi="Arial"/>
          <w:sz w:val="17"/>
          <w:szCs w:val="17"/>
          <w:u w:val="single" w:color="auto"/>
          <w:color w:val="0000FF"/>
        </w:rPr>
      </w:pPr>
    </w:p>
    <w:p>
      <w:pPr>
        <w:jc w:val="both"/>
        <w:ind w:firstLine="1304"/>
        <w:spacing w:after="0" w:line="272" w:lineRule="auto"/>
        <w:tabs>
          <w:tab w:leader="none" w:pos="2017" w:val="left"/>
        </w:tabs>
        <w:numPr>
          <w:ilvl w:val="0"/>
          <w:numId w:val="19"/>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i w:val="1"/>
          <w:iCs w:val="1"/>
          <w:u w:val="single" w:color="auto"/>
          <w:color w:val="0000FF"/>
        </w:rPr>
        <w:t>provided</w:t>
      </w:r>
      <w:r>
        <w:rPr>
          <w:rFonts w:ascii="Arial" w:cs="Arial" w:eastAsia="Arial" w:hAnsi="Arial"/>
          <w:sz w:val="17"/>
          <w:szCs w:val="17"/>
          <w:u w:val="single" w:color="auto"/>
          <w:color w:val="0000FF"/>
        </w:rPr>
        <w:t xml:space="preserve"> that, at the time of such statement or publication, there is no successor administrator that will continue to provide any Available Tenor of such Benchmark (or such component thereof); or</w:t>
      </w:r>
    </w:p>
    <w:p>
      <w:pPr>
        <w:spacing w:after="0" w:line="177" w:lineRule="exact"/>
        <w:rPr>
          <w:rFonts w:ascii="Arial" w:cs="Arial" w:eastAsia="Arial" w:hAnsi="Arial"/>
          <w:sz w:val="17"/>
          <w:szCs w:val="17"/>
          <w:u w:val="single" w:color="auto"/>
          <w:color w:val="0000FF"/>
        </w:rPr>
      </w:pPr>
    </w:p>
    <w:p>
      <w:pPr>
        <w:jc w:val="both"/>
        <w:ind w:firstLine="1304"/>
        <w:spacing w:after="0" w:line="263" w:lineRule="auto"/>
        <w:tabs>
          <w:tab w:leader="none" w:pos="2010"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-2077085</wp:posOffset>
            </wp:positionV>
            <wp:extent cx="63093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-1939925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-1802765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45091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0913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-1391285</wp:posOffset>
            </wp:positionV>
            <wp:extent cx="63093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-1254125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-1116965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5272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7240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-294005</wp:posOffset>
            </wp:positionV>
            <wp:extent cx="63093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2254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ind w:firstLine="1296"/>
        <w:spacing w:after="0" w:line="263" w:lineRule="auto"/>
        <w:rPr>
          <w:sz w:val="20"/>
          <w:szCs w:val="20"/>
          <w:color w:val="auto"/>
        </w:rPr>
      </w:pPr>
      <w:r>
        <w:rPr>
          <w:rFonts w:ascii="Arial" w:cs="Arial" w:eastAsia="Arial" w:hAnsi="Arial"/>
          <w:sz w:val="18"/>
          <w:szCs w:val="18"/>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-294005</wp:posOffset>
            </wp:positionV>
            <wp:extent cx="63093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1980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Benchmark Unavailability</w:t>
      </w:r>
      <w:r>
        <w:rPr>
          <w:rFonts w:ascii="Arial" w:cs="Arial" w:eastAsia="Arial" w:hAnsi="Arial"/>
          <w:sz w:val="16"/>
          <w:szCs w:val="16"/>
          <w:u w:val="single" w:color="auto"/>
          <w:color w:val="0000FF"/>
        </w:rPr>
        <w:t xml:space="preserve"> Period” means, the period (if any) (a) beginning at the time that a Benchmark Replacement Date has occurred if, at such time, no Benchmark Replacement has replaced the then-current Benchmark for all purposes hereunder and under any Credit Document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-144145</wp:posOffset>
            </wp:positionV>
            <wp:extent cx="67208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8"/>
          <w:szCs w:val="18"/>
          <w:u w:val="single" w:color="auto"/>
          <w:color w:val="0000FF"/>
        </w:rPr>
        <w:t>with Section 2.18 and (b) ending at the time that a Benchmark Replacement has replaced the then-current Benchmark for all purposes hereunder and under any Credit Document in accordance with Section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25031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Big Boy Letter</w:t>
      </w:r>
      <w:r>
        <w:rPr>
          <w:rFonts w:ascii="Arial" w:cs="Arial" w:eastAsia="Arial" w:hAnsi="Arial"/>
          <w:sz w:val="18"/>
          <w:szCs w:val="18"/>
          <w:color w:val="auto"/>
        </w:rPr>
        <w:t>” as defined Section 2.25.</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means any Person: (a) listed in the annex to, or otherwise subject to the provisions of, Executive Order No. 13224; (b) listed in any sanctions-related list of designated Persons maintained by the United States (including, but not limited to, OFAC Lists), the United Nations Security Council, the European Union or any of its member states, or Her Majesty’s Treasury of the United Kingdom, or any relevant sanctions authority of a jurisdiction where the Borrower and the Subsidiaries operate the Business; (c) with which any Lender is prohibited from dealing or otherwise engaging in any transaction by any Sanctions; or (d) that is the government of a Sanctioned Country; or (e) with which dealings are otherwise restricted or prohibited pursuant to any Sanctions, including by reason of ownership, control, or agency with any person described in (a), (b), (c), or (d).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Bookrunner</w:t>
      </w:r>
      <w:r>
        <w:rPr>
          <w:rFonts w:ascii="Arial" w:cs="Arial" w:eastAsia="Arial" w:hAnsi="Arial"/>
          <w:sz w:val="18"/>
          <w:szCs w:val="18"/>
          <w:color w:val="auto"/>
        </w:rPr>
        <w:t>” means DBSI, in its capacity as joint book running manager.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at any time, a collective reference to (a) the business activities engaged in or proposed to be engaged in by the Borrower and the Subsidiaries on the Closing Date, after giving effect to the Transactions, (b) all business activities that are similar, ancillary, incidental, complementary or related to the business activities identified in clause (a), and (c) all business activities that are a natural outgrowth or a reasonable or logical extension, expansion or development of the business activities identified in clauses (a) and (b).</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w:t>
      </w:r>
      <w:r>
        <w:rPr>
          <w:rFonts w:ascii="Arial" w:cs="Arial" w:eastAsia="Arial" w:hAnsi="Arial"/>
          <w:sz w:val="18"/>
          <w:szCs w:val="18"/>
          <w:color w:val="FF0000"/>
          <w:strike w:val="1"/>
        </w:rPr>
        <w:t>(a)</w:t>
      </w:r>
      <w:r>
        <w:rPr>
          <w:rFonts w:ascii="Arial" w:cs="Arial" w:eastAsia="Arial" w:hAnsi="Arial"/>
          <w:sz w:val="18"/>
          <w:szCs w:val="18"/>
          <w:color w:val="auto"/>
        </w:rPr>
        <w:t xml:space="preserve"> any day excluding Saturday, Sunday and any day which is a legal holiday under the laws of the State of New York or is a day on which banking institutions located in such state are authorized or required by law or other governmental action to close </w:t>
      </w:r>
      <w:r>
        <w:rPr>
          <w:rFonts w:ascii="Arial" w:cs="Arial" w:eastAsia="Arial" w:hAnsi="Arial"/>
          <w:sz w:val="18"/>
          <w:szCs w:val="18"/>
          <w:color w:val="FF0000"/>
        </w:rPr>
        <w:t>and (b) with respect to all</w:t>
      </w:r>
      <w:r>
        <w:rPr>
          <w:rFonts w:ascii="Arial" w:cs="Arial" w:eastAsia="Arial" w:hAnsi="Arial"/>
          <w:sz w:val="18"/>
          <w:szCs w:val="18"/>
          <w:color w:val="auto"/>
        </w:rPr>
        <w:t xml:space="preserve"> </w:t>
      </w:r>
      <w:r>
        <w:rPr>
          <w:rFonts w:ascii="Arial" w:cs="Arial" w:eastAsia="Arial" w:hAnsi="Arial"/>
          <w:sz w:val="18"/>
          <w:szCs w:val="18"/>
          <w:color w:val="FF0000"/>
          <w:strike w:val="1"/>
        </w:rPr>
        <w:t>notices, determinations, fundings and payments in connection with the Eurodollar Rate or any Eurodollar Rate Loans, the</w:t>
      </w:r>
      <w:r>
        <w:rPr>
          <w:rFonts w:ascii="Arial" w:cs="Arial" w:eastAsia="Arial" w:hAnsi="Arial"/>
          <w:sz w:val="18"/>
          <w:szCs w:val="18"/>
          <w:u w:val="single" w:color="auto"/>
          <w:color w:val="0000FF"/>
        </w:rPr>
        <w:t>. The</w:t>
      </w:r>
      <w:r>
        <w:rPr>
          <w:rFonts w:ascii="Arial" w:cs="Arial" w:eastAsia="Arial" w:hAnsi="Arial"/>
          <w:sz w:val="18"/>
          <w:szCs w:val="18"/>
          <w:color w:val="FF0000"/>
        </w:rPr>
        <w:t xml:space="preserve"> </w:t>
      </w:r>
      <w:r>
        <w:rPr>
          <w:rFonts w:ascii="Arial" w:cs="Arial" w:eastAsia="Arial" w:hAnsi="Arial"/>
          <w:sz w:val="18"/>
          <w:szCs w:val="18"/>
          <w:color w:val="000000"/>
        </w:rPr>
        <w:t>term “Business Day”</w:t>
      </w:r>
      <w:r>
        <w:rPr>
          <w:rFonts w:ascii="Arial" w:cs="Arial" w:eastAsia="Arial" w:hAnsi="Arial"/>
          <w:sz w:val="18"/>
          <w:szCs w:val="18"/>
          <w:color w:val="FF0000"/>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also exclude</w:t>
      </w:r>
      <w:r>
        <w:rPr>
          <w:rFonts w:ascii="Arial" w:cs="Arial" w:eastAsia="Arial" w:hAnsi="Arial"/>
          <w:sz w:val="18"/>
          <w:szCs w:val="18"/>
          <w:color w:val="FF0000"/>
        </w:rPr>
        <w:t xml:space="preserve"> </w:t>
      </w:r>
      <w:r>
        <w:rPr>
          <w:rFonts w:ascii="Arial" w:cs="Arial" w:eastAsia="Arial" w:hAnsi="Arial"/>
          <w:sz w:val="18"/>
          <w:szCs w:val="18"/>
          <w:color w:val="000000"/>
        </w:rPr>
        <w:t>any day</w:t>
      </w:r>
      <w:r>
        <w:rPr>
          <w:rFonts w:ascii="Arial" w:cs="Arial" w:eastAsia="Arial" w:hAnsi="Arial"/>
          <w:sz w:val="18"/>
          <w:szCs w:val="18"/>
          <w:color w:val="FF0000"/>
        </w:rPr>
        <w:t xml:space="preserve"> </w:t>
      </w:r>
      <w:r>
        <w:rPr>
          <w:rFonts w:ascii="Arial" w:cs="Arial" w:eastAsia="Arial" w:hAnsi="Arial"/>
          <w:sz w:val="18"/>
          <w:szCs w:val="18"/>
          <w:color w:val="FF0000"/>
          <w:strike w:val="1"/>
        </w:rPr>
        <w:t>which</w:t>
      </w:r>
      <w:r>
        <w:rPr>
          <w:rFonts w:ascii="Arial" w:cs="Arial" w:eastAsia="Arial" w:hAnsi="Arial"/>
          <w:sz w:val="18"/>
          <w:szCs w:val="18"/>
          <w:u w:val="single" w:color="auto"/>
          <w:color w:val="0000FF"/>
        </w:rPr>
        <w:t>that</w:t>
      </w:r>
      <w:r>
        <w:rPr>
          <w:rFonts w:ascii="Arial" w:cs="Arial" w:eastAsia="Arial" w:hAnsi="Arial"/>
          <w:sz w:val="18"/>
          <w:szCs w:val="18"/>
          <w:color w:val="FF0000"/>
        </w:rPr>
        <w:t xml:space="preserve"> </w:t>
      </w:r>
      <w:r>
        <w:rPr>
          <w:rFonts w:ascii="Arial" w:cs="Arial" w:eastAsia="Arial" w:hAnsi="Arial"/>
          <w:sz w:val="18"/>
          <w:szCs w:val="18"/>
          <w:color w:val="000000"/>
        </w:rPr>
        <w:t>is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not</w:t>
      </w:r>
      <w:r>
        <w:rPr>
          <w:rFonts w:ascii="Arial" w:cs="Arial" w:eastAsia="Arial" w:hAnsi="Arial"/>
          <w:sz w:val="18"/>
          <w:szCs w:val="18"/>
          <w:color w:val="FF0000"/>
        </w:rPr>
        <w:t xml:space="preserve"> </w:t>
      </w:r>
      <w:r>
        <w:rPr>
          <w:rFonts w:ascii="Arial" w:cs="Arial" w:eastAsia="Arial" w:hAnsi="Arial"/>
          <w:sz w:val="18"/>
          <w:szCs w:val="18"/>
          <w:color w:val="000000"/>
        </w:rPr>
        <w:t>a</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U.S. Government Securities</w:t>
      </w:r>
      <w:r>
        <w:rPr>
          <w:rFonts w:ascii="Arial" w:cs="Arial" w:eastAsia="Arial" w:hAnsi="Arial"/>
          <w:sz w:val="18"/>
          <w:szCs w:val="18"/>
          <w:color w:val="FF0000"/>
        </w:rPr>
        <w:t xml:space="preserve"> </w:t>
      </w:r>
      <w:r>
        <w:rPr>
          <w:rFonts w:ascii="Arial" w:cs="Arial" w:eastAsia="Arial" w:hAnsi="Arial"/>
          <w:sz w:val="18"/>
          <w:szCs w:val="18"/>
          <w:color w:val="000000"/>
        </w:rPr>
        <w:t>Business Day</w:t>
      </w:r>
      <w:r>
        <w:rPr>
          <w:rFonts w:ascii="Arial" w:cs="Arial" w:eastAsia="Arial" w:hAnsi="Arial"/>
          <w:sz w:val="18"/>
          <w:szCs w:val="18"/>
          <w:color w:val="FF0000"/>
        </w:rPr>
        <w:t xml:space="preserve"> </w:t>
      </w:r>
      <w:r>
        <w:rPr>
          <w:rFonts w:ascii="Arial" w:cs="Arial" w:eastAsia="Arial" w:hAnsi="Arial"/>
          <w:sz w:val="18"/>
          <w:szCs w:val="18"/>
          <w:color w:val="FF0000"/>
          <w:strike w:val="1"/>
        </w:rPr>
        <w:t>described in clause (a) and which is also a day for trading by</w:t>
      </w:r>
      <w:r>
        <w:rPr>
          <w:rFonts w:ascii="Arial" w:cs="Arial" w:eastAsia="Arial" w:hAnsi="Arial"/>
          <w:sz w:val="18"/>
          <w:szCs w:val="18"/>
          <w:color w:val="FF0000"/>
        </w:rPr>
        <w:t xml:space="preserve"> </w:t>
      </w:r>
      <w:r>
        <w:rPr>
          <w:rFonts w:ascii="Arial" w:cs="Arial" w:eastAsia="Arial" w:hAnsi="Arial"/>
          <w:sz w:val="18"/>
          <w:szCs w:val="18"/>
          <w:color w:val="FF0000"/>
          <w:strike w:val="1"/>
        </w:rPr>
        <w:t>and between banks in Dollar deposits in the London interbank market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-497205</wp:posOffset>
            </wp:positionV>
            <wp:extent cx="1215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-291465</wp:posOffset>
            </wp:positionV>
            <wp:extent cx="2489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-154305</wp:posOffset>
            </wp:positionV>
            <wp:extent cx="814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-154305</wp:posOffset>
            </wp:positionV>
            <wp:extent cx="1877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xml:space="preserve">” means, with respect to any provision of this Agreement as of any date of determination, any limitation based on a fixed Dollar amount or percentage of LTM Consolidated Adjusted EBITDA (or if both apply to such provision, whichever is higher determined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Cap shall not include any limitation based on a ratio.</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xml:space="preserve">” means, as applied to any Person, any lease of any property (whether real, personal or mixed) by that Person as lessee that, in conformity with GAAP as in effect on the Closing Date, is or should be accounted for as a capital lease on the balance sheet of that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all purposes hereunder the amount of obligations under any Capital Lease shall be the amount thereof accounted for as a liability in accordance with Accounting Standards Codification 840 (regardless of whether or not then in effect) and without giving effect to Accounting Standards Codification 842 requiring operating leases to be recharacterized or treated as capital leases.</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xml:space="preserve">”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Indebtedness of the Borrower will constitute Capital Stock by virtue of being convertible or exchangeable into Capital Stock prior to such conversion or exchange.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as at any date of determination:</w:t>
      </w:r>
    </w:p>
    <w:p>
      <w:pPr>
        <w:spacing w:after="0" w:line="229" w:lineRule="exact"/>
        <w:rPr>
          <w:sz w:val="20"/>
          <w:szCs w:val="20"/>
          <w:color w:val="auto"/>
        </w:rPr>
      </w:pPr>
    </w:p>
    <w:p>
      <w:pPr>
        <w:ind w:left="1040" w:hanging="384"/>
        <w:spacing w:after="0"/>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Dollars, Canadian Dollars, Euros and Pounds Sterling;</w:t>
      </w:r>
    </w:p>
    <w:p>
      <w:pPr>
        <w:spacing w:after="0" w:line="225" w:lineRule="exact"/>
        <w:rPr>
          <w:rFonts w:ascii="Arial" w:cs="Arial" w:eastAsia="Arial" w:hAnsi="Arial"/>
          <w:sz w:val="18"/>
          <w:szCs w:val="18"/>
          <w:color w:val="auto"/>
        </w:rPr>
      </w:pPr>
    </w:p>
    <w:p>
      <w:pPr>
        <w:ind w:firstLine="656"/>
        <w:spacing w:after="0" w:line="277" w:lineRule="auto"/>
        <w:tabs>
          <w:tab w:leader="none" w:pos="10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local currencies held by the Borrower or any Subsidiary from time to time in the ordinary course of business or consistent with past practice and not for speculation;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42"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marketable securities (i) issued or directly and unconditionally guaranteed or insured as to interest and principal by the United States Government or EEA Member Country or (ii) issued by any agency or instrumentality of the United States the obligations of which are backed by the full faith and credit of the United States, in each case maturing within one year after such date;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commonwealth or territory of the United States or any political subdivision of any such state, commonwealth or territory or any public instrumentality thereof, in each case maturing within one year after such date and having, at the time of the acquisition thereof, a rating of at least A-1 from S&amp;P or at least P-1 from Moody’s;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29"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commercial paper maturing no more than one year from the date of creation thereof and having, at the time of the acquisition thereof, a rating of at least A-1 from S&amp;P or at least P-1 from Moody’s (or, if at any time neither Moody’s nor S&amp;P shall be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jc w:val="both"/>
        <w:ind w:firstLine="656"/>
        <w:spacing w:after="0" w:line="291" w:lineRule="auto"/>
        <w:tabs>
          <w:tab w:leader="none" w:pos="1084" w:val="left"/>
        </w:tabs>
        <w:numPr>
          <w:ilvl w:val="1"/>
          <w:numId w:val="20"/>
        </w:numPr>
        <w:rPr>
          <w:rFonts w:ascii="Arial" w:cs="Arial" w:eastAsia="Arial" w:hAnsi="Arial"/>
          <w:sz w:val="16"/>
          <w:szCs w:val="16"/>
          <w:color w:val="auto"/>
        </w:rPr>
      </w:pPr>
      <w:r>
        <w:rPr>
          <w:rFonts w:ascii="Arial" w:cs="Arial" w:eastAsia="Arial" w:hAnsi="Arial"/>
          <w:sz w:val="16"/>
          <w:szCs w:val="16"/>
          <w:color w:val="auto"/>
        </w:rPr>
        <w:t>certificates of deposit, time deposits or bankers’ acceptances maturing within one year after such date and issued or accepted (x) by any Lender or (y) by any commercial bank organized under the laws of the United States, any State or Commonwealth thereof or the District of Columbia that</w:t>
      </w:r>
    </w:p>
    <w:p>
      <w:pPr>
        <w:ind w:firstLine="8"/>
        <w:spacing w:after="0" w:line="260" w:lineRule="auto"/>
        <w:tabs>
          <w:tab w:leader="none" w:pos="2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at least “adequately capitalized” (as defined in the regulations of its primary Federal banking regulator) and (ii) has Tier 1 capital (as defined in such regulations) of not less than $250,000,000;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firstLine="656"/>
        <w:spacing w:after="0" w:line="263" w:lineRule="auto"/>
        <w:tabs>
          <w:tab w:leader="none" w:pos="11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having a rating of at least P-1 or A-1 from either Moody’s or S&amp;P, respectively (or, if at any time neither Moody’s nor S&amp;P shall be rating such obligations, an equivalent rating from another nationally recognized statistical rating agency); and</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funds investing substantially all of their assets in securities of the types described in clauses (a) through (g) above.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Investments by any Foreign Subsidiary or Investments made in a jurisdiction outside the United States, Cash Equivalents shall also include</w:t>
      </w:r>
    </w:p>
    <w:p>
      <w:pPr>
        <w:spacing w:after="0" w:line="46" w:lineRule="exact"/>
        <w:rPr>
          <w:sz w:val="20"/>
          <w:szCs w:val="20"/>
          <w:color w:val="auto"/>
        </w:rPr>
      </w:pPr>
    </w:p>
    <w:p>
      <w:pPr>
        <w:jc w:val="both"/>
        <w:ind w:firstLine="8"/>
        <w:spacing w:after="0" w:line="253" w:lineRule="auto"/>
        <w:tabs>
          <w:tab w:leader="none" w:pos="2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of the type and maturity described in clauses (a) through (h) above of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clauses (a) through (h) and in this paragraph.</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respect of any equipment, fixed assets or real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as defined in the definition of “Excluded Foreign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 event or series of events by which</w:t>
      </w:r>
    </w:p>
    <w:p>
      <w:pPr>
        <w:spacing w:after="0" w:line="229" w:lineRule="exact"/>
        <w:rPr>
          <w:sz w:val="20"/>
          <w:szCs w:val="20"/>
          <w:color w:val="auto"/>
        </w:rPr>
      </w:pPr>
    </w:p>
    <w:p>
      <w:pPr>
        <w:jc w:val="both"/>
        <w:ind w:left="660" w:firstLine="644"/>
        <w:spacing w:after="0" w:line="291" w:lineRule="auto"/>
        <w:tabs>
          <w:tab w:leader="none" w:pos="175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6"/>
          <w:szCs w:val="16"/>
          <w:b w:val="1"/>
          <w:bCs w:val="1"/>
          <w:color w:val="auto"/>
        </w:rPr>
        <w:t>option right</w:t>
      </w:r>
      <w:r>
        <w:rPr>
          <w:rFonts w:ascii="Arial" w:cs="Arial" w:eastAsia="Arial" w:hAnsi="Arial"/>
          <w:sz w:val="16"/>
          <w:szCs w:val="16"/>
          <w:color w:val="auto"/>
        </w:rPr>
        <w:t>”)), directly or indirectly, of forty percent (40%)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66" w:lineRule="exact"/>
        <w:rPr>
          <w:rFonts w:ascii="Arial" w:cs="Arial" w:eastAsia="Arial" w:hAnsi="Arial"/>
          <w:sz w:val="16"/>
          <w:szCs w:val="16"/>
          <w:color w:val="auto"/>
        </w:rPr>
      </w:pPr>
    </w:p>
    <w:p>
      <w:pPr>
        <w:jc w:val="both"/>
        <w:ind w:left="660" w:firstLine="644"/>
        <w:spacing w:after="0" w:line="263" w:lineRule="auto"/>
        <w:tabs>
          <w:tab w:leader="none" w:pos="17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any 24 consecutive month period, occupation of a majority of the seats (other than vacant seats) on the board of directors of the Borrower by Persons who were neither (i) nominated by the board of directors of the Borrower nor (ii) appointed or approved by the directors so nominated.</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means (a) with respect to the Lenders, each of the following classes of the Lenders: (i) the Lenders having Term Loan Exposure arising from the Initial Term B Loans, (ii) the Lenders having Term Loan Exposure arising from the Term C Loans, (iii) the Lenders having Term Loan Exposure arising from any separately identifiable tranche of Incremental Term Loans, (iv) the Lenders having Term Loan Exposure arising from any separately identifiable tranche of Refinancing Term Loans, (v) the Lenders having Term Loan Exposure arising from any separately identifiable tranche of Extended Term Loans and (vi) the Lenders having Incremental Revolving Loan Exposure arising from any separately identifiable tranche of Incremental Revolving Credit Commitments, and (b) with respect to Loans, each of the following classes of Loans: (i) Initial Term B Loans, (ii) Term C Loans, (iii) any separately identifiable tranche of Incremental Term Loans, (iv) any separately identifiable tranche of Refinancing Term Loans, (v) any separately identifiable tranche of Extended Term Loans and (vi) any separately identifiable tranche of Incremental Revolving Loans and/or Incremental Revolving Credit Commitments .</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October 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Certificate</w:t>
      </w:r>
      <w:r>
        <w:rPr>
          <w:rFonts w:ascii="Arial" w:cs="Arial" w:eastAsia="Arial" w:hAnsi="Arial"/>
          <w:sz w:val="18"/>
          <w:szCs w:val="18"/>
          <w:color w:val="auto"/>
        </w:rPr>
        <w:t xml:space="preserve">” means a Closing Date Certificate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Target</w:t>
      </w:r>
      <w:r>
        <w:rPr>
          <w:rFonts w:ascii="Arial" w:cs="Arial" w:eastAsia="Arial" w:hAnsi="Arial"/>
          <w:sz w:val="18"/>
          <w:szCs w:val="18"/>
          <w:color w:val="auto"/>
        </w:rPr>
        <w:t>” as defined in the recitals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means, collectively, all of the real, personal and mixed property (including Capital Stock) in which Liens are granted or purported to be granted pursuant to the Collateral Documents as collateral security for the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Collateral shall not include any Excluded Assets (as defined in the Pledge and Security Agreement) or any other property or assets specifically excluded from the scope of any granting clause under any other Collateral Document unless (as to any Credit Party) such Credit Party hereafter agrees in writing that any such Excluded Asset, asset or property shall constitute Collateral hereunder.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Documents</w:t>
      </w:r>
      <w:r>
        <w:rPr>
          <w:rFonts w:ascii="Arial" w:cs="Arial" w:eastAsia="Arial" w:hAnsi="Arial"/>
          <w:sz w:val="17"/>
          <w:szCs w:val="17"/>
          <w:color w:val="auto"/>
        </w:rPr>
        <w:t>” means the Pledge and Security Agreement, the Mortgages and all other instruments, documents and agreements delivered by any Credit Party pursuant to this Agreement or any of the other Credit Documents in order to grant to the Collateral Agent, for the benefit of the Secured Parties, a Lien on any real, personal or mixed property of that Credit Party as security for the Obligations.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any Initial Term B Loan Commitment, any Term C Loan Commitment, any Incremental Term Loan Commitment and any Incremental Revolving Credit Commitment.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Exchange Act</w:t>
      </w:r>
      <w:r>
        <w:rPr>
          <w:rFonts w:ascii="Arial" w:cs="Arial" w:eastAsia="Arial" w:hAnsi="Arial"/>
          <w:sz w:val="17"/>
          <w:szCs w:val="17"/>
          <w:color w:val="auto"/>
        </w:rPr>
        <w:t xml:space="preserve">” means the Commodity Exchange Act (7 U.S.C. § 1 </w:t>
      </w:r>
      <w:r>
        <w:rPr>
          <w:rFonts w:ascii="Arial" w:cs="Arial" w:eastAsia="Arial" w:hAnsi="Arial"/>
          <w:sz w:val="17"/>
          <w:szCs w:val="17"/>
          <w:i w:val="1"/>
          <w:iCs w:val="1"/>
          <w:color w:val="auto"/>
        </w:rPr>
        <w:t>et seq.</w:t>
      </w:r>
      <w:r>
        <w:rPr>
          <w:rFonts w:ascii="Arial" w:cs="Arial" w:eastAsia="Arial" w:hAnsi="Arial"/>
          <w:sz w:val="17"/>
          <w:szCs w:val="17"/>
          <w:color w:val="auto"/>
        </w:rPr>
        <w:t>), as amended from time to time,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as defined in the Merger Agreement (as in effect on May 7,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Compliance Certificate of the Borrower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Conforming Changes</w:t>
      </w:r>
      <w:r>
        <w:rPr>
          <w:rFonts w:ascii="Arial" w:cs="Arial" w:eastAsia="Arial" w:hAnsi="Arial"/>
          <w:sz w:val="17"/>
          <w:szCs w:val="17"/>
          <w:u w:val="single" w:color="auto"/>
          <w:color w:val="0000FF"/>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-281305</wp:posOffset>
            </wp:positionV>
            <wp:extent cx="67208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analogous definition (or the addition of a concept of “interest period”), timing and frequency of determining rates and making payments of interest,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of borrowing requests or prepayment, conversion or continuation notices, the applicability and length of lookback periods, the applicability of Section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and other technical, administrative or operational matters) that the Administrative Agent decides in consultation with the Borrower may be appropriate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reflect the adoption and implementation of any such rate or to permit the use and administration thereof by the Administrative Agent in a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substantially consistent with market practice (or, if the Administrative Agent decides that adoption of any portion of such market practice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administratively feasible or if the Administrative Agent determines in consultation with the Borrower that no market practice for the administration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such rate exists, in such other manner of administration as the Administrative Agent decides is reasonably necessary in connection with the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of this Agreement and the other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742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w:t>
      </w:r>
      <w:r>
        <w:rPr>
          <w:rFonts w:ascii="Arial" w:cs="Arial" w:eastAsia="Arial" w:hAnsi="Arial"/>
          <w:sz w:val="18"/>
          <w:szCs w:val="18"/>
          <w:color w:val="auto"/>
        </w:rPr>
        <w:t>” means, for any Test Period, an amount determined for the Borrower and the Subsidiaries on a consolidated basis and without duplication equal to:</w:t>
      </w:r>
    </w:p>
    <w:p>
      <w:pPr>
        <w:spacing w:after="0" w:line="166"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i w:val="1"/>
          <w:iCs w:val="1"/>
          <w:u w:val="single" w:color="auto"/>
          <w:color w:val="auto"/>
        </w:rPr>
        <w:t>plus</w:t>
      </w:r>
    </w:p>
    <w:p>
      <w:pPr>
        <w:spacing w:after="0" w:line="225" w:lineRule="exact"/>
        <w:rPr>
          <w:rFonts w:ascii="Arial" w:cs="Arial" w:eastAsia="Arial" w:hAnsi="Arial"/>
          <w:sz w:val="18"/>
          <w:szCs w:val="18"/>
          <w:color w:val="auto"/>
        </w:rPr>
      </w:pPr>
    </w:p>
    <w:p>
      <w:pPr>
        <w:ind w:firstLine="656"/>
        <w:spacing w:after="0" w:line="277" w:lineRule="auto"/>
        <w:tabs>
          <w:tab w:leader="none" w:pos="11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in each case (other than subclauses (x) and (xviii) below) to the extent deducted (and not added back or excluded) in the calculation of Consolidated Net Income, but without duplication:</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Interest Expense for such Test Period;</w:t>
      </w:r>
    </w:p>
    <w:p>
      <w:pPr>
        <w:spacing w:after="0" w:line="225" w:lineRule="exact"/>
        <w:rPr>
          <w:rFonts w:ascii="Arial" w:cs="Arial" w:eastAsia="Arial" w:hAnsi="Arial"/>
          <w:sz w:val="18"/>
          <w:szCs w:val="18"/>
          <w:color w:val="auto"/>
        </w:rPr>
      </w:pPr>
    </w:p>
    <w:p>
      <w:pPr>
        <w:ind w:firstLine="1142"/>
        <w:spacing w:after="0" w:line="277" w:lineRule="auto"/>
        <w:tabs>
          <w:tab w:leader="none" w:pos="15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tax expense for such Test Period based on income, profits or capital, including state, franchise, capital and similar taxes and withholding taxes paid or accrued during such period;</w:t>
      </w:r>
    </w:p>
    <w:p>
      <w:pPr>
        <w:spacing w:after="0" w:line="170" w:lineRule="exact"/>
        <w:rPr>
          <w:rFonts w:ascii="Arial" w:cs="Arial" w:eastAsia="Arial" w:hAnsi="Arial"/>
          <w:sz w:val="18"/>
          <w:szCs w:val="18"/>
          <w:color w:val="auto"/>
        </w:rPr>
      </w:pPr>
    </w:p>
    <w:p>
      <w:pPr>
        <w:ind w:firstLine="1142"/>
        <w:spacing w:after="0" w:line="277" w:lineRule="auto"/>
        <w:tabs>
          <w:tab w:leader="none" w:pos="1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amounts attributable to depreciation and amortization expense for such Test Period (including amortization of customer contracts, non-compete agreements or other intangible assets);</w:t>
      </w:r>
    </w:p>
    <w:p>
      <w:pPr>
        <w:spacing w:after="0" w:line="170" w:lineRule="exact"/>
        <w:rPr>
          <w:rFonts w:ascii="Arial" w:cs="Arial" w:eastAsia="Arial" w:hAnsi="Arial"/>
          <w:sz w:val="18"/>
          <w:szCs w:val="18"/>
          <w:color w:val="auto"/>
        </w:rPr>
      </w:pPr>
    </w:p>
    <w:p>
      <w:pPr>
        <w:jc w:val="both"/>
        <w:ind w:firstLine="1142"/>
        <w:spacing w:after="0" w:line="257" w:lineRule="auto"/>
        <w:tabs>
          <w:tab w:leader="none" w:pos="1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non-cash charges or expenses reducing Consolidated Net Income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in connection with any non-cash charge or expense that is an accrual of a reserve for a cash expenditure or payment required to be made, or anticipated to be made, in a future period, (1) the Borrower may determine not to add back such non-cash charge or expense in the current Test Period and (2) to the extent the Borrower decides to add back such non-cash charge or expense, the cash payment in respect thereof in such future period will be subtracted from Consolidated Adjusted EBITDA to such extent);</w:t>
      </w:r>
    </w:p>
    <w:p>
      <w:pPr>
        <w:spacing w:after="0" w:line="187" w:lineRule="exact"/>
        <w:rPr>
          <w:rFonts w:ascii="Arial" w:cs="Arial" w:eastAsia="Arial" w:hAnsi="Arial"/>
          <w:sz w:val="18"/>
          <w:szCs w:val="18"/>
          <w:color w:val="auto"/>
        </w:rPr>
      </w:pPr>
    </w:p>
    <w:p>
      <w:pPr>
        <w:ind w:left="1540" w:hanging="398"/>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costs, fees and expenses associated with the Transactions;</w:t>
      </w:r>
    </w:p>
    <w:p>
      <w:pPr>
        <w:spacing w:after="0" w:line="225" w:lineRule="exact"/>
        <w:rPr>
          <w:rFonts w:ascii="Arial" w:cs="Arial" w:eastAsia="Arial" w:hAnsi="Arial"/>
          <w:sz w:val="18"/>
          <w:szCs w:val="18"/>
          <w:color w:val="auto"/>
        </w:rPr>
      </w:pPr>
    </w:p>
    <w:p>
      <w:pPr>
        <w:jc w:val="both"/>
        <w:ind w:firstLine="1142"/>
        <w:spacing w:after="0" w:line="257" w:lineRule="auto"/>
        <w:tabs>
          <w:tab w:leader="none" w:pos="16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costs, fees, charges, accruals and expenses arising in connection with the Acquisition and any transaction that is or would be a Permitted Acquisition, permitted Investment, disposition, incurrence or repayment of Indebtedness (including a refinancing, amendment or other modification thereof) and/or equity offering, in each case whether or not consummated and any amendment or modification to the terms of any such transactions (including such costs, fees, charges and expenses reimbursed or actually paid by a Person that is not the Borrower or a Subsidiary or covered by indemnification or reimbursement provisions);</w:t>
      </w:r>
    </w:p>
    <w:p>
      <w:pPr>
        <w:spacing w:after="0" w:line="187" w:lineRule="exact"/>
        <w:rPr>
          <w:rFonts w:ascii="Arial" w:cs="Arial" w:eastAsia="Arial" w:hAnsi="Arial"/>
          <w:sz w:val="18"/>
          <w:szCs w:val="18"/>
          <w:color w:val="auto"/>
        </w:rPr>
      </w:pPr>
    </w:p>
    <w:p>
      <w:pPr>
        <w:jc w:val="both"/>
        <w:ind w:firstLine="1142"/>
        <w:spacing w:after="0" w:line="259" w:lineRule="auto"/>
        <w:tabs>
          <w:tab w:leader="none" w:pos="17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restructuring, integration or similar charges, expenses or reserves, whether or not classified as restructuring charges or expenses under GAAP (including restructuring costs related to acquisitions and closure or consolidation of branches, facilities or locations, any lease termination settlements (or remaining rental expense until the end of the applicable lease term), and any expense related to any reconstruction, recommissioning or reconfiguration of fixed assets for alternate use);</w:t>
      </w:r>
    </w:p>
    <w:p>
      <w:pPr>
        <w:spacing w:after="0" w:line="186" w:lineRule="exact"/>
        <w:rPr>
          <w:rFonts w:ascii="Arial" w:cs="Arial" w:eastAsia="Arial" w:hAnsi="Arial"/>
          <w:sz w:val="18"/>
          <w:szCs w:val="18"/>
          <w:color w:val="auto"/>
        </w:rPr>
      </w:pPr>
    </w:p>
    <w:p>
      <w:pPr>
        <w:ind w:left="1680" w:hanging="538"/>
        <w:spacing w:after="0"/>
        <w:tabs>
          <w:tab w:leader="none" w:pos="1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changes in reserves for earnouts and similar obligations during such period;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6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extraordinary, unusual or non-recurring costs, fees, charges and other expenses, including severance costs and expenses (including such fees, charges and expenses incurred by the Borrower or any Subsidiary that are reimbursed or actually paid by a Person that is not the Borrower or a Subsidiary or covered by indemnification or reimbursement provisions);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firstLine="1142"/>
        <w:spacing w:after="0" w:line="257" w:lineRule="auto"/>
        <w:tabs>
          <w:tab w:leader="none" w:pos="15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losses (including lost revenues) or charges incurred during such period in connection with Casualty Events to the extent that any such amount is covered by business interruption or other insurance and which either has been reimbursed or as to which the Borrower has made a determination that there exists reasonable evidence that such amount will be reimbursed by the insurer and only to the extent that such amount is (a) not denied by the applicable insurance carrier in writing and (b) in fact reimbursed within 365 days of the date of such determination (with a deduction for any amount so added back to the extent not so reimbursed within 365 days);</w:t>
      </w:r>
    </w:p>
    <w:p>
      <w:pPr>
        <w:spacing w:after="0" w:line="187" w:lineRule="exact"/>
        <w:rPr>
          <w:rFonts w:ascii="Arial" w:cs="Arial" w:eastAsia="Arial" w:hAnsi="Arial"/>
          <w:sz w:val="18"/>
          <w:szCs w:val="18"/>
          <w:color w:val="auto"/>
        </w:rPr>
      </w:pPr>
    </w:p>
    <w:p>
      <w:pPr>
        <w:ind w:firstLine="1142"/>
        <w:spacing w:after="0" w:line="27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charges and losses due to the effects of purchase accounting, as set forth in the Statement of Financial Accounting Standards 141(R), Business Combinations;</w:t>
      </w:r>
    </w:p>
    <w:p>
      <w:pPr>
        <w:spacing w:after="0" w:line="170" w:lineRule="exact"/>
        <w:rPr>
          <w:rFonts w:ascii="Arial" w:cs="Arial" w:eastAsia="Arial" w:hAnsi="Arial"/>
          <w:sz w:val="18"/>
          <w:szCs w:val="18"/>
          <w:color w:val="auto"/>
        </w:rPr>
      </w:pPr>
    </w:p>
    <w:p>
      <w:pPr>
        <w:ind w:left="1660" w:hanging="518"/>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any expenses paid on behalf of any member of the board of directors or reimbursable to such member of the board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210" w:lineRule="exact"/>
        <w:rPr>
          <w:rFonts w:ascii="Arial" w:cs="Arial" w:eastAsia="Arial" w:hAnsi="Arial"/>
          <w:sz w:val="16"/>
          <w:szCs w:val="16"/>
          <w:color w:val="auto"/>
        </w:rPr>
      </w:pPr>
    </w:p>
    <w:p>
      <w:pPr>
        <w:jc w:val="both"/>
        <w:ind w:firstLine="1142"/>
        <w:spacing w:after="0" w:line="263" w:lineRule="auto"/>
        <w:tabs>
          <w:tab w:leader="none" w:pos="17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or expenses incurred by the Borrower or any Subsidiary pursuant to an equity-based compensation plan, profits interest or stock option plan or any other management or employee benefit plan or arrangement or any stock subscription or shareholder plan and any payments of taxes on behalf of employees or option holders in connection with equity-based compensation plans;</w:t>
      </w:r>
    </w:p>
    <w:p>
      <w:pPr>
        <w:spacing w:after="0" w:line="183" w:lineRule="exact"/>
        <w:rPr>
          <w:rFonts w:ascii="Arial" w:cs="Arial" w:eastAsia="Arial" w:hAnsi="Arial"/>
          <w:sz w:val="18"/>
          <w:szCs w:val="18"/>
          <w:color w:val="auto"/>
        </w:rPr>
      </w:pPr>
    </w:p>
    <w:p>
      <w:pPr>
        <w:ind w:left="1680" w:hanging="538"/>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minority interest expense;</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6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Net Income in any period to the extent non-cash gains relating to such income were deducted in the calculation of Consolidated Adjusted EBITDA pursuant to clause (c)(ii) of this definition for any previous period;</w:t>
      </w:r>
    </w:p>
    <w:p>
      <w:pPr>
        <w:spacing w:after="0" w:line="183" w:lineRule="exact"/>
        <w:rPr>
          <w:rFonts w:ascii="Arial" w:cs="Arial" w:eastAsia="Arial" w:hAnsi="Arial"/>
          <w:sz w:val="18"/>
          <w:szCs w:val="18"/>
          <w:color w:val="auto"/>
        </w:rPr>
      </w:pPr>
    </w:p>
    <w:p>
      <w:pPr>
        <w:ind w:firstLine="1142"/>
        <w:spacing w:after="0" w:line="277" w:lineRule="auto"/>
        <w:tabs>
          <w:tab w:leader="none" w:pos="18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of Foreign Subsidiaries, expenses recognized on conversion from IFRS to GAAP for items capitalized under IFRS but expensed under GAAP;</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7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relating to compliance with the Sarbanes-Oxley Act of 2002, as amended, and other expenses arising out of or incidental to the status of the Borrower as a reporting company, including costs, fees and expenses relating to compliance with provisions of the Securities Act and the Exchange Act and the rules of national securities exchange companies with listed equity securities;</w:t>
      </w:r>
    </w:p>
    <w:p>
      <w:pPr>
        <w:spacing w:after="0" w:line="183" w:lineRule="exact"/>
        <w:rPr>
          <w:rFonts w:ascii="Arial" w:cs="Arial" w:eastAsia="Arial" w:hAnsi="Arial"/>
          <w:sz w:val="18"/>
          <w:szCs w:val="18"/>
          <w:color w:val="auto"/>
        </w:rPr>
      </w:pPr>
    </w:p>
    <w:p>
      <w:pPr>
        <w:jc w:val="both"/>
        <w:ind w:firstLine="1142"/>
        <w:spacing w:after="0" w:line="293" w:lineRule="auto"/>
        <w:tabs>
          <w:tab w:leader="none" w:pos="176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of “run-rate” cost savings, operating expense reductions and synergies projected by the Borrower in good faith to result from (A) actions taken, (B) actions relating to any acquisition, disposition or operational change committed to be taken or expected to be taken no later than 24 months after such acquisition, disposition or operational change and (C) actions relating to the Transactions and acquisitions that occurred prior to the Closing Date reasonably expected to be taken no later than 24 months after the Closing Date, in each case, which cost savings, operating expense reductions and synergies will be determined by the Borrower in good faith and calculated on a Pro Forma Basis as though such cost savings, operating expense reductions and synergies had been realized on the first day of the Test Period for which Consolidated Adjusted EBITDA is being determined;</w:t>
      </w:r>
    </w:p>
    <w:p>
      <w:pPr>
        <w:spacing w:after="0" w:line="164" w:lineRule="exact"/>
        <w:rPr>
          <w:rFonts w:ascii="Arial" w:cs="Arial" w:eastAsia="Arial" w:hAnsi="Arial"/>
          <w:sz w:val="16"/>
          <w:szCs w:val="16"/>
          <w:color w:val="auto"/>
        </w:rPr>
      </w:pPr>
    </w:p>
    <w:p>
      <w:pPr>
        <w:ind w:left="1680" w:hanging="538"/>
        <w:spacing w:after="0"/>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add-backs and adjustments set forth in the bank model delivered to the Administrative Agent and the Lead Arranger, dated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April 28, 2018;</w:t>
      </w:r>
    </w:p>
    <w:p>
      <w:pPr>
        <w:spacing w:after="0" w:line="210" w:lineRule="exact"/>
        <w:rPr>
          <w:rFonts w:ascii="Arial" w:cs="Arial" w:eastAsia="Arial" w:hAnsi="Arial"/>
          <w:sz w:val="16"/>
          <w:szCs w:val="16"/>
          <w:color w:val="auto"/>
        </w:rPr>
      </w:pPr>
    </w:p>
    <w:p>
      <w:pPr>
        <w:jc w:val="both"/>
        <w:ind w:left="660" w:firstLine="482"/>
        <w:spacing w:after="0" w:line="263" w:lineRule="auto"/>
        <w:tabs>
          <w:tab w:leader="none" w:pos="1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charges and losses in the form of earn-out obligations and contingent consideration obligations (including to the extent accounted for as performance and retention bonuses, compensation or otherwise) and adjustments thereof and purchase price adjustments, in each case paid in connection with Permitted Acquisitions or other permitted Investments or acquisitions;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left="1680" w:hanging="538"/>
        <w:spacing w:after="0"/>
        <w:tabs>
          <w:tab w:leader="none" w:pos="1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retention, recruiting, relocation and signing bonuses and expenses; and</w:t>
      </w:r>
    </w:p>
    <w:p>
      <w:pPr>
        <w:spacing w:after="0" w:line="225" w:lineRule="exact"/>
        <w:rPr>
          <w:rFonts w:ascii="Arial" w:cs="Arial" w:eastAsia="Arial" w:hAnsi="Arial"/>
          <w:sz w:val="18"/>
          <w:szCs w:val="18"/>
          <w:color w:val="auto"/>
        </w:rPr>
      </w:pPr>
    </w:p>
    <w:p>
      <w:pPr>
        <w:ind w:left="1720" w:hanging="578"/>
        <w:spacing w:after="0"/>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net loss from abandoned or discontinued operations, </w:t>
      </w:r>
      <w:r>
        <w:rPr>
          <w:rFonts w:ascii="Arial" w:cs="Arial" w:eastAsia="Arial" w:hAnsi="Arial"/>
          <w:sz w:val="18"/>
          <w:szCs w:val="18"/>
          <w:i w:val="1"/>
          <w:iCs w:val="1"/>
          <w:color w:val="auto"/>
        </w:rPr>
        <w:t>minus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in each case to the extent included in the calculation of Consolidated Net Income, but without duplication:</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extraordinary, unusual or non-recurring cash gains of such Person for such Test Period increasing Consolidated Net Income;</w:t>
      </w:r>
    </w:p>
    <w:p>
      <w:pPr>
        <w:spacing w:after="0" w:line="236" w:lineRule="exact"/>
        <w:rPr>
          <w:rFonts w:ascii="Arial" w:cs="Arial" w:eastAsia="Arial" w:hAnsi="Arial"/>
          <w:sz w:val="17"/>
          <w:szCs w:val="17"/>
          <w:color w:val="auto"/>
        </w:rPr>
      </w:pPr>
    </w:p>
    <w:p>
      <w:pPr>
        <w:jc w:val="both"/>
        <w:ind w:firstLine="1142"/>
        <w:spacing w:after="0" w:line="279" w:lineRule="auto"/>
        <w:tabs>
          <w:tab w:leader="none" w:pos="1577"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non-cash items of such Person for such Test Period increasing Consolidated Net Income, including gains on cancellation of debt purchased at less than par (in each case of or by the Borrower and the Subsidiaries for such period), other than the accrual of revenue in the ordinary course and excluding any such items which represent the reversal in such Test Period of any accrual of, or cash reserve for, anticipated cash charges in any prior period to the extent such amount was deducted in determining Consolidated Adjusted EBITDA for such prior period; and</w:t>
      </w:r>
    </w:p>
    <w:p>
      <w:pPr>
        <w:spacing w:after="0" w:line="171" w:lineRule="exact"/>
        <w:rPr>
          <w:rFonts w:ascii="Arial" w:cs="Arial" w:eastAsia="Arial" w:hAnsi="Arial"/>
          <w:sz w:val="17"/>
          <w:szCs w:val="17"/>
          <w:color w:val="auto"/>
        </w:rPr>
      </w:pPr>
    </w:p>
    <w:p>
      <w:pPr>
        <w:ind w:left="1600" w:hanging="458"/>
        <w:spacing w:after="0"/>
        <w:tabs>
          <w:tab w:leader="none" w:pos="1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net gain from abandoned or discontinued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determination of Consolidated Adjusted EBITDA of any other Person is required in connection with any Specified Transaction or Pro Forma calculations with respect thereto, the Borrower shall determine the Consolidated Adjusted EBITDA of such Person in a manner consistent with this definition but substituting such other Person and its Subsidiaries therein.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as at any date of determination, the total assets of the Borrower and the Subsidiaries on a consolidated basis that may properly be classified as current assets in conformity with GAAP, excluding cash and Cash Equivalents, deferred taxes,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any consummated acquisition.</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Current Liabilities</w:t>
      </w:r>
      <w:r>
        <w:rPr>
          <w:rFonts w:ascii="Arial" w:cs="Arial" w:eastAsia="Arial" w:hAnsi="Arial"/>
          <w:sz w:val="17"/>
          <w:szCs w:val="17"/>
          <w:color w:val="auto"/>
        </w:rPr>
        <w:t>” means, as at any date of determination, the total liabilities of the Borrower and the Subsidiaries on a consolidated basis that may properly be classified as current liabilities in conformity with GAAP, excluding (A) the current portion of long term debt and deferred taxes, (B) the current portion of interest, (C) accruals of any costs or expenses related to restructuring reserves, (D) deferred revenue arising from cash receipts that are earmarked for specific projects, (E) liabilities in respect of unpaid earn-outs or letters of credit and (F) the current portion of any other long-term liabilities, and, furthermore, excluding the effects of adjustments pursuant to GAAP resulting from the application of recapitalization accounting or purchase accounting, as the case may be, in relation to any consummated acquisition.</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Excess Cash Flow</w:t>
      </w:r>
      <w:r>
        <w:rPr>
          <w:rFonts w:ascii="Arial" w:cs="Arial" w:eastAsia="Arial" w:hAnsi="Arial"/>
          <w:sz w:val="18"/>
          <w:szCs w:val="18"/>
          <w:color w:val="auto"/>
        </w:rPr>
        <w:t>” means for any Fiscal Year, with respect to the Borrower and the Subsidiaries on a consolidated basis, an amount, equal to:</w:t>
      </w:r>
    </w:p>
    <w:p>
      <w:pPr>
        <w:spacing w:after="0" w:line="166" w:lineRule="exact"/>
        <w:rPr>
          <w:sz w:val="20"/>
          <w:szCs w:val="20"/>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sum of (x) Consolidated Adjusted EBITDA for such Fiscal Year (for the avoidance of doubt, calculated on an actual and not on a Pro Forma Basis),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(y) the aggregate cash component of all fees, costs, expenses, charges, proceeds or other amounts included in the calculation of Consolidated Adjusted EBITDA (pursuant to clause (b) of the definition thereof) for such Fiscal Year; </w:t>
      </w:r>
      <w:r>
        <w:rPr>
          <w:rFonts w:ascii="Arial" w:cs="Arial" w:eastAsia="Arial" w:hAnsi="Arial"/>
          <w:sz w:val="18"/>
          <w:szCs w:val="18"/>
          <w:i w:val="1"/>
          <w:iCs w:val="1"/>
          <w:u w:val="single" w:color="auto"/>
          <w:color w:val="auto"/>
        </w:rPr>
        <w:t>plus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firstLine="1304"/>
        <w:spacing w:after="0" w:line="277"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all cash extraordinary, unusual and non-recurring gains excluded in the calculation of Consolidated Adjusted EBITDA (pursuant to clause (c)(i) of the definition thereof) for such Fiscal Year;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ind w:firstLine="1304"/>
        <w:spacing w:after="0" w:line="308" w:lineRule="auto"/>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decreases in the Consolidated Working Capital Adjustment for such Fiscal Year (other than any such decreases arising from acquisitions or dispositions by the Borrower and the Subsidiaries completed during such period or the application of purchase accounting);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minus</w:t>
      </w:r>
    </w:p>
    <w:p>
      <w:pPr>
        <w:spacing w:after="0" w:line="225"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without duplication (and without duplication of amounts deducted pursuant to clause (a)(i)(y) above), of:</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consolidated capital expenditures in accordance with GAAP or acquisitions of Intellectual Property accrued or paid in cash by the Borrower and the Subsidiaries during such period or thereafter and prior to the ECF Payment Date or committed to be paid in cash thereafter and prior to the ECF Payment Date, in each case to the extent funded with Internally Generated Cash; </w:t>
      </w:r>
      <w:r>
        <w:rPr>
          <w:rFonts w:ascii="Arial" w:cs="Arial" w:eastAsia="Arial" w:hAnsi="Arial"/>
          <w:sz w:val="18"/>
          <w:szCs w:val="18"/>
          <w:i w:val="1"/>
          <w:iCs w:val="1"/>
          <w:u w:val="single" w:color="auto"/>
          <w:color w:val="auto"/>
        </w:rPr>
        <w:t>plus</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18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the amounts for such Fiscal Year of all repayments, repurchases, redemptions, retirements, defeasances or other discharges of Consolidated Total Debt funded with Internally Generated Cash (excluding (w) Term C Loans, (x) any such payments made in reliance on any basket calculated by reference to the Available Amount, (y) repayments of revolving Indebtedness unless accompanied by a permanent reduction in the commitments thereunder and (z) purchases, prepayments and repayments of Term Loans (other than Term C Loans) and other Pari Passu Lien Indebtedness, to the extent the same reduce the amount of mandatory prepayments of Term Loans (other than Term C Loans) from Consolidated Excess Cash Flow pursuant to Sections 2.14(d)(ii) and/or 2.14(d)(iii)), in each case paid in cash during such period; </w:t>
      </w:r>
      <w:r>
        <w:rPr>
          <w:rFonts w:ascii="Arial" w:cs="Arial" w:eastAsia="Arial" w:hAnsi="Arial"/>
          <w:sz w:val="17"/>
          <w:szCs w:val="17"/>
          <w:i w:val="1"/>
          <w:iCs w:val="1"/>
          <w:u w:val="single" w:color="auto"/>
          <w:color w:val="auto"/>
        </w:rPr>
        <w:t>plus</w:t>
      </w:r>
    </w:p>
    <w:p>
      <w:pPr>
        <w:spacing w:after="0" w:line="177" w:lineRule="exact"/>
        <w:rPr>
          <w:rFonts w:ascii="Arial" w:cs="Arial" w:eastAsia="Arial" w:hAnsi="Arial"/>
          <w:sz w:val="17"/>
          <w:szCs w:val="17"/>
          <w:color w:val="auto"/>
        </w:rPr>
      </w:pPr>
    </w:p>
    <w:p>
      <w:pPr>
        <w:ind w:firstLine="1304"/>
        <w:spacing w:after="0" w:line="277" w:lineRule="auto"/>
        <w:tabs>
          <w:tab w:leader="none" w:pos="17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the amount of Restricted Equity Payments pursuant to Sections 6.4(a) and (c) made during such period or thereafter and prior to the ECF Payment Date to the extent funded with Internally Generated Cash; </w:t>
      </w:r>
      <w:r>
        <w:rPr>
          <w:rFonts w:ascii="Arial" w:cs="Arial" w:eastAsia="Arial" w:hAnsi="Arial"/>
          <w:sz w:val="18"/>
          <w:szCs w:val="18"/>
          <w:i w:val="1"/>
          <w:iCs w:val="1"/>
          <w:u w:val="single" w:color="auto"/>
          <w:color w:val="auto"/>
        </w:rPr>
        <w:t>plus</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1783"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the aggregate consideration paid in cash during such period or thereafter and prior to the ECF Payment Date or committed to be paid in cash thereafter and prior to the ECF Payment Date in connection with Permitted Acquisitions or other Investments permitted under Section 6.6 to the extent funded with Internally Generated Cash (excluding any intercompany Investments by and among the Borrower and its Subsidiaries, Investments pursuant to Section 6.6(a) and any such payments made in reliance on any basket calculated by reference to the Available Amount); </w:t>
      </w:r>
      <w:r>
        <w:rPr>
          <w:rFonts w:ascii="Arial" w:cs="Arial" w:eastAsia="Arial" w:hAnsi="Arial"/>
          <w:sz w:val="16"/>
          <w:szCs w:val="16"/>
          <w:i w:val="1"/>
          <w:iCs w:val="1"/>
          <w:u w:val="single" w:color="auto"/>
          <w:color w:val="auto"/>
        </w:rPr>
        <w:t>plus</w:t>
      </w:r>
    </w:p>
    <w:p>
      <w:pPr>
        <w:spacing w:after="0" w:line="157" w:lineRule="exact"/>
        <w:rPr>
          <w:rFonts w:ascii="Arial" w:cs="Arial" w:eastAsia="Arial" w:hAnsi="Arial"/>
          <w:sz w:val="16"/>
          <w:szCs w:val="16"/>
          <w:color w:val="auto"/>
        </w:rPr>
      </w:pPr>
    </w:p>
    <w:p>
      <w:pPr>
        <w:jc w:val="both"/>
        <w:ind w:firstLine="1304"/>
        <w:spacing w:after="0" w:line="279" w:lineRule="auto"/>
        <w:tabs>
          <w:tab w:leader="none" w:pos="1763"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the amount of any payments in respect of purchase price adjustments, earn-outs or long-term liabilities of the Borrower and its Subsidiaries (A) made in cash by the Borrower or any Subsidiary after the Closing Date (1) during such period or (2) thereafter and prior to the ECF Payment Date or (B) committed to be made in cash within one year after the end of such period (only to the extent made with Internally Generated Cash and excluding any such payments made in reliance on any basket calculated by reference to the Available Amount); </w:t>
      </w:r>
      <w:r>
        <w:rPr>
          <w:rFonts w:ascii="Arial" w:cs="Arial" w:eastAsia="Arial" w:hAnsi="Arial"/>
          <w:sz w:val="17"/>
          <w:szCs w:val="17"/>
          <w:i w:val="1"/>
          <w:iCs w:val="1"/>
          <w:u w:val="single" w:color="auto"/>
          <w:color w:val="auto"/>
        </w:rPr>
        <w:t>plus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firstLine="1304"/>
        <w:spacing w:after="0" w:line="308" w:lineRule="auto"/>
        <w:tabs>
          <w:tab w:leader="none" w:pos="1863"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increases in the Consolidated Working Capital Adjustment for such Fiscal Year (other than any such increases arising from acquisitions or dispositions by the Borrower and the Subsidiaries completed during such Fiscal Year or the application of purchase accounting); </w:t>
      </w:r>
      <w:r>
        <w:rPr>
          <w:rFonts w:ascii="Arial" w:cs="Arial" w:eastAsia="Arial" w:hAnsi="Arial"/>
          <w:sz w:val="17"/>
          <w:szCs w:val="17"/>
          <w:i w:val="1"/>
          <w:iCs w:val="1"/>
          <w:u w:val="single" w:color="auto"/>
          <w:color w:val="auto"/>
        </w:rPr>
        <w:t>plus</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non-cash expenses, charges and adjustments for such Fiscal Year added to Consolidated Adjusted EBITDA pursuant to clause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of the definition thereof; </w:t>
      </w:r>
      <w:r>
        <w:rPr>
          <w:rFonts w:ascii="Arial" w:cs="Arial" w:eastAsia="Arial" w:hAnsi="Arial"/>
          <w:sz w:val="18"/>
          <w:szCs w:val="18"/>
          <w:i w:val="1"/>
          <w:iCs w:val="1"/>
          <w:u w:val="single" w:color="auto"/>
          <w:color w:val="auto"/>
        </w:rPr>
        <w:t>plus</w:t>
      </w:r>
    </w:p>
    <w:p>
      <w:pPr>
        <w:spacing w:after="0" w:line="210" w:lineRule="exact"/>
        <w:rPr>
          <w:rFonts w:ascii="Arial" w:cs="Arial" w:eastAsia="Arial" w:hAnsi="Arial"/>
          <w:sz w:val="18"/>
          <w:szCs w:val="18"/>
          <w:color w:val="auto"/>
        </w:rPr>
      </w:pPr>
    </w:p>
    <w:p>
      <w:pPr>
        <w:jc w:val="both"/>
        <w:ind w:firstLine="1304"/>
        <w:spacing w:after="0" w:line="286" w:lineRule="auto"/>
        <w:tabs>
          <w:tab w:leader="none" w:pos="186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an amount equal to the aggregate net non-cash gain on dispositions of property by the Borrower and its Subsidiaries during such Fiscal Year (other than dispositions of property in the ordinary course of business) to the extent included in arriving at such Consolidated Adjusted EBITDA and the net cash loss on dispositions to the extent otherwise added to arrive at Consolidated Adjusted EBITDA; </w:t>
      </w:r>
      <w:r>
        <w:rPr>
          <w:rFonts w:ascii="Arial" w:cs="Arial" w:eastAsia="Arial" w:hAnsi="Arial"/>
          <w:sz w:val="17"/>
          <w:szCs w:val="17"/>
          <w:i w:val="1"/>
          <w:iCs w:val="1"/>
          <w:u w:val="single" w:color="auto"/>
          <w:color w:val="auto"/>
        </w:rPr>
        <w:t>plus</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7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aggregate amount of any premium, make-whole or penalty payments actually paid in cash by the Borrower and its Subsidiaries during such Fiscal Year that are made in connection with any prepayment of any principal of Indebtedness to the extent (x) such prepayment of principal reduced Consolidated Excess Cash Flow pursuant to clause (b)(ii) above or reduced the mandatory prepayment required by Section 2.14(d) and (y) such payment is made with Internally Generated Cash; </w:t>
      </w:r>
      <w:r>
        <w:rPr>
          <w:rFonts w:ascii="Arial" w:cs="Arial" w:eastAsia="Arial" w:hAnsi="Arial"/>
          <w:sz w:val="18"/>
          <w:szCs w:val="18"/>
          <w:i w:val="1"/>
          <w:iCs w:val="1"/>
          <w:u w:val="single" w:color="auto"/>
          <w:color w:val="auto"/>
        </w:rPr>
        <w:t>plus</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the amount of cash Taxes paid or Tax reserves set aside or payable (without duplication) in or with respect to such Fiscal Year; </w:t>
      </w:r>
      <w:r>
        <w:rPr>
          <w:rFonts w:ascii="Arial" w:cs="Arial" w:eastAsia="Arial" w:hAnsi="Arial"/>
          <w:sz w:val="16"/>
          <w:szCs w:val="16"/>
          <w:i w:val="1"/>
          <w:iCs w:val="1"/>
          <w:u w:val="single" w:color="auto"/>
          <w:color w:val="auto"/>
        </w:rPr>
        <w:t>plus</w:t>
      </w:r>
    </w:p>
    <w:p>
      <w:pPr>
        <w:spacing w:after="0" w:line="248" w:lineRule="exact"/>
        <w:rPr>
          <w:rFonts w:ascii="Arial" w:cs="Arial" w:eastAsia="Arial" w:hAnsi="Arial"/>
          <w:sz w:val="16"/>
          <w:szCs w:val="16"/>
          <w:color w:val="auto"/>
        </w:rPr>
      </w:pPr>
    </w:p>
    <w:p>
      <w:pPr>
        <w:jc w:val="both"/>
        <w:ind w:firstLine="1304"/>
        <w:spacing w:after="0" w:line="291" w:lineRule="auto"/>
        <w:tabs>
          <w:tab w:leader="none" w:pos="17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without duplication of amounts deducted from Consolidated Excess Cash Flow in prior periods, at the option of the Borrower, the aggregate consideration required to be paid in cash by the Borrower or any Subsidiary pursuant to binding contracts (the “</w:t>
      </w:r>
      <w:r>
        <w:rPr>
          <w:rFonts w:ascii="Arial" w:cs="Arial" w:eastAsia="Arial" w:hAnsi="Arial"/>
          <w:sz w:val="16"/>
          <w:szCs w:val="16"/>
          <w:b w:val="1"/>
          <w:bCs w:val="1"/>
          <w:color w:val="auto"/>
        </w:rPr>
        <w:t>Contract Consideration</w:t>
      </w:r>
      <w:r>
        <w:rPr>
          <w:rFonts w:ascii="Arial" w:cs="Arial" w:eastAsia="Arial" w:hAnsi="Arial"/>
          <w:sz w:val="16"/>
          <w:szCs w:val="16"/>
          <w:color w:val="auto"/>
        </w:rPr>
        <w:t xml:space="preserve">”) entered into prior to or during such period relating to Investments permitted by Section 6.6 (including Permitted Acquisitions) or any planned capital expenditures or other expenditures for research and development to be consummated or made during the period of four consecutive Fiscal Quarters following the end of such period to the extent intended to be financed with Internally Generated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aggregate amount utilized to consummate such transaction during such period of four consecutive Fiscal Quarters is less than the Contract Consideration, the amount of such shortfall shall be added to the calculation of Consolidated Excess Cash Flow at the end of such period of four consecutive Fiscal Quarters; </w:t>
      </w:r>
      <w:r>
        <w:rPr>
          <w:rFonts w:ascii="Arial" w:cs="Arial" w:eastAsia="Arial" w:hAnsi="Arial"/>
          <w:sz w:val="16"/>
          <w:szCs w:val="16"/>
          <w:i w:val="1"/>
          <w:iCs w:val="1"/>
          <w:u w:val="single" w:color="auto"/>
          <w:color w:val="auto"/>
        </w:rPr>
        <w:t>plus</w:t>
      </w:r>
    </w:p>
    <w:p>
      <w:pPr>
        <w:spacing w:after="0" w:line="166" w:lineRule="exact"/>
        <w:rPr>
          <w:rFonts w:ascii="Arial" w:cs="Arial" w:eastAsia="Arial" w:hAnsi="Arial"/>
          <w:sz w:val="16"/>
          <w:szCs w:val="16"/>
          <w:color w:val="auto"/>
        </w:rPr>
      </w:pPr>
    </w:p>
    <w:p>
      <w:pPr>
        <w:ind w:firstLine="1304"/>
        <w:spacing w:after="0" w:line="308" w:lineRule="auto"/>
        <w:tabs>
          <w:tab w:leader="none" w:pos="1809"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the Borrower and its Subsidiaries in cash during such period to the extent such expenditures are not expensed during such period to the extent such expenditures were funded with Internally Generated Cash;</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clauses (b)(i), (b)(iv), (b)(v) and (b)(xi) above, (A) any amount committed to be paid or made within such time period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Consolidated Excess Cash Flow in such Fiscal Year pursuant to such clause will not be deducted again in the calculation of Consolidated Excess Cash Flow for any subsequent Fiscal Year and (B) to the extent any such amount committed to be paid or made after the end of such Fiscal Year is not actually paid or made in cash within such time period, such unpaid amount will, to the extent applicable, be added to the calculation of Consolidated Excess Cash Flow for the immediately succeeding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Section 2.14(d), “Consolidated Excess Cash Flow” will be deemed to be $0 if the calculation above results in a negative number.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xml:space="preserve">” means, with respect to the Borrower and the Subsidiaries for any Test Period, the total consolidated interest expense for such Test Period determined on a consolidated basis in accordance with GAAP,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without duplication:</w:t>
      </w:r>
    </w:p>
    <w:p>
      <w:pPr>
        <w:spacing w:after="0" w:line="166" w:lineRule="exact"/>
        <w:rPr>
          <w:sz w:val="20"/>
          <w:szCs w:val="20"/>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imputed interest on Capital Leases for such Test Period;</w:t>
      </w:r>
    </w:p>
    <w:p>
      <w:pPr>
        <w:spacing w:after="0" w:line="225" w:lineRule="exact"/>
        <w:rPr>
          <w:rFonts w:ascii="Arial" w:cs="Arial" w:eastAsia="Arial" w:hAnsi="Arial"/>
          <w:sz w:val="18"/>
          <w:szCs w:val="18"/>
          <w:color w:val="auto"/>
        </w:rPr>
      </w:pPr>
    </w:p>
    <w:p>
      <w:pPr>
        <w:ind w:firstLine="656"/>
        <w:spacing w:after="0" w:line="277" w:lineRule="auto"/>
        <w:tabs>
          <w:tab w:leader="none" w:pos="11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commissions, discounts and other fees, charges and expenses owed with respect to letters of credit securing financial obligations and bankers’ acceptance financing for such Test Period;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debt or equity financing fees and expenses incurred for such Test Period including net costs under Rate Contracts or other derivative instruments entered into for the purpose of hedging interest rate risk and any commitment fees payable thereunder;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contributions to any employee stock ownership plan or similar trust made to the extent such contributions are used by such plan or trust to pay interest or fees to any Person (other than the Borrower or any wholly-owned Subsidiary) in connection with Indebtedness incurred by such plan or trust for such Test Period;</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 for such Test Period;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interest on any Indebtedness that is (i) Indebtedness of others secured by any Lien on property owned or acquired by the Borrower or any Subsidiary, whether or not the obligations secured thereby have been assumed, but limited to the fair market value of such property or (ii) contingent obligations in respect of Indebtedness of the Borrower or any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interest income for such period;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Consolidated Interest Expense shall be calculated after giving effect to Rate Contracts related to interest rates (including associated costs), but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excluding unrealized gains and losses with respect to such Rate Contracts;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when determining Consolidated Interest Expense in respect of any Test Period ending prior to the first anniversary of the Closing Date, Consolidated Interest Expense will be calculated by multiplying the aggregate Consolidated Interest Expense accrued since the Closing Date by 365 and then dividing such product by the number of days from and including the Closing Date to and including the last day of such Test Period. For purposes of this definition, interest on Capital Leases will be deemed to accrue at the interest rate reasonably determined by an Authorized Officer of the Borrower to be the rate of interest implicit in such Capital Lease in accordance with GAAP as in effect on the Closing Date.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determination of Consolidated Interest Expense of any other Person is required in connection with any Specified Transaction or Pro Forma calculations with respect thereto, the Borrower shall determine the Consolidated Interest Expense of such Person in a manner consistent with this definition but substituting such other Person and its Subsidiaries therein.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means, for any Test Period, an amount determined for the Borrower and the Subsidiaries on a consolidated basis and without duplication equal to:</w:t>
      </w:r>
    </w:p>
    <w:p>
      <w:pPr>
        <w:spacing w:after="0" w:line="166" w:lineRule="exact"/>
        <w:rPr>
          <w:sz w:val="20"/>
          <w:szCs w:val="20"/>
          <w:color w:val="auto"/>
        </w:rPr>
      </w:pPr>
    </w:p>
    <w:p>
      <w:pPr>
        <w:ind w:firstLine="656"/>
        <w:spacing w:after="0" w:line="277" w:lineRule="auto"/>
        <w:tabs>
          <w:tab w:leader="none" w:pos="10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net income (or loss) of the Borrower and the Subsidiaries on a consolidated basis for such Test Period taken as a single accounting period determined in conformity with GAAP, </w:t>
      </w:r>
      <w:r>
        <w:rPr>
          <w:rFonts w:ascii="Arial" w:cs="Arial" w:eastAsia="Arial" w:hAnsi="Arial"/>
          <w:sz w:val="18"/>
          <w:szCs w:val="18"/>
          <w:i w:val="1"/>
          <w:iCs w:val="1"/>
          <w:u w:val="single" w:color="auto"/>
          <w:color w:val="auto"/>
        </w:rPr>
        <w:t>plus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56"/>
        <w:spacing w:after="0" w:line="263" w:lineRule="auto"/>
        <w:tabs>
          <w:tab w:leader="none" w:pos="10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income (or loss) of any Joint Venture or Unrestricted Subsidiary of the Borrower or any Subsidiary, solely, in the case of any income, to the extent of the amount of dividends or other distributions actually paid in cash to the Borrower or any Subsidiary by such Joint Venture or Unrestricted Subsidiary during such Test Period, </w:t>
      </w:r>
      <w:r>
        <w:rPr>
          <w:rFonts w:ascii="Arial" w:cs="Arial" w:eastAsia="Arial" w:hAnsi="Arial"/>
          <w:sz w:val="18"/>
          <w:szCs w:val="18"/>
          <w:i w:val="1"/>
          <w:iCs w:val="1"/>
          <w:u w:val="single" w:color="auto"/>
          <w:color w:val="auto"/>
        </w:rPr>
        <w:t>minus</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included in clause (a) above, an amount equal to the sum of (without duplication):</w:t>
      </w:r>
    </w:p>
    <w:p>
      <w:pPr>
        <w:spacing w:after="0" w:line="225" w:lineRule="exact"/>
        <w:rPr>
          <w:rFonts w:ascii="Arial" w:cs="Arial" w:eastAsia="Arial" w:hAnsi="Arial"/>
          <w:sz w:val="18"/>
          <w:szCs w:val="18"/>
          <w:color w:val="auto"/>
        </w:rPr>
      </w:pPr>
    </w:p>
    <w:p>
      <w:pPr>
        <w:jc w:val="both"/>
        <w:ind w:firstLine="1142"/>
        <w:spacing w:after="0" w:line="273" w:lineRule="auto"/>
        <w:tabs>
          <w:tab w:leader="none" w:pos="1497"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with respect to any Person that is not a wholly-owned Subsidiary of the Borrower but whose net income is consolidated in whole or in part with the net income of the Borrower, the income (or loss) of such Person solely to the extent attributable to that portion of the Capital Stock in such Person that is not owned, directly or indirectly, by the Borrower during such Test Period; </w:t>
      </w:r>
      <w:r>
        <w:rPr>
          <w:rFonts w:ascii="Arial" w:cs="Arial" w:eastAsia="Arial" w:hAnsi="Arial"/>
          <w:sz w:val="17"/>
          <w:szCs w:val="17"/>
          <w:i w:val="1"/>
          <w:iCs w:val="1"/>
          <w:color w:val="auto"/>
        </w:rPr>
        <w:t>provided</w:t>
      </w:r>
      <w:r>
        <w:rPr>
          <w:rFonts w:ascii="Arial" w:cs="Arial" w:eastAsia="Arial" w:hAnsi="Arial"/>
          <w:sz w:val="17"/>
          <w:szCs w:val="17"/>
          <w:color w:val="auto"/>
        </w:rPr>
        <w:t>, the Borrower’s equity in the net income in such Person will be included in Consolidated Net Income up to the amount of dividends, distributions or other payments in respect of such equity that are paid in cash (or to the extent converted into cash) by such Person to the Borrower or any Subsidiary (and the Borrower’s equity in the net loss of such Person shall be included to the extent of the aggregate Investment of the Borrower or any Subsidiary in such Person);</w:t>
      </w:r>
    </w:p>
    <w:p>
      <w:pPr>
        <w:spacing w:after="0" w:line="177" w:lineRule="exact"/>
        <w:rPr>
          <w:rFonts w:ascii="Arial" w:cs="Arial" w:eastAsia="Arial" w:hAnsi="Arial"/>
          <w:sz w:val="17"/>
          <w:szCs w:val="17"/>
          <w:color w:val="auto"/>
        </w:rPr>
      </w:pPr>
    </w:p>
    <w:p>
      <w:pPr>
        <w:jc w:val="both"/>
        <w:ind w:firstLine="1142"/>
        <w:spacing w:after="0" w:line="275" w:lineRule="auto"/>
        <w:tabs>
          <w:tab w:leader="none" w:pos="1539"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with respect to any Person that is not a wholly-owned Subsidiary of the Borrower but whose net income is consolidated in whole or in part with the net income of the Borrower, the income of such Person solely to the extent that the declaration or payment of dividends or similar distributions by such Person of that income is not permitted by operation of the terms of its Organizational Documents or any agreement, instrument or requirement of Law applicable to such Person during such Test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shall be increased by the amount of dividends or distributions or other payments that are actually paid by such Person to the Borrower or any Subsidiary in respect of such Test Period;</w:t>
      </w:r>
    </w:p>
    <w:p>
      <w:pPr>
        <w:spacing w:after="0" w:line="176" w:lineRule="exact"/>
        <w:rPr>
          <w:rFonts w:ascii="Arial" w:cs="Arial" w:eastAsia="Arial" w:hAnsi="Arial"/>
          <w:sz w:val="17"/>
          <w:szCs w:val="17"/>
          <w:color w:val="auto"/>
        </w:rPr>
      </w:pPr>
    </w:p>
    <w:p>
      <w:pPr>
        <w:jc w:val="both"/>
        <w:ind w:firstLine="1142"/>
        <w:spacing w:after="0" w:line="263" w:lineRule="auto"/>
        <w:tabs>
          <w:tab w:leader="none" w:pos="15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income (or loss) of any Person (other than the Acquired Business in connection with the Acquisition) accrued prior to the date (x) such Person becomes a Subsidiary of the Borrower or is merged into or consolidated with the Borrower or any Subsidiary or (y) such Person’s assets are acquired by the Borrower or any Subsidiary;</w:t>
      </w:r>
    </w:p>
    <w:p>
      <w:pPr>
        <w:spacing w:after="0" w:line="183" w:lineRule="exact"/>
        <w:rPr>
          <w:rFonts w:ascii="Arial" w:cs="Arial" w:eastAsia="Arial" w:hAnsi="Arial"/>
          <w:sz w:val="18"/>
          <w:szCs w:val="18"/>
          <w:color w:val="auto"/>
        </w:rPr>
      </w:pPr>
    </w:p>
    <w:p>
      <w:pPr>
        <w:ind w:left="1580" w:hanging="438"/>
        <w:spacing w:after="0"/>
        <w:tabs>
          <w:tab w:leader="none" w:pos="15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after-tax gains or losses attributable to non-ordinary course dispositions of property;</w:t>
      </w:r>
    </w:p>
    <w:p>
      <w:pPr>
        <w:spacing w:after="0" w:line="225" w:lineRule="exact"/>
        <w:rPr>
          <w:rFonts w:ascii="Arial" w:cs="Arial" w:eastAsia="Arial" w:hAnsi="Arial"/>
          <w:sz w:val="18"/>
          <w:szCs w:val="18"/>
          <w:color w:val="auto"/>
        </w:rPr>
      </w:pPr>
    </w:p>
    <w:p>
      <w:pPr>
        <w:ind w:firstLine="1142"/>
        <w:spacing w:after="0" w:line="277" w:lineRule="auto"/>
        <w:tabs>
          <w:tab w:leader="none" w:pos="160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earnings (or losses), including any non-cash impairment charge, resulting from any reappraisal, revaluation or write-up (or write-down) of assets during such Test Period;</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6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unrealized gains and losses with respect to Rate Contracts for such Test Period and the application of Accounting Standards Codification 815 (Derivatives and Hedging) and (B) any after-tax effect of income (or losses) for such Test Period that result from the early extinguishment of (x) Indebtedness, (y) obligations under any Rate Contracts or (z) other derivative instruments;</w:t>
      </w:r>
    </w:p>
    <w:p>
      <w:pPr>
        <w:spacing w:after="0" w:line="183" w:lineRule="exact"/>
        <w:rPr>
          <w:rFonts w:ascii="Arial" w:cs="Arial" w:eastAsia="Arial" w:hAnsi="Arial"/>
          <w:sz w:val="18"/>
          <w:szCs w:val="18"/>
          <w:color w:val="auto"/>
        </w:rPr>
      </w:pPr>
    </w:p>
    <w:p>
      <w:pPr>
        <w:ind w:left="1680" w:hanging="538"/>
        <w:spacing w:after="0"/>
        <w:tabs>
          <w:tab w:leader="none" w:pos="16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gains and losses due solely to fluctuations in currency values and the related tax effects determined in accordance with GAAP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Test Period;</w:t>
      </w:r>
    </w:p>
    <w:p>
      <w:pPr>
        <w:spacing w:after="0" w:line="210" w:lineRule="exact"/>
        <w:rPr>
          <w:rFonts w:ascii="Arial" w:cs="Arial" w:eastAsia="Arial" w:hAnsi="Arial"/>
          <w:sz w:val="16"/>
          <w:szCs w:val="16"/>
          <w:color w:val="auto"/>
        </w:rPr>
      </w:pPr>
    </w:p>
    <w:p>
      <w:pPr>
        <w:jc w:val="both"/>
        <w:ind w:firstLine="1142"/>
        <w:spacing w:after="0" w:line="275" w:lineRule="auto"/>
        <w:tabs>
          <w:tab w:leader="none" w:pos="1782"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effects of adjustments (including the effects of such adjustments pushed down to such Person and its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firstLine="1142"/>
        <w:spacing w:after="0" w:line="272" w:lineRule="auto"/>
        <w:tabs>
          <w:tab w:leader="none" w:pos="1599"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solely with respect to the calculation of “Consolidated Net Income” used in determining the “Available Amount”, the income of any Subsidiary (other than a Guarantor) solely to the extent that the declaration or payment of dividends or similar distributions by such Subsidiary of that income is not permitted by operation of the terms of its Organizational Documents or any agreement, instrument or requirement of Law applicable to such Person at such date of determination (other than restrictions that have been waived or otherwise released);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shall be increased by the amount of dividends or distributions or other payments that are actually paid by such Person to the Borrower or any Subsidiary in respect of such Test Period or the amount that could have been paid without violating any such restriction or requiring any such approval, to such Person or a Subsidiary thereof in respect of such Test Period, to the extent not already included therein;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225" w:lineRule="exact"/>
        <w:rPr>
          <w:sz w:val="20"/>
          <w:szCs w:val="20"/>
          <w:color w:val="auto"/>
        </w:rPr>
      </w:pPr>
    </w:p>
    <w:p>
      <w:pPr>
        <w:jc w:val="both"/>
        <w:ind w:firstLine="1556"/>
        <w:spacing w:after="0" w:line="257" w:lineRule="auto"/>
        <w:tabs>
          <w:tab w:leader="none" w:pos="19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net after-Tax effect of costs, fees, charges, accruals and expenses arising in connection with the Acquisition and any transaction that is or would be a Permitted Acquisition, permitted Investment, disposition, incurrence or repayment of Indebtedness (including a refinancing, amendment or other modification thereof) and/or equity offering, in each case whether or not consummated and any amendment or modification to the terms of any such transactions (including such costs, fees, charges and expenses reimbursed or actually paid by a Person that is not the Borrower or a Subsidiary or covered by indemnification or reimbursement provisions) shall be excluded;</w:t>
      </w:r>
    </w:p>
    <w:p>
      <w:pPr>
        <w:spacing w:after="0" w:line="188" w:lineRule="exact"/>
        <w:rPr>
          <w:sz w:val="20"/>
          <w:szCs w:val="20"/>
          <w:color w:val="auto"/>
        </w:rPr>
      </w:pPr>
    </w:p>
    <w:p>
      <w:pPr>
        <w:ind w:firstLine="1556"/>
        <w:spacing w:after="0" w:line="277" w:lineRule="auto"/>
        <w:tabs>
          <w:tab w:leader="none" w:pos="19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net after-Tax effect of expenses, charges and losses due to the effects of purchase accounting, as set forth in the Statement of Financial Accounting Standards 141(R), Business Combinations shall be excluded; and</w:t>
      </w:r>
    </w:p>
    <w:p>
      <w:pPr>
        <w:spacing w:after="0" w:line="170" w:lineRule="exact"/>
        <w:rPr>
          <w:sz w:val="20"/>
          <w:szCs w:val="20"/>
          <w:color w:val="auto"/>
        </w:rPr>
      </w:pPr>
    </w:p>
    <w:p>
      <w:pPr>
        <w:jc w:val="both"/>
        <w:ind w:firstLine="1556"/>
        <w:spacing w:after="0" w:line="263" w:lineRule="auto"/>
        <w:tabs>
          <w:tab w:leader="none" w:pos="21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net after-Tax effect of costs or expenses incurred by the Borrower or any Subsidiary pursuant to an equity-based compensation plan, profits interest or stock option plan or any other management or employee benefit plan or arrangement or any stock subscription or shareholder plan shall be excluded.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determination of Consolidated Net Income of any other Person is required in connection with any Specified Transaction or Pro Forma calculations with respect thereto, the Borrower shall determine the Consolidated Net Income of such Person in a manner consistent with this definition but substituting such other Person and its Subsidiaries therein.</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means, as at any date of determination, the aggregate principal amount of all Indebtedness of the Borrower and the Subsidiaries referred to in the following clauses of the definition of “Indebtedness”: clauses (a) (including, for the avoidance of doubt, any Purchase Money Indebtedness), (b), (c), (e) (but only to the extent that any letter of credit has been drawn and not reimbursed) and (h) (solely to the extent relating to Indebtedness of the type described in clauses (a), (b), (c), and (e) of the definition thereof), in each case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Total Debt shall not include Indebtedness in respect of obligations under Rate Contracts.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Working Capital</w:t>
      </w:r>
      <w:r>
        <w:rPr>
          <w:rFonts w:ascii="Arial" w:cs="Arial" w:eastAsia="Arial" w:hAnsi="Arial"/>
          <w:sz w:val="16"/>
          <w:szCs w:val="16"/>
          <w:color w:val="auto"/>
        </w:rPr>
        <w:t xml:space="preserve">” means, as at any date of determination, Consolidated Current Assets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Consolidated Current Liabilities.</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 Adjustment</w:t>
      </w:r>
      <w:r>
        <w:rPr>
          <w:rFonts w:ascii="Arial" w:cs="Arial" w:eastAsia="Arial" w:hAnsi="Arial"/>
          <w:sz w:val="18"/>
          <w:szCs w:val="18"/>
          <w:color w:val="auto"/>
        </w:rPr>
        <w:t xml:space="preserve">” means, for any Fiscal Year on a consolidated basis, the amount equal to Consolidated Working Capital as of the beginning of such Fiscal Year,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Consolidated Working Capital as of the end of such Fiscal Year (which amount may be positive or negative);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definition, Consolidated Working Capital as of the beginning of the Fiscal Year shall be adjusted to give effect to any working capital arising from acquisitions or dispositions by the Borrower and the Subsidiaries completed during such Fiscal Year (including the impact of any post-closing working capital adjustment).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applied to any Person, any provision of any of the Securities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Contributing Guarantors</w:t>
      </w:r>
      <w:r>
        <w:rPr>
          <w:rFonts w:ascii="Arial" w:cs="Arial" w:eastAsia="Arial" w:hAnsi="Arial"/>
          <w:sz w:val="18"/>
          <w:szCs w:val="18"/>
          <w:color w:val="auto"/>
        </w:rPr>
        <w:t>” as defined in Section 7.2.</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Entity</w:t>
      </w:r>
      <w:r>
        <w:rPr>
          <w:rFonts w:ascii="Arial" w:cs="Arial" w:eastAsia="Arial" w:hAnsi="Arial"/>
          <w:sz w:val="18"/>
          <w:szCs w:val="18"/>
          <w:color w:val="auto"/>
        </w:rPr>
        <w:t>” means, as to any Person, any other Person that is in control of, or is controlled by, such Person. For purposes of this definition, “control” of a Person means the power, directly or indirectly, to direct or cause the direction of the management and policies of such Person whether by contract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Date</w:t>
      </w:r>
      <w:r>
        <w:rPr>
          <w:rFonts w:ascii="Arial" w:cs="Arial" w:eastAsia="Arial" w:hAnsi="Arial"/>
          <w:sz w:val="18"/>
          <w:szCs w:val="18"/>
          <w:color w:val="auto"/>
        </w:rPr>
        <w:t>” means the effective date of a continuation or conversion, as the case may be, as set forth in the applicable Conversion/Continuation Notice.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Notice</w:t>
      </w:r>
      <w:r>
        <w:rPr>
          <w:rFonts w:ascii="Arial" w:cs="Arial" w:eastAsia="Arial" w:hAnsi="Arial"/>
          <w:sz w:val="18"/>
          <w:szCs w:val="18"/>
          <w:color w:val="auto"/>
        </w:rPr>
        <w:t xml:space="preserve">” means a conversion/continuation notice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 Agreement</w:t>
      </w:r>
      <w:r>
        <w:rPr>
          <w:rFonts w:ascii="Arial" w:cs="Arial" w:eastAsia="Arial" w:hAnsi="Arial"/>
          <w:sz w:val="18"/>
          <w:szCs w:val="18"/>
          <w:color w:val="auto"/>
        </w:rPr>
        <w:t xml:space="preserve">” means a counterpart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xml:space="preserve">” means secured or unsecured Indebtedness of the Borrower in the form of (i) Refinancing Term Commitments or Refinancing Term Loans or (ii) other term loans or notes or revolving commitments governed by definitive documentation other than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0" w:lineRule="exact"/>
        <w:rPr>
          <w:sz w:val="20"/>
          <w:szCs w:val="20"/>
          <w:color w:val="auto"/>
        </w:rPr>
      </w:pPr>
    </w:p>
    <w:p>
      <w:pPr>
        <w:ind w:firstLine="656"/>
        <w:spacing w:after="0" w:line="342" w:lineRule="auto"/>
        <w:tabs>
          <w:tab w:leader="none" w:pos="10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Indebtedness is incurred or otherwise obtained (including by means of the extension or renewal of existing Indebtedness) in exchange for, or to extend, renew, replace, or refinance, in whole or part, any Class of Term Loans (other than Term C Loans) (“</w:t>
      </w:r>
      <w:r>
        <w:rPr>
          <w:rFonts w:ascii="Arial" w:cs="Arial" w:eastAsia="Arial" w:hAnsi="Arial"/>
          <w:sz w:val="16"/>
          <w:szCs w:val="16"/>
          <w:b w:val="1"/>
          <w:bCs w:val="1"/>
          <w:color w:val="auto"/>
        </w:rPr>
        <w:t>Refinanced Indebtedness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040" w:hanging="384"/>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Indebtedness is in an original aggregate principal amount not greater than the Maximum Refinancing Amount;</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0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such Indebtedness will not mature prior to the final maturity date of the Refinanced Indebtedness, or have a shorter Weighted Average Life to Maturity than (without giving effect to any amortization or prepayments on the outstanding Term Loans) the Refinanced Indebtedness and, in the case of Indebtedness in the form of notes, have mandatory prepayment provisions (other than relating to customary asset sale and change of control or events of default) that could result in prepayments of such notes prior to the Refinanced Indebtedness;</w:t>
      </w:r>
    </w:p>
    <w:p>
      <w:pPr>
        <w:spacing w:after="0" w:line="171" w:lineRule="exact"/>
        <w:rPr>
          <w:rFonts w:ascii="Arial" w:cs="Arial" w:eastAsia="Arial" w:hAnsi="Arial"/>
          <w:sz w:val="17"/>
          <w:szCs w:val="17"/>
          <w:color w:val="auto"/>
        </w:rPr>
      </w:pPr>
    </w:p>
    <w:p>
      <w:pPr>
        <w:ind w:firstLine="656"/>
        <w:spacing w:after="0" w:line="277" w:lineRule="auto"/>
        <w:tabs>
          <w:tab w:leader="none" w:pos="10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mandatory prepayments (and, with respect to any Credit Agreement Refinancing Indebtedness comprising revolving loans, to the extent commitments thereunder are permanently reduced or terminated) of:</w:t>
      </w:r>
    </w:p>
    <w:p>
      <w:pPr>
        <w:spacing w:after="0" w:line="170" w:lineRule="exact"/>
        <w:rPr>
          <w:rFonts w:ascii="Arial" w:cs="Arial" w:eastAsia="Arial" w:hAnsi="Arial"/>
          <w:sz w:val="18"/>
          <w:szCs w:val="18"/>
          <w:color w:val="auto"/>
        </w:rPr>
      </w:pPr>
    </w:p>
    <w:p>
      <w:pPr>
        <w:jc w:val="both"/>
        <w:ind w:firstLine="1142"/>
        <w:spacing w:after="0" w:line="259" w:lineRule="auto"/>
        <w:tabs>
          <w:tab w:leader="none" w:pos="166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Credit Agreement Refinancing Indebtedness that comprises junior lien or unsecured notes or loans, or Pari Passu Lien Indebtedness governed by documentation other than this Agreement, may not be made except to the extent that prepayments are (A) permitted hereunder and (B) to the extent required hereunder or pursuant to the terms of any Pari Passu Lien Indebtedness, first made or offered to the Term Loans and any such Pari Passu Lien Indebtedness;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1142"/>
        <w:spacing w:after="0" w:line="279" w:lineRule="auto"/>
        <w:tabs>
          <w:tab w:leader="none" w:pos="1581"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any Credit Agreement Refinancing Indebtedness constituting Pari Passu Lien Indebtedness may participate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(but not greater than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compared to any Class of Term Loans constituting Pari Passu Lien Indebtedness with an earlier or equivalent maturity date (other than pursuant to a permitted refinancing with the proceeds such of Credit Agreement Refinancing Indebtedness)) with the then-outstanding Term Loans (other than Term C Loans) in any mandatory prepayments hereunder;</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Indebtedness is not incurred or guaranteed by any Person other than a Guarantor Subsidiary;</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such Indebtedness is secured:</w:t>
      </w:r>
    </w:p>
    <w:p>
      <w:pPr>
        <w:spacing w:after="0" w:line="225" w:lineRule="exact"/>
        <w:rPr>
          <w:rFonts w:ascii="Arial" w:cs="Arial" w:eastAsia="Arial" w:hAnsi="Arial"/>
          <w:sz w:val="18"/>
          <w:szCs w:val="18"/>
          <w:color w:val="auto"/>
        </w:rPr>
      </w:pPr>
    </w:p>
    <w:p>
      <w:pPr>
        <w:ind w:firstLine="1142"/>
        <w:spacing w:after="0" w:line="277" w:lineRule="auto"/>
        <w:tabs>
          <w:tab w:leader="none" w:pos="15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Indebtedness is not secured by any assets or property of the Borrower or any Subsidiary that does not constitute Collateral (subject to customary exceptions for cash collateral in favor of an agent, letter of credit issuer or similar “fronting” lender);</w:t>
      </w:r>
    </w:p>
    <w:p>
      <w:pPr>
        <w:spacing w:after="0" w:line="170" w:lineRule="exact"/>
        <w:rPr>
          <w:sz w:val="20"/>
          <w:szCs w:val="20"/>
          <w:color w:val="auto"/>
        </w:rPr>
      </w:pPr>
    </w:p>
    <w:p>
      <w:pPr>
        <w:ind w:firstLine="1142"/>
        <w:spacing w:after="0" w:line="277" w:lineRule="auto"/>
        <w:tabs>
          <w:tab w:leader="none" w:pos="16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security agreements relating to such Indebtedness are substantially similar to or the same as the Collateral Documents (as determined in good faith by the Borrower);</w:t>
      </w:r>
    </w:p>
    <w:p>
      <w:pPr>
        <w:spacing w:after="0" w:line="170" w:lineRule="exact"/>
        <w:rPr>
          <w:rFonts w:ascii="Arial" w:cs="Arial" w:eastAsia="Arial" w:hAnsi="Arial"/>
          <w:sz w:val="18"/>
          <w:szCs w:val="18"/>
          <w:color w:val="auto"/>
        </w:rPr>
      </w:pPr>
    </w:p>
    <w:p>
      <w:pPr>
        <w:ind w:firstLine="1142"/>
        <w:spacing w:after="0" w:line="277" w:lineRule="auto"/>
        <w:tabs>
          <w:tab w:leader="none" w:pos="17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such Indebtedness constitutes Pari Passu Lien Indebtedness, a Debt Representative acting on behalf of the holders of such Indebtedness has become party to or is otherwise subject to the provisions of a Pari Passu Lien Intercreditor Agreement; and</w:t>
      </w:r>
    </w:p>
    <w:p>
      <w:pPr>
        <w:spacing w:after="0" w:line="170" w:lineRule="exact"/>
        <w:rPr>
          <w:rFonts w:ascii="Arial" w:cs="Arial" w:eastAsia="Arial" w:hAnsi="Arial"/>
          <w:sz w:val="18"/>
          <w:szCs w:val="18"/>
          <w:color w:val="auto"/>
        </w:rPr>
      </w:pPr>
    </w:p>
    <w:p>
      <w:pPr>
        <w:ind w:firstLine="1142"/>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such Indebtedness is secured on a junior basis to the Term Loans, a Debt Representative, acting on behalf of the holders of such Indebtedness, has become party to or is otherwise subject to the provisions of a Junior Lien Intercreditor Agreement; and</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0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other terms applicable to such Indebtedness are substantially identical to, or (taken as a whole as reasonably determined by the Borrower in good faith) no more favorable to the lenders or holders providing such Indebtedness than, those applicable to such Refinanced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(g) will not apply to (1) terms addressed in the preceding clauses (a) through (f), (2) interest rates, rate floors, fees, funding discounts and other pricing terms, (3) redemption, prepayment or other premiums, (4) optional prepayment terms (subject to clause (d) above) and (5) covenants and other terms that are (i) applied to the Initial Term B Loans and Term Loan Commitments existing at the time of incurrence of such Credit Agreement Refinancing Indebtedness (so that existing Lenders also receive the benefit of such provisions) and/or (ii) applicable only to periods after the Latest Term Loan Maturity Date at the time of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a certificate of the Borrower delivered to the Administrative Agent stating that the Borrower has reasonably determined in good faith that the terms and conditions satisfy the foregoing requirement shall be conclusive evidence that such terms and conditions satisfy the foregoing requirement;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“Credit Agreement Refinancing Indebtedness” may be incurred in the form of a bridge or other interim credit facility intended to be refinanced with (or which converts into or is exchanged for) long-term indebtedness (and such bridge or other interim credit facility shall be deemed to satisfy clause (c) of this definition so long as (x) such credit facility includes customary “rollover” provisions and (y) assuming such credit facility were to be extended pursuant to such “rollover” provisions, such extended credit facility would comply with clause (c) above) and in which case, on or prior to the first anniversary of the incurrence of such “bridge” or other interim credit facility, clauses (d) and (g) of this definition shall not prohibit the inclusion of customary terms for “bridge” facilities, including customary mandatory prepayment, repurchase or redemption provisions.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Date</w:t>
      </w:r>
      <w:r>
        <w:rPr>
          <w:rFonts w:ascii="Arial" w:cs="Arial" w:eastAsia="Arial" w:hAnsi="Arial"/>
          <w:sz w:val="18"/>
          <w:szCs w:val="18"/>
          <w:color w:val="auto"/>
        </w:rPr>
        <w:t>” means the date of a Credit Extension.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Document</w:t>
      </w:r>
      <w:r>
        <w:rPr>
          <w:rFonts w:ascii="Arial" w:cs="Arial" w:eastAsia="Arial" w:hAnsi="Arial"/>
          <w:sz w:val="17"/>
          <w:szCs w:val="17"/>
          <w:color w:val="auto"/>
        </w:rPr>
        <w:t>” means any of (i) this Agreement, (ii) any Pari Passu Lien Intercreditor Agreement or Junior Lien Intercreditor Agreement,</w:t>
      </w:r>
    </w:p>
    <w:p>
      <w:pPr>
        <w:spacing w:after="0" w:line="39" w:lineRule="exact"/>
        <w:rPr>
          <w:sz w:val="20"/>
          <w:szCs w:val="20"/>
          <w:color w:val="auto"/>
        </w:rPr>
      </w:pPr>
    </w:p>
    <w:p>
      <w:pPr>
        <w:jc w:val="both"/>
        <w:ind w:firstLine="8"/>
        <w:spacing w:after="0" w:line="255" w:lineRule="auto"/>
        <w:tabs>
          <w:tab w:leader="none" w:pos="3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for purposes of Section 10.5) the Term Loan Notes, if any, (iv) the Collateral Documents, (v) the Agency Fee Letter, (vi) any third party subordination and intercreditor agreement entered into pursuant to the terms hereof and (vii) any Incremental Amendment, Refinancing Amendment or Extension Amendment, or any amendment entered into in connection with any Replacement Term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the making of a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the Borrower and each Guarantor Subsidiary.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u w:val="single" w:color="auto"/>
          <w:color w:val="0000FF"/>
        </w:rPr>
        <w:t>Daily Simple SOFR</w:t>
      </w:r>
      <w:r>
        <w:rPr>
          <w:rFonts w:ascii="Arial" w:cs="Arial" w:eastAsia="Arial" w:hAnsi="Arial"/>
          <w:sz w:val="17"/>
          <w:szCs w:val="17"/>
          <w:u w:val="single" w:color="auto"/>
          <w:color w:val="0000FF"/>
        </w:rPr>
        <w:t>” means, for any day, SOFR, with the conventions for this rate (which will include a lookback) being established by the Administrative Agent in accordance with the conventions for this rate selected or recommended by the Relevant Governmental Body for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-144780</wp:posOffset>
            </wp:positionV>
            <wp:extent cx="67208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auto"/>
        <w:rPr>
          <w:sz w:val="20"/>
          <w:szCs w:val="20"/>
          <w:color w:val="auto"/>
        </w:rPr>
      </w:pPr>
      <w:r>
        <w:rPr>
          <w:rFonts w:ascii="Arial" w:cs="Arial" w:eastAsia="Arial" w:hAnsi="Arial"/>
          <w:sz w:val="17"/>
          <w:szCs w:val="17"/>
          <w:u w:val="single" w:color="auto"/>
          <w:color w:val="0000FF"/>
        </w:rPr>
        <w:t>“Daily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59664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DBNY</w:t>
      </w:r>
      <w:r>
        <w:rPr>
          <w:rFonts w:ascii="Arial" w:cs="Arial" w:eastAsia="Arial" w:hAnsi="Arial"/>
          <w:sz w:val="18"/>
          <w:szCs w:val="18"/>
          <w:color w:val="auto"/>
        </w:rPr>
        <w:t>” means Deutsche Bank AG New York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DBSI</w:t>
      </w:r>
      <w:r>
        <w:rPr>
          <w:rFonts w:ascii="Arial" w:cs="Arial" w:eastAsia="Arial" w:hAnsi="Arial"/>
          <w:sz w:val="18"/>
          <w:szCs w:val="18"/>
          <w:color w:val="auto"/>
        </w:rPr>
        <w:t>” means Deutsche Bank Securities Inc.</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Representative</w:t>
      </w:r>
      <w:r>
        <w:rPr>
          <w:rFonts w:ascii="Arial" w:cs="Arial" w:eastAsia="Arial" w:hAnsi="Arial"/>
          <w:sz w:val="18"/>
          <w:szCs w:val="18"/>
          <w:color w:val="auto"/>
        </w:rPr>
        <w:t>” means, with respect to any series of Pari Passu Lien Indebtedness, Junior Lien Indebtedness or other Indebtedness secured by a Lien permitted under Section 6.1, administrative agent, trustee, collateral agent, security agent or similar agent under the credit agreement, indenture, note purchase agreement or similar agreement or instrument pursuant to which such Indebtedness is incurred, issued or otherwise obtained, as the case may be, and each of their successors in such capacities.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 condition or event that, after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Divided LLC</w:t>
      </w:r>
      <w:r>
        <w:rPr>
          <w:rFonts w:ascii="Arial" w:cs="Arial" w:eastAsia="Arial" w:hAnsi="Arial"/>
          <w:sz w:val="18"/>
          <w:szCs w:val="18"/>
          <w:color w:val="auto"/>
        </w:rPr>
        <w:t>” means any Delaware LLC which has been formed upon the consummation of a Delaware LLC Division.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w:t>
      </w:r>
      <w:r>
        <w:rPr>
          <w:rFonts w:ascii="Arial" w:cs="Arial" w:eastAsia="Arial" w:hAnsi="Arial"/>
          <w:sz w:val="17"/>
          <w:szCs w:val="17"/>
          <w:color w:val="auto"/>
        </w:rPr>
        <w:t>-</w:t>
      </w:r>
      <w:r>
        <w:rPr>
          <w:rFonts w:ascii="Arial" w:cs="Arial" w:eastAsia="Arial" w:hAnsi="Arial"/>
          <w:sz w:val="17"/>
          <w:szCs w:val="17"/>
          <w:b w:val="1"/>
          <w:bCs w:val="1"/>
          <w:color w:val="auto"/>
        </w:rPr>
        <w:t>Cash Consideration</w:t>
      </w:r>
      <w:r>
        <w:rPr>
          <w:rFonts w:ascii="Arial" w:cs="Arial" w:eastAsia="Arial" w:hAnsi="Arial"/>
          <w:sz w:val="17"/>
          <w:szCs w:val="17"/>
          <w:color w:val="auto"/>
        </w:rPr>
        <w:t>” means the fair market value of non-cash consideration received by the Borrower or any Subsidiary in connection with an Asset Sale pursuant to Section 6.8(e) that is designated as Designated Non-Cash Consideration pursuant to a certificate of an Authorized Officer, setting forth the basis of such valuation (which amount will be reduced by the fair market value of the portion of the non-cash consideration converted to cash within one hundred eighty (180) days following the consummation of the applicable Asset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Price Range</w:t>
      </w:r>
      <w:r>
        <w:rPr>
          <w:rFonts w:ascii="Arial" w:cs="Arial" w:eastAsia="Arial" w:hAnsi="Arial"/>
          <w:sz w:val="18"/>
          <w:szCs w:val="18"/>
          <w:color w:val="auto"/>
        </w:rPr>
        <w:t>” as defined in Section 2.25(b).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w:t>
      </w:r>
      <w:r>
        <w:rPr>
          <w:rFonts w:ascii="Arial" w:cs="Arial" w:eastAsia="Arial" w:hAnsi="Arial"/>
          <w:sz w:val="18"/>
          <w:szCs w:val="18"/>
          <w:color w:val="auto"/>
        </w:rPr>
        <w:t>” as defined in Section 2.25(a).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Amount</w:t>
      </w:r>
      <w:r>
        <w:rPr>
          <w:rFonts w:ascii="Arial" w:cs="Arial" w:eastAsia="Arial" w:hAnsi="Arial"/>
          <w:sz w:val="18"/>
          <w:szCs w:val="18"/>
          <w:color w:val="auto"/>
        </w:rPr>
        <w:t>” as defined in Section 2.25(b).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Notice</w:t>
      </w:r>
      <w:r>
        <w:rPr>
          <w:rFonts w:ascii="Arial" w:cs="Arial" w:eastAsia="Arial" w:hAnsi="Arial"/>
          <w:sz w:val="18"/>
          <w:szCs w:val="18"/>
          <w:color w:val="auto"/>
        </w:rPr>
        <w:t>” as defined in Section 2.25(b).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Offeror</w:t>
      </w:r>
      <w:r>
        <w:rPr>
          <w:rFonts w:ascii="Arial" w:cs="Arial" w:eastAsia="Arial" w:hAnsi="Arial"/>
          <w:sz w:val="18"/>
          <w:szCs w:val="18"/>
          <w:color w:val="auto"/>
        </w:rPr>
        <w:t>” as defined in Section 2.25(a).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Discounted Prepayment Response Date</w:t>
      </w:r>
      <w:r>
        <w:rPr>
          <w:rFonts w:ascii="Arial" w:cs="Arial" w:eastAsia="Arial" w:hAnsi="Arial"/>
          <w:sz w:val="18"/>
          <w:szCs w:val="18"/>
          <w:color w:val="auto"/>
        </w:rPr>
        <w:t>” as defined in Section 2.25(b).</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Capital Stock</w:t>
      </w:r>
      <w:r>
        <w:rPr>
          <w:rFonts w:ascii="Arial" w:cs="Arial" w:eastAsia="Arial" w:hAnsi="Arial"/>
          <w:sz w:val="17"/>
          <w:szCs w:val="17"/>
          <w:color w:val="auto"/>
        </w:rPr>
        <w:t xml:space="preserve">” means any Capital Stock which, by its terms (or by the terms of any security or other Capital Stock into which it is convertible or for which it is exchangeable), or upon the happening of any event or condition (a) matures or is mandatorily redeemable (other than solely in exchange for Capital Stock that is not otherwise Disqualified Capital Stock), pursuant to a sinking fund obligation or otherwise, (b) is redeemable at the option of the holder thereof (other than solely in exchange for Capital Stock that is not otherwise Disqualified Capital Stock), in whole or in part, (c) provides for the scheduled payment of dividends in cash, or (d) is or becomes convertible into or exchangeable for Indebtedness or any other Capital Stock that would constitute Disqualified Capital Stock, in each case, prior to the date that is ninety-one (91) days after the Latest Term Loan Maturity Date, except, in the case of clauses (a) and (b), if as a result of a change of control or asset sale, so long as any rights of the holders thereof upon the occurrence of such a change of control or asset sale event are subject to the prior payment in full in cash of all Obligations and the termination of the Commitments; </w:t>
      </w:r>
      <w:r>
        <w:rPr>
          <w:rFonts w:ascii="Arial" w:cs="Arial" w:eastAsia="Arial" w:hAnsi="Arial"/>
          <w:sz w:val="17"/>
          <w:szCs w:val="17"/>
          <w:i w:val="1"/>
          <w:iCs w:val="1"/>
          <w:color w:val="auto"/>
        </w:rPr>
        <w:t>provided</w:t>
      </w:r>
      <w:r>
        <w:rPr>
          <w:rFonts w:ascii="Arial" w:cs="Arial" w:eastAsia="Arial" w:hAnsi="Arial"/>
          <w:sz w:val="17"/>
          <w:szCs w:val="17"/>
          <w:color w:val="auto"/>
        </w:rPr>
        <w:t>, if such Capital Stock is issued pursuant to a plan for the benefit of future, current or former employees, directors or officers of the Borrower or</w:t>
      </w:r>
      <w:r>
        <w:rPr>
          <w:rFonts w:ascii="Arial" w:cs="Arial" w:eastAsia="Arial" w:hAnsi="Arial"/>
          <w:sz w:val="17"/>
          <w:szCs w:val="17"/>
          <w:i w:val="1"/>
          <w:iCs w:val="1"/>
          <w:color w:val="auto"/>
        </w:rPr>
        <w:t xml:space="preserve"> </w:t>
      </w:r>
      <w:r>
        <w:rPr>
          <w:rFonts w:ascii="Arial" w:cs="Arial" w:eastAsia="Arial" w:hAnsi="Arial"/>
          <w:sz w:val="17"/>
          <w:szCs w:val="17"/>
          <w:color w:val="auto"/>
        </w:rPr>
        <w:t>any Subsidiary or by any such plan to such employees, directors or officers, such Capital Stock will not constitute Disqualified Capital Stock solely because the Borrower or any Subsidiary may be required to repurchase such Capital Stock in order to satisfy applicable statutory or regulatory obligations or as a result of such employee’s, director’s or officer’s termination, death or disability.</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w:t>
      </w:r>
      <w:r>
        <w:rPr>
          <w:rFonts w:ascii="Arial" w:cs="Arial" w:eastAsia="Arial" w:hAnsi="Arial"/>
          <w:sz w:val="16"/>
          <w:szCs w:val="16"/>
          <w:color w:val="auto"/>
        </w:rPr>
        <w:t xml:space="preserve">” means (a) the bona fide competitors of the Borrower, its Subsidiaries and the Acquired Business identified in writing by the Borrower by name to the Lead Arranger on or prior to the Closing Date, or from time to time after the Closing Date to the Administrative Agent, (b) those particular banks, financial institutions and other institutional lenders identified in writing by the Borrower by name to the Lead Arranger on or prior to May 7, 2018, and (c) any clearly identifiable (on the basis of its name or as identified in writing by the Borrower) affiliate of the entities described in the preceding clauses (a) and (b) or Persons that are identified as affiliates in writing by the Borrower to the Administrative Agent from time to time (other than any affiliates that are banks, financial institutions, bona fide debt funds or investment vehicles that are engaged in making, purchasing, holding or otherwise investing in commercial loans, bonds and similar extensions of credit in the ordinary course and a Person described in clause (a) or (b) does not have the power to direct the investment policies of such entity (other than a limited number of senior employees in connection with such person’s internal legal, compliance and risk management and credit committee members) with respect to decisions involving any investment in debt of the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any Person that is a Lender and subsequently becomes a Disqualified Lender (but was not a Disqualified Lender on or prior to May 7, 2018, or at the time it became a Lender) will be deemed to not be a Disqualified Lender hereunder.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organized under the laws of the United States, any State or Commonwealth thereof or the District of Columbia.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E-Fax</w:t>
      </w:r>
      <w:r>
        <w:rPr>
          <w:rFonts w:ascii="Arial" w:cs="Arial" w:eastAsia="Arial" w:hAnsi="Arial"/>
          <w:sz w:val="18"/>
          <w:szCs w:val="18"/>
          <w:color w:val="auto"/>
        </w:rPr>
        <w:t>” means any system used to receive or transmit faxes electronically.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E-Signature</w:t>
      </w:r>
      <w:r>
        <w:rPr>
          <w:rFonts w:ascii="Arial" w:cs="Arial" w:eastAsia="Arial" w:hAnsi="Arial"/>
          <w:sz w:val="18"/>
          <w:szCs w:val="18"/>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E-System</w:t>
      </w:r>
      <w:r>
        <w:rPr>
          <w:rFonts w:ascii="Arial" w:cs="Arial" w:eastAsia="Arial" w:hAnsi="Arial"/>
          <w:sz w:val="18"/>
          <w:szCs w:val="18"/>
          <w:color w:val="auto"/>
        </w:rPr>
        <w:t>” means any electronic system approved by the Administrative Agent, including IntraLinks® and ClearPar® and any other Internet or extranet-based site, whether such electronic system is owned, operated or hosted by the Administrative Agent, any of its Related Persons or any other Person, providing for access to data protected by passcodes or other security system.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Payment Date</w:t>
      </w:r>
      <w:r>
        <w:rPr>
          <w:rFonts w:ascii="Arial" w:cs="Arial" w:eastAsia="Arial" w:hAnsi="Arial"/>
          <w:sz w:val="18"/>
          <w:szCs w:val="18"/>
          <w:color w:val="auto"/>
        </w:rPr>
        <w:t>” as defined in Section 2.14(d).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as defined in Section 2.14(d).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firstLine="8"/>
        <w:spacing w:after="0" w:line="260" w:lineRule="auto"/>
        <w:tabs>
          <w:tab w:leader="none" w:pos="2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each document, instruction, authorization, file, information and any other communication transmitted, posted or otherwise made or communicated by e-mail or E-Fax, or otherwise to or from an E-System.</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in each case, subject to the proviso at the end of this definition, (a) any Lender, any Affiliate of any Lender and any Related Fund (any two or more Related Funds being treated as a single Eligible Assignee for all purposes hereof), (b) any Person (other than a Natural Person) in compliance with Section 10.6(c)(ii) or (c) any Approved 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a Disqualified Lender be an Eligible Assignee without the Borrower’s consent.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“employee benefit plan” as defined in Section 3(3) of ERISA which is or was sponsored, maintained or contributed to by, or required to be contributed by, the Borrower, any Subsidiary or any of their respective ERISA Affiliates, or with respect to any Pension Plan or Multiemployer Plan, to which the Borrower or any of its Subsidiaries or any ERISA Affiliate thereof has within the preceding five plan years made contributions.</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investigation, notice, notice of violation, claim, action, suit, proceeding, demand, abatement order or other order or directive (conditional or otherwise), by any Governmental Authority or any other Person, to which the Borrower or any of its Subsidiaries or any of their respective Facilities or operations are subject and arising (a) pursuant to or in connection with any actual or alleged Environmental Liability or violation of any applicable Environmental Law; (b) in connection with any Release of any Hazardous Material; or (c) in connection with any actual or alleged damage, injury, threat or harm to health or safety (with respect to exposure to Hazardous Materials), natural resources or the environment.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5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current and future foreign or domestic, federal or state (or any subdivision of either of them) Laws, Governmental Authorizations, or any other requirements of Governmental Authorities relating to (a) the protection or cleanup of the environment or natural resources such as plants and animals; (b) Hazardous Materials; or (c) occupational health and safety or, with respect to exposure to Hazardous Materials, the protection of human, plant or animal health or welfare, in any such case, as of any date of determination, then in force and in any manner applicable to the Borrower or any of its Subsidiaries or any Facility.</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Liabilities</w:t>
      </w:r>
      <w:r>
        <w:rPr>
          <w:rFonts w:ascii="Arial" w:cs="Arial" w:eastAsia="Arial" w:hAnsi="Arial"/>
          <w:sz w:val="18"/>
          <w:szCs w:val="18"/>
          <w:color w:val="auto"/>
        </w:rPr>
        <w:t>” means all Liabilities (including costs of Remedial Actions, natural resource damages and costs and expenses of investigation and feasibility studies, including the cost of environmental consultants and attorneys’ costs) that may be imposed on, incurred by or asserted against any Credit Party or any Subsidiary of any Credit Party as a result of, or related to, (a) any actual or alleged violation of any applicable Environmental Law; (b) any Release or threatened Release; (c) any Remedial Action; or (d) any contract or written agreement pursuant to which liability is assumed or imposed with respect to any of the foregoing.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any successor thereto.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clause (a) above or any trade or business described in clause (b) above is a member. Any former ERISA Affiliate of the Borrower or any Subsidiary will continue to be considered an ERISA Affiliate of the Borrower or such Subsidiary within the meaning of this definition with respect to the period such entity was an ERISA Affiliate of the Borrower or such Subsidiary and with respect to liabilities arising after such period for which the Borrower or such Subsidiary could be liable under the Internal Revenue Code or ERISA.</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within the meaning of Section 4043 of ERISA and the regulations issued thereunder with respect to any Pension Plan (excluding those for which the provision for 30-day notice to the PBGC has been waived by regulation in effect on the Closing Date);</w:t>
      </w:r>
    </w:p>
    <w:p>
      <w:pPr>
        <w:spacing w:after="0" w:line="1" w:lineRule="exact"/>
        <w:rPr>
          <w:sz w:val="20"/>
          <w:szCs w:val="20"/>
          <w:color w:val="auto"/>
        </w:rPr>
      </w:pPr>
    </w:p>
    <w:p>
      <w:pPr>
        <w:jc w:val="both"/>
        <w:ind w:firstLine="8"/>
        <w:spacing w:after="0" w:line="284" w:lineRule="auto"/>
        <w:tabs>
          <w:tab w:leader="none" w:pos="2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failure to meet the minimum funding standard of Section 412 of the Internal Revenue Code or Section 302 or 303 of ERISA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the Borrower, any Subsidiary or any of their respective ERISA Affiliates from any Pension Plan with two or more non-related contributing sponsors or the termination of any such Pension Plan resulting in liability to the Borrower, any Subsidiary or any of their respective ERISA Affiliates pursuant to Section 4063 or 4064 of ERISA; (e) the institution by the PBGC of proceedings to terminate any Pension Plan or Multiemployer Plan, or the occurrence of any event or condition which could reasonably constitute grounds under ERISA for the termination of, or the appointment of a trustee to administer, any such plan; (f) the imposition of any liability under Title IV of ERISA on the Borrower, any Subsidiary or any of their respective ERISA Affiliates with respect to the termination of any Pension Plan; (g) the withdrawal of the Borrower, any Subsidiary or any of their respective ERISA Affiliates in a complete or partial withdrawal (within the meaning of Sections 4203 and 4205 of ERISA) from any Multiemployer Plan if there is any potential liability therefor, or the receipt by the Borrower, any Subsidiary or any of their respective ERISA Affiliates of notice from any Multiemployer Plan that it is in insolvency pursuant to Section 4245 of ERISA, or that it intends to terminate or has terminated under Section 4041A or 4042 of ERISA; (h) the imposition of a Lien pursuant to Section 430(k) of the Internal Revenue Code or pursuant to ERISA with respect to any Pension Plan; (i) the occurrence of a non-exempt “prohibited transaction” with respect to which the Borrower or any Subsidiary is a “disqualified person” or a “party in interest” (within the meaning of Section 4975 of the Internal Revenue Code or Section 406 of ERISA, respectively) or which could reasonably be expected to result in Liability to the Borrower or any Subsidiary; or (j) a determination that any Pension Plan is, or is expected to be, in “at risk” status (as defined in Section 430(j) of the Internal Revenue Code or Section 303 of ERISA) or in “critical and declining” status (within the meaning of Section 305 of ERISA).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FF0000"/>
          <w:strike w:val="1"/>
        </w:rPr>
        <w:t>“Eurodollar Rate</w:t>
      </w:r>
      <w:r>
        <w:rPr>
          <w:rFonts w:ascii="Arial" w:cs="Arial" w:eastAsia="Arial" w:hAnsi="Arial"/>
          <w:sz w:val="17"/>
          <w:szCs w:val="17"/>
          <w:color w:val="FF0000"/>
          <w:strike w:val="1"/>
        </w:rPr>
        <w:t>” means, for any Interest Period, the rate per annum obtained by dividing (i) the ICE Benchmark Administration London</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 xml:space="preserve">Interbank Offered Rate on the applicable Reuters screen page (or such other commercially available source providing such quotations of LIBOR as designated by the Administrative Agent from time to time) at approximately 11:00 a.m., London time, two (2) Business Days prior to the commencement of such Interest Period, for Dollar deposits (for delivery on the first day of such Interest Period) with a term equivalent to such Interest Period by (ii) an amount equal to (x) one </w:t>
      </w:r>
      <w:r>
        <w:rPr>
          <w:rFonts w:ascii="Arial" w:cs="Arial" w:eastAsia="Arial" w:hAnsi="Arial"/>
          <w:sz w:val="17"/>
          <w:szCs w:val="17"/>
          <w:i w:val="1"/>
          <w:iCs w:val="1"/>
          <w:u w:val="single" w:color="auto"/>
          <w:color w:val="FF0000"/>
          <w:strike w:val="1"/>
        </w:rPr>
        <w:t>minus</w:t>
      </w:r>
      <w:r>
        <w:rPr>
          <w:rFonts w:ascii="Arial" w:cs="Arial" w:eastAsia="Arial" w:hAnsi="Arial"/>
          <w:sz w:val="17"/>
          <w:szCs w:val="17"/>
          <w:color w:val="FF0000"/>
          <w:strike w:val="1"/>
        </w:rPr>
        <w:t xml:space="preserve"> (y) the applicable Statutory Reserves, if any;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i w:val="1"/>
          <w:iCs w:val="1"/>
          <w:color w:val="FF0000"/>
          <w:strike w:val="1"/>
        </w:rPr>
        <w:t>however</w:t>
      </w:r>
      <w:r>
        <w:rPr>
          <w:rFonts w:ascii="Arial" w:cs="Arial" w:eastAsia="Arial" w:hAnsi="Arial"/>
          <w:sz w:val="17"/>
          <w:szCs w:val="17"/>
          <w:color w:val="FF0000"/>
          <w:strike w:val="1"/>
        </w:rPr>
        <w:t>, that if the Eurodollar Rate at any time would otherwise be less than zero, such rate shall be deemed to be zero (including for purposes of clause (c) in the definition of “Base Rate”).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“Eurodollar Rate Loan</w:t>
      </w:r>
      <w:r>
        <w:rPr>
          <w:rFonts w:ascii="Arial" w:cs="Arial" w:eastAsia="Arial" w:hAnsi="Arial"/>
          <w:sz w:val="18"/>
          <w:szCs w:val="18"/>
          <w:color w:val="FF0000"/>
          <w:strike w:val="1"/>
        </w:rPr>
        <w:t>” means a Loan bearing interest at a rate determined by reference to the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as defined in Section 8.1.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means (i) any Subsidiary that is (x) a Foreign Subsidiary which is a “controlled foreign corporation” within the meaning of Section 957 of the Internal Revenue Code (each, a “</w:t>
      </w:r>
      <w:r>
        <w:rPr>
          <w:rFonts w:ascii="Arial" w:cs="Arial" w:eastAsia="Arial" w:hAnsi="Arial"/>
          <w:sz w:val="18"/>
          <w:szCs w:val="18"/>
          <w:b w:val="1"/>
          <w:bCs w:val="1"/>
          <w:color w:val="auto"/>
        </w:rPr>
        <w:t>CFC</w:t>
      </w:r>
      <w:r>
        <w:rPr>
          <w:rFonts w:ascii="Arial" w:cs="Arial" w:eastAsia="Arial" w:hAnsi="Arial"/>
          <w:sz w:val="18"/>
          <w:szCs w:val="18"/>
          <w:color w:val="auto"/>
        </w:rPr>
        <w:t>”) or (y) any direct or indirect Domestic Subsidiary that is treated as a “disregarded entity” for federal income tax purposes which owns no material assets other than the Capital Stock, or intercompany Indebtedness, of one or more Subsidiaries that are CFCs (“</w:t>
      </w:r>
      <w:r>
        <w:rPr>
          <w:rFonts w:ascii="Arial" w:cs="Arial" w:eastAsia="Arial" w:hAnsi="Arial"/>
          <w:sz w:val="18"/>
          <w:szCs w:val="18"/>
          <w:b w:val="1"/>
          <w:bCs w:val="1"/>
          <w:color w:val="auto"/>
        </w:rPr>
        <w:t>Pass-Through Foreign Subsidiary Holding Company</w:t>
      </w:r>
      <w:r>
        <w:rPr>
          <w:rFonts w:ascii="Arial" w:cs="Arial" w:eastAsia="Arial" w:hAnsi="Arial"/>
          <w:sz w:val="18"/>
          <w:szCs w:val="18"/>
          <w:color w:val="auto"/>
        </w:rPr>
        <w:t>”) or other Pass-Through Foreign Subsidiary Holding Companies, (ii) any direct or indirect Subsidiary of a CFC or a Pass-Through Foreign Subsidiary Holding Company and (iii) any other Subsidiary that is a Foreign Subsidiary.</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Real Estate Assets</w:t>
      </w:r>
      <w:r>
        <w:rPr>
          <w:rFonts w:ascii="Arial" w:cs="Arial" w:eastAsia="Arial" w:hAnsi="Arial"/>
          <w:sz w:val="18"/>
          <w:szCs w:val="18"/>
          <w:color w:val="auto"/>
        </w:rPr>
        <w:t>” means, with respect to any Credit Party, (a) any fee interest in owned real property not constituting a Material Real Estate Asset, (b) any leasehold interest (including any ground lease interest) in real property and (c) any fixtures affixed to any real property to the extent (i) such real property does not constitute Collateral and/or (ii) such real property is not otherwise an Excluded Asset (as defined in the Pledge and Security Agreement) and a security interest in such fixtures may not be perfected by a UCC-1 financing statement in the jurisdiction of organization of the applicable Credit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 each Immaterial Subsidiary, (b) each Unrestricted Subsidiary, (c) each Excluded Foreign Subsidiary, (d) each Subsidiary to the extent that (and only for so long as) such Subsidiary is prohibited by any applicable Law from guaranteeing the Obligations, (e) each Subsidiary if, and for so long as, the guarantee of the Obligations by such Subsidiary would require the consent, approval, license or authorization of a Governmental Authority or under any binding Contractual Obligation (or, if such Subsidiary is not a wholly-owned Subsidiary, under its Organizational Documents) with any Person other than the Borrower or any Subsidiary existing on the Closing Date (or, if later, the date such Subsidiary is acquired (so long as such Contractual Obligation is not incurred in contemplation of such acquisition)), except to the extent and until such consent, approval, license or authorization has actually been obtained, (f) each Subsidiary that is a not-for-profit organization, (g) each Subsidiary which is not a wholly-owned Subsidiary of the Borrower, (h) each Subsidiary with respect to which, as reasonably determined by the Borrower in good faith, the guarantee by such Subsidiary would reasonably be expected to result in material adverse tax consequences to the Borrower or any Subsidiary, and (i) each Subsidiary with respect to which, as reasonably determined by the Borrower and the Administrative Agent the cost, burden, consequences and/or potential tax liability of providing a guarantee shall be excessive in relation to the benefits to be obtained by the Lenders therefrom.</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(determined after giving effect to any applicable keep well, support or other agreement for the benefit of such Guarantor and any and all guarantees of such Guarantor’s Swap Obligations by other Credit Parties) as defined in the Commodity Exchange Act and the regulations thereunder (determined after giving effect to Section 7.14) at the time the Guaranty of such Guarantor, or a grant by such Guarantor of a security interest, becomes effective with respect to such Swap Obligation. If a Swap Obligation arises under a master agreement governing more than one swap, such exclusion will apply only to the portion of such Swap Obligation that is attributable to swaps for which the Guaranty or security interest is or becomes excluded in accordance with the first sentence of this definition.</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and including branch profits taxes) and franchise taxes, in each case (i) imposed as a result of such Recipient being organized under the Laws of, or having its principal office or, in the case of any Lender, its applicable lending office located in, the jurisdiction imposing such Tax (or any political subdivision thereof) or (ii) imposed on any Recipient as a result of a present or former connection between such Recipient and the jurisdiction of the Governmental Authority imposing such Tax or any political subdivision or taxing authority thereof or therein (other than such connection arising solely from any such Recipient having executed, delivered or performed its obligations or received a payment under, received or perfected a security interest under, or enforced, any Credit Document); (b) U.S. federal withholding Taxes imposed on amounts payable to or for the account of such Recipient with respect to an applicable interest in a Loan or Commitment pursuant to a Law in effect on the date on which such Recipient (i) acquires such interest in the Loan or Commitment or otherwise becomes a party to this Agreement (other than, with respect to a Lender, pursuant to an assignment request by the Borrower under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or (ii) changes its lending office, except in each case, to the extent that,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that are attributable to the failure by any Recipient to deliver the documentation required to be delivered pursuant to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2.20(g)</w:t>
      </w:r>
      <w:r>
        <w:rPr>
          <w:rFonts w:ascii="Arial" w:cs="Arial" w:eastAsia="Arial" w:hAnsi="Arial"/>
          <w:sz w:val="16"/>
          <w:szCs w:val="16"/>
          <w:color w:val="auto"/>
        </w:rPr>
        <w:t>; and (d) Taxes imposed under FATCA.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as applied to any Person, any individual holding the position of chairman of the board of directors, chief executive officer, president, chief financial officer, chief operating officer, chief compliance officer, chief legal officer and any other executive officer having substantially the same authority and responsibility as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 No. 13224</w:t>
      </w:r>
      <w:r>
        <w:rPr>
          <w:rFonts w:ascii="Arial" w:cs="Arial" w:eastAsia="Arial" w:hAnsi="Arial"/>
          <w:sz w:val="18"/>
          <w:szCs w:val="18"/>
          <w:color w:val="auto"/>
        </w:rPr>
        <w:t>” means Executive Order No. 13224 of September 23, 2001 Blocking Property and Prohibiting Transactions With Persons Who Commit, Threaten To Commit, or Support Terrorism.</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Export Controls</w:t>
      </w:r>
      <w:r>
        <w:rPr>
          <w:rFonts w:ascii="Arial" w:cs="Arial" w:eastAsia="Arial" w:hAnsi="Arial"/>
          <w:sz w:val="18"/>
          <w:szCs w:val="18"/>
          <w:color w:val="auto"/>
        </w:rPr>
        <w:t>” means any applicable laws, regulations, and orders related to the regulation of imports, exports, re-exports, transfers, releases, shipments, transmissions, or any other provision or receipt of goods, technology, technical data, software, or services, including the Export Administration Regulations (15 C.F.R. § 730-774), the Arms Export Control Act (22 U.S.C. § 2778), the International Traffic in Arms Regulations (22 C.F.R. § 120-130), the Tariff Act of 1930 and regulations administered and enforced by U.S. Customs and Border Protection and U.S. Immigration and Customs Enforcement, and any other laws, regulations, and orders of a similar nature.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Lender</w:t>
      </w:r>
      <w:r>
        <w:rPr>
          <w:rFonts w:ascii="Arial" w:cs="Arial" w:eastAsia="Arial" w:hAnsi="Arial"/>
          <w:sz w:val="18"/>
          <w:szCs w:val="18"/>
          <w:color w:val="auto"/>
        </w:rPr>
        <w:t>” as defined in Section 10.5(g).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as defined in Section 10.5(g).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as defined in Section 10.5(g).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as defined in Section 10.5(g).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Offer</w:t>
      </w:r>
      <w:r>
        <w:rPr>
          <w:rFonts w:ascii="Arial" w:cs="Arial" w:eastAsia="Arial" w:hAnsi="Arial"/>
          <w:sz w:val="18"/>
          <w:szCs w:val="18"/>
          <w:color w:val="auto"/>
        </w:rPr>
        <w:t>” as defined in Section 10.5(g).</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real property (including all buildings, fixtures or other improvements located thereon) now, hereafter or heretofore owned, leased, operated or used by the Borrower, any Subsidiary or any of their respective predecessors or Affiliates.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as defined in Section 7.2.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Contribution Amount</w:t>
      </w:r>
      <w:r>
        <w:rPr>
          <w:rFonts w:ascii="Arial" w:cs="Arial" w:eastAsia="Arial" w:hAnsi="Arial"/>
          <w:sz w:val="18"/>
          <w:szCs w:val="18"/>
          <w:color w:val="auto"/>
        </w:rPr>
        <w:t>” as defined in Section 7.2.</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means the U.S. Foreign Corrupt Practices Act (15 U.S.C. §§78dd-1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will be such rate on such transactions on the next preceding Business Day as so published on the next succeeding Business Day and (b) if no such rate is so published on such next succeeding Business Day, the Federal Funds Rate for such day will be the average rate charged to the Administrative Agent, in its capacity as a Lender, on such day on such transactions as determined by the Administrative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Federal Reserve Board</w:t>
      </w:r>
      <w:r>
        <w:rPr>
          <w:rFonts w:ascii="Arial" w:cs="Arial" w:eastAsia="Arial" w:hAnsi="Arial"/>
          <w:sz w:val="18"/>
          <w:szCs w:val="18"/>
          <w:u w:val="single" w:color="auto"/>
          <w:color w:val="0000FF"/>
        </w:rPr>
        <w:t>” means the Board of Governors of the Federal Reserve System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50406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Officer Certification</w:t>
      </w:r>
      <w:r>
        <w:rPr>
          <w:rFonts w:ascii="Arial" w:cs="Arial" w:eastAsia="Arial" w:hAnsi="Arial"/>
          <w:sz w:val="17"/>
          <w:szCs w:val="17"/>
          <w:color w:val="auto"/>
        </w:rPr>
        <w:t>” means, with respect to the financial statements for which such certification is required, the certification of the chief financial officer, treasurer, controller or other officer with equivalent duties of the Borrower that such financial statements fairly present, in all material respects, the financial condition of the Borrower and the Subsidiaries as at the dates indicated and the results of their operations and their cash flows for the periods indicated, subject to changes resulting from audit and normal year-end adjustments and the absence of footnotes.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means the Financial Institutions Reform Recovery and Enforcement Act of 1989,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Net Leverage Ratio</w:t>
      </w:r>
      <w:r>
        <w:rPr>
          <w:rFonts w:ascii="Arial" w:cs="Arial" w:eastAsia="Arial" w:hAnsi="Arial"/>
          <w:sz w:val="18"/>
          <w:szCs w:val="18"/>
          <w:color w:val="auto"/>
        </w:rPr>
        <w:t xml:space="preserve">” means, as of any date, the ratio of (a) the sum of Consolidated Total Debt that is secured by a Lien on any asset or property of the Borrower or any Subsidiary (excluding any Subordinated Debt and any Junior Lien Indebtedness that is subject to a Junior Lien Intercreditor Agreement),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Unrestricted Cash (not to exceed $60,000,000) as of such date to (b) Consolidated Adjusted EBITDA for the most recently ended Test Period, all of the foregoing determined on a Pro Forma Basis.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with respect to any Person, the fiscal quarter of such Person. In the case of the Borrower, Fiscal Quarter means a fiscal quarter of any Fiscal Year of the Borrower. A Fiscal Quarter of the Borrower may be designated by reference to the last day thereof (i.e., the “December 29, 2018 Fiscal Quarter” refers to the Fiscal Quarter ended on December 29, 2018, the last day of the Borrower’s fourth Fiscal Quarter for Fiscal Year 2018) or by reference to the applicable Fiscal Quarter of a Fiscal Year (i.e., the “Q4-2018 Fiscal Quarter” also refers to the Borrower’s fourth Fiscal Quarter for Fiscal Year 2018). To the extent that the Fiscal Quarters of any Person (other than the Borrower) are different than the Fiscal Quarters of the Borrower, the Borrower shall determine in good faith a methodology to align such other Person’s Fiscal Quarters with the corresponding Fiscal Quarters of the Borrower. For purposes of this Agreement, except to the extent expressly stated otherwise, references to any “Fiscal Quarter” will mean a Fiscal Quarter of the Borrower.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Fiscal Year</w:t>
      </w:r>
      <w:r>
        <w:rPr>
          <w:rFonts w:ascii="Arial" w:cs="Arial" w:eastAsia="Arial" w:hAnsi="Arial"/>
          <w:sz w:val="17"/>
          <w:szCs w:val="17"/>
          <w:color w:val="auto"/>
        </w:rPr>
        <w:t>” means, with respect to any Person, the fiscal year of such Person. In the case of the Borrower, Fiscal Year means the fiscal year of the Borrower and the Subsidiaries ending on the last Saturday of each calendar year. A Fiscal Year of the Borrower may be designated by reference to the last day thereof (i.e., the “December 29, 2018 Fiscal Year” refers to the Fiscal Year ended on December 29, 2018) or by reference to the calendar year in which such Fiscal Year ends (i.e., the “Fiscal Year 2018” also refers to the Fiscal Year ended on December 29, 2018). To the extent that the Fiscal Years of any Person (other than the Borrower) are different than the Fiscal Years of the Borrower, the Borrower shall determine in good faith a methodology to align such other Person’s Fiscal Years with the corresponding Fiscal Years of the Borrower. For purposes of this Agreement, except to the extent expressly stated otherwise, references to any “Fiscal Year” will mean a Fiscal Year of the Borrower.</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Flood Insurance Laws</w:t>
      </w:r>
      <w:r>
        <w:rPr>
          <w:rFonts w:ascii="Arial" w:cs="Arial" w:eastAsia="Arial" w:hAnsi="Arial"/>
          <w:sz w:val="17"/>
          <w:szCs w:val="17"/>
          <w:color w:val="auto"/>
        </w:rPr>
        <w:t>” means collectively, (a) the National Flood Insurance Act of 1968, (b) the Flood Disaster Protection Act of 1973, (c) the National Flood Insurance Reform Act of 1994 (which comprehensively revised the National Flood Insurance Act of 1968 and the Flood Disaster Protection Act of 1973), (d) the Flood Insurance Reform Act of 2004 and (e) the Biggert-Waters Flood Insurance Reform Act of 2012, each as now or hereafter in effect or any successor statute thereto and any and all official rulings and interpretation thereunder or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Floor</w:t>
      </w:r>
      <w:r>
        <w:rPr>
          <w:rFonts w:ascii="Arial" w:cs="Arial" w:eastAsia="Arial" w:hAnsi="Arial"/>
          <w:sz w:val="18"/>
          <w:szCs w:val="18"/>
          <w:u w:val="single" w:color="auto"/>
          <w:color w:val="0000FF"/>
        </w:rPr>
        <w:t>” means a rate of interest equal to zero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2468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Casualty Event</w:t>
      </w:r>
      <w:r>
        <w:rPr>
          <w:rFonts w:ascii="Arial" w:cs="Arial" w:eastAsia="Arial" w:hAnsi="Arial"/>
          <w:sz w:val="18"/>
          <w:szCs w:val="18"/>
          <w:color w:val="auto"/>
        </w:rPr>
        <w:t>” as defined in Section 2.15(f).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Disposition</w:t>
      </w:r>
      <w:r>
        <w:rPr>
          <w:rFonts w:ascii="Arial" w:cs="Arial" w:eastAsia="Arial" w:hAnsi="Arial"/>
          <w:sz w:val="18"/>
          <w:szCs w:val="18"/>
          <w:color w:val="auto"/>
        </w:rPr>
        <w:t>” as defined in Section 2.15(f).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means any employee benefit plan, program, policy, arrangement or agreement maintained or contributed to by the Borrower or any of its Subsidiaries with respect to employees employed outside the United States.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Indebtedness of the Borrower and the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Guarantor</w:t>
      </w:r>
      <w:r>
        <w:rPr>
          <w:rFonts w:ascii="Arial" w:cs="Arial" w:eastAsia="Arial" w:hAnsi="Arial"/>
          <w:sz w:val="18"/>
          <w:szCs w:val="18"/>
          <w:color w:val="auto"/>
        </w:rPr>
        <w:t>” as defined in Section 7.2.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Notice</w:t>
      </w:r>
      <w:r>
        <w:rPr>
          <w:rFonts w:ascii="Arial" w:cs="Arial" w:eastAsia="Arial" w:hAnsi="Arial"/>
          <w:sz w:val="18"/>
          <w:szCs w:val="18"/>
          <w:color w:val="auto"/>
        </w:rPr>
        <w:t xml:space="preserve">” means a notice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subject to the limitations on the application thereof set forth in Section 1.2 and in the definition of Capital Lease, United States generally accepted accounting principles in effect as of the date of determination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Intercompany Note</w:t>
      </w:r>
      <w:r>
        <w:rPr>
          <w:rFonts w:ascii="Arial" w:cs="Arial" w:eastAsia="Arial" w:hAnsi="Arial"/>
          <w:sz w:val="18"/>
          <w:szCs w:val="18"/>
          <w:color w:val="auto"/>
        </w:rPr>
        <w:t xml:space="preserve">” means the Global Intercompany Note to be executed by the Borrower and the Subsidiaries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 Official</w:t>
      </w:r>
      <w:r>
        <w:rPr>
          <w:rFonts w:ascii="Arial" w:cs="Arial" w:eastAsia="Arial" w:hAnsi="Arial"/>
          <w:sz w:val="16"/>
          <w:szCs w:val="16"/>
          <w:color w:val="auto"/>
        </w:rPr>
        <w:t>” means (a) any official, officer, employee or representative of, or any Person acting in an official capacity for or on behalf of, any Governmental Entity, (b) any political party or party official or candidate for political office or (c) any official, officer, employee, or any Person acting in an official capacity for or on behalf of, any company, business, enterprise or other entity owned (in whole or in substantial part) controlled by or Affiliated (as defined without reference to clause (a) of the second sentence set forth in the definition of “Affiliate”) with a Governmental Entity.</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 a jurisdiction where the Borrower and the Subsidiaries operate the Business, including any supra-national bodies (such as the European Union or the European Central Bank).</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permit, license, authorization, plan, directive, consent order or consent decree of or from any Governmental Authority.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(a) international, multinational, foreign, federal, state, local, municipal, or other government or political subdivision, (b) governmental or quasi</w:t>
      </w:r>
      <w:r>
        <w:rPr>
          <w:rFonts w:ascii="MS PGothic" w:cs="MS PGothic" w:eastAsia="MS PGothic" w:hAnsi="MS PGothic"/>
          <w:sz w:val="18"/>
          <w:szCs w:val="18"/>
          <w:color w:val="auto"/>
        </w:rPr>
        <w:t>‑</w:t>
      </w:r>
      <w:r>
        <w:rPr>
          <w:rFonts w:ascii="Arial" w:cs="Arial" w:eastAsia="Arial" w:hAnsi="Arial"/>
          <w:sz w:val="18"/>
          <w:szCs w:val="18"/>
          <w:color w:val="auto"/>
        </w:rPr>
        <w:t>governmental entity of any nature (including any governmental agency, branch, department, commission, board, bureau, official, or entity and any court or other tribunal) or (c) body exercising, or entitled to exercise any administrative, executive, judicial, legislative, police, regulatory, or taxing authority or power of any nature, including any arbitral tribunal.</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as defined in Section 10.6(k).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as defined in the Pledge and Security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means all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Guarantor, “Guaranteed Obligations” shall exclude all Excluded Swap Obligations of such Guarantor.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the Borrower (solely with respect to the Guaranteed Obligations in respect of any Bank Product Agreement or Secured Rate Contract entered into by any other Credit Party and not with respect to its direct Obligations as a primary obligor under the Credit Documents) and each Guarantor Subsidiary, and, in each case, their respective successors and assigns.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Subsidiary</w:t>
      </w:r>
      <w:r>
        <w:rPr>
          <w:rFonts w:ascii="Arial" w:cs="Arial" w:eastAsia="Arial" w:hAnsi="Arial"/>
          <w:sz w:val="18"/>
          <w:szCs w:val="18"/>
          <w:color w:val="auto"/>
        </w:rPr>
        <w:t>” means each direct and indirect Subsidiary of the Borrower (other than an Excluded Subsidiary) that has provided a Guaranty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guaranty of each Guarantor set forth in Section 7.</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chemical, material, substance or waste, exposure to which, or the Release of which, either is prohibited, limited or regulated by any Governmental Authority or may give rise to Environmental Liability.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 Activity</w:t>
      </w:r>
      <w:r>
        <w:rPr>
          <w:rFonts w:ascii="Arial" w:cs="Arial" w:eastAsia="Arial" w:hAnsi="Arial"/>
          <w:sz w:val="18"/>
          <w:szCs w:val="18"/>
          <w:color w:val="auto"/>
        </w:rPr>
        <w:t>” means any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Highest Lawful Rate</w:t>
      </w:r>
      <w:r>
        <w:rPr>
          <w:rFonts w:ascii="Arial" w:cs="Arial" w:eastAsia="Arial" w:hAnsi="Arial"/>
          <w:sz w:val="17"/>
          <w:szCs w:val="17"/>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Historical Audited Financial Statements</w:t>
      </w:r>
      <w:r>
        <w:rPr>
          <w:rFonts w:ascii="Arial" w:cs="Arial" w:eastAsia="Arial" w:hAnsi="Arial"/>
          <w:sz w:val="17"/>
          <w:szCs w:val="17"/>
          <w:color w:val="auto"/>
        </w:rPr>
        <w:t>” means, as of the Closing Date, the audited consolidated balance sheets and related statements of income and cash flows of the Borrower as of the Fiscal Years ended December 26, 2015, December 31, 2016 and December 30, 2017 and of the Acquired Business as of the Fiscal Years of the Acquired Business ended July 31, 2015, July 31, 2016 and July 31, 2017.</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Historical Financial Statements</w:t>
      </w:r>
      <w:r>
        <w:rPr>
          <w:rFonts w:ascii="Arial" w:cs="Arial" w:eastAsia="Arial" w:hAnsi="Arial"/>
          <w:sz w:val="18"/>
          <w:szCs w:val="18"/>
          <w:color w:val="auto"/>
        </w:rPr>
        <w:t>” means, collectively, the Historical Audited Financial Statements and the Historical Unaudited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Historical Unaudited Financial Statements</w:t>
      </w:r>
      <w:r>
        <w:rPr>
          <w:rFonts w:ascii="Arial" w:cs="Arial" w:eastAsia="Arial" w:hAnsi="Arial"/>
          <w:sz w:val="18"/>
          <w:szCs w:val="18"/>
          <w:color w:val="auto"/>
        </w:rPr>
        <w:t>” means, as of the Closing Date, the unaudited consolidated balance sheets and related statements of income and cash flows of the Borrower as of the Fiscal Quarters ended June 30, 2018 and March 31, 2018 and of the Acquired Business as of the fiscal quarters of the Acquired Business ended April 30, 2018, January 31, 2018 and October 31,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xml:space="preserve">” means on any date, any Subsidiary of the Borrower that has less than 5.0% of consolidated total assets on a Pro Forma Basis and generates less than 5.0% of annual consolidated revenues of the Borrower and the Subsidiaries as reflected in the most recent financial statements delivered pursuant to Section 5.1(a) prior to such date (or, at any time prior to the first date that financial statements have been or are required to be delivered pursuant to Section 5.1(a), as reflected in the Historical Audited Financial Statements for the Borrower for the Fiscal Year ended December 30, 2017 and the Historical Audited Financial Statements for the Acquired Business for the fiscal year of the Acquired Business ended July 31, 2017);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and from time to time after the Closing Date (or such longer period as the Administrative Agent may agree in its sole discretion), Domestic Subsidiaries that are not Guarantors solely because they meet the thresholds set forth above comprise in the aggregate more than (when taken together with the consolidated total assets of the Subsidiaries of such Domestic Subsidiaries at the last day of the most recent Test Period) 7.5% of consolidated total assets of the Borrower and the Subsidiaries as of the end of the most recently ended Test Period or more than (when taken together with the revenues of the Subsidiaries of such Domestic Subsidiaries for such Test Period) 7.5% of the consolidated revenues of the Borrower and the Subsidiaries for such Test Period, then the Borrower shall, not later than sixty (60) days after the date by which financial statements for such Test Period were required to be delivered pursuant to this Agreement (or such longer period as the Administrative Agent may agree in its reasonable discretion), cause one or more Domestic Subsidiaries to comply with the provisions of Section 5.10 with respect to any such Subsidiaries so that the foregoing condition ceases to be true.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 Lender</w:t>
      </w:r>
      <w:r>
        <w:rPr>
          <w:rFonts w:ascii="Arial" w:cs="Arial" w:eastAsia="Arial" w:hAnsi="Arial"/>
          <w:sz w:val="18"/>
          <w:szCs w:val="18"/>
          <w:color w:val="auto"/>
        </w:rPr>
        <w:t>” as defined in Section 2.23.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Amendment</w:t>
      </w:r>
      <w:r>
        <w:rPr>
          <w:rFonts w:ascii="Arial" w:cs="Arial" w:eastAsia="Arial" w:hAnsi="Arial"/>
          <w:sz w:val="18"/>
          <w:szCs w:val="18"/>
          <w:color w:val="auto"/>
        </w:rPr>
        <w:t>” as defined in Section 2.24(e).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means Indebtedness of any one or more Credit Parties in the form of term loans or notes that constitute Pari Passu Lien Indebtedness or Junior Lien Indebtedness or that are unsecured;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66" w:lineRule="exact"/>
        <w:rPr>
          <w:sz w:val="20"/>
          <w:szCs w:val="20"/>
          <w:color w:val="auto"/>
        </w:rPr>
      </w:pPr>
    </w:p>
    <w:p>
      <w:pPr>
        <w:jc w:val="both"/>
        <w:ind w:firstLine="656"/>
        <w:spacing w:after="0" w:line="284" w:lineRule="auto"/>
        <w:tabs>
          <w:tab w:leader="none" w:pos="1099" w:val="left"/>
        </w:tabs>
        <w:numPr>
          <w:ilvl w:val="1"/>
          <w:numId w:val="49"/>
        </w:numPr>
        <w:rPr>
          <w:rFonts w:ascii="Arial" w:cs="Arial" w:eastAsia="Arial" w:hAnsi="Arial"/>
          <w:sz w:val="16"/>
          <w:szCs w:val="16"/>
          <w:color w:val="auto"/>
        </w:rPr>
      </w:pPr>
      <w:r>
        <w:rPr>
          <w:rFonts w:ascii="Arial" w:cs="Arial" w:eastAsia="Arial" w:hAnsi="Arial"/>
          <w:sz w:val="16"/>
          <w:szCs w:val="16"/>
          <w:color w:val="auto"/>
        </w:rPr>
        <w:t>on the date of each incurrence of Incremental Equivalent Debt, (A) the aggregate principal amount of such Incremental Equivalent Debt (together with any Incremental Revolving Facilities and/or Incremental Term Facilities incurred on such date in reliance on clause (A) of the first sentence of Section 2.24(c)) shall not exceed an amount equal to the Incremental Ratio Amount (determined on the same basis as the Borrower may incur Incremental Facilities pursuant to the second, third, fourth and fifth sentences of Section 2.24(c), but substituting “Incremental Equivalent Debt” for “Incremental Facility” therein solely for the purposes thereof) or (B) the aggregate principal amount of such Incremental Equivalent Debt, together with the aggregate principal amount of all other Incremental Equivalent Debt incurred in reliance on this clause (B) and all Incremental Term Facilities and Incremental Revolving Facilities incurred in reliance on clause (B) of the first sentence of Section 2.24(c) (without regard to the proviso therein), shall not exceed an amount equal to the Incremental Fixed Amount (it being understood that Incremental Equivalent Debt may be incurred under either clause (A) or</w:t>
      </w:r>
    </w:p>
    <w:p>
      <w:pPr>
        <w:ind w:firstLine="8"/>
        <w:spacing w:after="0" w:line="260" w:lineRule="auto"/>
        <w:tabs>
          <w:tab w:leader="none" w:pos="3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selected by the Borrower in its sole discretion, including by designating any portion of the Incremental Equivalent Debt in excess of an amount permitted to be incurred under clause (A) at the time of such incurrence as incurred under clause (B));</w:t>
      </w:r>
    </w:p>
    <w:p>
      <w:pPr>
        <w:spacing w:after="0" w:line="185" w:lineRule="exact"/>
        <w:rPr>
          <w:rFonts w:ascii="Arial" w:cs="Arial" w:eastAsia="Arial" w:hAnsi="Arial"/>
          <w:sz w:val="18"/>
          <w:szCs w:val="18"/>
          <w:color w:val="auto"/>
        </w:rPr>
      </w:pPr>
    </w:p>
    <w:p>
      <w:pPr>
        <w:jc w:val="both"/>
        <w:ind w:firstLine="656"/>
        <w:spacing w:after="0" w:line="342" w:lineRule="auto"/>
        <w:tabs>
          <w:tab w:leader="none" w:pos="1054"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Incremental Equivalent Debt will not mature prior to the Latest Term Loan Maturity Date with respect to any Class of outstanding Term Loans, or have a shorter Weighted Average Life to Maturity than the remaining Weighted Average Life to Maturity of any Class of outstanding Term Loans;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firstLine="656"/>
        <w:spacing w:after="0" w:line="308" w:lineRule="auto"/>
        <w:tabs>
          <w:tab w:leader="none" w:pos="1028"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Incremental Equivalent Debt that is secured (i) will not be secured by any property or assets of the Borrower or any Subsidiary other than the Collateral and (ii) will be subject to a Pari Passu Lien Intercreditor Agreement or a Junior Lien Intercreditor Agreement, as applicable;</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047"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any Incremental Equivalent Debt (i) constituting Pari Passu Lien Indebtedness may participate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(but not greater than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compared to any Class of Term Loans constituting Pari Passu Lien Indebtedness with an earlier or equivalent maturity date (other than pursuant to a permitted refinancing) with the then-outstanding Term Loans (other than Term C Loans) in any mandatory prepayments hereunder, and (ii) constituting Junior Lien Indebtedness or that is unsecured may not participate in any voluntary or mandatory prepayments, except to the extent that such prepayments are offered, to the extent required under this Agreement or any Pari Passu Lien Indebtedness, first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to the Term Loans (other than Term C Loans) and any applicable Pari Passu Lien Indebtedness;</w:t>
      </w:r>
    </w:p>
    <w:p>
      <w:pPr>
        <w:spacing w:after="0" w:line="177" w:lineRule="exact"/>
        <w:rPr>
          <w:rFonts w:ascii="Arial" w:cs="Arial" w:eastAsia="Arial" w:hAnsi="Arial"/>
          <w:sz w:val="17"/>
          <w:szCs w:val="17"/>
          <w:color w:val="auto"/>
        </w:rPr>
      </w:pPr>
    </w:p>
    <w:p>
      <w:pPr>
        <w:ind w:left="1040" w:hanging="384"/>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Incremental Equivalent Debt will not be guaranteed by any Person other than the Credit Parties;</w:t>
      </w:r>
    </w:p>
    <w:p>
      <w:pPr>
        <w:spacing w:after="0" w:line="225" w:lineRule="exact"/>
        <w:rPr>
          <w:rFonts w:ascii="Arial" w:cs="Arial" w:eastAsia="Arial" w:hAnsi="Arial"/>
          <w:sz w:val="18"/>
          <w:szCs w:val="18"/>
          <w:color w:val="auto"/>
        </w:rPr>
      </w:pPr>
    </w:p>
    <w:p>
      <w:pPr>
        <w:ind w:firstLine="656"/>
        <w:spacing w:after="0" w:line="277" w:lineRule="auto"/>
        <w:tabs>
          <w:tab w:leader="none" w:pos="10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any Incremental Equivalent Debt that constitutes MFN Eligible Debt, the MFN Adjustment will apply to such Incremental Equivalent Debt (but the MFN Adjustment will not apply to any other Incremental Equivalent Debt);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62"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provisions of Section 1.5 if an LCA Election has been made, no Default or Event of Default (other than with respect to a Limited Condition Acquisition, which shall be subject only to the absence of an Event of Default pursuant to Section 8.1(a), (f) or (g)) will have occurred and be continuing on the date such Incremental Equivalent Debt is incurred or would occur immediately after giving effect thereto; and</w:t>
      </w:r>
    </w:p>
    <w:p>
      <w:pPr>
        <w:spacing w:after="0" w:line="165" w:lineRule="exact"/>
        <w:rPr>
          <w:rFonts w:ascii="Arial" w:cs="Arial" w:eastAsia="Arial" w:hAnsi="Arial"/>
          <w:sz w:val="17"/>
          <w:szCs w:val="17"/>
          <w:color w:val="auto"/>
        </w:rPr>
      </w:pPr>
    </w:p>
    <w:p>
      <w:pPr>
        <w:jc w:val="both"/>
        <w:ind w:firstLine="656"/>
        <w:spacing w:after="0" w:line="270" w:lineRule="auto"/>
        <w:tabs>
          <w:tab w:leader="none" w:pos="1062"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other terms applicable to such Indebtedness are substantially identical to, or either (A) (taken as a whole as determined by the Borrower in good faith) not materially more restrictive to the Borrower and its Subsidiaries than those applicable to the Initial Term B Loans or (B) if the requirements in clause (A) are not satisfied, are reasonably satisfactory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(h) will not apply to (1) interest rate, fees, funding discounts and other pricing terms, (2) redemption, prepayment or other premiums, (3) optional prepayment terms, and (4) covenants and other terms that are (i) applied to the Term Loans (other than Term C Loans) existing at the time of incurrence of such Incremental Equivalent Debt (so that existing Lenders also receive the benefit of such provisions) and/or (ii) applicable only to periods after the Latest Term Loan Maturity Date at the time of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a certificate of the Borrower delivered to the Administrative Agent stating that the Borrower has reasonably determined in good faith that the terms and conditions satisfy the foregoing requirement shall be conclusive evidence that such terms and conditions satisfy the foregoing requirement.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as defined in Section 2.24(a).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Fixed Amount</w:t>
      </w:r>
      <w:r>
        <w:rPr>
          <w:rFonts w:ascii="Arial" w:cs="Arial" w:eastAsia="Arial" w:hAnsi="Arial"/>
          <w:sz w:val="17"/>
          <w:szCs w:val="17"/>
          <w:color w:val="auto"/>
        </w:rPr>
        <w:t xml:space="preserve">” means, as of any date of measurement, the sum of (a) the greater of (x) $145,000,000 and (y) 100% of LTM Consolidated Adjusted EBITDA as of such date,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aggregate principal amount of Incremental Term Loans and Incremental Revolving Facilities previously incurred in reliance on this definition,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(c) the aggregate principal amount of all Incremental Equivalent Debt previously incurred in reliance on this definition,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the aggregate principal amount of any voluntary prepayments of Term Loans (other than Term C Loans), Incremental Equivalent Debt or Refinancing Indebtedness in respect thereof (in each case, including those made through discounted debt buy-backs by the Borrower or any Subsidiary in an amount equal to the discounted amount actually paid in respect of such buy-back, but excluding any Incremental Loans or Incremental Equivalent Debt incurred in reliance on the Incremental Ratio Amount (or Refinancing Indebtedness in respect thereof)) made prior to such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(e) the aggregate principal amount of voluntary permanent reductions of Incremental Revolving Credit Commitments (excluding any Incremental Revolving Credit Commitments and Incremental Revolving Loans incurred in reliance on the Incremental Ratio Amount and/or the Additional Incremental RCF Basket Amount) (or Refinancing Indebtedness in respect thereof)) made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each of clauses (d) and (e), solely to the extent not funded with the proceeds of Funded Debt.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as defined in Section 2.24(a).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Ratio Amount</w:t>
      </w:r>
      <w:r>
        <w:rPr>
          <w:rFonts w:ascii="Arial" w:cs="Arial" w:eastAsia="Arial" w:hAnsi="Arial"/>
          <w:sz w:val="18"/>
          <w:szCs w:val="18"/>
          <w:color w:val="auto"/>
        </w:rPr>
        <w:t xml:space="preserve">” means an aggregate principal amount of Indebtedness that, after the incurrence thereof on Pro Forma Basis and excluding the cash proceeds to the Borrower or any Subsidiary therefrom that are actually applied or intended to be applied to a particular use or transaction as of the date of incurrence thereof (but otherwise giving effect to the use of such proceeds so applied or intended to be applied), and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would not result in:</w:t>
      </w:r>
    </w:p>
    <w:p>
      <w:pPr>
        <w:spacing w:after="0" w:line="184" w:lineRule="exact"/>
        <w:rPr>
          <w:sz w:val="20"/>
          <w:szCs w:val="20"/>
          <w:color w:val="auto"/>
        </w:rPr>
      </w:pPr>
    </w:p>
    <w:p>
      <w:pPr>
        <w:ind w:firstLine="656"/>
        <w:spacing w:after="0" w:line="277" w:lineRule="auto"/>
        <w:tabs>
          <w:tab w:leader="none" w:pos="10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any Incremental Facility or Incremental Equivalent Debt to be incurred as Pari Passu Lien Indebtedness, the First Lien Net Leverage Ratio being equal to or greater than 1.82:1.00; and</w:t>
      </w:r>
    </w:p>
    <w:p>
      <w:pPr>
        <w:spacing w:after="0" w:line="170" w:lineRule="exact"/>
        <w:rPr>
          <w:rFonts w:ascii="Arial" w:cs="Arial" w:eastAsia="Arial" w:hAnsi="Arial"/>
          <w:sz w:val="18"/>
          <w:szCs w:val="18"/>
          <w:color w:val="auto"/>
        </w:rPr>
      </w:pPr>
    </w:p>
    <w:p>
      <w:pPr>
        <w:ind w:firstLine="656"/>
        <w:spacing w:after="0" w:line="277" w:lineRule="auto"/>
        <w:tabs>
          <w:tab w:leader="none" w:pos="12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any Incremental Facility or Incremental Equivalent Debt to be incurred as Junior Lien Indebtedness or unsecured Indebtedness, the Total Net Leverage Ratio being equal to or greater than 3.50:1.00.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Facilities</w:t>
      </w:r>
      <w:r>
        <w:rPr>
          <w:rFonts w:ascii="Arial" w:cs="Arial" w:eastAsia="Arial" w:hAnsi="Arial"/>
          <w:sz w:val="18"/>
          <w:szCs w:val="18"/>
          <w:color w:val="auto"/>
        </w:rPr>
        <w:t>” as defined in Section 2.24(a).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Loans</w:t>
      </w:r>
      <w:r>
        <w:rPr>
          <w:rFonts w:ascii="Arial" w:cs="Arial" w:eastAsia="Arial" w:hAnsi="Arial"/>
          <w:sz w:val="18"/>
          <w:szCs w:val="18"/>
          <w:color w:val="auto"/>
        </w:rPr>
        <w:t>” as defined in Section 2.24(a).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Facilities</w:t>
      </w:r>
      <w:r>
        <w:rPr>
          <w:rFonts w:ascii="Arial" w:cs="Arial" w:eastAsia="Arial" w:hAnsi="Arial"/>
          <w:sz w:val="18"/>
          <w:szCs w:val="18"/>
          <w:color w:val="auto"/>
        </w:rPr>
        <w:t>” as defined in Section 2.24(a).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as defined in Section 2.24(a).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w:t>
      </w:r>
      <w:r>
        <w:rPr>
          <w:rFonts w:ascii="Arial" w:cs="Arial" w:eastAsia="Arial" w:hAnsi="Arial"/>
          <w:sz w:val="18"/>
          <w:szCs w:val="18"/>
          <w:color w:val="auto"/>
        </w:rPr>
        <w:t>” means the commitment of a Lender to make or otherwise fund an Incremental Term Loan and “Incremental Term Loan Commitments” means such commitments of all Lenders in the aggregate.</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Revolving Credit Commitment</w:t>
      </w:r>
      <w:r>
        <w:rPr>
          <w:rFonts w:ascii="Arial" w:cs="Arial" w:eastAsia="Arial" w:hAnsi="Arial"/>
          <w:sz w:val="16"/>
          <w:szCs w:val="16"/>
          <w:color w:val="auto"/>
        </w:rPr>
        <w:t>” means each commitment of a Lender to make or otherwise fund any Incremental Revolving Loan, and “</w:t>
      </w:r>
      <w:r>
        <w:rPr>
          <w:rFonts w:ascii="Arial" w:cs="Arial" w:eastAsia="Arial" w:hAnsi="Arial"/>
          <w:sz w:val="16"/>
          <w:szCs w:val="16"/>
          <w:b w:val="1"/>
          <w:bCs w:val="1"/>
          <w:color w:val="auto"/>
        </w:rPr>
        <w:t>Incremental Revolving Credit Commitments</w:t>
      </w:r>
      <w:r>
        <w:rPr>
          <w:rFonts w:ascii="Arial" w:cs="Arial" w:eastAsia="Arial" w:hAnsi="Arial"/>
          <w:sz w:val="16"/>
          <w:szCs w:val="16"/>
          <w:color w:val="auto"/>
        </w:rPr>
        <w:t>” means such commitments of all of such Lenders in the aggregate. The amount of a Lender’s Incremental Revolving Credit Commitment is set forth, if applicable, in the Incremental Amendment evidencing an Incremental Revolving Facility.</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 Exposure</w:t>
      </w:r>
      <w:r>
        <w:rPr>
          <w:rFonts w:ascii="Arial" w:cs="Arial" w:eastAsia="Arial" w:hAnsi="Arial"/>
          <w:sz w:val="18"/>
          <w:szCs w:val="18"/>
          <w:color w:val="auto"/>
        </w:rPr>
        <w:t xml:space="preserve">” means, with respect to any Lender, as of any date of determination, the outstanding principal amount of the Incremental Revolving Loans of such Lenders; </w:t>
      </w:r>
      <w:r>
        <w:rPr>
          <w:rFonts w:ascii="Arial" w:cs="Arial" w:eastAsia="Arial" w:hAnsi="Arial"/>
          <w:sz w:val="18"/>
          <w:szCs w:val="18"/>
          <w:i w:val="1"/>
          <w:iCs w:val="1"/>
          <w:color w:val="auto"/>
        </w:rPr>
        <w:t>provided</w:t>
      </w:r>
      <w:r>
        <w:rPr>
          <w:rFonts w:ascii="Arial" w:cs="Arial" w:eastAsia="Arial" w:hAnsi="Arial"/>
          <w:sz w:val="18"/>
          <w:szCs w:val="18"/>
          <w:color w:val="auto"/>
        </w:rPr>
        <w:t>, at any time prior to the making of the Incremental Revolving Loans, the Incremental Revolving Loan Exposure of any Lender will be equal to such Lender’s Incremental Revolving Credit Commitment.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Exposure</w:t>
      </w:r>
      <w:r>
        <w:rPr>
          <w:rFonts w:ascii="Arial" w:cs="Arial" w:eastAsia="Arial" w:hAnsi="Arial"/>
          <w:sz w:val="18"/>
          <w:szCs w:val="18"/>
          <w:color w:val="auto"/>
        </w:rPr>
        <w:t xml:space="preserve">” means, with respect to any Lender, as of any date of determination, the outstanding principal amount of the Incremental Term Loans of such Lenders; </w:t>
      </w:r>
      <w:r>
        <w:rPr>
          <w:rFonts w:ascii="Arial" w:cs="Arial" w:eastAsia="Arial" w:hAnsi="Arial"/>
          <w:sz w:val="18"/>
          <w:szCs w:val="18"/>
          <w:i w:val="1"/>
          <w:iCs w:val="1"/>
          <w:color w:val="auto"/>
        </w:rPr>
        <w:t>provided</w:t>
      </w:r>
      <w:r>
        <w:rPr>
          <w:rFonts w:ascii="Arial" w:cs="Arial" w:eastAsia="Arial" w:hAnsi="Arial"/>
          <w:sz w:val="18"/>
          <w:szCs w:val="18"/>
          <w:color w:val="auto"/>
        </w:rPr>
        <w:t>, at any time prior to the making of the Incremental Term Loans, the Incremental Term Loan Exposure of any Lender will be equal to such Lender’s Incremental Term Loan Commitment.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as applied to any Person, means, without duplication, (a) all indebtedness for borrowed money; (b) all obligations evidenced by bonds, debentures, notes or similar instruments; (c) that portion of obligations with respect to Capital Leases that is properly classified as a liability on a balance sheet in conformity with GAAP as in effect of the date hereof (but giving effect to the proviso in the definition of “Capital Lease”); (d) any obligation owed for all or any part of the deferred purchase price of property or services, which purchase price is (A) due more than six months from the date of incurrence of the obligation in respect thereof or (B) evidenced by a note or similar written instrument (excluding (i) any such obligations incurred under ERISA, (ii) trade accounts, accounts payable, payroll and other liabilities and accrued expenses incurred in the ordinary course of business that are not overdue by more than one hundred eighty (180) days from the date of incurrence of the obligations in respect thereof and (iii) accruals for deferred compensation, payroll and other liabilities in the ordinary course of business; (e) the face amount of any letter of credit issued for the account of that Person or as to which that Person is otherwise liable for reimbursement of drawings; (f) Disqualified Capital Stock; (g) the direct or indirect guaranty of obligations, of the type in clauses (a)-(f) of this definition, of any other Person; (h) obligations, of the type in clauses (a)-(f) of this definition, that are secured by a Lien on any property or asset owned or held by that Person regardless of whether such obligations are owed by or recourse to such Person; and (i) obligations of such Person in respect of any derivative transaction, including any Rate Contract, whether entered into for hedging or speculative purposes. Notwithstanding the foregoing, for all purposes of this Agreement: (1) Indebtedness of any Person will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be included in the calculation of Consolidated Total Debt; (2) with respect to clause (e) above, to the extent any letter of credit issued for the benefit of the Borrower or any Subsidiary (a “</w:t>
      </w:r>
      <w:r>
        <w:rPr>
          <w:rFonts w:ascii="Arial" w:cs="Arial" w:eastAsia="Arial" w:hAnsi="Arial"/>
          <w:sz w:val="17"/>
          <w:szCs w:val="17"/>
          <w:b w:val="1"/>
          <w:bCs w:val="1"/>
          <w:color w:val="auto"/>
        </w:rPr>
        <w:t>Primary LC</w:t>
      </w:r>
      <w:r>
        <w:rPr>
          <w:rFonts w:ascii="Arial" w:cs="Arial" w:eastAsia="Arial" w:hAnsi="Arial"/>
          <w:sz w:val="17"/>
          <w:szCs w:val="17"/>
          <w:color w:val="auto"/>
        </w:rPr>
        <w:t>”) is supported (including any “back-to-back” arrangement) by a another letter of credit also issued for the benefit of the Borrower or any Subsidiary (the “</w:t>
      </w:r>
      <w:r>
        <w:rPr>
          <w:rFonts w:ascii="Arial" w:cs="Arial" w:eastAsia="Arial" w:hAnsi="Arial"/>
          <w:sz w:val="17"/>
          <w:szCs w:val="17"/>
          <w:b w:val="1"/>
          <w:bCs w:val="1"/>
          <w:color w:val="auto"/>
        </w:rPr>
        <w:t>Supporting LC</w:t>
      </w:r>
      <w:r>
        <w:rPr>
          <w:rFonts w:ascii="Arial" w:cs="Arial" w:eastAsia="Arial" w:hAnsi="Arial"/>
          <w:sz w:val="17"/>
          <w:szCs w:val="17"/>
          <w:color w:val="auto"/>
        </w:rPr>
        <w:t>”), to the extent that both such Primary LC and the relevant Supporting LC would constitute “Indebtedness” for any purpose under this Agreement, then the Primary LC and the relevant Supporting LC shall be deemed to be a single obligation in an amount equal to the amount of Indebtedness attributable to the Primary LC (and any corresponding amount of the Supporting LC that also would then constitute “Indebtedness” will be disregarded); (3) with respect to clause (h) above, the amount of Indebtedness of any Person will be deemed to be equal to the lesser of (x) the aggregate unpaid amount of such Indebtedness and (y) the fair market value (as determined by such Person in good faith) of the property encumbered thereby as determined by such Person in good faith; (4) the amount of any obligation under any Rate Contract on any date shall be deemed to be the Swap Termination Value thereof as of such date; (5) with respect to clause (i) above, in no event will obligations under any Rate Contract be deemed “Indebtedness” for the purpose of calculating any ratio contemplated by this Agreement; and (6) “Indebtedness” shall not include (i) deferred or prepaid revenue or (ii) purchase price holdbacks in respect of a portion of the purchase price of an asset to satisfy warranty or other unperformed obligations of the seller.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Liabilities</w:t>
      </w:r>
      <w:r>
        <w:rPr>
          <w:rFonts w:ascii="Arial" w:cs="Arial" w:eastAsia="Arial" w:hAnsi="Arial"/>
          <w:sz w:val="16"/>
          <w:szCs w:val="16"/>
          <w:color w:val="auto"/>
        </w:rPr>
        <w:t>” means, collectively, any and all liabilities (including Environmental Liabilities), obligations, losses, damages (including natural resource damages), penalties, claims (including Environmental Claims), actions, judgments, suits, costs (including the costs of any Remedial Action), expenses and disbursements of any kind or nature whatsoever (including the reasonable and documented in reasonable detail fees and disbursements of counsel for Indemnitees in connection with any investigative, administrative or judicial proceeding or hearing commenced or threatened by any Person, whether or not any such Indemnitee will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applicable Environmental Laws), on common law or equitable cause or on contract or otherwise, that may be imposed on, incurred by, or asserted against any such Indemnitee, in any manner relating to or arising out of</w:t>
      </w:r>
    </w:p>
    <w:p>
      <w:pPr>
        <w:spacing w:after="0" w:line="5" w:lineRule="exact"/>
        <w:rPr>
          <w:sz w:val="20"/>
          <w:szCs w:val="20"/>
          <w:color w:val="auto"/>
        </w:rPr>
      </w:pPr>
    </w:p>
    <w:p>
      <w:pPr>
        <w:jc w:val="both"/>
        <w:ind w:firstLine="8"/>
        <w:spacing w:after="0" w:line="267" w:lineRule="auto"/>
        <w:tabs>
          <w:tab w:leader="none" w:pos="261"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Agreement or the other Credit Documents or the transactions contemplated hereby or thereby (including the Lenders’ agreement to make Credit Extensions or the use or intended use of the proceeds thereof, or any enforcement of any of the Credit Documents (including any sale of, collection from, or other realization upon any of the Collateral or the enforcement of the Guaranty)); (b) the Agency Fee Letter and any Contractual Obligation entered into in connection with any Approved Electronic Communications; (c) any Environmental Claim, any investigation, study, sampling, testing, abatement, cleanup, removal, remediation or other response action required by Environmental Law to remove, remediate, clean up or abate any Hazardous Materials Activity or any action, suit, or proceeding by any Governmental Authority or any other Person related to Hazardous Materials Activity, in each case relating to or arising from, directly or indirectly, any past or present activity, operation, land ownership, or practice of the Borrower or any Subsidiary; or (d) any actual or prospective investigation, litigation or other proceeding relating to any of the foregoing, whether or not brought by any such Indemnitee or any of its Related Persons, any holders of securities or creditors (and including attorneys’ fees in any case), whether or not any such Indemnitee, Related Person, holder or creditor is a party thereto, and whether or not based on any securities or commercial law or regulation or any other Law or theory thereof, including common law, equity, contract, tort or otherwise.</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all Taxes other than Excluded Taxes, imposed on or with respect to any payment made by or on account of any obligation of any Credit Party under any Credit Document, and (b) to the extent not otherwise described in (a), Other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as defined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Credit Extension</w:t>
      </w:r>
      <w:r>
        <w:rPr>
          <w:rFonts w:ascii="Arial" w:cs="Arial" w:eastAsia="Arial" w:hAnsi="Arial"/>
          <w:sz w:val="18"/>
          <w:szCs w:val="18"/>
          <w:color w:val="auto"/>
        </w:rPr>
        <w:t>” as defined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B Loan</w:t>
      </w:r>
      <w:r>
        <w:rPr>
          <w:rFonts w:ascii="Arial" w:cs="Arial" w:eastAsia="Arial" w:hAnsi="Arial"/>
          <w:sz w:val="18"/>
          <w:szCs w:val="18"/>
          <w:color w:val="auto"/>
        </w:rPr>
        <w:t>” means a Term Loan made by a Lender to the Borrower on the Closing Date pursuant to Section 2.1(a).</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 B Loan Commitment</w:t>
      </w:r>
      <w:r>
        <w:rPr>
          <w:rFonts w:ascii="Arial" w:cs="Arial" w:eastAsia="Arial" w:hAnsi="Arial"/>
          <w:sz w:val="17"/>
          <w:szCs w:val="17"/>
          <w:color w:val="auto"/>
        </w:rPr>
        <w:t>” means the commitment of a Lender to make or otherwise fund an Initial Term B Loan and “</w:t>
      </w:r>
      <w:r>
        <w:rPr>
          <w:rFonts w:ascii="Arial" w:cs="Arial" w:eastAsia="Arial" w:hAnsi="Arial"/>
          <w:sz w:val="17"/>
          <w:szCs w:val="17"/>
          <w:b w:val="1"/>
          <w:bCs w:val="1"/>
          <w:color w:val="auto"/>
        </w:rPr>
        <w:t>Initial Term B</w:t>
      </w:r>
      <w:r>
        <w:rPr>
          <w:rFonts w:ascii="Arial" w:cs="Arial" w:eastAsia="Arial" w:hAnsi="Arial"/>
          <w:sz w:val="17"/>
          <w:szCs w:val="17"/>
          <w:color w:val="auto"/>
        </w:rPr>
        <w:t xml:space="preserve"> </w:t>
      </w:r>
      <w:r>
        <w:rPr>
          <w:rFonts w:ascii="Arial" w:cs="Arial" w:eastAsia="Arial" w:hAnsi="Arial"/>
          <w:sz w:val="17"/>
          <w:szCs w:val="17"/>
          <w:b w:val="1"/>
          <w:bCs w:val="1"/>
          <w:color w:val="auto"/>
        </w:rPr>
        <w:t>Loan Commitments</w:t>
      </w:r>
      <w:r>
        <w:rPr>
          <w:rFonts w:ascii="Arial" w:cs="Arial" w:eastAsia="Arial" w:hAnsi="Arial"/>
          <w:sz w:val="17"/>
          <w:szCs w:val="17"/>
          <w:color w:val="auto"/>
        </w:rPr>
        <w:t>” means such commitments of all of the Lenders in the aggregate. The amount of each Lender’s Initial Term B Loan Commitment, if</w:t>
      </w:r>
      <w:r>
        <w:rPr>
          <w:rFonts w:ascii="Arial" w:cs="Arial" w:eastAsia="Arial" w:hAnsi="Arial"/>
          <w:sz w:val="17"/>
          <w:szCs w:val="17"/>
          <w:b w:val="1"/>
          <w:bCs w:val="1"/>
          <w:color w:val="auto"/>
        </w:rPr>
        <w:t xml:space="preserve"> </w:t>
      </w:r>
      <w:r>
        <w:rPr>
          <w:rFonts w:ascii="Arial" w:cs="Arial" w:eastAsia="Arial" w:hAnsi="Arial"/>
          <w:sz w:val="17"/>
          <w:szCs w:val="17"/>
          <w:color w:val="auto"/>
        </w:rPr>
        <w:t>any, is set forth on Appendix A-1 or in the applicable Assignment Agreement, subject to any adjustment or reduction pursuant to the terms and conditions hereof. The aggregate amount of the Initial Term B Loan Commitments as of the Closing Date is $350,000,000.</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B Loan Exposure</w:t>
      </w:r>
      <w:r>
        <w:rPr>
          <w:rFonts w:ascii="Arial" w:cs="Arial" w:eastAsia="Arial" w:hAnsi="Arial"/>
          <w:sz w:val="18"/>
          <w:szCs w:val="18"/>
          <w:color w:val="auto"/>
        </w:rPr>
        <w:t xml:space="preserve">” means, with respect to any Lender, as of any date of determination, the outstanding principal amount of the Initial Term B Loans of such Lender; </w:t>
      </w:r>
      <w:r>
        <w:rPr>
          <w:rFonts w:ascii="Arial" w:cs="Arial" w:eastAsia="Arial" w:hAnsi="Arial"/>
          <w:sz w:val="18"/>
          <w:szCs w:val="18"/>
          <w:i w:val="1"/>
          <w:iCs w:val="1"/>
          <w:color w:val="auto"/>
        </w:rPr>
        <w:t>provided</w:t>
      </w:r>
      <w:r>
        <w:rPr>
          <w:rFonts w:ascii="Arial" w:cs="Arial" w:eastAsia="Arial" w:hAnsi="Arial"/>
          <w:sz w:val="18"/>
          <w:szCs w:val="18"/>
          <w:color w:val="auto"/>
        </w:rPr>
        <w:t>, at any time prior to the making of the Initial Term B Loans, the Initial Term B Loan Exposure of any Lender will be equal to such Lender’s Initial Term B Loan Commitment.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B Loan Note</w:t>
      </w:r>
      <w:r>
        <w:rPr>
          <w:rFonts w:ascii="Arial" w:cs="Arial" w:eastAsia="Arial" w:hAnsi="Arial"/>
          <w:sz w:val="18"/>
          <w:szCs w:val="18"/>
          <w:color w:val="auto"/>
        </w:rPr>
        <w:t xml:space="preserve">” means a promissory note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as it may be amended, supplemented or otherwise modified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rights, priorities and privileges relating to intellectual property, whether arising under United States, state, multinational or foreign laws or otherwise, including, without limitation such rights in: copyrights (including copyrights in software) whether registered or unregistered and all applications therefor, patents and certificates of invention, or similar industrial property rights, and applications therefor, software, trademarks (whether registered or unregistered and applications therefor), goodwill associated with trademarks, service-marks, domain names, technology, trade secrets, including confidential know-how and processes, formulas and all rights to sue at law or in equity for any infringement or other impairment thereof, including the right to receive all proceeds and damages therefrom.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means with respect to (a) any Base Rate Loan, the last Business Day of each calendar quarter, commencing on the first such date to occur after the borrowing of such Loan and the final maturity date or conversion date of such Loan; and (b) any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the last day of each Interest Period applicable to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each Interest Period of longer than three months “Interest Payment Date” will also include each date that is three months, or an integral multiple thereof, after the commencement of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-311785</wp:posOffset>
            </wp:positionV>
            <wp:extent cx="283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in connection with a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an interest period of one-, </w:t>
      </w:r>
      <w:r>
        <w:rPr>
          <w:rFonts w:ascii="Arial" w:cs="Arial" w:eastAsia="Arial" w:hAnsi="Arial"/>
          <w:sz w:val="16"/>
          <w:szCs w:val="16"/>
          <w:color w:val="FF0000"/>
          <w:strike w:val="1"/>
        </w:rPr>
        <w:t>two-,</w:t>
      </w:r>
      <w:r>
        <w:rPr>
          <w:rFonts w:ascii="Arial" w:cs="Arial" w:eastAsia="Arial" w:hAnsi="Arial"/>
          <w:sz w:val="16"/>
          <w:szCs w:val="16"/>
          <w:color w:val="auto"/>
        </w:rPr>
        <w:t xml:space="preserve"> three- or six- months </w:t>
      </w:r>
      <w:r>
        <w:rPr>
          <w:rFonts w:ascii="Arial" w:cs="Arial" w:eastAsia="Arial" w:hAnsi="Arial"/>
          <w:sz w:val="16"/>
          <w:szCs w:val="16"/>
          <w:color w:val="FF0000"/>
        </w:rPr>
        <w:t>(or,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283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-44450</wp:posOffset>
            </wp:positionV>
            <wp:extent cx="7340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30" w:lineRule="exact"/>
        <w:rPr>
          <w:sz w:val="20"/>
          <w:szCs w:val="20"/>
          <w:color w:val="auto"/>
        </w:rPr>
      </w:pPr>
    </w:p>
    <w:p>
      <w:pPr>
        <w:jc w:val="both"/>
        <w:ind w:firstLine="8"/>
        <w:spacing w:after="0" w:line="285" w:lineRule="auto"/>
        <w:tabs>
          <w:tab w:leader="none" w:pos="262" w:val="left"/>
        </w:tabs>
        <w:numPr>
          <w:ilvl w:val="0"/>
          <w:numId w:val="54"/>
        </w:numPr>
        <w:rPr>
          <w:rFonts w:ascii="Arial" w:cs="Arial" w:eastAsia="Arial" w:hAnsi="Arial"/>
          <w:sz w:val="16"/>
          <w:szCs w:val="16"/>
          <w:color w:val="FF0000"/>
          <w:strike w:val="1"/>
        </w:rPr>
      </w:pPr>
      <w:r>
        <w:rPr>
          <w:rFonts w:ascii="Arial" w:cs="Arial" w:eastAsia="Arial" w:hAnsi="Arial"/>
          <w:sz w:val="16"/>
          <w:szCs w:val="16"/>
          <w:color w:val="FF0000"/>
          <w:strike w:val="1"/>
        </w:rPr>
        <w:t>twelve months or shorter periods, in each case, with the consent of each applicable Lender of the affected Class or (y) a period of less than one month with the consent of the Administrative Agent in its sole discretion)</w:t>
      </w:r>
      <w:r>
        <w:rPr>
          <w:rFonts w:ascii="Arial" w:cs="Arial" w:eastAsia="Arial" w:hAnsi="Arial"/>
          <w:sz w:val="16"/>
          <w:szCs w:val="16"/>
          <w:color w:val="000000"/>
          <w:strike w:val="1"/>
        </w:rPr>
        <w:t>, as selected by the Borrower in the applicable Funding Notice or</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Conversion/Continuation Notice, (a) initially, commencing on the Credit Date or Conversion/Continuation Date thereof, as the case may be </w:t>
      </w:r>
      <w:r>
        <w:rPr>
          <w:rFonts w:ascii="Arial" w:cs="Arial" w:eastAsia="Arial" w:hAnsi="Arial"/>
          <w:sz w:val="16"/>
          <w:szCs w:val="16"/>
          <w:u w:val="single" w:color="auto"/>
          <w:color w:val="0000FF"/>
          <w:strike w:val="1"/>
        </w:rPr>
        <w:t>(in each case,</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subject to the availability thereof)</w:t>
      </w:r>
      <w:r>
        <w:rPr>
          <w:rFonts w:ascii="Arial" w:cs="Arial" w:eastAsia="Arial" w:hAnsi="Arial"/>
          <w:sz w:val="16"/>
          <w:szCs w:val="16"/>
          <w:color w:val="000000"/>
          <w:strike w:val="1"/>
        </w:rPr>
        <w:t>; and (b) thereafter, commencing on the day on which the immediately preceding Interest Period expires;</w:t>
      </w:r>
      <w:r>
        <w:rPr>
          <w:rFonts w:ascii="Arial" w:cs="Arial" w:eastAsia="Arial" w:hAnsi="Arial"/>
          <w:sz w:val="16"/>
          <w:szCs w:val="16"/>
          <w:color w:val="0000FF"/>
          <w:strike w:val="1"/>
        </w:rPr>
        <w:t xml:space="preserve"> </w:t>
      </w:r>
      <w:r>
        <w:rPr>
          <w:rFonts w:ascii="Arial" w:cs="Arial" w:eastAsia="Arial" w:hAnsi="Arial"/>
          <w:sz w:val="16"/>
          <w:szCs w:val="16"/>
          <w:i w:val="1"/>
          <w:iCs w:val="1"/>
          <w:color w:val="000000"/>
          <w:strike w:val="1"/>
        </w:rPr>
        <w:t>provided</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that (i)</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if an Interest Period would otherwise expire on a day that is not a Business Day, such Interest Period will expire on the next succeeding Business Day unless no further Business Day occurs in such month, in which case such Interest Period will expire on the immediately preceding Business Day; (ii) any Interest Period that begins on the last Business Day of a calendar month (or on a day for which there is no numerically corresponding day in the calendar month at the end of such Interest Period) will, subject to clause (iii) of this definition, end on the last Business Day of a calendar month; (iii) no Interest Period with respect to any portion of any Class of Term Loans will extend beyond such Class’s Term Loan Maturity Date; </w:t>
      </w:r>
      <w:r>
        <w:rPr>
          <w:rFonts w:ascii="Arial" w:cs="Arial" w:eastAsia="Arial" w:hAnsi="Arial"/>
          <w:sz w:val="16"/>
          <w:szCs w:val="16"/>
          <w:color w:val="FF0000"/>
          <w:strike w:val="1"/>
        </w:rPr>
        <w:t>and</w:t>
      </w:r>
      <w:r>
        <w:rPr>
          <w:rFonts w:ascii="Arial" w:cs="Arial" w:eastAsia="Arial" w:hAnsi="Arial"/>
          <w:sz w:val="16"/>
          <w:szCs w:val="16"/>
          <w:color w:val="000000"/>
          <w:strike w:val="1"/>
        </w:rPr>
        <w:t xml:space="preserve"> (iv) in the case of any Term C Loan maintained as a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strike w:val="1"/>
        </w:rPr>
        <w:t>SOFR</w:t>
      </w:r>
      <w:r>
        <w:rPr>
          <w:rFonts w:ascii="Arial" w:cs="Arial" w:eastAsia="Arial" w:hAnsi="Arial"/>
          <w:sz w:val="16"/>
          <w:szCs w:val="16"/>
          <w:color w:val="000000"/>
          <w:strike w:val="1"/>
        </w:rPr>
        <w:t xml:space="preserve"> Loan, the Interest Period applicable thereto shall be one month; </w:t>
      </w:r>
      <w:r>
        <w:rPr>
          <w:rFonts w:ascii="Arial" w:cs="Arial" w:eastAsia="Arial" w:hAnsi="Arial"/>
          <w:sz w:val="16"/>
          <w:szCs w:val="16"/>
          <w:u w:val="single" w:color="auto"/>
          <w:color w:val="0000FF"/>
          <w:strike w:val="1"/>
        </w:rPr>
        <w:t>and (v) no tenor that has been removed from</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this definition pursuant to Section 2.18(b)(iv) shall be available for specification in such Funding Notice or Conversion/Continuation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-1122680</wp:posOffset>
            </wp:positionV>
            <wp:extent cx="6261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1551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-162560</wp:posOffset>
            </wp:positionV>
            <wp:extent cx="2914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2040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64376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with respect to any Interest Period, the date that is two (2) Business Days prior to the first day of such Interest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Internally Generated Cash</w:t>
      </w:r>
      <w:r>
        <w:rPr>
          <w:rFonts w:ascii="Arial" w:cs="Arial" w:eastAsia="Arial" w:hAnsi="Arial"/>
          <w:sz w:val="18"/>
          <w:szCs w:val="18"/>
          <w:color w:val="auto"/>
        </w:rPr>
        <w:t>” means, with respect to any Person, funds of such Person and its Subsidiaries not constituting (a) proceeds of the issuance of (or contributions in respect of) Capital Stock of such Person, (b) proceeds of the incurrence of Indebtedness by such Person or any of its Subsidiaries (excluding borrowings under revolving credit facilities or revolving lines of credit) or (c) proceeds of dispositions (other than dispositions of inventory in the ordinary course of business) and Casualty Events.</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means (a) any direct or indirect purchase or other acquisition by the Borrower or any Subsidiary, or of a beneficial interest in, any of the Securities of any other Person; (b) any direct or indirect redemption, retirement, purchase or other acquisition for value, by any Subsidiary from any Person, of any Capital Stock of such Person; (c) any direct or indirect loan, advance or capital contribution by the Borrower or any Subsidiary to any other Person, including all indebtedness and accounts receivable from that other Person that are not current assets or did not arise from sales to that other Person in the ordinary course of business and (d) any acquisition, whether by purchase, merger or otherwise, of all or a material portion of the assets of, or a division, unit, business line or product line of, any other Person. The amount of any Investment will be the original cost of such Investment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(x) the cost of all additions thereto, without any adjustments for increases or decreases in value, or write-ups, write-downs or write-offs with respect to such Investment </w:t>
      </w:r>
      <w:r>
        <w:rPr>
          <w:rFonts w:ascii="Arial" w:cs="Arial" w:eastAsia="Arial" w:hAnsi="Arial"/>
          <w:sz w:val="16"/>
          <w:szCs w:val="16"/>
          <w:i w:val="1"/>
          <w:iCs w:val="1"/>
          <w:u w:val="single" w:color="auto"/>
          <w:color w:val="auto"/>
        </w:rPr>
        <w:t>minus</w:t>
      </w:r>
      <w:r>
        <w:rPr>
          <w:rFonts w:ascii="Arial" w:cs="Arial" w:eastAsia="Arial" w:hAnsi="Arial"/>
          <w:sz w:val="16"/>
          <w:szCs w:val="16"/>
          <w:i w:val="1"/>
          <w:iCs w:val="1"/>
          <w:color w:val="auto"/>
        </w:rPr>
        <w:t xml:space="preserve"> </w:t>
      </w:r>
      <w:r>
        <w:rPr>
          <w:rFonts w:ascii="Arial" w:cs="Arial" w:eastAsia="Arial" w:hAnsi="Arial"/>
          <w:sz w:val="16"/>
          <w:szCs w:val="16"/>
          <w:color w:val="auto"/>
        </w:rPr>
        <w:t>(y) the amount of any dividend, distribution, interest payment, return of capital, repayment or other amount received in cash or Cash Equivalents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Borrower or a Subsidiary in respect of such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an Investment made in reliance on the Available Amount, the foregoing deduction in clause (y) shall be disregarded (it being understood that clauses (a)(v), (vi) and (vii) of the definition of “Available Amount” already provide for a “rebuild” based on returns, repayments, distributions, etc.).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means (a) any Person which would constitute an “equity method investee” of the Borrower or any Subsidiary and (b) any Person in whom the Borrower or any of the Subsidiaries beneficially owns any Capital Stock that is not a Subsidiary (other than an Unrestricted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no event will any Subsidiary of any Person be considered a Joint Venture of such Person.</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Venture Subsidiary</w:t>
      </w:r>
      <w:r>
        <w:rPr>
          <w:rFonts w:ascii="Arial" w:cs="Arial" w:eastAsia="Arial" w:hAnsi="Arial"/>
          <w:sz w:val="17"/>
          <w:szCs w:val="17"/>
          <w:color w:val="auto"/>
        </w:rPr>
        <w:t>” means any Subsidiary that is not wholly-owned, directly or indirectly, by the Borrower and the business and management thereof is jointly controlled by the holders of the Capital Stock in such Subsidiary pursuant to customary joint venture arrangements.</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w:t>
      </w:r>
      <w:r>
        <w:rPr>
          <w:rFonts w:ascii="Arial" w:cs="Arial" w:eastAsia="Arial" w:hAnsi="Arial"/>
          <w:sz w:val="18"/>
          <w:szCs w:val="18"/>
          <w:color w:val="auto"/>
        </w:rPr>
        <w:t>” means any Junior Lien Indebtedness, any Subordinated Debt and any Indebtedness of the Borrower or its Subsidiaries that is unsecured.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 Indebtedness</w:t>
      </w:r>
      <w:r>
        <w:rPr>
          <w:rFonts w:ascii="Arial" w:cs="Arial" w:eastAsia="Arial" w:hAnsi="Arial"/>
          <w:sz w:val="18"/>
          <w:szCs w:val="18"/>
          <w:color w:val="auto"/>
        </w:rPr>
        <w:t>” means any Indebtedness of any Credit Party that is secured by Liens on Collateral that rank junior in priority to the Liens that secure the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 Intercreditor Agreement</w:t>
      </w:r>
      <w:r>
        <w:rPr>
          <w:rFonts w:ascii="Arial" w:cs="Arial" w:eastAsia="Arial" w:hAnsi="Arial"/>
          <w:sz w:val="18"/>
          <w:szCs w:val="18"/>
          <w:color w:val="auto"/>
        </w:rPr>
        <w:t>” means an intercreditor agreement, in form and substance reasonably acceptable to the Borrower, the Collateral Agent and the applicable Debt Representatives for Junior Lien Indebtedness permitted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means, as at any date of determination, the latest maturity or expiration date applicable to any Term Loan (including any Incremental Term Loan), as extended in accordance with this Agreement from time to time.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with respect to any Person, (a) the common law and any federal, state, local, foreign, multinational or international statutes, laws, treaties, judicial decisions, standards, rules and regulations, guidances, guidelines, ordinances, rules, judgments, writs, orders, decrees, codes, plans, injunctions, permits, concessions, grants, franchises, governmental agreements and governmental restrictions (including administrative or judicial precedents or authorities), in each case whether now or hereafter in effect, and (b)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Election</w:t>
      </w:r>
      <w:r>
        <w:rPr>
          <w:rFonts w:ascii="Arial" w:cs="Arial" w:eastAsia="Arial" w:hAnsi="Arial"/>
          <w:sz w:val="18"/>
          <w:szCs w:val="18"/>
          <w:color w:val="auto"/>
        </w:rPr>
        <w:t>” as defined in Section 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Test Date</w:t>
      </w:r>
      <w:r>
        <w:rPr>
          <w:rFonts w:ascii="Arial" w:cs="Arial" w:eastAsia="Arial" w:hAnsi="Arial"/>
          <w:sz w:val="18"/>
          <w:szCs w:val="18"/>
          <w:color w:val="auto"/>
        </w:rPr>
        <w:t>” as defined in Section 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w:t>
      </w:r>
      <w:r>
        <w:rPr>
          <w:rFonts w:ascii="Arial" w:cs="Arial" w:eastAsia="Arial" w:hAnsi="Arial"/>
          <w:sz w:val="18"/>
          <w:szCs w:val="18"/>
          <w:color w:val="auto"/>
        </w:rPr>
        <w:t>” means DBSI, in its capacity as lead arranger.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collectively, (a) each Person listed on the signature pages hereto as a Lender holding a Term Loan Commitment or a Term Loan,</w:t>
      </w:r>
    </w:p>
    <w:p>
      <w:pPr>
        <w:spacing w:after="0" w:line="50" w:lineRule="exact"/>
        <w:rPr>
          <w:sz w:val="20"/>
          <w:szCs w:val="20"/>
          <w:color w:val="auto"/>
        </w:rPr>
      </w:pPr>
    </w:p>
    <w:p>
      <w:pPr>
        <w:jc w:val="both"/>
        <w:ind w:firstLine="8"/>
        <w:spacing w:after="0" w:line="253" w:lineRule="auto"/>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Person (other than a Natural Person) that becomes a party hereto pursuant to an Assignment Agreement and holds a Term Loan Commitment or a Term Loan and (c) any other Person (other than a Natural Person) that becomes a party hereto pursuant to an Incremental Amendment and holds an Incremental Revolving Credit Commitment or an Incremental Revolving Loan. Notwithstanding the foregoing, any Disqualified Lender that purports to become a Lender hereunder, and to which the Borrower has not consented in writing to allow to become a Lender hereunder, shall not be entitled to receive confidential information or attend Lender meetings.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with respect to any Lender, the office or offices of such Lender specified as its “Lending Office” beneath its name on Appendix B hereto or in the administrative questionnaire delivered by such Lender to the Borrower and the Administrative Agent, or, in each case, such other office or offices of such Lender as it may from time to time notify the Borrower and the Administrative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xml:space="preserve">” means any lien, mortgage, pledge, assignment, security interest,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 operating lease in and of itself be deemed a Lien.</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means any Permitted Acquisition or other Investment permitted hereunder by the Borrower and/or one or more Subsidiaries the consummation of which is not conditioned on the availability of, or on obtaining, third party financing.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 Initial Term B Loan, a Term C Loan (if any), an Incremental Term Loan, an Extended Term Loan, a Refinancing Term Loan or, as applicable, an Incremental Revolving Loan.</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LTM Consolidated Adjusted EBITDA</w:t>
      </w:r>
      <w:r>
        <w:rPr>
          <w:rFonts w:ascii="Arial" w:cs="Arial" w:eastAsia="Arial" w:hAnsi="Arial"/>
          <w:sz w:val="16"/>
          <w:szCs w:val="16"/>
          <w:color w:val="auto"/>
        </w:rPr>
        <w:t>” means, as of any date of determination, the Consolidated Adjusted EBITDA for the four consecutive Fiscal Quarters most recently ended prior to such date for which financial statements have been delivered pursuant to Section 5.1(a) or (b) (or, in the case of a determination date that occurs prior to the first such delivery pursuant to such Sections, for the four consecutive Fiscal Quarters ended as of June 30, 2018 consistent with the Consolidated Adjusted EBITDA used in the syndication of the Initial Term B Loan Commitments), on a Pro Forma Basis.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Margin Stock</w:t>
      </w:r>
      <w:r>
        <w:rPr>
          <w:rFonts w:ascii="Arial" w:cs="Arial" w:eastAsia="Arial" w:hAnsi="Arial"/>
          <w:sz w:val="17"/>
          <w:szCs w:val="17"/>
          <w:color w:val="auto"/>
        </w:rPr>
        <w:t>” means “margin stock” as such term is defined in Regulation U of the Board of Governors as in effect from time to time.</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operations, properties, assets or financial condition of the Borrower and the Subsidiaries, taken as a whole; (b) the ability of any Credit Party to fully and timely perform its payment obligations under the Credit Documents; or (c) the rights, remedies and benefits available to, or conferred upon, any Agent and any Lender or any Secured Party under any Credit Document.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means third party Indebtedness with an aggregate principal amount (including undrawn commitments) in excess of $30,000,000.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Estate Asset</w:t>
      </w:r>
      <w:r>
        <w:rPr>
          <w:rFonts w:ascii="Arial" w:cs="Arial" w:eastAsia="Arial" w:hAnsi="Arial"/>
          <w:sz w:val="18"/>
          <w:szCs w:val="18"/>
          <w:color w:val="auto"/>
        </w:rPr>
        <w:t>” means any fee-owned Real Estate Asset having a fair market value (as reasonably determined by the Borrower in good faith and without requirement of delivery of an appraisal or other third-party valuation) equal to or in excess of $5,000,000.</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Refinancing Amount</w:t>
      </w:r>
      <w:r>
        <w:rPr>
          <w:rFonts w:ascii="Arial" w:cs="Arial" w:eastAsia="Arial" w:hAnsi="Arial"/>
          <w:sz w:val="17"/>
          <w:szCs w:val="17"/>
          <w:color w:val="auto"/>
        </w:rPr>
        <w:t xml:space="preserve">” means, with respect to any Refinancing Indebtedness, the principal amount (including interest paid in kind or otherwise capitalized to principal) and/or undrawn commitments, as applicable, of the Refinanced Indebtedness subject to refinancing with such Refinancing Indebtedness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the sum of (i) the amount of all accrued and unpaid interest on such Refinanced Indebtedness, (ii) the amount of any premiums (including tender premiums), make-whole amounts or penalties on such Refinanced Indebtedness, (iii) the amount of all fees (including any exit consent fees) on such Refinanced Indebtedness, (iv) the amount of all fees (including arrangement, commitment, structuring, underwriting, ticking, amendment, closing and other similar fees), commissions, costs, expenses and other amounts associated with such Refinancing Indebtedness and (v) the amount of all original issue discount and upfront fees associated with such Refinancing Indebtedness (“</w:t>
      </w:r>
      <w:r>
        <w:rPr>
          <w:rFonts w:ascii="Arial" w:cs="Arial" w:eastAsia="Arial" w:hAnsi="Arial"/>
          <w:sz w:val="17"/>
          <w:szCs w:val="17"/>
          <w:b w:val="1"/>
          <w:bCs w:val="1"/>
          <w:color w:val="auto"/>
        </w:rPr>
        <w:t>Refinancing Amount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to the extent on the date of such Permitted Refinancing the Borrower has capacity under the clause of Section 6.1 pursuant to which such Refinanced Indebtedness was initially incurred (or to which such Refinanced Indebtedness at such time has been classified, as applicable) to incur additional principal amount of the same type as the Refinanced Indebtedness (“</w:t>
      </w:r>
      <w:r>
        <w:rPr>
          <w:rFonts w:ascii="Arial" w:cs="Arial" w:eastAsia="Arial" w:hAnsi="Arial"/>
          <w:sz w:val="17"/>
          <w:szCs w:val="17"/>
          <w:b w:val="1"/>
          <w:bCs w:val="1"/>
          <w:color w:val="auto"/>
        </w:rPr>
        <w:t>Additional Incurrence Capacity</w:t>
      </w:r>
      <w:r>
        <w:rPr>
          <w:rFonts w:ascii="Arial" w:cs="Arial" w:eastAsia="Arial" w:hAnsi="Arial"/>
          <w:sz w:val="17"/>
          <w:szCs w:val="17"/>
          <w:color w:val="auto"/>
        </w:rPr>
        <w:t xml:space="preserve">”), then the Borrower and the Subsidiaries may incur Refinancing Indebtedness in an aggregate principal amount not to exceed the maximum Additional Incurrence Capacity if greater than the Refinancing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amount of Refinancing Indebtedness incurred in reliance on the Additional Incurrence Capacity will be considered to have been incurred under the clause of Section 6.1 pursuant to which such Refinanced Indebtedness was initially incurred (or to which such Refinanced Indebtedness at such time has been classified, as applicable).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as defined in the recitals hereto.</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Agreement Representations</w:t>
      </w:r>
      <w:r>
        <w:rPr>
          <w:rFonts w:ascii="Arial" w:cs="Arial" w:eastAsia="Arial" w:hAnsi="Arial"/>
          <w:sz w:val="16"/>
          <w:szCs w:val="16"/>
          <w:color w:val="auto"/>
        </w:rPr>
        <w:t>” means such of the representations and warranties made by (or with respect to) the Acquired Business in the Merger Agreement as are material to the interests of the Lenders in their capacities as such, but only to the extent the Borrower (or its applicable Affiliate) has the right (taking into account any applicable cure provisions and determined without regard to any notice requirement) to terminate its (or its Affiliate’s) obligations (or to refuse to consummate the Acquisition) under the Merger Agreement as a result of a breach of such representations.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as defined in the recitals hereto.</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MFN Adjustment</w:t>
      </w:r>
      <w:r>
        <w:rPr>
          <w:rFonts w:ascii="Arial" w:cs="Arial" w:eastAsia="Arial" w:hAnsi="Arial"/>
          <w:sz w:val="16"/>
          <w:szCs w:val="16"/>
          <w:color w:val="auto"/>
        </w:rPr>
        <w:t xml:space="preserve">” means, with respect to the incurrence of any MFN Eligible Debt, in the event that the All-In Yield applicable to such MFN Eligible Debt exceeds the All-In Yield of the Initial Term B Loans at the time of such incurrence by more than 50 basis points, then the interest rate margins for the Initial Term B Loans will automatically be increased on the date of incurrence of such MFN Eligible Debt to the extent necessary so that the All-In Yield of the Initial Term B Loans is equal to the All-In Yield of such MFN Eligible Debt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increase in All-In Yield of the Initial Term B Loans due to the increase in </w:t>
      </w:r>
      <w:r>
        <w:rPr>
          <w:rFonts w:ascii="Arial" w:cs="Arial" w:eastAsia="Arial" w:hAnsi="Arial"/>
          <w:sz w:val="16"/>
          <w:szCs w:val="16"/>
          <w:color w:val="FF0000"/>
          <w:strike w:val="1"/>
        </w:rPr>
        <w:t>a Eurodollar Rate</w:t>
      </w:r>
      <w:r>
        <w:rPr>
          <w:rFonts w:ascii="Arial" w:cs="Arial" w:eastAsia="Arial" w:hAnsi="Arial"/>
          <w:sz w:val="16"/>
          <w:szCs w:val="16"/>
          <w:u w:val="single" w:color="auto"/>
          <w:color w:val="0000FF"/>
        </w:rPr>
        <w:t>an Adjusted Term SOFR</w:t>
      </w:r>
      <w:r>
        <w:rPr>
          <w:rFonts w:ascii="Arial" w:cs="Arial" w:eastAsia="Arial" w:hAnsi="Arial"/>
          <w:sz w:val="16"/>
          <w:szCs w:val="16"/>
          <w:color w:val="auto"/>
        </w:rPr>
        <w:t xml:space="preserve"> or Base Rate floor on such MFN Eligible Debt will be effected solely through an increase in any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rPr>
        <w:t>Adjusted Term SOFR</w:t>
      </w:r>
      <w:r>
        <w:rPr>
          <w:rFonts w:ascii="Arial" w:cs="Arial" w:eastAsia="Arial" w:hAnsi="Arial"/>
          <w:sz w:val="16"/>
          <w:szCs w:val="16"/>
          <w:color w:val="auto"/>
        </w:rPr>
        <w:t xml:space="preserve"> or Base Rate floor, respectively, applicable to the Initial Term B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-168910</wp:posOffset>
            </wp:positionV>
            <wp:extent cx="11398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-31750</wp:posOffset>
            </wp:positionV>
            <wp:extent cx="9944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Eligible Debt</w:t>
      </w:r>
      <w:r>
        <w:rPr>
          <w:rFonts w:ascii="Arial" w:cs="Arial" w:eastAsia="Arial" w:hAnsi="Arial"/>
          <w:sz w:val="18"/>
          <w:szCs w:val="18"/>
          <w:color w:val="auto"/>
        </w:rPr>
        <w:t>” means any Indebtedness that is incurred following the Closing Date as Incremental Term Loans, Incremental Equivalent Debt or Permitted Ratio Debt that is, in each case, Pari Passu Lien Indebtedness in the form of term loans (but not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means Moody’s Investor Services, Inc., or any successor thereto.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other document creating a Lien on any Real Estate Asset or any direct interest in any Real Estate Asset, as applicable, made in favor of the Collateral Agent for the benefit of the Secured Parties in form reasonably acceptable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which is a “multiemployer plan” as defined in Section 3(37)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means The National Association of Insurance Commissioners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results of operations and financial condition of the Borrower and the Subsidiaries in the form prepared on a basis consistent with that included in the Borrower’s historical public filings prior to the Closing Date for the applicable Fiscal Quarter or Fiscal Year and for the period from the beginning of the Fiscal Year in which such Fiscal Quarter occurs to the end of such Fiscal Quarter.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Natural Person</w:t>
      </w:r>
      <w:r>
        <w:rPr>
          <w:rFonts w:ascii="Arial" w:cs="Arial" w:eastAsia="Arial" w:hAnsi="Arial"/>
          <w:sz w:val="18"/>
          <w:szCs w:val="18"/>
          <w:color w:val="auto"/>
        </w:rPr>
        <w:t>” means a natural person, or a holding company, investment vehicle or trust for, or owned and operated for the primary benefit of, a natural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229" w:lineRule="exact"/>
        <w:rPr>
          <w:sz w:val="20"/>
          <w:szCs w:val="20"/>
          <w:color w:val="auto"/>
        </w:rPr>
      </w:pPr>
    </w:p>
    <w:p>
      <w:pPr>
        <w:jc w:val="both"/>
        <w:ind w:firstLine="656"/>
        <w:spacing w:after="0" w:line="284" w:lineRule="auto"/>
        <w:tabs>
          <w:tab w:leader="none" w:pos="10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with respect to any Asset Sale subject to Section 2.14(a) or Casualty Event subject to Section 2.14(b), an amount equal to: (i) cash payments (including any cash received by way of release from escrow or deferred payment pursuant to, or by monetization of, a note receivable or otherwise, but only as and when so received) received by the Borrower or any Subsidiary from such Asset Sale or Casualty Event,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(ii) any bona fide direct costs incurred in connection with such Asset Sale or Casualty Event, including (A) Taxes payable in connection with such Asset Sale or Casualty Event (including taxes imposed on the distribution or repatriation of such Net Cash Proceeds), (B) payment of the outstanding principal amount of, premium or penalty, if any, interest and breakage costs on any Indebtedness (other than the Loans) that is secured by a Lien on the stock or assets in question (and, to the extent such stock or assets constitute Collateral, only if the Lien is senior to the Lien of the Agent) and that is required to be repaid under the terms thereof as a result of such Asset Sale or Casualty Event, (C) a reserve for any purchase price adjustment or indemnification payments (fixed or contingent) established in accordance with GAAP or attributable to seller’s indemnities and representations and warranties to purchaser in respect of such Asset Sale undertaken by the Borrower or any Subsidiary in connection with such Asset Sale, (D) the out-of-pocket expenses, costs and fees (including with respect to legal, investment banking, brokerage, advisor and accounting and other professional fees, sales commissions and disbursements, survey costs, title insurance premiums and related search and recording charges, transfer taxes and deed or mortgage recording taxes or following a Casualty Event, restoration costs) in each case actually incurred in connection with such Asset Sale or Casualty Event and payable to a Person that is not an Affiliate of the Borrower, (E) in the case of any Asset Sale or Casualty Event by a non-wholly-owned Subsidiary,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Net Cash Proceeds thereof attributable to minority interests and not available for distribution to or for the account of the Borrower or any other Subsidiary of the Borrower as a result thereof and (F) in the case of an Asset Sale, any reserve for adjustment in respect of (x) the sale price of such asset or assets established in accordance with GAAP and (y) any liabilities associated with such asset or assets and retained by the Borrower or any Subsidiary after such Asset Sale, including pension and other post-employment benefit liabilities and liabilities related to environmental matters or against any indemnification obligations associated with such Asset Sale, it being understood that “Net Cash Proceeds” shall include the amount of any reversal (without the satisfaction of any applicable liabilities in cash in a corresponding amount) of any reserve described in this subclause (F));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firstLine="656"/>
        <w:spacing w:after="0" w:line="257" w:lineRule="auto"/>
        <w:tabs>
          <w:tab w:leader="none" w:pos="10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the sale, incurrence or issuance of any Indebtedness by the Borrower or any Subsidiary, the excess, if any, of (A) the sum of all cash and Cash Equivalents received in connection with such incurrence or issuance, over (B) the sum of all Taxes paid or reasonably estimated to be payable as a result thereof, all fees (including investment banking fees, attorneys’ fees, accountants’ fees, underwriting fees and discounts), commissions, costs and other out-of-pocket expenses and all other customary expenses, in each case incurred by the Borrower or such Subsidiary in connection with such sale, incurrence or issuance.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as defined in Section 2.23.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Non-Credit Party</w:t>
      </w:r>
      <w:r>
        <w:rPr>
          <w:rFonts w:ascii="Arial" w:cs="Arial" w:eastAsia="Arial" w:hAnsi="Arial"/>
          <w:sz w:val="18"/>
          <w:szCs w:val="18"/>
          <w:color w:val="auto"/>
        </w:rPr>
        <w:t>” means any Subsidiary that is not a Credit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Non-U.S. Lender</w:t>
      </w:r>
      <w:r>
        <w:rPr>
          <w:rFonts w:ascii="Arial" w:cs="Arial" w:eastAsia="Arial" w:hAnsi="Arial"/>
          <w:sz w:val="17"/>
          <w:szCs w:val="17"/>
          <w:color w:val="auto"/>
        </w:rPr>
        <w:t>” means a Lender that is not a United States person as defined in Section 7701(a)(30) of the Internal Revenue Code.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Nonpublic Information</w:t>
      </w:r>
      <w:r>
        <w:rPr>
          <w:rFonts w:ascii="Arial" w:cs="Arial" w:eastAsia="Arial" w:hAnsi="Arial"/>
          <w:sz w:val="18"/>
          <w:szCs w:val="18"/>
          <w:color w:val="auto"/>
        </w:rPr>
        <w:t>” means material information with respect to the Borrower or any Subsidiary or their respective securities which has not been disseminated in a manner making it available to investors generally, within the meaning of Regulation FD.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means a Funding Notice or a Conversion/Continuation Notice.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obligations of every nature of each Credit Party from time to time owed to any Agent (including any former Agent), any Lender, any Indemnitee or any other Secured Party under any Credit Document, any obligations owed to any Secured Swap Provider under any Secured Rate Contract, or any obligations owed to any Bank Product Provider in respect of Bank Product Obligations under any Bank Product Agreement, in each case, whether for principal, premium, interest (including interest premiums, fees and other amounts incurred during the pendency of any bankruptcy, insolvency, receivership or similar proceeding, whether or not due and payable and whether or not allowed or allowable in such proceeding), fees, expenses, indemnification or otherwise. For the avoidance of doubt, “Obligations” will include obligations arising under any Incremental Term Loan or any Extended Term Loan.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Obligee Guarantor</w:t>
      </w:r>
      <w:r>
        <w:rPr>
          <w:rFonts w:ascii="Arial" w:cs="Arial" w:eastAsia="Arial" w:hAnsi="Arial"/>
          <w:sz w:val="18"/>
          <w:szCs w:val="18"/>
          <w:color w:val="auto"/>
        </w:rPr>
        <w:t>” as defined in Section 7.6.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Treasury’s Office of Foreign Assets Control.</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SDN List and/or any other list of terrorists or other restricted Persons maintained pursuant to any of the rules and regulations of OFAC or pursuant to any applicable executive orders.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Organizational Documents</w:t>
      </w:r>
      <w:r>
        <w:rPr>
          <w:rFonts w:ascii="Arial" w:cs="Arial" w:eastAsia="Arial" w:hAnsi="Arial"/>
          <w:sz w:val="17"/>
          <w:szCs w:val="17"/>
          <w:color w:val="auto"/>
        </w:rPr>
        <w:t>” 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articles of organization, as amended, and its operating agreement, as amended. In the event any term or condition of this Agreement or any other Credit Document requires any Organizational Document to be certified by a secretary of state or similar governmental official, the reference to any such “Organizational Document” will only be to a document of a type customarily certified by such governmental official.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imposed as a result of a present or former connection between a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imposed with respect to an assignment (other than an assignment made pursuant to Section 2.23).</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Lien Indebtedness</w:t>
      </w:r>
      <w:r>
        <w:rPr>
          <w:rFonts w:ascii="Arial" w:cs="Arial" w:eastAsia="Arial" w:hAnsi="Arial"/>
          <w:sz w:val="18"/>
          <w:szCs w:val="18"/>
          <w:color w:val="auto"/>
        </w:rPr>
        <w:t xml:space="preserve">” means any Indebtedness of any Credit Party that is secured by Liens on Collateral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priority with the Liens on Collateral that secure the Obligations.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Lien Intercreditor Agreement</w:t>
      </w:r>
      <w:r>
        <w:rPr>
          <w:rFonts w:ascii="Arial" w:cs="Arial" w:eastAsia="Arial" w:hAnsi="Arial"/>
          <w:sz w:val="18"/>
          <w:szCs w:val="18"/>
          <w:color w:val="auto"/>
        </w:rPr>
        <w:t>” means an intercreditor agreement among the Collateral Agent and one or more Debt Representatives for Pari Passu Lien Indebtedness permitted hereunder in form and substance reasonably acceptable to the Borrower, the Collateral Agent and the applicable Debt Representatives for such Pari Passu Lien Indebtedness.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as defined in Section 10.6(g).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Pass-Through Foreign Subsidiary Holding Company</w:t>
      </w:r>
      <w:r>
        <w:rPr>
          <w:rFonts w:ascii="Arial" w:cs="Arial" w:eastAsia="Arial" w:hAnsi="Arial"/>
          <w:sz w:val="18"/>
          <w:szCs w:val="18"/>
          <w:color w:val="auto"/>
        </w:rPr>
        <w:t>” as defined in the definition of “Excluded Foreign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 as amended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Office</w:t>
      </w:r>
      <w:r>
        <w:rPr>
          <w:rFonts w:ascii="Arial" w:cs="Arial" w:eastAsia="Arial" w:hAnsi="Arial"/>
          <w:sz w:val="18"/>
          <w:szCs w:val="18"/>
          <w:color w:val="auto"/>
        </w:rPr>
        <w:t>” means the office of the Administrative Agent set forth on Appendix B hereto, or such other office or Person as the Administrative Agent may hereafter designate in writing as such to the other parties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Benefit Plan, other than a Multiemployer Plan, which is subject to Section 412 of the Internal Revenue Code or Section 302 of ERISA. For the avoidance of doubt, the definition of Pension Plan does not include any Foreign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shall mean a certificate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any other form approved by the Administrative Agent, as the same shall be supplemented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Periodic Term SOFR Determination Day</w:t>
      </w:r>
      <w:r>
        <w:rPr>
          <w:rFonts w:ascii="Arial" w:cs="Arial" w:eastAsia="Arial" w:hAnsi="Arial"/>
          <w:sz w:val="18"/>
          <w:szCs w:val="18"/>
          <w:u w:val="single" w:color="auto"/>
          <w:color w:val="0000FF"/>
        </w:rPr>
        <w:t>” has the meaning set forth in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4869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means the purchase or other acquisition of property and assets or the business of any Person or of assets constituting a business unit, a line of business or division of such Person, a facility or Capital Stock in a Joint Venture or other Capital Stock in another Person that, upon the consummation thereof, will be a Subsidiary (including as a result of a merger or consolidation) or, in the case of a purchase or acquisition of assets (other than Capital Stock), will be owned by the Borrower and/or any one or more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69" w:lineRule="exact"/>
        <w:rPr>
          <w:sz w:val="20"/>
          <w:szCs w:val="20"/>
          <w:color w:val="auto"/>
        </w:rPr>
      </w:pPr>
    </w:p>
    <w:p>
      <w:pPr>
        <w:jc w:val="both"/>
        <w:ind w:firstLine="656"/>
        <w:spacing w:after="0" w:line="263" w:lineRule="auto"/>
        <w:tabs>
          <w:tab w:leader="none" w:pos="1061"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the provisions of Section 1.5 to the extent an LCA Election has been made with respect to such acquisition, immediately prior to and after giving effect thereto, no Default or Event of Default (other than with respect to a Limited Condition Acquisition, which shall be subject only to the absence of an Event of Default pursuant to Section 8.1(a), (f) or (g)) has occurred and is continuing;</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Person, assets or division acquired are in the same business as the Business engaged in by the Borrower and the Subsidiaries on the Closing Date, after giving effect to the Transactions, or other similar, ancillary or related, or reasonable or logical extensions of such, Business or otherwise constitutes a business permitted under Section 6.10; and</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0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the extent any acquired Person is required to become a Guarantor, the Borrower takes all actions required by Sections 5.10 and 5.11, as applicable, within the time periods specified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and the Guarantor Subsidiaries shall not make Permitted Acquisitions of Persons that do not become Guarantor Subsidiaries (or pay for the purchase of assets that are acquired directly by Non-Credit Parties) for aggregate consideration, together with any Investments made in reliance on the proviso in Section 6.6(b) (in each case determined as of the date of making any such Investment, and after giving effect to clause (1) in the last paragraph of Section 6.6), in excess of the greater of (i) $50,000,000 and (ii) an amount equal to 30% of LTM Consolidated Adjusted EBITDA.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as defined in Section 6.2.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Ratio Debt</w:t>
      </w:r>
      <w:r>
        <w:rPr>
          <w:rFonts w:ascii="Arial" w:cs="Arial" w:eastAsia="Arial" w:hAnsi="Arial"/>
          <w:sz w:val="18"/>
          <w:szCs w:val="18"/>
          <w:color w:val="auto"/>
        </w:rPr>
        <w:t xml:space="preserve">” means Indebtedness of the Borrower and/or any one or more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9" w:lineRule="exact"/>
        <w:rPr>
          <w:sz w:val="20"/>
          <w:szCs w:val="20"/>
          <w:color w:val="auto"/>
        </w:rPr>
      </w:pPr>
    </w:p>
    <w:p>
      <w:pPr>
        <w:jc w:val="both"/>
        <w:ind w:firstLine="656"/>
        <w:spacing w:after="0" w:line="279" w:lineRule="auto"/>
        <w:tabs>
          <w:tab w:leader="none" w:pos="11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the provisions of Section 1.5 to the extent an LCA Election has been made with respect to a Permitted Acquisition or other permitted Investment to be funded with the proceeds of such Indebtedness, immediately before and after giving effect thereto and to the use of the proceeds thereof no Default or Event of Default (other than with respect to a Limited Condition Acquisition, which shall be subject only to the absence of an Event of Default pursuant to Section 8.1(a), (f) or (g)) has occurred and is continuing or would result therefrom;</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1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immediately after giving effect to the issuance, incurrence, or assumption of such Indebtedness and excluding the cash proceeds to the Borrower or any Subsidiary therefrom that are actually applied or intended to be applied to a particular use or transaction as of the date of incurrence thereof (but otherwise giving effect to the use of such proceeds so applied or intended to be applied):</w:t>
      </w:r>
    </w:p>
    <w:p>
      <w:pPr>
        <w:spacing w:after="0" w:line="183" w:lineRule="exact"/>
        <w:rPr>
          <w:rFonts w:ascii="Arial" w:cs="Arial" w:eastAsia="Arial" w:hAnsi="Arial"/>
          <w:sz w:val="18"/>
          <w:szCs w:val="18"/>
          <w:color w:val="auto"/>
        </w:rPr>
      </w:pPr>
    </w:p>
    <w:p>
      <w:pPr>
        <w:ind w:firstLine="1142"/>
        <w:spacing w:after="0" w:line="277" w:lineRule="auto"/>
        <w:tabs>
          <w:tab w:leader="none" w:pos="14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 respect to any Permitted Ratio Debt to be incurred as Pari Passu Lien Indebtedness, the First Lien Net Leverage Ratio being equal to or less than 1.82:1.00; and</w:t>
      </w:r>
    </w:p>
    <w:p>
      <w:pPr>
        <w:spacing w:after="0" w:line="170" w:lineRule="exact"/>
        <w:rPr>
          <w:rFonts w:ascii="Arial" w:cs="Arial" w:eastAsia="Arial" w:hAnsi="Arial"/>
          <w:sz w:val="18"/>
          <w:szCs w:val="18"/>
          <w:color w:val="auto"/>
        </w:rPr>
      </w:pPr>
    </w:p>
    <w:p>
      <w:pPr>
        <w:ind w:firstLine="1142"/>
        <w:spacing w:after="0" w:line="277" w:lineRule="auto"/>
        <w:tabs>
          <w:tab w:leader="none" w:pos="16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with respect to any Permitted Ratio Debt to be incurred as Junior Lien Indebtedness or unsecured Indebtedness, the Total Net Leverage Ratio being equal to or less than 3.50:1.00;</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0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that such Indebtedness is incurred by a Credit Party, such Indebtedness will not mature prior to the Latest Term Loan Maturity Date with respect to any Class of Term Loans then outstanding, or have a shorter Weighted Average Life to Maturity than the remaining Weighted Average Life to Maturity of any Class of Term Loans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Permitted Ratio Debt may be incurred in the form of a bridge or other interim credit facility intended to be refinanced or replaced with long term indebtedness, so long as such credit facility includes customary “rollover provisions” that satisfy the requirements of this clause (c) following such rollover, in which case, on or prior to the first anniversary of the incurrence of such “bridge” or other credit facility, such clause (c) shall not prohibit the inclusion of customary terms for “bridge” facilities, including customary mandatory prepayment, redemption or repurchase provisions);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firstLine="656"/>
        <w:spacing w:after="0" w:line="289" w:lineRule="auto"/>
        <w:tabs>
          <w:tab w:leader="none" w:pos="105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if such Indebtedness is (i) Pari Passu Lien Indebtedness, then (x) a Debt Representative acting on behalf of the holders of such Indebtedness has become party to or is otherwise subject to the provisions of a Pari Passu Lien Intercreditor Agreement and (y) any mandatory prepayments of any such Permitted Ratio Debt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compared to any Class of Term Loans constituting Pari Passu Lien Indebtedness with an earlier or equivalent maturity date (other than pursuant to a permitted refinancing)) with mandatory prepayments of the then-outstanding Term Loans (other than Term C Loans), (ii) Junior Lien Indebtedness, then a Debt Representative, acting on behalf of the holders of such Indebtedness, has become party to or is otherwise subject to the provisions of a Junior Lien Intercreditor Agreement and (iii) Junior Lien Indebtedness or unsecured, then such Permitted Ratio Debt may not participate in any mandatory prepayments, except to the extent that such prepayments are offered, to the extent required under this Agreement or any Pari Passu Lien Indebtedness, first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to the Term Loans (other than Term C Loans) and any applicable Pari Passu Lien Indebtedness; and</w:t>
      </w:r>
    </w:p>
    <w:p>
      <w:pPr>
        <w:spacing w:after="0" w:line="166" w:lineRule="exact"/>
        <w:rPr>
          <w:rFonts w:ascii="Arial" w:cs="Arial" w:eastAsia="Arial" w:hAnsi="Arial"/>
          <w:sz w:val="16"/>
          <w:szCs w:val="16"/>
          <w:color w:val="auto"/>
        </w:rPr>
      </w:pPr>
    </w:p>
    <w:p>
      <w:pPr>
        <w:ind w:firstLine="656"/>
        <w:spacing w:after="0" w:line="342" w:lineRule="auto"/>
        <w:tabs>
          <w:tab w:leader="none" w:pos="10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interest rate, fees, and original issue discount for any Indebtedness will be as determined by the Borrower and the Persons providing such Incremental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MFN Adjustment will apply to any such Indebtedness that constitutes MFN Eligible Debt; and</w:t>
      </w:r>
    </w:p>
    <w:p>
      <w:pPr>
        <w:spacing w:after="0" w:line="123" w:lineRule="exact"/>
        <w:rPr>
          <w:rFonts w:ascii="Arial" w:cs="Arial" w:eastAsia="Arial" w:hAnsi="Arial"/>
          <w:sz w:val="16"/>
          <w:szCs w:val="16"/>
          <w:color w:val="auto"/>
        </w:rPr>
      </w:pPr>
    </w:p>
    <w:p>
      <w:pPr>
        <w:jc w:val="both"/>
        <w:ind w:firstLine="656"/>
        <w:spacing w:after="0" w:line="271" w:lineRule="auto"/>
        <w:tabs>
          <w:tab w:leader="none" w:pos="1061"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other terms applicable to such Indebtedness are substantially identical to, or (taken as a whole as determined by the Borrower in good faith) no more favorable to the lenders or holders providing such Permitted Ratio Debt than, those applicable to the Initial Term B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(f) will not apply to (1) interest rate, fees, funding discounts and other pricing terms, (2) redemption, prepayment or other premiums, (3) optional prepayment terms, and (4) covenants and other terms that are (i) applied to the Term Loans (other than Term C Loans) existing at the time of incurrence of such Permitted Ratio Debt (so that existing Lenders also receive the benefit of such provisions) and/or (ii) applicable only to periods after the Latest Term Loan Maturity Date at the time of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a certificate of the Borrower delivered to the Administrative Agent stating that the Borrower has reasonably determined in good faith that the terms and conditions satisfy the foregoing requirement shall be conclusive evidence that such terms and conditions satisfy the foregoing requirement.</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means, with respect to any specified Indebtedness of any Person (“</w:t>
      </w:r>
      <w:r>
        <w:rPr>
          <w:rFonts w:ascii="Arial" w:cs="Arial" w:eastAsia="Arial" w:hAnsi="Arial"/>
          <w:sz w:val="16"/>
          <w:szCs w:val="16"/>
          <w:b w:val="1"/>
          <w:bCs w:val="1"/>
          <w:color w:val="auto"/>
        </w:rPr>
        <w:t>Refinanced Indebtedness</w:t>
      </w:r>
      <w:r>
        <w:rPr>
          <w:rFonts w:ascii="Arial" w:cs="Arial" w:eastAsia="Arial" w:hAnsi="Arial"/>
          <w:sz w:val="16"/>
          <w:szCs w:val="16"/>
          <w:color w:val="auto"/>
        </w:rPr>
        <w:t>”), any modification, refinancing, refunding, replacement, renewal, extension, defeasance or discharge (the Indebtedness incurred to effect such modification, refinancing, refunding, replacement, renewal, extension, defeasance or discharge,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of such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46" w:lineRule="exact"/>
        <w:rPr>
          <w:sz w:val="20"/>
          <w:szCs w:val="20"/>
          <w:color w:val="auto"/>
        </w:rPr>
      </w:pPr>
    </w:p>
    <w:p>
      <w:pPr>
        <w:jc w:val="both"/>
        <w:ind w:firstLine="656"/>
        <w:spacing w:after="0" w:line="259" w:lineRule="auto"/>
        <w:tabs>
          <w:tab w:leader="none" w:pos="11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principal amount (and/or undrawn commitments, as applicable) of such Refinancing Indebtedness is not greater than the Maximum Refinancing Amount (it being understood, however, the foregoing limitation should not be construed to limit the incurrence of additional Indebtedness permitted by a separate clause of Section 6.1 that is incurred concurrently with, and governed by the same documentation as, such Refinancing Indebtedness);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6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with respect to Indebtedness of the Borrower and the Subsidiaries incurred pursuant to Section 6.1(c), (d), (k), (r)(i), or (v), has (x) a scheduled final maturity that is no sooner than the scheduled final maturity date of such Refinanced Indebtedness (or, if sooner, no earlier than the date that is 91 days after the Latest Term Loan Maturity Date) and (y) a Weighted Average Life to Maturity that is no shorter than the remaining Weighted Average Life to Maturity of such Refinanced Indebtedness;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jc w:val="both"/>
        <w:ind w:firstLine="656"/>
        <w:spacing w:after="0" w:line="311" w:lineRule="auto"/>
        <w:tabs>
          <w:tab w:leader="none" w:pos="10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only obligors in respect of such Refinancing Indebtedness are the obligors on such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Permitted Refinancing that occurs in connection with a Permitted Acquisition or other Investment permitted pursuant to Section 6.6, additional Persons that are created or acquired as part of such Permitted Acquisition or Investment may be added as obligors to the Refinancing Indebtedness;</w:t>
      </w:r>
    </w:p>
    <w:p>
      <w:pPr>
        <w:spacing w:after="0" w:line="148" w:lineRule="exact"/>
        <w:rPr>
          <w:rFonts w:ascii="Arial" w:cs="Arial" w:eastAsia="Arial" w:hAnsi="Arial"/>
          <w:sz w:val="16"/>
          <w:szCs w:val="16"/>
          <w:color w:val="auto"/>
        </w:rPr>
      </w:pPr>
    </w:p>
    <w:p>
      <w:pPr>
        <w:jc w:val="both"/>
        <w:ind w:firstLine="656"/>
        <w:spacing w:after="0" w:line="273" w:lineRule="auto"/>
        <w:tabs>
          <w:tab w:leader="none" w:pos="10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other terms applicable to such new Indebtedness are substantially identical to, or (taken as a whole as determined by the Borrower in good faith) no more favorable to the lenders or holders providing such Indebtedness than, those applicable to such Refinanced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(d) will not apply to (i) interest rate, fees, funding discounts and other pricing terms, (ii) redemption, prepayment or other premiums, (iii) optional prepayment terms, and (iv) covenants and other terms that are (A) applied to the Term Loans (other than Term C Loans) existing at the time of incurrence of such Refinancing Indebtedness (so that existing Lenders also receive the benefit of such provisions) and/or (B) applicable only to periods after the Latest Term Loan Maturity Date at the time of incurrence of such Indebtedness;</w:t>
      </w:r>
    </w:p>
    <w:p>
      <w:pPr>
        <w:spacing w:after="0" w:line="177" w:lineRule="exact"/>
        <w:rPr>
          <w:rFonts w:ascii="Arial" w:cs="Arial" w:eastAsia="Arial" w:hAnsi="Arial"/>
          <w:sz w:val="17"/>
          <w:szCs w:val="17"/>
          <w:color w:val="auto"/>
        </w:rPr>
      </w:pPr>
    </w:p>
    <w:p>
      <w:pPr>
        <w:ind w:left="1040" w:hanging="384"/>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such Refinanced Indebtedness is Subordinated Debt, such Refinancing Indebtedness is Subordinated Debt; and</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1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to the extent such Refinanced Indebtedness is secured by Liens on any property or assets of the Borrower or any Subsidiary, such Refinancing Indebtedness is (i) unsecured, (ii) secured by Liens on property and assets that are not Collateral, or (iii) secured by Liens on Collateral;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(x) if such Refinanced Indebtedness is Junior Lien Indebtedness, the Refinancing Indebtedness is also Junior Lien Indebtedness on</w:t>
      </w:r>
      <w:r>
        <w:rPr>
          <w:rFonts w:ascii="Arial" w:cs="Arial" w:eastAsia="Arial" w:hAnsi="Arial"/>
          <w:sz w:val="17"/>
          <w:szCs w:val="17"/>
          <w:i w:val="1"/>
          <w:iCs w:val="1"/>
          <w:color w:val="auto"/>
        </w:rPr>
        <w:t xml:space="preserve"> </w:t>
      </w:r>
      <w:r>
        <w:rPr>
          <w:rFonts w:ascii="Arial" w:cs="Arial" w:eastAsia="Arial" w:hAnsi="Arial"/>
          <w:sz w:val="17"/>
          <w:szCs w:val="17"/>
          <w:color w:val="auto"/>
        </w:rPr>
        <w:t>intercreditor terms at least as favorable to the Lenders as those contained in the intercreditor documentation governing the Refinanced Indebtedness or is unsecured and (y) if such Refinanced Indebtedness is Pari Passu Lien Indebtedness, the Refinancing Indebtedness is either Pari Passu Lien Indebtedness or Junior Lien Indebtedness, in either case on intercreditor terms at least as favorable to the Lenders as those contained in the intercreditor documentation governing the Refinanced Indebtedness (as reasonably determined by the Borrower in good faith) or is unsecured;</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(x) in the case of clauses (d), (e) and (f) of this definition, a certificate of the Borrower delivered to the Administrative Agent stating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Borrower has reasonably determined in good faith that the terms and conditions satisfy the foregoing requirement shall be conclusive evidence that such terms and conditions satisfy the foregoing requirement and (y) Refinancing Indebtedness may be incurred in the form of a bridge or other interim credit facility intended to be refinanced with long-term indebtedness (and such bridge or other interim credit facility shall be deemed to satisfy clause (b) of this definition so long as (I) such credit facility includes customary “rollover” provisions and (II) assuming such credit facility were to be extended pursuant to such “rollover” provisions, such extended credit facility would comply with clause (b) of this definition).</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Restructuring Transactions</w:t>
      </w:r>
      <w:r>
        <w:rPr>
          <w:rFonts w:ascii="Arial" w:cs="Arial" w:eastAsia="Arial" w:hAnsi="Arial"/>
          <w:sz w:val="17"/>
          <w:szCs w:val="17"/>
          <w:color w:val="auto"/>
        </w:rPr>
        <w:t xml:space="preserve">” means, collectively, any dividends and distributions (other than dividends and distributions paid or made directly or indirectly by the Borrower) or intercompany dispositions, transfers or Investments undertaken concurrently with, or within the 24-month period following, the consummation of the Acquisition, in order to achieve synergies or tax efficiencies related to the Acquisition and integration thereof (as reasonably determined by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transactions shall (i) individually or in the aggregate, materially and adversely impact the interest of Secured Parties in the Collateral or (ii) result in the disposition, transfer or migration of assets owned by a Credit Party (including Intellectual Property (it being understood that intercompany licenses and sub-licenses of Intellectual Property shall be permitted) but excluding Capital Stock of Persons that are not Credit Parties) to a Person that is not a Credit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as defined in Section 5.1(o).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and Security Agreement</w:t>
      </w:r>
      <w:r>
        <w:rPr>
          <w:rFonts w:ascii="Arial" w:cs="Arial" w:eastAsia="Arial" w:hAnsi="Arial"/>
          <w:sz w:val="18"/>
          <w:szCs w:val="18"/>
          <w:color w:val="auto"/>
        </w:rPr>
        <w:t xml:space="preserve">” means the Pledge and Security Agreement to be executed by the Borrower and each Guarantor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w:t>
      </w:r>
      <w:r>
        <w:rPr>
          <w:rFonts w:ascii="Arial" w:cs="Arial" w:eastAsia="Arial" w:hAnsi="Arial"/>
          <w:sz w:val="18"/>
          <w:szCs w:val="18"/>
          <w:color w:val="auto"/>
        </w:rPr>
        <w:t>” or “</w:t>
      </w:r>
      <w:r>
        <w:rPr>
          <w:rFonts w:ascii="Arial" w:cs="Arial" w:eastAsia="Arial" w:hAnsi="Arial"/>
          <w:sz w:val="18"/>
          <w:szCs w:val="18"/>
          <w:b w:val="1"/>
          <w:bCs w:val="1"/>
          <w:color w:val="auto"/>
        </w:rPr>
        <w:t>Pro Forma Basis</w:t>
      </w:r>
      <w:r>
        <w:rPr>
          <w:rFonts w:ascii="Arial" w:cs="Arial" w:eastAsia="Arial" w:hAnsi="Arial"/>
          <w:sz w:val="18"/>
          <w:szCs w:val="18"/>
          <w:color w:val="auto"/>
        </w:rPr>
        <w:t>” means, with respect to the calculation of the First Lien Net Leverage Ratio, the Total Net Leverage Ratio or for any other pro forma calculation called for by this Agreement to be made Pro Forma or on a Pro Forma Basis, as of any time, that pro forma effect will be given to the Transactions, any Permitted Acquisition, or any other Specified Transaction (including any such transaction prior to the Closing Date), as follows:</w:t>
      </w:r>
    </w:p>
    <w:p>
      <w:pPr>
        <w:spacing w:after="0" w:line="184" w:lineRule="exact"/>
        <w:rPr>
          <w:sz w:val="20"/>
          <w:szCs w:val="20"/>
          <w:color w:val="auto"/>
        </w:rPr>
      </w:pPr>
    </w:p>
    <w:p>
      <w:pPr>
        <w:jc w:val="both"/>
        <w:ind w:firstLine="656"/>
        <w:spacing w:after="0" w:line="263" w:lineRule="auto"/>
        <w:tabs>
          <w:tab w:leader="none" w:pos="10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any incurrence, assumption, guarantee, redemption or permanent repayment of Indebtedness, such ratio will be calculated giving pro forma effect thereto as if such incurrence, assumption, guarantee, redemption or permanent repayment of Indebtedness had occurred on the first day of such Test Period;</w:t>
      </w:r>
    </w:p>
    <w:p>
      <w:pPr>
        <w:spacing w:after="0" w:line="183" w:lineRule="exact"/>
        <w:rPr>
          <w:rFonts w:ascii="Arial" w:cs="Arial" w:eastAsia="Arial" w:hAnsi="Arial"/>
          <w:sz w:val="18"/>
          <w:szCs w:val="18"/>
          <w:color w:val="auto"/>
        </w:rPr>
      </w:pPr>
    </w:p>
    <w:p>
      <w:pPr>
        <w:jc w:val="both"/>
        <w:ind w:firstLine="656"/>
        <w:spacing w:after="0" w:line="289" w:lineRule="auto"/>
        <w:tabs>
          <w:tab w:leader="none" w:pos="1127"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 respect to the Transactions, acquisitions prior to the Closing Date, any Permitted Acquisition or other permitted Investment or the redesignation of an Unrestricted Subsidiary, such ratio or other calculation will be calculated giving pro forma effect thereto as if such action occurred on the first day of such Test Period in a manner consistent, where applicable, with the pro forma adjustments (along with the limitations pertaining thereto) set forth in the definition of “Consolidated Adjusted EBITDA” (including for the amount of “run-rate” cost savings, operating expense reductions and synergies projected by the Borrower in good faith to result from (A) actions taken, (B) actions relating to any acquisition, disposition or operational change committed to be taken or expected to be taken no later than 24 months after the end of such acquisition, disposition or operational change and (C) actions related to the Transactions and acquisitions that occurred prior to the Closing Date reasonably expected to be taken no later than 24 months after the Closing Date, in each case, which cost savings, operating expense reductions and synergies will be calculated as though such cost savings, operating expense reductions and synergies had been realized on the first day of the Test Period for which Consolidated Adjusted EBITDA is being determined);</w:t>
      </w:r>
    </w:p>
    <w:p>
      <w:pPr>
        <w:spacing w:after="0" w:line="166" w:lineRule="exact"/>
        <w:rPr>
          <w:rFonts w:ascii="Arial" w:cs="Arial" w:eastAsia="Arial" w:hAnsi="Arial"/>
          <w:sz w:val="16"/>
          <w:szCs w:val="16"/>
          <w:color w:val="auto"/>
        </w:rPr>
      </w:pPr>
    </w:p>
    <w:p>
      <w:pPr>
        <w:ind w:firstLine="656"/>
        <w:spacing w:after="0" w:line="277" w:lineRule="auto"/>
        <w:tabs>
          <w:tab w:leader="none" w:pos="11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any merger, sale, transfer or other disposition, and the designation of an “Unrestricted Subsidiary”, such ratio will be calculated giving pro forma effect thereto as if such action had occurred on the first day of such Test Period; and</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0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Indebtedness assumed to be outstanding pursuant to preceding clause (a) shall be deemed to have borne interest at (i) in the case of fixed rate indebtedness, the rate applicable thereto, or (ii) in the case of floating rate Indebtedness, (x) with respect to any portion of the relevant Test Period that such Indebtedness was outstanding, the actual rates applicable thereto and (y) with respect to any portion of the relevant Test Period that such Indebtedness was not in fact outstanding (or if such Indebtedness was not outstanding at any time during the relevant Test Period), the rate applicable thereto as of the applicable date of determination as if such rate had been the applicable rate for such portion of the Test Period (or the entire Test Period), in any such case under this clause (ii), after giving effect to the operation of any Rate Contracts applicable to such floating rate Indebtedness.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Notwithstanding the foregoing, for purposes of the calculation of (x) the Total Net Leverage Ratio as used in the determination of the Asset Sale Sweep Percentage and (y) the First Lien Net Leverage Ratio as used in the determination of the ECF Percentage pursuant to Section 2.14(d) in each case, such calculation shall be made on the last day of the applicable Test Period (or, in the case of the ECF Percentage, the last day of the applicable Fiscal Year), and no Pro Forma effect shall be given to any Specified Transaction that is consummated after the last day of such Test Period (or such Fiscal Year, as applicable).</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means (a) with respect to all payments, computations and other matters relating to the Initial Term B Loan of any Lender, the percentage obtained by dividing (i) the Initial Term B Loan Exposure of that Lender by (ii) the aggregate Initial Term B Loan Exposure of all of the Lenders; (b) with respect to all payments, computations and other matters relating to the Term C Loan of any Lender, the percentage obtained by dividing</w:t>
      </w:r>
    </w:p>
    <w:p>
      <w:pPr>
        <w:spacing w:after="0" w:line="2" w:lineRule="exact"/>
        <w:rPr>
          <w:sz w:val="20"/>
          <w:szCs w:val="20"/>
          <w:color w:val="auto"/>
        </w:rPr>
      </w:pPr>
    </w:p>
    <w:p>
      <w:pPr>
        <w:jc w:val="both"/>
        <w:ind w:firstLine="8"/>
        <w:spacing w:after="0" w:line="267" w:lineRule="auto"/>
        <w:tabs>
          <w:tab w:leader="none" w:pos="2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Term C Loan Exposure of that Lender by (ii) the aggregate Term C Loan Exposure of all of the Lenders; (c) with respect to all payments, computations and other matters relating to the Incremental Term Loan of any Lender, the percentage obtained by dividing (i) the Incremental Term Loan Exposure of that Lender by (ii) the aggregate Incremental Term Loan Exposure of all of the Lenders; (d) with respect to all payments, computations and other matters relating to the Extended Term Loan of any Lender, the percentage obtained by dividing (i) the Term Loan Exposure of that Lender arising from Extended Term Loans of such Lender by (ii) the aggregate Term Loan Exposure of all of the Lenders arising from the Extended Term Loans; (e) with respect to all payments, computations and other matters relating to the Refinancing Term Loan of any Lender, the percentage obtained by dividing (i) the Term Loan Exposure of that Lender arising from Refinancing Term Loans of such Lender by (ii) the aggregate Term Loan Exposure of all of the Lenders arising from the Refinancing Term Loans; and (f) with respect to all payments, computations and other matters relating to the Incremental Revolving Credit Commitment or Incremental Revolving Loans of any Lender, the percentage obtained by dividing (i) the Incremental Revolving Loan Exposure of that Lender by (ii) the aggregate Incremental Revolving Loan Exposure of all of the Lenders. For all other purposes with respect to each Lender, “</w:t>
      </w:r>
      <w:r>
        <w:rPr>
          <w:rFonts w:ascii="Arial" w:cs="Arial" w:eastAsia="Arial" w:hAnsi="Arial"/>
          <w:sz w:val="17"/>
          <w:szCs w:val="17"/>
          <w:b w:val="1"/>
          <w:bCs w:val="1"/>
          <w:color w:val="auto"/>
        </w:rPr>
        <w:t>Pro Rata</w:t>
      </w:r>
      <w:r>
        <w:rPr>
          <w:rFonts w:ascii="Arial" w:cs="Arial" w:eastAsia="Arial" w:hAnsi="Arial"/>
          <w:sz w:val="17"/>
          <w:szCs w:val="17"/>
          <w:color w:val="auto"/>
        </w:rPr>
        <w:t xml:space="preserve"> </w:t>
      </w:r>
      <w:r>
        <w:rPr>
          <w:rFonts w:ascii="Arial" w:cs="Arial" w:eastAsia="Arial" w:hAnsi="Arial"/>
          <w:sz w:val="17"/>
          <w:szCs w:val="17"/>
          <w:b w:val="1"/>
          <w:bCs w:val="1"/>
          <w:color w:val="auto"/>
        </w:rPr>
        <w:t>Share</w:t>
      </w:r>
      <w:r>
        <w:rPr>
          <w:rFonts w:ascii="Arial" w:cs="Arial" w:eastAsia="Arial" w:hAnsi="Arial"/>
          <w:sz w:val="17"/>
          <w:szCs w:val="17"/>
          <w:color w:val="auto"/>
        </w:rPr>
        <w:t>” means the percentage obtained by dividing (A) an amount equal to the sum of the Term Loan Exposure and the Incremental Revolving Loan</w:t>
      </w:r>
      <w:r>
        <w:rPr>
          <w:rFonts w:ascii="Arial" w:cs="Arial" w:eastAsia="Arial" w:hAnsi="Arial"/>
          <w:sz w:val="17"/>
          <w:szCs w:val="17"/>
          <w:b w:val="1"/>
          <w:bCs w:val="1"/>
          <w:color w:val="auto"/>
        </w:rPr>
        <w:t xml:space="preserve"> </w:t>
      </w:r>
      <w:r>
        <w:rPr>
          <w:rFonts w:ascii="Arial" w:cs="Arial" w:eastAsia="Arial" w:hAnsi="Arial"/>
          <w:sz w:val="17"/>
          <w:szCs w:val="17"/>
          <w:color w:val="auto"/>
        </w:rPr>
        <w:t>Exposure of that Lender, by (B) an amount equal to the sum of the aggregate Term Loan Exposure and the aggregate Incremental Revolving Loan Exposure of all of the Lenders.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as defined in Section 4.6.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as defined in Section 5.1(o).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Indebtedness</w:t>
      </w:r>
      <w:r>
        <w:rPr>
          <w:rFonts w:ascii="Arial" w:cs="Arial" w:eastAsia="Arial" w:hAnsi="Arial"/>
          <w:sz w:val="18"/>
          <w:szCs w:val="18"/>
          <w:color w:val="auto"/>
        </w:rPr>
        <w:t>” means Indebtedness of the Borrower or any Subsidiary incurred for the purpose of financing all or any part of the purchase price or cost of acquisition, repair, construction or improvement of property or assets used or useful in the business of the Borrower and the Subsidiaries, taken as a whole.</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means, in respect of any Swap Obligation, each Credit Party that has assets exceeding $10,000,000 at the time the relevant Guaranty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 Loans</w:t>
      </w:r>
      <w:r>
        <w:rPr>
          <w:rFonts w:ascii="Arial" w:cs="Arial" w:eastAsia="Arial" w:hAnsi="Arial"/>
          <w:sz w:val="18"/>
          <w:szCs w:val="18"/>
          <w:color w:val="auto"/>
        </w:rPr>
        <w:t>” as defined in Section 2.25(c).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Rate Contracts</w:t>
      </w:r>
      <w:r>
        <w:rPr>
          <w:rFonts w:ascii="Arial" w:cs="Arial" w:eastAsia="Arial" w:hAnsi="Arial"/>
          <w:sz w:val="16"/>
          <w:szCs w:val="16"/>
          <w:color w:val="auto"/>
        </w:rPr>
        <w:t>” means (a) any and all rate swap transactions, basis swaps, credit derivative transactions, forward rate transactions, interest rate options, commodity swaps, commodity options, forward commodity contracts, equity or equity index swaps or options, bond or bond price or bond index swaps or options or forward bond or forward bond price or forward bond index transactions, forward foreign exchange transactions, currency swap transactions, cross-currency rate swap transactions, currency options, derivative transactions, insurance transactions, cap transactions, floor transactions, collar transactions, spot contracts, or any other similar transactions or any combination of any of the foregoing whether relating to interest rates, commodities, investments, securities, currencies or any other reference measure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 Asset</w:t>
      </w:r>
      <w:r>
        <w:rPr>
          <w:rFonts w:ascii="Arial" w:cs="Arial" w:eastAsia="Arial" w:hAnsi="Arial"/>
          <w:sz w:val="18"/>
          <w:szCs w:val="18"/>
          <w:color w:val="auto"/>
        </w:rPr>
        <w:t>” means, at any time of determination, any direct interest (fee, leasehold or otherwise) then owned by any Credit Party in any real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or (b) any Lender,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Indebtedness</w:t>
      </w:r>
      <w:r>
        <w:rPr>
          <w:rFonts w:ascii="Arial" w:cs="Arial" w:eastAsia="Arial" w:hAnsi="Arial"/>
          <w:sz w:val="18"/>
          <w:szCs w:val="18"/>
          <w:color w:val="auto"/>
        </w:rPr>
        <w:t>” means, (a) with respect to any Credit Agreement Refinancing Indebtedness, as defined in the definition thereof, (b) with respect to any Permitted Refinancing, as defined in the definition thereof and (c) with respect to any other refinancing, the obligations being refinanced.</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means an amendment to this Agreement in form and substance reasonably satisfactory to the Administrative Agent and the Borrower executed by each of (a) the Borrower, (b) the Administrative Agent and (c) each Additional Lender and Lender that agrees to provide any portion of the Credit Agreement Refinancing Indebtedness being incurred pursuant thereto, in accordance with Section 2.26.</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means, (a) with respect to any Term Loans, Credit Agreement Refinancing Indebtedness, (b) with respect to any Permitted Refinancing, as defined in the definition thereof and (c) with respect to any other refinancing, the new obligations being incurred the proceeds of which will be used to refinance other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Commitments</w:t>
      </w:r>
      <w:r>
        <w:rPr>
          <w:rFonts w:ascii="Arial" w:cs="Arial" w:eastAsia="Arial" w:hAnsi="Arial"/>
          <w:sz w:val="18"/>
          <w:szCs w:val="18"/>
          <w:color w:val="auto"/>
        </w:rPr>
        <w:t>” means one or more Classes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Loans</w:t>
      </w:r>
      <w:r>
        <w:rPr>
          <w:rFonts w:ascii="Arial" w:cs="Arial" w:eastAsia="Arial" w:hAnsi="Arial"/>
          <w:sz w:val="18"/>
          <w:szCs w:val="18"/>
          <w:color w:val="auto"/>
        </w:rPr>
        <w:t>” means one or more Classes of Term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as defined in Section 2.7(b).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means Regulation D of the Board of Governors, as in effect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FD</w:t>
      </w:r>
      <w:r>
        <w:rPr>
          <w:rFonts w:ascii="Arial" w:cs="Arial" w:eastAsia="Arial" w:hAnsi="Arial"/>
          <w:sz w:val="18"/>
          <w:szCs w:val="18"/>
          <w:color w:val="auto"/>
        </w:rPr>
        <w:t>” means Regulation FD as promulgated by the U.S. Securities and Exchange Commission under the Securities Act and Exchange Act as in effect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w:t>
      </w:r>
      <w:r>
        <w:rPr>
          <w:rFonts w:ascii="Arial" w:cs="Arial" w:eastAsia="Arial" w:hAnsi="Arial"/>
          <w:sz w:val="18"/>
          <w:szCs w:val="18"/>
          <w:color w:val="auto"/>
        </w:rPr>
        <w:t>” means, with respect to any Person, each Affiliate of such Person and each director, officer, employee, partner, agent, trustee, representative, attorney, accountant and each insurance, environmental, legal, financial and other advisor and other consultants and agents of or to such Person or any of its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Relevant Governmental Body</w:t>
      </w:r>
      <w:r>
        <w:rPr>
          <w:rFonts w:ascii="Arial" w:cs="Arial" w:eastAsia="Arial" w:hAnsi="Arial"/>
          <w:sz w:val="18"/>
          <w:szCs w:val="18"/>
          <w:u w:val="single" w:color="auto"/>
          <w:color w:val="0000FF"/>
        </w:rPr>
        <w:t>” means the Federal Reserve Board or the Federal Reserve Bank of New York, or a committee officially endorsed or convened by the Federal Reserve Board or the Federal Reserve Bank of New York,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5083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Remedial Action</w:t>
      </w:r>
      <w:r>
        <w:rPr>
          <w:rFonts w:ascii="Arial" w:cs="Arial" w:eastAsia="Arial" w:hAnsi="Arial"/>
          <w:sz w:val="18"/>
          <w:szCs w:val="18"/>
          <w:color w:val="auto"/>
        </w:rPr>
        <w:t>” means all actions required pursuant to applicable Environmental Laws to (a) clean up, remove, treat or in any other way address any Hazardous Material in the indoor or outdoor environment, (b) prevent or minimize any Release so that a Hazardous Material does not migrate or endanger or threaten to endanger public health or welfare or the indoor or outdoor environment or (c) perform pre-remedial studies and investigations and post-remedial monitoring and care with respect to any Hazardous Material.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w:t>
      </w:r>
      <w:r>
        <w:rPr>
          <w:rFonts w:ascii="Arial" w:cs="Arial" w:eastAsia="Arial" w:hAnsi="Arial"/>
          <w:sz w:val="18"/>
          <w:szCs w:val="18"/>
          <w:color w:val="auto"/>
        </w:rPr>
        <w:t>” as defined in Section 10.5(f)(ii).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Event</w:t>
      </w:r>
      <w:r>
        <w:rPr>
          <w:rFonts w:ascii="Arial" w:cs="Arial" w:eastAsia="Arial" w:hAnsi="Arial"/>
          <w:sz w:val="17"/>
          <w:szCs w:val="17"/>
          <w:color w:val="auto"/>
        </w:rPr>
        <w:t xml:space="preserve">” shall mean (a) the incurrence by the Borrower or any Subsidiary of any Indebtedness (including any new or additional Term Loans under this Agreement, whether incurred directly or by way of the conversion of the Initial Term B Loans into a new tranche of replacement Term Loans under this Agreement) (i) having an All-In Yield that is less than the All-In Yield for the Initial Term B Loans of the respective Type of Loan (as determined by the Administrative Agent), and (ii) the proceeds of which are used to prepay (or, in the case of a conversion, deemed to prepay or replace), in whole or in part, the outstanding principal of the Initial Term B Loans or (b) any effective reduction in the All-In Yield applicable to the Initial Term B Loans (e.g., by way of amendment, waiver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Repricing Event shall not include any event described in clause (a) or (b) above that is not consummated for the primary purpose of lowering the All-In Yield applicable to the Initial Term B Loans (as determined in good faith by the Borrower) or is consummated in connection with a Change of Control or Transformative Acquisition.</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as of any date of determination, one or more of the Lenders having or holding Term Loan Exposure and/or Incremental Revolving Loan Exposure representing more than 50% of the sum of (i) the aggregate Term Loan Exposure of all of the Lenders, and (ii) the aggregate Incremental Revolving Loan Exposure of all the Lenders.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Prepayment Date</w:t>
      </w:r>
      <w:r>
        <w:rPr>
          <w:rFonts w:ascii="Arial" w:cs="Arial" w:eastAsia="Arial" w:hAnsi="Arial"/>
          <w:sz w:val="18"/>
          <w:szCs w:val="18"/>
          <w:color w:val="auto"/>
        </w:rPr>
        <w:t>” as defined in Section 2.15(e).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C Loan Lenders</w:t>
      </w:r>
      <w:r>
        <w:rPr>
          <w:rFonts w:ascii="Arial" w:cs="Arial" w:eastAsia="Arial" w:hAnsi="Arial"/>
          <w:sz w:val="18"/>
          <w:szCs w:val="18"/>
          <w:color w:val="auto"/>
        </w:rPr>
        <w:t>” means, as of any date of determination, one or more of the Lenders having or holding Term C Loan Exposure and representing more than 50% of the aggregate Term C Loan Exposure of all of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president or chief financial officer of the Borrower.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Debt Payment</w:t>
      </w:r>
      <w:r>
        <w:rPr>
          <w:rFonts w:ascii="Arial" w:cs="Arial" w:eastAsia="Arial" w:hAnsi="Arial"/>
          <w:sz w:val="17"/>
          <w:szCs w:val="17"/>
          <w:color w:val="auto"/>
        </w:rPr>
        <w:t>” means any payment of principal of, or any payment of any premium, if any, or interest on, or fees on, or indemnities or expenses owing to any holder of, or redemption, purchase, retirement, defeasance (including in substance or legal defeasance), sinking fund or similar payment, in each case prior to the stated maturity or due date thereof, with respect to any Junior Financing.</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Equity Payment</w:t>
      </w:r>
      <w:r>
        <w:rPr>
          <w:rFonts w:ascii="Arial" w:cs="Arial" w:eastAsia="Arial" w:hAnsi="Arial"/>
          <w:sz w:val="16"/>
          <w:szCs w:val="16"/>
          <w:color w:val="auto"/>
        </w:rPr>
        <w:t>” means (a) any dividend or other distribution, direct or indirect, on account of any shares of any class of stock of the Borrower now or hereafter outstanding, except a dividend payable solely in Capital Stock of the Borrower (other than Disqualified Capital Stock); (b) any redemption, retirement, sinking fund or similar payment, purchase or other acquisition for value, direct or indirect, of any shares of any class of stock of the Borrower now or hereafter outstanding, other than in exchange for Capital Stock of the Borrower (other than Disqualified Capital Stock); and (c) any payment made to retire, or to obtain the surrender of, any outstanding warrants, options or other rights to acquire shares of any class of stock of the Borrower now or hereafter outstanding, other than in exchange for Capital Stock of the Borrower (other than Disqualified Capital Stock).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Junior Payment</w:t>
      </w:r>
      <w:r>
        <w:rPr>
          <w:rFonts w:ascii="Arial" w:cs="Arial" w:eastAsia="Arial" w:hAnsi="Arial"/>
          <w:sz w:val="18"/>
          <w:szCs w:val="18"/>
          <w:color w:val="auto"/>
        </w:rPr>
        <w:t>” means any Restricted Equity Payment and any Restricted Debt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economic sanctions or trade restrictions administered or enforced by the U.S. government (including, without limitation, the Office of Foreign Assets Control of the U.S. Department of the Treasury, the U.S. Department of State, or the Bureau of Industry and Security of the U.S. Department of Commerce), the United Nations Security Council, the European Union, or Her Majesty’s Treasury, or any other relevant sanctions authority of a jurisdiction where the Borrower and the Subsidiaries operate the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any country or territory, with whom dealings are broadly prohibited or restricted by any Sanctions (including, but not limited to, the Crimea region of Ukraine, Cuba, Iran, North Korea and Syria).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SDN List</w:t>
      </w:r>
      <w:r>
        <w:rPr>
          <w:rFonts w:ascii="Arial" w:cs="Arial" w:eastAsia="Arial" w:hAnsi="Arial"/>
          <w:sz w:val="18"/>
          <w:szCs w:val="18"/>
          <w:color w:val="auto"/>
        </w:rPr>
        <w:t>” means the Specially Designated Nationals and Blocked Persons List maintained by OFAC.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w:t>
      </w:r>
      <w:r>
        <w:rPr>
          <w:rFonts w:ascii="Arial" w:cs="Arial" w:eastAsia="Arial" w:hAnsi="Arial"/>
          <w:sz w:val="18"/>
          <w:szCs w:val="18"/>
          <w:color w:val="auto"/>
        </w:rPr>
        <w:t>” means the Administrative Agent, the Collateral Agent, each other Agent, each Lender, each other Indemnitee solely to the extent of any outstanding claim under Section 10.2 or for Indemnified Liabilities of such Indemnitee pursuant to and in accordance with Section 10.3, each Secured Swap Provider and each Bank Product Provider.</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Rate Contract</w:t>
      </w:r>
      <w:r>
        <w:rPr>
          <w:rFonts w:ascii="Arial" w:cs="Arial" w:eastAsia="Arial" w:hAnsi="Arial"/>
          <w:sz w:val="17"/>
          <w:szCs w:val="17"/>
          <w:color w:val="auto"/>
        </w:rPr>
        <w:t>” means any Rate Contract between the Borrower and/or any Subsidiary and the counterparty thereto, which has been provided by the Administrative Agent, a Lender or an Affiliate of the Administrative Agent or a Lender (or a Person who was the Administrative Agent, a Lender or an Affiliate of the Administrative Agent or a Lender at the time of execution and delivery of a Rate Contract).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Swap Provider</w:t>
      </w:r>
      <w:r>
        <w:rPr>
          <w:rFonts w:ascii="Arial" w:cs="Arial" w:eastAsia="Arial" w:hAnsi="Arial"/>
          <w:sz w:val="17"/>
          <w:szCs w:val="17"/>
          <w:color w:val="auto"/>
        </w:rPr>
        <w:t>” means an Agent or a Lender or an Affiliate of an Agent or a Lender (or a Person who was an Agent or a Lender or an Affiliate of an Agent or a Lender at the time of execution and delivery of a Rate Contract) who has entered into a Secured Rate Contract with the Borrower and/or any Subsidiary, and in the case of any such Affiliate, that has executed and delivered to the Administrative Agent a letter agreement (or other written confirmation) in form and substance reasonably acceptable to the Administrative Agent pursuant to which such Affiliate of such Lender or Agent appoints the Administrative Agent and the Collateral Agent as agents under the applicable Credit Documents.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Capital Stock, voting trust certificates, certificates of interest or participation in any profit-sharing agreement or arrangement,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SOFR</w:t>
      </w:r>
      <w:r>
        <w:rPr>
          <w:rFonts w:ascii="Arial" w:cs="Arial" w:eastAsia="Arial" w:hAnsi="Arial"/>
          <w:sz w:val="18"/>
          <w:szCs w:val="18"/>
          <w:u w:val="single" w:color="auto"/>
          <w:color w:val="0000FF"/>
        </w:rPr>
        <w:t>” means a rate equal to the secured overnight financing rate as administered by the SOFR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51263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u w:val="single" w:color="auto"/>
          <w:color w:val="0000FF"/>
        </w:rPr>
        <w:t>SOFR Administrator</w:t>
      </w:r>
      <w:r>
        <w:rPr>
          <w:rFonts w:ascii="Arial" w:cs="Arial" w:eastAsia="Arial" w:hAnsi="Arial"/>
          <w:sz w:val="16"/>
          <w:szCs w:val="16"/>
          <w:u w:val="single" w:color="auto"/>
          <w:color w:val="0000FF"/>
        </w:rPr>
        <w:t>” means the Federal Reserve Bank of New York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4808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SOFR Borrowing</w:t>
      </w:r>
      <w:r>
        <w:rPr>
          <w:rFonts w:ascii="Arial" w:cs="Arial" w:eastAsia="Arial" w:hAnsi="Arial"/>
          <w:sz w:val="18"/>
          <w:szCs w:val="18"/>
          <w:u w:val="single" w:color="auto"/>
          <w:color w:val="0000FF"/>
        </w:rPr>
        <w:t>” means, as to any borrowing, the SOFR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4380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SOFR Loan</w:t>
      </w:r>
      <w:r>
        <w:rPr>
          <w:rFonts w:ascii="Arial" w:cs="Arial" w:eastAsia="Arial" w:hAnsi="Arial"/>
          <w:sz w:val="18"/>
          <w:szCs w:val="18"/>
          <w:u w:val="single" w:color="auto"/>
          <w:color w:val="0000FF"/>
        </w:rPr>
        <w:t>” means a Loan that bears interest at a rate based on Adjusted Term SOFR, other than pursuant to clause (c) of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5911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that as of the date of determination, (a) the fair value of the present assets of the Borrower and its Subsidiaries, taken as a whole, exceeds the debts (including contingent liabilities) of the Borrower and its Subsidiaries, taken as a whole, (b) the present fair saleable value of the assets of the Borrower and its Subsidiaries, taken as a whole, is not less than the amount that will be required to pay the probable liabilities (including contingent liabilities) of the Borrower and its Subsidiaries, taken as a whole, on their debts as such debts become absolute and matured, (c) the Borrower and the Subsidiaries, taken as a whole, are able to pay their debts (including current obligations and contingent liabilities) as such debts and liabilities become absolute and matured and do not intend to incur, or believe they will incur, debts (including current obligations and contingent liabilities) beyond their ability to pay such debts and liabilities as they mature in the ordinary course of business, and (d) the capital of the Borrower and its Subsidiaries, taken as a whole, is not unreasonably small in relation to the business of the Borrower or its Subsidiaries, taken as a whole, contemplated as of such date. For the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as defined in Section 10.6(k).</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the representations and warranties set forth in Sections 4.1(a), 4.1(b)(ii), 4.1(b)(iii), 4.2, 4.3(a)(i)(1), 4.4, 4.12, 4.13, 4.16, 4.17(b), 4.17(c), 4.19 and 4.20 (with respect to use of proceeds in accordance with Section 2.6(d)).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means any Permitted Acquisition, any permitted Investment or other acquisition (including acquisition of a line of business), any issuance, incurrence, assumption, guarantee, redemption or permanent repayment of indebtedness (including indebtedness issued, incurred or assumed as a result of, or to finance, any relevant transaction), the creation of any Lien, any designation or re-designation of an “Unrestricted Subsidiary,” any merger or other fundamental change, all sales, transfers and other dispositions of any Subsidiary, line of business or division or any Restricted Junior Payment.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648"/>
        <w:spacing w:after="0" w:line="274" w:lineRule="auto"/>
        <w:rPr>
          <w:sz w:val="20"/>
          <w:szCs w:val="20"/>
          <w:color w:val="auto"/>
        </w:rPr>
      </w:pPr>
      <w:r>
        <w:rPr>
          <w:rFonts w:ascii="Arial" w:cs="Arial" w:eastAsia="Arial" w:hAnsi="Arial"/>
          <w:sz w:val="17"/>
          <w:szCs w:val="17"/>
          <w:b w:val="1"/>
          <w:bCs w:val="1"/>
          <w:color w:val="FF0000"/>
          <w:strike w:val="1"/>
        </w:rPr>
        <w:t>“Statutory Reserves</w:t>
      </w:r>
      <w:r>
        <w:rPr>
          <w:rFonts w:ascii="Arial" w:cs="Arial" w:eastAsia="Arial" w:hAnsi="Arial"/>
          <w:sz w:val="17"/>
          <w:szCs w:val="17"/>
          <w:color w:val="FF0000"/>
          <w:strike w:val="1"/>
        </w:rPr>
        <w:t>” means, for any day during any Interest Period for any Eurodollar Rate Loan, the aggregate maximum rate (expressed as a</w:t>
      </w:r>
      <w:r>
        <w:rPr>
          <w:rFonts w:ascii="Arial" w:cs="Arial" w:eastAsia="Arial" w:hAnsi="Arial"/>
          <w:sz w:val="17"/>
          <w:szCs w:val="17"/>
          <w:b w:val="1"/>
          <w:bCs w:val="1"/>
          <w:color w:val="FF0000"/>
          <w:strike w:val="1"/>
        </w:rPr>
        <w:t xml:space="preserve"> </w:t>
      </w:r>
      <w:r>
        <w:rPr>
          <w:rFonts w:ascii="Arial" w:cs="Arial" w:eastAsia="Arial" w:hAnsi="Arial"/>
          <w:sz w:val="17"/>
          <w:szCs w:val="17"/>
          <w:color w:val="FF0000"/>
          <w:strike w:val="1"/>
        </w:rPr>
        <w:t>decimal) at which reserves (including any marginal, supplemental, special or emergency reserves) are required to be maintained with respect thereto during such Interest Period under regulations issued by the Board of Governors against Eurocurrency funding liabilities (currently referred to as “Eurocurrency liabilities” (as such term is used in Regulation D)). Such reserves shall include those imposed under Regulation D. Eurodollar Rate Loans will be deemed to constitute “Eurodollar Liabilities” (as defined in Regulation D) and to be subject to such reserve requirements without benefit of or credit for proration, exceptions or offsets which may be available from time to time to any Lender under Regulation D.</w:t>
      </w:r>
    </w:p>
    <w:p>
      <w:pPr>
        <w:spacing w:after="0" w:line="1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means, collectively, any Incremental Equivalent Debt, Permitted Ratio Debt or other Indebtedness, in each case permitted to be incurred hereunder, that is subject to a Subordination Agreement made by the holders or lenders of such Indebtedness (or a Debt Representative with respect thereto) with respect to the Obligations. For the avoidance of doubt, no Indebtedness will be construed to be Subordinated Debt due to the fact that such Indebtedness is unsecured or secured by Liens that rank junior in priority to any other Liens.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collectively, each agreement with respect to Indebtedness (other than the Obligations) that provides that such Indebtedness is expressly subordinated in right of payment to the payment of the Obligations. For the avoidance of doubt, neither the subordination of the priority of any Lien securing any Indebtedness (other than the Obligations), nor the fact that any Indebtedness is unsecured, shall be construed to be the subordination of such Indebtedness in right of payment to the Obligations.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determining the percentage of ownership interests of any Person controlled by another Person, no ownership interest in the nature of a “qualifying share” of the former Person will be deemed to be outstanding. For purposes of this Agreement, except to the extent expressly stated otherwise, (a) references to any “Subsidiary” will mean a Subsidiary of the Borrower and (b) with respect to the Borrower or any of its direct or indirect subsidiaries, references to “Subsidiary” will not include any Unrestricted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all representations and warranties, negative covenants, affirmative covenants and event of default provisions solely with respect to matters related to Anti-Money Laundering Laws and Anti-Corruption Laws (including, but not limited to, Sections 2.6(d), 4.17(b), 4.17(c), 5.7 and 5.8 (solely to the extent of any portion of such provisions relate to Anti-Money Laundering Laws and Anti-Corruption Laws)), references to “Subsidiary” will include all Unrestricted Subsidiaries.</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Termination Value</w:t>
      </w:r>
      <w:r>
        <w:rPr>
          <w:rFonts w:ascii="Arial" w:cs="Arial" w:eastAsia="Arial" w:hAnsi="Arial"/>
          <w:sz w:val="17"/>
          <w:szCs w:val="17"/>
          <w:color w:val="auto"/>
        </w:rPr>
        <w:t>” means, in respect of any one or more Rate Contracts, after taking into account the effect of any legally enforceable netting agreement relating to such Rate Contracts, (a) for any date on or after the date such Rate Contracts have been closed out and termination value(s) determined in accordance therewith, such termination value(s), and (b) for any date prior to the date referenced in clause (a), the amount(s) determined as the mark-to-market value(s) for such Rate Contracts, as determined based upon one or more mid-market or other readily available quotations provided by any recognized dealer in such Rate Contracts (which may include a Lender or any Affiliate of a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Person</w:t>
      </w:r>
      <w:r>
        <w:rPr>
          <w:rFonts w:ascii="Arial" w:cs="Arial" w:eastAsia="Arial" w:hAnsi="Arial"/>
          <w:sz w:val="18"/>
          <w:szCs w:val="18"/>
          <w:color w:val="auto"/>
        </w:rPr>
        <w:t>” as defined in Section 6.6(5).</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present or future tax, levy, impost, duty, assessment, charge, fee, deduction or withholding (including backup withholding) of any nature and whatever called, levied, collected, withheld or assessed by any Governmental Authority, together with any interest thereon, additions to tax or penalties imposed with respect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means a Term Loan made by a Lender to the Borrower on the Closing Date pursuant to Section 2.1(b), if any.</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 Commitment</w:t>
      </w:r>
      <w:r>
        <w:rPr>
          <w:rFonts w:ascii="Arial" w:cs="Arial" w:eastAsia="Arial" w:hAnsi="Arial"/>
          <w:sz w:val="18"/>
          <w:szCs w:val="18"/>
          <w:color w:val="auto"/>
        </w:rPr>
        <w:t>” means the commitment of a Lender to make or otherwise fund a Term C Loan and “</w:t>
      </w:r>
      <w:r>
        <w:rPr>
          <w:rFonts w:ascii="Arial" w:cs="Arial" w:eastAsia="Arial" w:hAnsi="Arial"/>
          <w:sz w:val="18"/>
          <w:szCs w:val="18"/>
          <w:b w:val="1"/>
          <w:bCs w:val="1"/>
          <w:color w:val="auto"/>
        </w:rPr>
        <w:t>Term C Loan</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w:t>
      </w:r>
      <w:r>
        <w:rPr>
          <w:rFonts w:ascii="Arial" w:cs="Arial" w:eastAsia="Arial" w:hAnsi="Arial"/>
          <w:sz w:val="18"/>
          <w:szCs w:val="18"/>
          <w:color w:val="auto"/>
        </w:rPr>
        <w:t>” means such commitments of all of the Lenders in the aggregate. The amount of each Lender’s Term C Loan Commitment, if any, is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Appendix A-2. The aggregate amount of the Term C Loan Commitments as of the Closing Date is $0 (it being understood that the Borrower elected to reduce the aggregate amount of the Term C Loan Commitments to $0 by notice to the Administrative Agent after the pricing and allocation of the Initial Term B Loans in connection with the primary syndication thereof and prior to the Closing Date).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 Exposure</w:t>
      </w:r>
      <w:r>
        <w:rPr>
          <w:rFonts w:ascii="Arial" w:cs="Arial" w:eastAsia="Arial" w:hAnsi="Arial"/>
          <w:sz w:val="18"/>
          <w:szCs w:val="18"/>
          <w:color w:val="auto"/>
        </w:rPr>
        <w:t xml:space="preserve">” means, with respect to any Lender, as of any date of determination, the outstanding principal amount of the Term C Loans of such Lender; </w:t>
      </w:r>
      <w:r>
        <w:rPr>
          <w:rFonts w:ascii="Arial" w:cs="Arial" w:eastAsia="Arial" w:hAnsi="Arial"/>
          <w:sz w:val="18"/>
          <w:szCs w:val="18"/>
          <w:i w:val="1"/>
          <w:iCs w:val="1"/>
          <w:color w:val="auto"/>
        </w:rPr>
        <w:t>provided</w:t>
      </w:r>
      <w:r>
        <w:rPr>
          <w:rFonts w:ascii="Arial" w:cs="Arial" w:eastAsia="Arial" w:hAnsi="Arial"/>
          <w:sz w:val="18"/>
          <w:szCs w:val="18"/>
          <w:color w:val="auto"/>
        </w:rPr>
        <w:t>, at any time prior to the making of the Term C Loans, the Term C Loan Exposure of any Lender will be equal to such Lender’s Term C Loan Commitment.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C Loan Note</w:t>
      </w:r>
      <w:r>
        <w:rPr>
          <w:rFonts w:ascii="Arial" w:cs="Arial" w:eastAsia="Arial" w:hAnsi="Arial"/>
          <w:sz w:val="16"/>
          <w:szCs w:val="16"/>
          <w:color w:val="auto"/>
        </w:rPr>
        <w:t xml:space="preserve">” means a promissory note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as it may be amended, supplemented or otherwise modified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 Payment Cross Default</w:t>
      </w:r>
      <w:r>
        <w:rPr>
          <w:rFonts w:ascii="Arial" w:cs="Arial" w:eastAsia="Arial" w:hAnsi="Arial"/>
          <w:sz w:val="18"/>
          <w:szCs w:val="18"/>
          <w:color w:val="auto"/>
        </w:rPr>
        <w:t>” as defined in Section 8.1(a).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 Payment Event of Default</w:t>
      </w:r>
      <w:r>
        <w:rPr>
          <w:rFonts w:ascii="Arial" w:cs="Arial" w:eastAsia="Arial" w:hAnsi="Arial"/>
          <w:sz w:val="18"/>
          <w:szCs w:val="18"/>
          <w:color w:val="auto"/>
        </w:rPr>
        <w:t>” as defined in Section 8.2(b).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 Lender with a Term Loan Commitment or an outstanding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individually and collectively, the Initial Term B Loans, the Term C Loans, the Incremental Term Loans, if any, Extended Term Loans, if any, and Refinancing Term Loans, if 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means, collectively, the Initial Term B Loan Commitments, the Term C Loan Commitments, the Incremental Term Loan Commitments (if any) and commitments to make Refinancing Term Loans, if any, and Extended Term Loans, if 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Exposure</w:t>
      </w:r>
      <w:r>
        <w:rPr>
          <w:rFonts w:ascii="Arial" w:cs="Arial" w:eastAsia="Arial" w:hAnsi="Arial"/>
          <w:sz w:val="18"/>
          <w:szCs w:val="18"/>
          <w:color w:val="auto"/>
        </w:rPr>
        <w:t xml:space="preserve">” means, with respect to any Lender, as of any date of determination, the outstanding principal amount of the Term Loans of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prior to the making of the Term Loans, the Term Loan Exposure of any Lender will be equal to such Lender’s Term Loan Commitment.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(a) for the Initial Term B Loans, the earlier of (i) the seventh anniversary of the Closing Date, as extended in accordance with this Agreement from time to time, and (ii) the date that all such Initial Term B Loans become due and payable in full hereunder, whether by acceleration or otherwise; (b) for the Term C Loans (if any), the earlier of (i) the date which is 30 days after the Closing Date and (ii) the date that all such Term C Loans become due and payable in full hereunder, whether by acceleration or otherwise, (c) for any Incremental Term Loans, the earlier of (i) the date identified in the applicable Incremental Amendment, as extended in accordance with this Agreement from time to time, and (ii) the date that all such Incremental Term Loans become due and payable in full hereunder, whether by acceleration or otherwise; (d) for any Extended Term Loans, the earlier of (i) the final maturity date as specified in the applicable Extension Amendment and (ii) the date such Extended Term Loans become due and payable in full hereunder, whether by acceleration or otherwise, (e) with respect to any Refinancing Term Loans, the earlier of (i) the final maturity date as specified in the applicable Refinancing Amendment and (ii) the date such Refinancing Term Loans become due and payable in full hereunder, whether by acceleration or otherwise.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Note</w:t>
      </w:r>
      <w:r>
        <w:rPr>
          <w:rFonts w:ascii="Arial" w:cs="Arial" w:eastAsia="Arial" w:hAnsi="Arial"/>
          <w:sz w:val="18"/>
          <w:szCs w:val="18"/>
          <w:color w:val="auto"/>
        </w:rPr>
        <w:t>” means an Initial Term B Loan Note and a Term C Loan Note,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SOFR</w:t>
      </w:r>
      <w:r>
        <w:rPr>
          <w:rFonts w:ascii="Arial" w:cs="Arial" w:eastAsia="Arial" w:hAnsi="Arial"/>
          <w:sz w:val="18"/>
          <w:szCs w:val="18"/>
          <w:u w:val="single" w:color="auto"/>
          <w:color w:val="0000FF"/>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10458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9" w:lineRule="exact"/>
        <w:rPr>
          <w:sz w:val="20"/>
          <w:szCs w:val="20"/>
          <w:color w:val="auto"/>
        </w:rPr>
      </w:pPr>
    </w:p>
    <w:p>
      <w:pPr>
        <w:jc w:val="both"/>
        <w:ind w:firstLine="1304"/>
        <w:spacing w:after="0" w:line="290" w:lineRule="auto"/>
        <w:tabs>
          <w:tab w:leader="none" w:pos="2074" w:val="left"/>
        </w:tabs>
        <w:numPr>
          <w:ilvl w:val="0"/>
          <w:numId w:val="65"/>
        </w:numPr>
        <w:rPr>
          <w:rFonts w:ascii="Arial" w:cs="Arial" w:eastAsia="Arial" w:hAnsi="Arial"/>
          <w:sz w:val="16"/>
          <w:szCs w:val="16"/>
          <w:color w:val="0000FF"/>
        </w:rPr>
      </w:pPr>
      <w:r>
        <w:rPr>
          <w:rFonts w:ascii="Arial" w:cs="Arial" w:eastAsia="Arial" w:hAnsi="Arial"/>
          <w:sz w:val="16"/>
          <w:szCs w:val="16"/>
          <w:color w:val="0000FF"/>
        </w:rPr>
        <w:t xml:space="preserve">for any calculation with respect to a SOFR Loan, the Term SOFR Reference Rate for a tenor comparable to the applicable </w:t>
      </w:r>
      <w:r>
        <w:rPr>
          <w:rFonts w:ascii="Arial" w:cs="Arial" w:eastAsia="Arial" w:hAnsi="Arial"/>
          <w:sz w:val="16"/>
          <w:szCs w:val="16"/>
          <w:u w:val="single" w:color="auto"/>
          <w:color w:val="0000FF"/>
        </w:rPr>
        <w:t xml:space="preserve">Interest Period on the day (such day, the “Periodic Term SOFR Determination Day”) that is two (2) U.S. Government Securities Business Days prior to the first day of such Interest Period, as such rate is published by the Term SOFR Administrator;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w:t>
      </w:r>
      <w:r>
        <w:rPr>
          <w:rFonts w:ascii="Arial" w:cs="Arial" w:eastAsia="Arial" w:hAnsi="Arial"/>
          <w:sz w:val="16"/>
          <w:szCs w:val="16"/>
          <w:i w:val="1"/>
          <w:iCs w:val="1"/>
          <w:u w:val="single" w:color="auto"/>
          <w:color w:val="0000FF"/>
        </w:rPr>
        <w:t>however</w:t>
      </w:r>
      <w:r>
        <w:rPr>
          <w:rFonts w:ascii="Arial" w:cs="Arial" w:eastAsia="Arial" w:hAnsi="Arial"/>
          <w:sz w:val="16"/>
          <w:szCs w:val="16"/>
          <w:u w:val="single" w:color="auto"/>
          <w:color w:val="0000FF"/>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5" w:lineRule="exact"/>
        <w:rPr>
          <w:rFonts w:ascii="Arial" w:cs="Arial" w:eastAsia="Arial" w:hAnsi="Arial"/>
          <w:sz w:val="16"/>
          <w:szCs w:val="16"/>
          <w:color w:val="0000FF"/>
        </w:rPr>
      </w:pPr>
    </w:p>
    <w:p>
      <w:pPr>
        <w:jc w:val="both"/>
        <w:ind w:firstLine="1304"/>
        <w:spacing w:after="0" w:line="290" w:lineRule="auto"/>
        <w:tabs>
          <w:tab w:leader="none" w:pos="1979" w:val="left"/>
        </w:tabs>
        <w:numPr>
          <w:ilvl w:val="0"/>
          <w:numId w:val="65"/>
        </w:numPr>
        <w:rPr>
          <w:rFonts w:ascii="Arial" w:cs="Arial" w:eastAsia="Arial" w:hAnsi="Arial"/>
          <w:sz w:val="16"/>
          <w:szCs w:val="16"/>
          <w:color w:val="0000FF"/>
        </w:rPr>
      </w:pPr>
      <w:r>
        <w:rPr>
          <w:rFonts w:ascii="Arial" w:cs="Arial" w:eastAsia="Arial" w:hAnsi="Arial"/>
          <w:sz w:val="16"/>
          <w:szCs w:val="16"/>
          <w:color w:val="0000FF"/>
        </w:rPr>
        <w:t xml:space="preserve">for any calculation with respect to an Base Rate Loan on any day, the Term SOFR Reference Rate for a tenor of one month on </w:t>
      </w:r>
      <w:r>
        <w:rPr>
          <w:rFonts w:ascii="Arial" w:cs="Arial" w:eastAsia="Arial" w:hAnsi="Arial"/>
          <w:sz w:val="16"/>
          <w:szCs w:val="16"/>
          <w:u w:val="single" w:color="auto"/>
          <w:color w:val="0000FF"/>
        </w:rPr>
        <w:t xml:space="preserve">the day (such day, the “Base Rate Term SOFR Determination Day”) that is two (2) U.S. Government Securities Business Days prior to such day, as such rate is published by the Term SOFR Administrator;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w:t>
      </w:r>
      <w:r>
        <w:rPr>
          <w:rFonts w:ascii="Arial" w:cs="Arial" w:eastAsia="Arial" w:hAnsi="Arial"/>
          <w:sz w:val="16"/>
          <w:szCs w:val="16"/>
          <w:i w:val="1"/>
          <w:iCs w:val="1"/>
          <w:u w:val="single" w:color="auto"/>
          <w:color w:val="0000FF"/>
        </w:rPr>
        <w:t>however</w:t>
      </w:r>
      <w:r>
        <w:rPr>
          <w:rFonts w:ascii="Arial" w:cs="Arial" w:eastAsia="Arial" w:hAnsi="Arial"/>
          <w:sz w:val="16"/>
          <w:szCs w:val="16"/>
          <w:u w:val="single" w:color="auto"/>
          <w:color w:val="0000FF"/>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-2225675</wp:posOffset>
            </wp:positionV>
            <wp:extent cx="63093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-2242820</wp:posOffset>
            </wp:positionV>
            <wp:extent cx="63093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-1814195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-1677035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-1539875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-1402715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-1265555</wp:posOffset>
            </wp:positionV>
            <wp:extent cx="70205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-991235</wp:posOffset>
            </wp:positionV>
            <wp:extent cx="63093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-1008380</wp:posOffset>
            </wp:positionV>
            <wp:extent cx="63093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-716915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50063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296"/>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SOFR Adjustment</w:t>
      </w:r>
      <w:r>
        <w:rPr>
          <w:rFonts w:ascii="Arial" w:cs="Arial" w:eastAsia="Arial" w:hAnsi="Arial"/>
          <w:sz w:val="18"/>
          <w:szCs w:val="18"/>
          <w:u w:val="single" w:color="auto"/>
          <w:color w:val="0000FF"/>
        </w:rPr>
        <w:t>” means, for any calculation with respect to a Base Rate Loan or a SOFR Loan, a percentage per annum as set forth below for the applicable Type of Loan and (if applicable) Interest Period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-168275</wp:posOffset>
            </wp:positionV>
            <wp:extent cx="63093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39865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128"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0000FF"/>
              </w:rPr>
              <w:t>Base Rate Loans: 0.11448% (11.448 basis points)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5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20" w:type="dxa"/>
            <w:vAlign w:val="bottom"/>
            <w:gridSpan w:val="6"/>
          </w:tcPr>
          <w:p>
            <w:pPr>
              <w:spacing w:after="0"/>
              <w:rPr>
                <w:sz w:val="20"/>
                <w:szCs w:val="20"/>
                <w:color w:val="auto"/>
              </w:rPr>
            </w:pPr>
            <w:r>
              <w:rPr>
                <w:rFonts w:ascii="Arial" w:cs="Arial" w:eastAsia="Arial" w:hAnsi="Arial"/>
                <w:sz w:val="18"/>
                <w:szCs w:val="18"/>
                <w:color w:val="0000FF"/>
              </w:rPr>
              <w:t>SOFR Loans: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3"/>
        </w:trPr>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152"/>
        </w:trPr>
        <w:tc>
          <w:tcPr>
            <w:tcW w:w="5220" w:type="dxa"/>
            <w:vAlign w:val="bottom"/>
            <w:tcBorders>
              <w:left w:val="single" w:sz="8" w:color="auto"/>
              <w:right w:val="single" w:sz="8" w:color="auto"/>
            </w:tcBorders>
            <w:gridSpan w:val="8"/>
          </w:tcPr>
          <w:p>
            <w:pPr>
              <w:ind w:left="180"/>
              <w:spacing w:after="0" w:line="152" w:lineRule="exact"/>
              <w:rPr>
                <w:sz w:val="20"/>
                <w:szCs w:val="20"/>
                <w:color w:val="auto"/>
              </w:rPr>
            </w:pPr>
            <w:r>
              <w:rPr>
                <w:rFonts w:ascii="Arial" w:cs="Arial" w:eastAsia="Arial" w:hAnsi="Arial"/>
                <w:sz w:val="17"/>
                <w:szCs w:val="17"/>
                <w:color w:val="0000FF"/>
              </w:rPr>
              <w:t>Interest Period</w:t>
            </w:r>
          </w:p>
        </w:tc>
        <w:tc>
          <w:tcPr>
            <w:tcW w:w="4900" w:type="dxa"/>
            <w:vAlign w:val="bottom"/>
            <w:tcBorders>
              <w:right w:val="single" w:sz="8" w:color="auto"/>
            </w:tcBorders>
            <w:gridSpan w:val="5"/>
          </w:tcPr>
          <w:p>
            <w:pPr>
              <w:ind w:left="140"/>
              <w:spacing w:after="0" w:line="152" w:lineRule="exact"/>
              <w:rPr>
                <w:sz w:val="20"/>
                <w:szCs w:val="20"/>
                <w:color w:val="auto"/>
              </w:rPr>
            </w:pPr>
            <w:r>
              <w:rPr>
                <w:rFonts w:ascii="Arial" w:cs="Arial" w:eastAsia="Arial" w:hAnsi="Arial"/>
                <w:sz w:val="17"/>
                <w:szCs w:val="17"/>
                <w:color w:val="0000FF"/>
              </w:rPr>
              <w:t>Percentage</w:t>
            </w:r>
          </w:p>
        </w:tc>
      </w:tr>
      <w:tr>
        <w:trPr>
          <w:trHeight w:val="40"/>
        </w:trPr>
        <w:tc>
          <w:tcPr>
            <w:tcW w:w="180" w:type="dxa"/>
            <w:vAlign w:val="bottom"/>
            <w:tcBorders>
              <w:left w:val="single" w:sz="8" w:color="auto"/>
              <w:bottom w:val="single" w:sz="8" w:color="auto"/>
            </w:tcBorders>
          </w:tcPr>
          <w:p>
            <w:pPr>
              <w:spacing w:after="0"/>
              <w:rPr>
                <w:sz w:val="3"/>
                <w:szCs w:val="3"/>
                <w:color w:val="auto"/>
              </w:rPr>
            </w:pPr>
          </w:p>
        </w:tc>
        <w:tc>
          <w:tcPr>
            <w:tcW w:w="620" w:type="dxa"/>
            <w:vAlign w:val="bottom"/>
            <w:tcBorders>
              <w:top w:val="single" w:sz="8" w:color="0000FF"/>
              <w:bottom w:val="single" w:sz="8" w:color="auto"/>
            </w:tcBorders>
          </w:tcPr>
          <w:p>
            <w:pPr>
              <w:spacing w:after="0"/>
              <w:rPr>
                <w:sz w:val="3"/>
                <w:szCs w:val="3"/>
                <w:color w:val="auto"/>
              </w:rPr>
            </w:pPr>
          </w:p>
        </w:tc>
        <w:tc>
          <w:tcPr>
            <w:tcW w:w="200" w:type="dxa"/>
            <w:vAlign w:val="bottom"/>
            <w:tcBorders>
              <w:top w:val="single" w:sz="8" w:color="0000FF"/>
              <w:bottom w:val="single" w:sz="8" w:color="auto"/>
            </w:tcBorders>
          </w:tcPr>
          <w:p>
            <w:pPr>
              <w:spacing w:after="0"/>
              <w:rPr>
                <w:sz w:val="3"/>
                <w:szCs w:val="3"/>
                <w:color w:val="auto"/>
              </w:rPr>
            </w:pPr>
          </w:p>
        </w:tc>
        <w:tc>
          <w:tcPr>
            <w:tcW w:w="180" w:type="dxa"/>
            <w:vAlign w:val="bottom"/>
            <w:tcBorders>
              <w:top w:val="single" w:sz="8" w:color="0000FF"/>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top w:val="single" w:sz="8" w:color="0000FF"/>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r>
      <w:tr>
        <w:trPr>
          <w:trHeight w:val="149"/>
        </w:trPr>
        <w:tc>
          <w:tcPr>
            <w:tcW w:w="5220" w:type="dxa"/>
            <w:vAlign w:val="bottom"/>
            <w:tcBorders>
              <w:left w:val="single" w:sz="8" w:color="auto"/>
              <w:right w:val="single" w:sz="8" w:color="auto"/>
            </w:tcBorders>
            <w:gridSpan w:val="8"/>
          </w:tcPr>
          <w:p>
            <w:pPr>
              <w:ind w:left="180"/>
              <w:spacing w:after="0" w:line="150" w:lineRule="exact"/>
              <w:rPr>
                <w:sz w:val="20"/>
                <w:szCs w:val="20"/>
                <w:color w:val="auto"/>
              </w:rPr>
            </w:pPr>
            <w:r>
              <w:rPr>
                <w:rFonts w:ascii="Arial" w:cs="Arial" w:eastAsia="Arial" w:hAnsi="Arial"/>
                <w:sz w:val="17"/>
                <w:szCs w:val="17"/>
                <w:color w:val="0000FF"/>
              </w:rPr>
              <w:t>One Month</w:t>
            </w:r>
          </w:p>
        </w:tc>
        <w:tc>
          <w:tcPr>
            <w:tcW w:w="4900" w:type="dxa"/>
            <w:vAlign w:val="bottom"/>
            <w:tcBorders>
              <w:right w:val="single" w:sz="8" w:color="auto"/>
            </w:tcBorders>
            <w:gridSpan w:val="5"/>
          </w:tcPr>
          <w:p>
            <w:pPr>
              <w:ind w:left="140"/>
              <w:spacing w:after="0" w:line="150" w:lineRule="exact"/>
              <w:rPr>
                <w:sz w:val="20"/>
                <w:szCs w:val="20"/>
                <w:color w:val="auto"/>
              </w:rPr>
            </w:pPr>
            <w:r>
              <w:rPr>
                <w:rFonts w:ascii="Arial" w:cs="Arial" w:eastAsia="Arial" w:hAnsi="Arial"/>
                <w:sz w:val="17"/>
                <w:szCs w:val="17"/>
                <w:color w:val="0000FF"/>
              </w:rPr>
              <w:t>0.</w:t>
            </w:r>
            <w:r>
              <w:rPr>
                <w:rFonts w:ascii="Arial" w:cs="Arial" w:eastAsia="Arial" w:hAnsi="Arial"/>
                <w:sz w:val="17"/>
                <w:szCs w:val="17"/>
                <w:u w:val="single" w:color="auto"/>
                <w:color w:val="0000FF"/>
              </w:rPr>
              <w:t>11448%</w:t>
            </w:r>
            <w:r>
              <w:rPr>
                <w:rFonts w:ascii="Arial" w:cs="Arial" w:eastAsia="Arial" w:hAnsi="Arial"/>
                <w:sz w:val="17"/>
                <w:szCs w:val="17"/>
                <w:color w:val="0000FF"/>
              </w:rPr>
              <w:t xml:space="preserve"> (11.448 basis points)</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14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5220" w:type="dxa"/>
            <w:vAlign w:val="bottom"/>
            <w:tcBorders>
              <w:left w:val="single" w:sz="8" w:color="auto"/>
              <w:right w:val="single" w:sz="8" w:color="auto"/>
            </w:tcBorders>
            <w:gridSpan w:val="8"/>
          </w:tcPr>
          <w:p>
            <w:pPr>
              <w:ind w:left="180"/>
              <w:spacing w:after="0" w:line="170" w:lineRule="exact"/>
              <w:rPr>
                <w:sz w:val="20"/>
                <w:szCs w:val="20"/>
                <w:color w:val="auto"/>
              </w:rPr>
            </w:pPr>
            <w:r>
              <w:rPr>
                <w:rFonts w:ascii="Arial" w:cs="Arial" w:eastAsia="Arial" w:hAnsi="Arial"/>
                <w:sz w:val="18"/>
                <w:szCs w:val="18"/>
                <w:color w:val="0000FF"/>
              </w:rPr>
              <w:t>Three Months</w:t>
            </w:r>
          </w:p>
        </w:tc>
        <w:tc>
          <w:tcPr>
            <w:tcW w:w="4900" w:type="dxa"/>
            <w:vAlign w:val="bottom"/>
            <w:tcBorders>
              <w:right w:val="single" w:sz="8" w:color="auto"/>
            </w:tcBorders>
            <w:gridSpan w:val="5"/>
          </w:tcPr>
          <w:p>
            <w:pPr>
              <w:ind w:left="140"/>
              <w:spacing w:after="0" w:line="170" w:lineRule="exact"/>
              <w:rPr>
                <w:sz w:val="20"/>
                <w:szCs w:val="20"/>
                <w:color w:val="auto"/>
              </w:rPr>
            </w:pPr>
            <w:r>
              <w:rPr>
                <w:rFonts w:ascii="Arial" w:cs="Arial" w:eastAsia="Arial" w:hAnsi="Arial"/>
                <w:sz w:val="18"/>
                <w:szCs w:val="18"/>
                <w:color w:val="0000FF"/>
              </w:rPr>
              <w:t>0.</w:t>
            </w:r>
            <w:r>
              <w:rPr>
                <w:rFonts w:ascii="Arial" w:cs="Arial" w:eastAsia="Arial" w:hAnsi="Arial"/>
                <w:sz w:val="18"/>
                <w:szCs w:val="18"/>
                <w:u w:val="single" w:color="auto"/>
                <w:color w:val="0000FF"/>
              </w:rPr>
              <w:t>26161%</w:t>
            </w:r>
            <w:r>
              <w:rPr>
                <w:rFonts w:ascii="Arial" w:cs="Arial" w:eastAsia="Arial" w:hAnsi="Arial"/>
                <w:sz w:val="18"/>
                <w:szCs w:val="18"/>
                <w:color w:val="0000FF"/>
              </w:rPr>
              <w:t xml:space="preserve"> (26.161 basis points)</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14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220" w:type="dxa"/>
            <w:vAlign w:val="bottom"/>
            <w:tcBorders>
              <w:left w:val="single" w:sz="8" w:color="auto"/>
              <w:right w:val="single" w:sz="8" w:color="auto"/>
            </w:tcBorders>
            <w:gridSpan w:val="8"/>
          </w:tcPr>
          <w:p>
            <w:pPr>
              <w:ind w:left="180"/>
              <w:spacing w:after="0" w:line="170" w:lineRule="exact"/>
              <w:rPr>
                <w:sz w:val="20"/>
                <w:szCs w:val="20"/>
                <w:color w:val="auto"/>
              </w:rPr>
            </w:pPr>
            <w:r>
              <w:rPr>
                <w:rFonts w:ascii="Arial" w:cs="Arial" w:eastAsia="Arial" w:hAnsi="Arial"/>
                <w:sz w:val="18"/>
                <w:szCs w:val="18"/>
                <w:color w:val="0000FF"/>
              </w:rPr>
              <w:t>Six Months</w:t>
            </w:r>
          </w:p>
        </w:tc>
        <w:tc>
          <w:tcPr>
            <w:tcW w:w="4900" w:type="dxa"/>
            <w:vAlign w:val="bottom"/>
            <w:tcBorders>
              <w:right w:val="single" w:sz="8" w:color="auto"/>
            </w:tcBorders>
            <w:gridSpan w:val="5"/>
          </w:tcPr>
          <w:p>
            <w:pPr>
              <w:ind w:left="140"/>
              <w:spacing w:after="0" w:line="170" w:lineRule="exact"/>
              <w:rPr>
                <w:sz w:val="20"/>
                <w:szCs w:val="20"/>
                <w:color w:val="auto"/>
              </w:rPr>
            </w:pPr>
            <w:r>
              <w:rPr>
                <w:rFonts w:ascii="Arial" w:cs="Arial" w:eastAsia="Arial" w:hAnsi="Arial"/>
                <w:sz w:val="18"/>
                <w:szCs w:val="18"/>
                <w:color w:val="0000FF"/>
              </w:rPr>
              <w:t>0.</w:t>
            </w:r>
            <w:r>
              <w:rPr>
                <w:rFonts w:ascii="Arial" w:cs="Arial" w:eastAsia="Arial" w:hAnsi="Arial"/>
                <w:sz w:val="18"/>
                <w:szCs w:val="18"/>
                <w:u w:val="single" w:color="auto"/>
                <w:color w:val="0000FF"/>
              </w:rPr>
              <w:t>42826%</w:t>
            </w:r>
            <w:r>
              <w:rPr>
                <w:rFonts w:ascii="Arial" w:cs="Arial" w:eastAsia="Arial" w:hAnsi="Arial"/>
                <w:sz w:val="18"/>
                <w:szCs w:val="18"/>
                <w:color w:val="0000FF"/>
              </w:rPr>
              <w:t xml:space="preserve"> (42.826 basis points)</w:t>
            </w: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14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SOFR Administrator</w:t>
      </w:r>
      <w:r>
        <w:rPr>
          <w:rFonts w:ascii="Arial" w:cs="Arial" w:eastAsia="Arial" w:hAnsi="Arial"/>
          <w:sz w:val="18"/>
          <w:szCs w:val="18"/>
          <w:u w:val="single" w:color="auto"/>
          <w:color w:val="0000FF"/>
        </w:rPr>
        <w:t>” means CME Group Benchmark Administration Limited (CBA) (or a successor administrator of the Term SOFR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37376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Term SOFR Reference Rate</w:t>
      </w:r>
      <w:r>
        <w:rPr>
          <w:rFonts w:ascii="Arial" w:cs="Arial" w:eastAsia="Arial" w:hAnsi="Arial"/>
          <w:sz w:val="18"/>
          <w:szCs w:val="18"/>
          <w:u w:val="single" w:color="auto"/>
          <w:color w:val="0000FF"/>
        </w:rPr>
        <w:t>” means the forward-looking term rate based on SOFR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39179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Terminated Lender</w:t>
      </w:r>
      <w:r>
        <w:rPr>
          <w:rFonts w:ascii="Arial" w:cs="Arial" w:eastAsia="Arial" w:hAnsi="Arial"/>
          <w:sz w:val="18"/>
          <w:szCs w:val="18"/>
          <w:color w:val="auto"/>
        </w:rPr>
        <w:t>” as defined in Section 2.23.</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in effect at any time means the most recent period of four consecutive Fiscal Quarters of the Borrower ended on or prior to such time (taken as one accounting period) in respect of which financial statements for each quarter or fiscal year in such period have been or are required to be delivered pursuant to Section 5.1(a) or (b),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first date that financial statements have been or are required to be delivered pursuant to Section 5.1(a) or (b), the Test Period in effect will be the period of four consecutive Fiscal Quarters of the Borrower ended June 30, 2018 consistent with the Consolidated Adjusted EBITDA used in the syndication of the Initial Term B Loan Commitments. A Test Period may be designated by reference to the last day thereof (i.e., the “December 29, 2018 Test Period” refers to the period of four consecutive Fiscal Quarters ended on December 29, 2018) or by reference to the applicable fiscal period (i.e., references to the “Q4-2018 Test Period” and the “Fiscal Year 2018 Test Period” also both refer to the period of four consecutive Fiscal Quarters ended on December 29, 2018), and a Test Period will be deemed to end on the last day thereof.</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Leverage Ratio</w:t>
      </w:r>
      <w:r>
        <w:rPr>
          <w:rFonts w:ascii="Arial" w:cs="Arial" w:eastAsia="Arial" w:hAnsi="Arial"/>
          <w:sz w:val="18"/>
          <w:szCs w:val="18"/>
          <w:color w:val="auto"/>
        </w:rPr>
        <w:t xml:space="preserve">” means, as of any date, the ratio of (a) Consolidated Total Debt as of such date,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Unrestricted Cash (not to exceed $60,000,000) as of such date to (b) Consolidated Adjusted EBITDA for the most recently ended Test Period, all of the foregoing determined on a Pro Forma Basis.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Costs</w:t>
      </w:r>
      <w:r>
        <w:rPr>
          <w:rFonts w:ascii="Arial" w:cs="Arial" w:eastAsia="Arial" w:hAnsi="Arial"/>
          <w:sz w:val="18"/>
          <w:szCs w:val="18"/>
          <w:color w:val="auto"/>
        </w:rPr>
        <w:t>” means the fees, costs and expenses paid or payable by the Borrower or the Subsidiaries in connection with the Transactions paid on or about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Initial Credit Extension, the consummation of the Acquisition on the Closing Date, the payment of the Transaction Costs, the other transactions consummated (or to be consummated) on or about the Closing Date and the other transactions to occur pursuant to or in connection with the Merger Agreement and the Credit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Transformative Acquisition</w:t>
      </w:r>
      <w:r>
        <w:rPr>
          <w:rFonts w:ascii="Arial" w:cs="Arial" w:eastAsia="Arial" w:hAnsi="Arial"/>
          <w:sz w:val="18"/>
          <w:szCs w:val="18"/>
          <w:color w:val="auto"/>
        </w:rPr>
        <w:t>” means any merger, acquisition, Investment, dissolution, liquidation, consolidation or disposition, in any such case by the Borrower or any Subsidiary that is either (a) not permitted by the terms of any Credit Document immediately prior to the consummation of such transaction or (b) if permitted by the terms of the Credit Documents immediately prior to the consummation of such transaction, would not provide the Borrower and the Subsidiaries with adequate flexibility under the Credit Documents for the continuation and/or expansion of their combined operations following such consummation, as reasonably determined by the Borrower acting in good faith.</w:t>
      </w:r>
    </w:p>
    <w:p>
      <w:pPr>
        <w:spacing w:after="0" w:line="18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 of Loan</w:t>
      </w:r>
      <w:r>
        <w:rPr>
          <w:rFonts w:ascii="Arial" w:cs="Arial" w:eastAsia="Arial" w:hAnsi="Arial"/>
          <w:sz w:val="17"/>
          <w:szCs w:val="17"/>
          <w:color w:val="auto"/>
        </w:rPr>
        <w:t xml:space="preserve">” means, with respect to either Term Loans or Incremental Revolving Loans, a Base Rate Loan or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15875</wp:posOffset>
            </wp:positionV>
            <wp:extent cx="282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by reason of mandatory provisions of law, the perfection, the effect of perfection or non-perfection or the priority of the security interests of the Collateral Agent in any Collateral is governed by the Uniform Commercial Code as in effect in a jurisdiction other than New York, the term “</w:t>
      </w:r>
      <w:r>
        <w:rPr>
          <w:rFonts w:ascii="Arial" w:cs="Arial" w:eastAsia="Arial" w:hAnsi="Arial"/>
          <w:sz w:val="16"/>
          <w:szCs w:val="16"/>
          <w:b w:val="1"/>
          <w:bCs w:val="1"/>
          <w:color w:val="auto"/>
        </w:rPr>
        <w:t>UCC</w:t>
      </w:r>
      <w:r>
        <w:rPr>
          <w:rFonts w:ascii="Arial" w:cs="Arial" w:eastAsia="Arial" w:hAnsi="Arial"/>
          <w:sz w:val="16"/>
          <w:szCs w:val="16"/>
          <w:color w:val="auto"/>
        </w:rPr>
        <w:t>” means the Uniform Commercial Code as in effect in such other jurisdiction for purposes of the provisions hereof relating to such perfection, effect of perfection or non-perfection or priority.</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Unadjusted Benchmark Replacement</w:t>
      </w:r>
      <w:r>
        <w:rPr>
          <w:rFonts w:ascii="Arial" w:cs="Arial" w:eastAsia="Arial" w:hAnsi="Arial"/>
          <w:sz w:val="18"/>
          <w:szCs w:val="18"/>
          <w:u w:val="single" w:color="auto"/>
          <w:color w:val="0000FF"/>
        </w:rPr>
        <w:t>” means the applicable Benchmark Replacement excluding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-168275</wp:posOffset>
            </wp:positionV>
            <wp:extent cx="67208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5657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means the sum of the aggregate amount of cash and Cash Equivalents held in accounts of the Borrower and the Subsidiaries reflected in the combined consolidated balance sheet of the Borrower and the Subsidiaries to the extent that (a) it would not appear as “restricted” on the combined consolidated balance sheet of the Borrower and the Subsidiaries (unless such appearance is related to the Credit Documents (or the Liens created thereunder)), (b) it is not subject to any Lien (other than Permitted Liens) in favor of any Person other than the Collateral Agent for the benefit of the Secured Parties or (c) for purposes of calculating any of the First Lien Net Leverage Ratio or the Total Net Leverage Ratio, it does not represent the cash proceeds of any Indebtedness then being incurred.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Subsidiary</w:t>
      </w:r>
      <w:r>
        <w:rPr>
          <w:rFonts w:ascii="Arial" w:cs="Arial" w:eastAsia="Arial" w:hAnsi="Arial"/>
          <w:sz w:val="16"/>
          <w:szCs w:val="16"/>
          <w:color w:val="auto"/>
        </w:rPr>
        <w:t xml:space="preserve">” means, as of any date, collectively and individually, any direct or indirect subsidiary (determined in accordance with the definition of “Subsidiary” but without giving effect to clause (b) of the last sentence thereof) of the Borrower identified by the Borrower in writing to the Administrative Agent as being an “Unrestricted Subsidiary” pursuant to Section 5.13;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except to the extent provided in Section 5.13, no Subsidiary may be designated (or re-designated) as an Unrestricted Subsidiary and (b) no Person may be designated as an “Unrestricted Subsidiary” if such Person is not an “Unrestricted Subsidiary” or is a “Guarantor” under any agreement, document or instrument evidencing any Incremental Equivalent Debt, Credit Agreement Refinancing Indebtedness or other Material Indebtedness of the Borrower or any of its Subsidiaries, or any Permitted Refinancing in respect of the foregoing, or has otherwise guaranteed or given assurances of payment or performance under or in respect of any such Indebtedness. For purposes of calculating Investments permitted under Section 6.6, (i) the designation of any Subsidiary as an “Unrestricted Subsidiary” will constitute an Investment in an amount equal to the fair market value of such Subsidiary, determined as of the date of such designation by the Borrower in its good faith and reasonable business judgment and (ii) the aggregate amount of all Investments permitted to be made in all “Unrestricted Subsidiaries” will be limited as provided in Section 6.6. The designation of any Unrestricted Subsidiary as a Subsidiary shall constitute the incurrence at the time of designation of any Indebtedness or Liens of such Subsidiary existing at such time and (except for purposes of the calculation of a return on Investment pursuant to clause (vi) of the definition of Available Amount) a return on any Investment by the Borrower in Unrestricted Subsidiaries pursuant to the preceding sentence in an amount equal to the fair market value as determined by the Borrower in good faith at the date of such designation of the Borrower’s or its Subsidiary’s (as applicable) Investment in such Subsidiary. On the Closing Date, immediately after giving effect to the Transactions, there are no Unrestricted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means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U.S. Government Securities Business Day</w:t>
      </w:r>
      <w:r>
        <w:rPr>
          <w:rFonts w:ascii="Arial" w:cs="Arial" w:eastAsia="Arial" w:hAnsi="Arial"/>
          <w:sz w:val="18"/>
          <w:szCs w:val="18"/>
          <w:u w:val="single" w:color="auto"/>
          <w:color w:val="0000FF"/>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-295910</wp:posOffset>
            </wp:positionV>
            <wp:extent cx="67208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16719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means each Lender that is a United States person as defined in Section 7701(a)(30) of the Internal Revenue Code.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Capital Stock</w:t>
      </w:r>
      <w:r>
        <w:rPr>
          <w:rFonts w:ascii="Arial" w:cs="Arial" w:eastAsia="Arial" w:hAnsi="Arial"/>
          <w:sz w:val="16"/>
          <w:szCs w:val="16"/>
          <w:color w:val="auto"/>
        </w:rPr>
        <w:t>” means, with respect to any Person, shares of such Person’s Capital Stock having the right to vote for the election of directors of such Person and any other Capital Stock of such Person treated as voting stock for purposes of Treasury Regulation Section 1.956-2(c)(2).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as defined in Section 2.15(e).</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then-outstanding principal amount of such Indebtedness.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w:t>
      </w:r>
      <w:r>
        <w:rPr>
          <w:rFonts w:ascii="Arial" w:cs="Arial" w:eastAsia="Arial" w:hAnsi="Arial"/>
          <w:sz w:val="18"/>
          <w:szCs w:val="18"/>
          <w:color w:val="auto"/>
        </w:rPr>
        <w:t>” means, with respect to a Subsidiary of a Person, a Subsidiary of such Person all of the outstanding Capital Stock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1.2 Accounting Terms</w:t>
      </w:r>
      <w:r>
        <w:rPr>
          <w:rFonts w:ascii="Arial" w:cs="Arial" w:eastAsia="Arial" w:hAnsi="Arial"/>
          <w:sz w:val="17"/>
          <w:szCs w:val="17"/>
          <w:color w:val="auto"/>
        </w:rPr>
        <w:t>. Except as otherwise expressly provided herein, all accounting terms not otherwise defined herein will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meanings assigned to them in conformity with GAAP. Financial statements and other information required to be delivered by the Borrower to the Lenders pursuant to Sections 5.1(a) and 5.1(b) will be prepared in accordance with GAAP as in effect at the time of such preparation (and delivered together with the reconciliation statements provided for in Section 5.1(f), if applicable). If at any time any change in GAAP would affect the computation of any financial ratio or financial requirement, or compliance with any covenant, set forth in any Credit Document, and either the Borrower or the Required Lenders will so request, the Administrative Agent, the Lenders and the Borrower will negotiate in good faith to amend such ratio, requirement or covenant to preserve the original intent thereof in light of such change in GAAP (subject to the approval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until so amended, (a) such ratio, requirement or covenant will continue to be computed in accordance with GAAP prior to such change therein and (b) the Borrower will provide to the Administrative Agent and the Lenders reconciliation statements to the extent provided in Section 5.1(f), if applicable. Notwithstanding any other provision contained herein, all terms of an accounting or financial nature used herein will be construed, and all computations of amounts and ratios referred to in Section 5 and Section 6 will be made, without giving effect to any election under Accounting Standards Codification 825-10 (or any other Financial Accounting Standard having a similar result or effect) to value any Indebtedness or other Liabilities of any Credit Party or any Subsidiary of any Credit Party at “fair value.” Subject to the foregoing, calculations in connection with the definitions, covenants and other provisions hereof may utilize accounting principles and policies in conformity with those used to prepare the Historical Financial Statements, including those identified as exceptions to generally accepted accounting principles in the definition of “GAAP.”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1.3 Interpretation, etc. </w:t>
      </w:r>
      <w:r>
        <w:rPr>
          <w:rFonts w:ascii="Arial" w:cs="Arial" w:eastAsia="Arial" w:hAnsi="Arial"/>
          <w:sz w:val="17"/>
          <w:szCs w:val="17"/>
          <w:color w:val="auto"/>
        </w:rPr>
        <w:t>Any of the terms defined herein may, unless the context otherwise requires, be used in the singular or the plural,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depending on the reference. References to “hereof” or “herein” mean of or in this Agreement, as applicable. References herein to any Section, Appendix, Schedule or Exhibit will be to a Section, an Appendix, a Schedule or an Exhibit, as the case may be, hereof unless otherwise specifically provided. The use herein of the word “include” or “including,” when following any general statement, term or matter, will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will be deemed to refer to all other items or matters that fall within the broadest possible scope of such general statement, term or matter. The terms lease and license will include sub-lease and sub-license, as applicable. Unless the context requires otherwise, any definition of or reference to any agreement, instrument or other document (including any Organizational Document) will be construed as referring to such agreement, instrument or other document as from time to time amended, supplemented or otherwise modified (subject to any restrictions on such amendments, supplements or modifications set forth herein or in any other Credit Document). Any reference herein to any Person will be construed to include such Person’s successors and permitted assigns. The words “asset” and “property” will be construed to have the same meaning and effect. The word “will” shall be construed to have the same meaning and effect as the word “shall.” Any reference to any law or regulation will (i) include all statutory and regulatory provisions consolidating, replacing or interpreting or supplementing such law or regulation and (ii) unless otherwise specified, refer to such law or regulation as amended, modified or supplemented from time to time. This Section 1.3 will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all Credit Documents.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1.4 Certifications</w:t>
      </w:r>
      <w:r>
        <w:rPr>
          <w:rFonts w:ascii="Arial" w:cs="Arial" w:eastAsia="Arial" w:hAnsi="Arial"/>
          <w:sz w:val="18"/>
          <w:szCs w:val="18"/>
          <w:color w:val="auto"/>
        </w:rPr>
        <w:t>. Any certificate or other writing required hereunder or under any other Credit Document to be certified by any officer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any Person will be deemed to be executed and delivered by such officer or other authorized representative solely in such individual’s capacity as an officer or other authorized representative of such Person and not in such officer’s or other authorized representative’s individual capacity.</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1.5 Limited Condition Acquisitions</w:t>
      </w:r>
      <w:r>
        <w:rPr>
          <w:rFonts w:ascii="Arial" w:cs="Arial" w:eastAsia="Arial" w:hAnsi="Arial"/>
          <w:sz w:val="16"/>
          <w:szCs w:val="16"/>
          <w:color w:val="auto"/>
        </w:rPr>
        <w:t>. Notwithstanding anything in this Agreement or any Credit Document to the contrary, when (a)(i)</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calculating any applicable ratio or the use of any basket (including baskets measured as a percentage of LTM Consolidated Adjusted EBITDA), (ii) determining the accuracy of the representations and warranties set forth in Section 4 hereof or (iii) determining satisfaction of any conditions precedent or</w:t>
      </w:r>
    </w:p>
    <w:p>
      <w:pPr>
        <w:spacing w:after="0" w:line="2" w:lineRule="exact"/>
        <w:rPr>
          <w:sz w:val="20"/>
          <w:szCs w:val="20"/>
          <w:color w:val="auto"/>
        </w:rPr>
      </w:pPr>
    </w:p>
    <w:p>
      <w:pPr>
        <w:jc w:val="both"/>
        <w:ind w:firstLine="8"/>
        <w:spacing w:after="0" w:line="283"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determining compliance with any provision that requires that no Default or Event of Default has occurred, is continuing or would result therefrom, in the case of each of clauses (a) and (b) in connection with a Limited Condition Acquisition, the date of determination of such ratio and determination of such compliance will, at the option of the Borrower (the Borrower’s election to exercise such option in connection with any Limited Condition Acquisition, an “</w:t>
      </w:r>
      <w:r>
        <w:rPr>
          <w:rFonts w:ascii="Arial" w:cs="Arial" w:eastAsia="Arial" w:hAnsi="Arial"/>
          <w:sz w:val="16"/>
          <w:szCs w:val="16"/>
          <w:b w:val="1"/>
          <w:bCs w:val="1"/>
          <w:color w:val="auto"/>
        </w:rPr>
        <w:t>LCA Election</w:t>
      </w:r>
      <w:r>
        <w:rPr>
          <w:rFonts w:ascii="Arial" w:cs="Arial" w:eastAsia="Arial" w:hAnsi="Arial"/>
          <w:sz w:val="16"/>
          <w:szCs w:val="16"/>
          <w:color w:val="auto"/>
        </w:rPr>
        <w:t>”), be deemed to be the date the definitive agreements for such Limited Condition Acquisition are entered into (the “</w:t>
      </w:r>
      <w:r>
        <w:rPr>
          <w:rFonts w:ascii="Arial" w:cs="Arial" w:eastAsia="Arial" w:hAnsi="Arial"/>
          <w:sz w:val="16"/>
          <w:szCs w:val="16"/>
          <w:b w:val="1"/>
          <w:bCs w:val="1"/>
          <w:color w:val="auto"/>
        </w:rPr>
        <w:t>LCA Test Date</w:t>
      </w:r>
      <w:r>
        <w:rPr>
          <w:rFonts w:ascii="Arial" w:cs="Arial" w:eastAsia="Arial" w:hAnsi="Arial"/>
          <w:sz w:val="16"/>
          <w:szCs w:val="16"/>
          <w:color w:val="auto"/>
        </w:rPr>
        <w:t>”). If on a Pro Forma Basis after giving effect to such Limited Condition Acquisition and any other Specified Transactions to be entered into in connection therewith (including any incurrence of Indebtedness and the use of proceeds thereof) calculated as if such Limited Condition Acquisition or other transactions had occurred at the beginning of the most recently ended Test Period ending prior to the LCA Test Date for which financial statements are delivered (or were required to have been delivered), the Borrower could have taken such action on the relevant LCA Test Date in compliance with the applicable ratios, then such provisions will be deemed to have been complied with, unless an Event of Default pursuant to Section 8.1(a), (f) or (g) will be continuing on the date such Limited Condition Acquisition is consummated. For the avoidance of doubt, (i) if any of such ratios are exceeded as a result of fluctuations in such ratio (including due to fluctuations in LTM Consolidated Adjusted EBITDA, Consolidated Adjusted EBITDA or Consolidated Current Assets) at or prior to the consummation of the relevant Limited Condition Acquisition, such ratios and other provisions will not be deemed to have been exceeded as a result of such fluctuations solely for purposes of determining whether the Limited Condition Acquisition is permitted hereunder and (ii) such ratios and compliance with such conditions will not be tested at the time of consummation of such Limited Condition Acquisition or related Specified Transactions, unless an Event of Default pursuant to Section 8.1(a), (f) or (g) will be continuing.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will be calculated and tested (x) assuming such Limited Condition Acquisition and other transactions in connection therewith (including any incurrence of Indebtedness and the use of proceeds thereof and the use of cash which would have otherwise constituted Unrestricted Cash for the purpose of calculating any applicable ratio) have not been consummated and (y) on a Pro Forma Basis assuming such Limited Condition Acquisition and other transactions in connection therewith (including any incurrence of Indebtedness and the use of proceeds thereof and the use of cash which would have otherwise constituted Unrestricted Cash for the purpose of calculating any applicable ratio) have been consummated, until such time as the applicable Limited Condition Acquisition has actually closed or the definitive agreement with respect thereto has been terminated or expires.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left="660"/>
        <w:spacing w:after="0"/>
        <w:tabs>
          <w:tab w:leader="none" w:pos="1060" w:val="left"/>
        </w:tabs>
        <w:rPr>
          <w:sz w:val="20"/>
          <w:szCs w:val="20"/>
          <w:color w:val="auto"/>
        </w:rPr>
      </w:pPr>
      <w:r>
        <w:rPr>
          <w:rFonts w:ascii="Arial" w:cs="Arial" w:eastAsia="Arial" w:hAnsi="Arial"/>
          <w:sz w:val="18"/>
          <w:szCs w:val="18"/>
          <w:b w:val="1"/>
          <w:bCs w:val="1"/>
          <w:u w:val="single" w:color="auto"/>
          <w:color w:val="0000FF"/>
        </w:rPr>
        <w:t>1.6</w:t>
      </w:r>
      <w:r>
        <w:rPr>
          <w:sz w:val="20"/>
          <w:szCs w:val="20"/>
          <w:color w:val="auto"/>
        </w:rPr>
        <w:tab/>
      </w:r>
      <w:r>
        <w:rPr>
          <w:rFonts w:ascii="Arial" w:cs="Arial" w:eastAsia="Arial" w:hAnsi="Arial"/>
          <w:sz w:val="16"/>
          <w:szCs w:val="16"/>
          <w:b w:val="1"/>
          <w:bCs w:val="1"/>
          <w:u w:val="single" w:color="auto"/>
          <w:color w:val="0000FF"/>
        </w:rPr>
        <w:t>Benchmark Rates</w:t>
      </w:r>
      <w:r>
        <w:rPr>
          <w:rFonts w:ascii="Arial" w:cs="Arial" w:eastAsia="Arial" w:hAnsi="Arial"/>
          <w:sz w:val="16"/>
          <w:szCs w:val="16"/>
          <w:u w:val="single" w:color="auto"/>
          <w:color w:val="0000FF"/>
        </w:rPr>
        <w:t>. The Administrative Agent does not warrant or accept responsibility for, and shall not have any liability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7208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7" w:lineRule="exact"/>
        <w:rPr>
          <w:sz w:val="20"/>
          <w:szCs w:val="20"/>
          <w:color w:val="auto"/>
        </w:rPr>
      </w:pPr>
    </w:p>
    <w:p>
      <w:pPr>
        <w:jc w:val="both"/>
        <w:ind w:firstLine="8"/>
        <w:spacing w:after="0" w:line="269" w:lineRule="auto"/>
        <w:tabs>
          <w:tab w:leader="none" w:pos="250" w:val="left"/>
        </w:tabs>
        <w:numPr>
          <w:ilvl w:val="0"/>
          <w:numId w:val="6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continuation of, administration of, submission of, calculation of or any other matter related to Base Rate, the Term SOFR Reference Rate, Adjusted Term SOFR, Term SOFR, SOFR, any other Benchmark, or any component definition thereof or rates referred to in the definition thereof, or any alternative, comparable, replacement or successor rate thereto, including whether the composition or characteristics of any such alternative, comparable, replacement or successor rate will be similar to, or produce the same value or economic equivalence of, or have the same volume or liquidity as, Base Rate, the Term SOFR Reference Rate, Adjusted Term SOFR, Term SOFR, SOFR, or any other Benchmark prior to its discontinuance or unavailability, or (b) the effect, implementation or composition of any Conforming Changes made to this Agreement or any other Credit Document with respect to the implementation or replacement of any of the aforementioned benchmark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27260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0000FF"/>
        </w:rPr>
        <w:t>The Administrative Agent and its affiliates or other related entities may engage in transactions that affect the calculation of Base Rate, the Term SOFR Reference Rate, Term SOFR, Adjusted Term SOFR, any alternative, successor or replacement rate thereto, or any relevant adjustments thereto, in each case, in a manner adverse to the Borrower, the Lenders or any other party to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-294005</wp:posOffset>
            </wp:positionV>
            <wp:extent cx="67208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47491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u w:val="single" w:color="auto"/>
          <w:color w:val="0000FF"/>
        </w:rPr>
        <w:t>The Administrative Agent may select information sources or services in its reasonable discretion to ascertain Base Rate, the Term SOFR Reference Rate, SOFR, Term SOFR, Adjusted Term SOFR or any other Benchmark, in each case pursuant to the terms of this Agreement and the other Credit Documents, and shall have no liability to the Borrower, any Lender or any other person or entity for damages of any kind, including direct or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-280670</wp:posOffset>
            </wp:positionV>
            <wp:extent cx="67208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special, punitive, incidental or consequential damages, costs, losses or expenses (whether in tort, contract or otherwise and whether at law or in equity),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232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LOANS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70" w:lineRule="auto"/>
        <w:tabs>
          <w:tab w:leader="none" w:pos="162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Initial Term B Loan Commitments</w:t>
      </w:r>
      <w:r>
        <w:rPr>
          <w:rFonts w:ascii="Arial" w:cs="Arial" w:eastAsia="Arial" w:hAnsi="Arial"/>
          <w:sz w:val="17"/>
          <w:szCs w:val="17"/>
          <w:color w:val="auto"/>
        </w:rPr>
        <w:t xml:space="preserve">. Subject to the terms and conditions hereof, each Lender identified on Appendix A-1 hereto severally agrees to make, on the Closing Date, an Initial Term B Loan to the Borrower in an amount equal to such Lender’s Initial Term B Loan Commitment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will deliver to Administrative Agent on behalf of the Lenders a fully executed Funding Notice no later than 12:00 p.m. (New York City time) at least one (1) Business Day in advance of the proposed funding date, and in any case which Funding Notice may be conditional on consummation of the Acquisition. The Borrower may make only one borrowing under the Initial Term B Loan Commitment, which will be on the Closing Date. Any amount borrowed under this Section 2.1(a) and subsequently repaid or prepaid may not be reborrowed. Subject to Sections 2.12, 2.13 and 2.14, all amounts owed hereunder with respect to the Initial Term B Loans will be paid in full no later than the applicable Term Loan Maturity Date. Each Lender’s Initial Term B Loan Commitment shall terminate immediately and without further action on the Closing Date after giving effect to the funding of such Lender’s Initial Term B Loan Commitment on such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1142"/>
        <w:spacing w:after="0" w:line="269" w:lineRule="auto"/>
        <w:tabs>
          <w:tab w:leader="none" w:pos="159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Term C Loan Commitments</w:t>
      </w:r>
      <w:r>
        <w:rPr>
          <w:rFonts w:ascii="Arial" w:cs="Arial" w:eastAsia="Arial" w:hAnsi="Arial"/>
          <w:sz w:val="17"/>
          <w:szCs w:val="17"/>
          <w:color w:val="auto"/>
        </w:rPr>
        <w:t xml:space="preserve">. Subject to the terms and conditions hereof, each Lender identified on Appendix A-2 hereto severally agrees to make, on the Closing Date, a Term C Loan to the Borrower in an amount equal to such Lender’s Term C Loan Commitment as of such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will deliver to Administrative Agent on behalf of the Lenders a fully executed Funding Notice no later than 12:00 p.m.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City time) at least one (1) Business Day in advance of the proposed funding date, and in any case which Funding Notice may be conditional on consummation of the Acquisition. The Borrower may make only one borrowing under the Term C Loan Commitment, which will be on the Closing Date. Any amount borrowed under this Section 2.1(b) and subsequently repaid or prepaid may not be reborrowed. Subject to Sections 2.12, 2.13 and 2.14, all amounts owed hereunder with respect to the Term C Loans will be paid in full no later than the applicable Term Loan Maturity Date. Each Lender’s Term C Loan Commitment shall terminate immediately and without further action on the Closing Date after giving effect to the funding of such Lender’s Term C Loan Commitment on such date. Notwithstanding the forgoing or anything else in this Agreement or the other Credit Documents to the contrary, it is understood that the amount of the Term C Loan Commitments as of the Closing Date is $0 and no Term C Loans were borrowed by the Borrower on the Closing Date and the other provisions in this Agreement regarding the Term C Loans (including the provisions regarding a Term C Loan Payment Event of Default and Term C Loan Payment Cross Default) shall be inoperative.</w:t>
      </w:r>
    </w:p>
    <w:p>
      <w:pPr>
        <w:spacing w:after="0" w:line="17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Pro Rata Shares; Availability of Funds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7" w:lineRule="auto"/>
        <w:tabs>
          <w:tab w:leader="none" w:pos="153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Pro Rata Shares</w:t>
      </w:r>
      <w:r>
        <w:rPr>
          <w:rFonts w:ascii="Arial" w:cs="Arial" w:eastAsia="Arial" w:hAnsi="Arial"/>
          <w:sz w:val="18"/>
          <w:szCs w:val="18"/>
          <w:color w:val="auto"/>
        </w:rPr>
        <w:t>. All Loans will be made, and all participations will be purchased, by the Lenders simultaneously and proportionately to their respective Pro Rata Shares. No Lender will be responsible for any default by any other Lender in such other Lender’s obligation to make a Loan requested hereunder or purchase a participation required hereby nor will any Term Loan Commitment or any Incremental Revolving Credit Commitment of any Lender be increased or decreased as a result of a default by any other Lender in such other Lender’s obligation to make a Loan requested hereunder or purchase a participation required hereby.</w:t>
      </w:r>
    </w:p>
    <w:p>
      <w:pPr>
        <w:spacing w:after="0" w:line="187" w:lineRule="exact"/>
        <w:rPr>
          <w:rFonts w:ascii="Arial" w:cs="Arial" w:eastAsia="Arial" w:hAnsi="Arial"/>
          <w:sz w:val="18"/>
          <w:szCs w:val="18"/>
          <w:color w:val="auto"/>
        </w:rPr>
      </w:pPr>
    </w:p>
    <w:p>
      <w:pPr>
        <w:jc w:val="both"/>
        <w:ind w:firstLine="1142"/>
        <w:spacing w:after="0" w:line="268" w:lineRule="auto"/>
        <w:tabs>
          <w:tab w:leader="none" w:pos="1548"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Availability of Funds</w:t>
      </w:r>
      <w:r>
        <w:rPr>
          <w:rFonts w:ascii="Arial" w:cs="Arial" w:eastAsia="Arial" w:hAnsi="Arial"/>
          <w:sz w:val="17"/>
          <w:szCs w:val="17"/>
          <w:color w:val="auto"/>
        </w:rPr>
        <w:t>. Unless the Administrative Agent will have been notified by any Lender prior to the applicable Credit Date that such Lender does not intend to make available to the Administrative Agent the amount of such Lender’s Loan requested on such Credit Date, the Administrative Agent may assume that such Lender has made such amount available to the Administrative Agent on such Credit Date and the Administrative Agent may, in its sole discretion, but will not be obligated to, make available to the Borrower a corresponding amount on such Credit Date. If such corresponding amount is not in fact made available to the Administrative Agent by such Lender, the Administrative Agent will be entitled to recover such corresponding amount on demand from such Lender together with interest thereon, for each day from such Credit Date until the date such amount is paid to the Administrative Agent, at the customary rate set by the Administrative Agent for the correction of errors among banks for three (3) Business Days and thereafter at the Base Rate. If such Lender does not pay such corresponding amount forthwith upon the Administrative Agent’s demand therefor, the Administrative Agent will promptly notify the Borrower and the Borrower will immediately pay such corresponding amount to the Administrative Agent together with interest thereon, for each day from such Credit Date until the date such amount is paid to the Administrative Agent, at the rate payable hereunder for Base Rate Loans for such Class of Loans. Nothing in this Section 2.5(b) will be deemed to relieve any Lender from its obligation to fulfill its Term Loan Commitments and Incremental Revolving Credit Commitments hereunder or to prejudice any rights that the Borrower may have against any Lender as a result of any default by such Lender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ind w:left="660"/>
        <w:spacing w:after="0"/>
        <w:tabs>
          <w:tab w:leader="none" w:pos="10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firstLine="1142"/>
        <w:spacing w:after="0" w:line="277" w:lineRule="auto"/>
        <w:tabs>
          <w:tab w:leader="none" w:pos="15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proceeds of the Initial Term B Loans will be used to consummate the Transactions. The proceeds of any Term C Loans will be used to consummate the Transactions.</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5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portion of the proceeds of or draws related to any Credit Extension will be used to purchase or carry Margin Stock or in any manner that causes or might cause such Credit Extension or the application of such proceeds to violate Regulation T, Regulation U or Regulation X of the Board of Governors or any other regulation thereof or to violate the Exchange Act.</w:t>
      </w:r>
    </w:p>
    <w:p>
      <w:pPr>
        <w:spacing w:after="0" w:line="183" w:lineRule="exact"/>
        <w:rPr>
          <w:rFonts w:ascii="Arial" w:cs="Arial" w:eastAsia="Arial" w:hAnsi="Arial"/>
          <w:sz w:val="18"/>
          <w:szCs w:val="18"/>
          <w:color w:val="auto"/>
        </w:rPr>
      </w:pPr>
    </w:p>
    <w:p>
      <w:pPr>
        <w:jc w:val="both"/>
        <w:ind w:firstLine="1142"/>
        <w:spacing w:after="0" w:line="269" w:lineRule="auto"/>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Credit Party, nor any of its Controlled Entities or any of their respective directors and officers, will directly or, to its knowledge, indirectly use any part of any proceeds of any Credit Extension or lend, contribute, or otherwise make available such proceeds to any Person (a) to fund or facilitate any activities or business of or with any Person that, at the time of such funding or facilitation, is the subject or the target of applicable Sanctions except to the extent authorized or permissible for a Person required to comply with Sanctions, (b) to fund or facilitate any activities or business of or in any Sanctioned Country except to the extent authorized or permissible for a Person required to comply with applicable Sanctions or (c) in any other manner that, in each case, will result in a violation by any Credit Party or any of its Controlled Entities of Sanctions. No part of the proceeds of any Credit Extension will be used by any Credit Party or any of its Controlled Entities,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by any Credit Party or any of its Controlled Entities of the FCPA or in material violation by any Credit Party or any of its Controlled Entities of any other Anti-Corruption Laws.</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Evidence of Debt; Register; Disqualified Lender List; Term Loan Notes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75" w:lineRule="auto"/>
        <w:tabs>
          <w:tab w:leader="none" w:pos="162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Evidence of Debt</w:t>
      </w:r>
      <w:r>
        <w:rPr>
          <w:rFonts w:ascii="Arial" w:cs="Arial" w:eastAsia="Arial" w:hAnsi="Arial"/>
          <w:sz w:val="17"/>
          <w:szCs w:val="17"/>
          <w:color w:val="auto"/>
        </w:rPr>
        <w:t xml:space="preserve">. Each Lender will maintain on its internal records an account or accounts evidencing the Indebtedness of the Borrower to such Lender, including the amounts of the Loans made by it and each repayment and prepayment in respect thereof. Any such recordation will be conclusive and binding on the Borrower,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make any such recordation, or any error in such recordation, will not affect any Lender’s Commitments or the Borrower’s Obligations in respect of any applicable Loans;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in the event of any inconsistency between the Register and any Lender’s records, the recordations in the Register will govern.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1142"/>
        <w:spacing w:after="0" w:line="269" w:lineRule="auto"/>
        <w:tabs>
          <w:tab w:leader="none" w:pos="159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will maintain a register for the recordation of the names and addresses of the Lenders and the Commitments and the Loans of each Lender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The Register will be available for inspection by the Borrower or any Lender (with respect to any entry relating to such Lender’s Loans) at any reasonable time from time to time upon reasonable prior notice. The Administrative Agent will record in the Register the Loans and the Commitments, the principal amounts (and stated interest) of the Loans owing to, each Lender pursuant to the terms hereof from to time and each repayment or prepayment in respect of the principal amount of the Loans, and any such recordation will be conclusive and binding on the Borrower and each Lender,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make any such recordation, or any error in such recordation, will not affect any Lender’s Commitments or the Borrower’s Obligations in respect of any Loan. The Borrower hereby designates the Administrative Agent to serve as the Borrower’s agent solely for purposes of maintaining the Register as provided in this Section 2.7, and the Borrower hereby agrees that, to the extent the Administrative Agent serves in such capacity, the Administrative Agent and its officers, directors, employees, agents and affiliates will constitute “Indemnitees.”</w:t>
      </w:r>
    </w:p>
    <w:p>
      <w:pPr>
        <w:spacing w:after="0" w:line="185" w:lineRule="exact"/>
        <w:rPr>
          <w:rFonts w:ascii="Arial" w:cs="Arial" w:eastAsia="Arial" w:hAnsi="Arial"/>
          <w:sz w:val="17"/>
          <w:szCs w:val="17"/>
          <w:color w:val="auto"/>
        </w:rPr>
      </w:pPr>
    </w:p>
    <w:p>
      <w:pPr>
        <w:jc w:val="both"/>
        <w:ind w:firstLine="1142"/>
        <w:spacing w:after="0" w:line="296" w:lineRule="auto"/>
        <w:tabs>
          <w:tab w:leader="none" w:pos="151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Disqualified Lender List</w:t>
      </w:r>
      <w:r>
        <w:rPr>
          <w:rFonts w:ascii="Arial" w:cs="Arial" w:eastAsia="Arial" w:hAnsi="Arial"/>
          <w:sz w:val="16"/>
          <w:szCs w:val="16"/>
          <w:color w:val="auto"/>
        </w:rPr>
        <w:t>. The list of Disqualified Lenders will be available to the Lenders and other Agents upon written request to the Borrower and the Administrative Agent. The parties to this Agreement hereby acknowledge and agree that the Administrative Agent will not be deemed to be in default under this Agreement or to have any duty or responsibility or to incur any liabilities as a result of a breach of this Section 2.7(c), nor will the Administrative Agent have any duty, responsibility or liability to monitor or enforce assignments, participations or other actions in respect of Disqualified Lenders, inquire as to whether any Person is a Disqualified Lender or otherwise take (or omit to take) any action with respect thereto.</w:t>
      </w:r>
    </w:p>
    <w:p>
      <w:pPr>
        <w:spacing w:after="0" w:line="161" w:lineRule="exact"/>
        <w:rPr>
          <w:rFonts w:ascii="Arial" w:cs="Arial" w:eastAsia="Arial" w:hAnsi="Arial"/>
          <w:sz w:val="16"/>
          <w:szCs w:val="16"/>
          <w:color w:val="auto"/>
        </w:rPr>
      </w:pPr>
    </w:p>
    <w:p>
      <w:pPr>
        <w:jc w:val="both"/>
        <w:ind w:firstLine="1142"/>
        <w:spacing w:after="0" w:line="257" w:lineRule="auto"/>
        <w:tabs>
          <w:tab w:leader="none" w:pos="155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 Loan Notes</w:t>
      </w:r>
      <w:r>
        <w:rPr>
          <w:rFonts w:ascii="Arial" w:cs="Arial" w:eastAsia="Arial" w:hAnsi="Arial"/>
          <w:sz w:val="18"/>
          <w:szCs w:val="18"/>
          <w:color w:val="auto"/>
        </w:rPr>
        <w:t>. If so requested by any Lender by written notice to the Borrower (with a copy to the Administrative Agent) at least two (2) Business Days prior to the Closing Date, or at any time thereafter, the Borrower will execute and deliver to such Lender (and/or, if applicable and if so specified in such notice, to any Person who is an assignee of such Lender pursuant to Section 10.6) on the Closing Date (or, if such notice is delivered after the date that is three (3) Business Days prior to the Closing Date, promptly after the Borrower’s receipt of such notice) a Term Loan Note or Term Loan Notes to evidence such Lender’s Term Loan.</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Interest on Loans</w:t>
      </w:r>
      <w:r>
        <w:rPr>
          <w:rFonts w:ascii="Arial" w:cs="Arial" w:eastAsia="Arial" w:hAnsi="Arial"/>
          <w:sz w:val="16"/>
          <w:szCs w:val="16"/>
          <w:color w:val="auto"/>
        </w:rPr>
        <w:t>.</w:t>
      </w:r>
    </w:p>
    <w:p>
      <w:pPr>
        <w:spacing w:after="0" w:line="229" w:lineRule="exact"/>
        <w:rPr>
          <w:sz w:val="20"/>
          <w:szCs w:val="20"/>
          <w:color w:val="auto"/>
        </w:rPr>
      </w:pPr>
    </w:p>
    <w:p>
      <w:pPr>
        <w:ind w:firstLine="1142"/>
        <w:spacing w:after="0" w:line="277" w:lineRule="auto"/>
        <w:tabs>
          <w:tab w:leader="none" w:pos="15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otherwise set forth herein, each Class of Loans will bear interest on the unpaid principal amount thereof from the date made through repayment (whether by acceleration or otherwise) thereof as follows: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60" w:type="dxa"/>
            <w:vAlign w:val="bottom"/>
            <w:tcBorders>
              <w:top w:val="single" w:sz="8" w:color="auto"/>
              <w:left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20" w:type="dxa"/>
            <w:vAlign w:val="bottom"/>
            <w:tcBorders>
              <w:top w:val="single" w:sz="8" w:color="auto"/>
              <w:right w:val="single" w:sz="8" w:color="auto"/>
            </w:tcBorders>
            <w:gridSpan w:val="5"/>
          </w:tcPr>
          <w:p>
            <w:pPr>
              <w:spacing w:after="0" w:line="192" w:lineRule="exact"/>
              <w:rPr>
                <w:sz w:val="20"/>
                <w:szCs w:val="20"/>
                <w:color w:val="auto"/>
              </w:rPr>
            </w:pPr>
            <w:r>
              <w:rPr>
                <w:rFonts w:ascii="Arial" w:cs="Arial" w:eastAsia="Arial" w:hAnsi="Arial"/>
                <w:sz w:val="18"/>
                <w:szCs w:val="18"/>
                <w:b w:val="1"/>
                <w:bCs w:val="1"/>
                <w:color w:val="auto"/>
              </w:rPr>
              <w:t>Class of Loans</w:t>
            </w: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080" w:type="dxa"/>
            <w:vAlign w:val="bottom"/>
            <w:tcBorders>
              <w:top w:val="single" w:sz="8" w:color="auto"/>
              <w:right w:val="single" w:sz="8" w:color="auto"/>
            </w:tcBorders>
            <w:gridSpan w:val="7"/>
          </w:tcPr>
          <w:p>
            <w:pPr>
              <w:jc w:val="right"/>
              <w:ind w:right="2480"/>
              <w:spacing w:after="0" w:line="192" w:lineRule="exact"/>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40"/>
        </w:trPr>
        <w:tc>
          <w:tcPr>
            <w:tcW w:w="1160" w:type="dxa"/>
            <w:vAlign w:val="bottom"/>
            <w:tcBorders>
              <w:left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5700" w:type="dxa"/>
            <w:vAlign w:val="bottom"/>
            <w:gridSpan w:val="8"/>
          </w:tcPr>
          <w:p>
            <w:pPr>
              <w:ind w:left="20"/>
              <w:spacing w:after="0" w:line="150" w:lineRule="exact"/>
              <w:rPr>
                <w:sz w:val="20"/>
                <w:szCs w:val="20"/>
                <w:color w:val="auto"/>
              </w:rPr>
            </w:pPr>
            <w:r>
              <w:rPr>
                <w:rFonts w:ascii="Arial" w:cs="Arial" w:eastAsia="Arial" w:hAnsi="Arial"/>
                <w:sz w:val="17"/>
                <w:szCs w:val="17"/>
                <w:color w:val="auto"/>
              </w:rPr>
              <w:t>Initial Term B Loans and Term C Loans that are Base Rate Loans</w:t>
            </w:r>
          </w:p>
        </w:tc>
        <w:tc>
          <w:tcPr>
            <w:tcW w:w="5540" w:type="dxa"/>
            <w:vAlign w:val="bottom"/>
            <w:tcBorders>
              <w:right w:val="single" w:sz="8" w:color="auto"/>
            </w:tcBorders>
            <w:gridSpan w:val="14"/>
          </w:tcPr>
          <w:p>
            <w:pPr>
              <w:spacing w:after="0" w:line="150" w:lineRule="exact"/>
              <w:rPr>
                <w:sz w:val="20"/>
                <w:szCs w:val="20"/>
                <w:color w:val="auto"/>
              </w:rPr>
            </w:pPr>
            <w:r>
              <w:rPr>
                <w:rFonts w:ascii="Arial" w:cs="Arial" w:eastAsia="Arial" w:hAnsi="Arial"/>
                <w:sz w:val="17"/>
                <w:szCs w:val="17"/>
                <w:color w:val="auto"/>
              </w:rPr>
              <w:t xml:space="preserve">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w:t>
            </w:r>
          </w:p>
        </w:tc>
        <w:tc>
          <w:tcPr>
            <w:tcW w:w="0" w:type="dxa"/>
            <w:vAlign w:val="bottom"/>
          </w:tcPr>
          <w:p>
            <w:pPr>
              <w:spacing w:after="0"/>
              <w:rPr>
                <w:sz w:val="1"/>
                <w:szCs w:val="1"/>
                <w:color w:val="auto"/>
              </w:rPr>
            </w:pP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520" w:type="dxa"/>
            <w:vAlign w:val="bottom"/>
            <w:gridSpan w:val="5"/>
          </w:tcPr>
          <w:p>
            <w:pPr>
              <w:ind w:left="20"/>
              <w:spacing w:after="0" w:line="169" w:lineRule="exact"/>
              <w:rPr>
                <w:sz w:val="20"/>
                <w:szCs w:val="20"/>
                <w:color w:val="auto"/>
              </w:rPr>
            </w:pPr>
            <w:r>
              <w:rPr>
                <w:rFonts w:ascii="Arial" w:cs="Arial" w:eastAsia="Arial" w:hAnsi="Arial"/>
                <w:sz w:val="18"/>
                <w:szCs w:val="18"/>
                <w:color w:val="auto"/>
                <w:w w:val="91"/>
              </w:rPr>
              <w:t>Initial Term B Loans and Term C Loans that are</w:t>
            </w:r>
          </w:p>
        </w:tc>
        <w:tc>
          <w:tcPr>
            <w:tcW w:w="1140" w:type="dxa"/>
            <w:vAlign w:val="bottom"/>
          </w:tcPr>
          <w:p>
            <w:pPr>
              <w:spacing w:after="0" w:line="169" w:lineRule="exact"/>
              <w:rPr>
                <w:sz w:val="20"/>
                <w:szCs w:val="20"/>
                <w:color w:val="auto"/>
              </w:rPr>
            </w:pPr>
            <w:r>
              <w:rPr>
                <w:rFonts w:ascii="Arial" w:cs="Arial" w:eastAsia="Arial" w:hAnsi="Arial"/>
                <w:sz w:val="18"/>
                <w:szCs w:val="18"/>
                <w:color w:val="FF0000"/>
                <w:strike w:val="1"/>
                <w:w w:val="89"/>
              </w:rPr>
              <w:t>Eurodollar Rate</w:t>
            </w:r>
          </w:p>
        </w:tc>
        <w:tc>
          <w:tcPr>
            <w:tcW w:w="1040" w:type="dxa"/>
            <w:vAlign w:val="bottom"/>
            <w:gridSpan w:val="2"/>
          </w:tcPr>
          <w:p>
            <w:pPr>
              <w:spacing w:after="0" w:line="169" w:lineRule="exact"/>
              <w:rPr>
                <w:sz w:val="20"/>
                <w:szCs w:val="20"/>
                <w:color w:val="auto"/>
              </w:rPr>
            </w:pPr>
            <w:r>
              <w:rPr>
                <w:rFonts w:ascii="Arial" w:cs="Arial" w:eastAsia="Arial" w:hAnsi="Arial"/>
                <w:sz w:val="18"/>
                <w:szCs w:val="18"/>
                <w:color w:val="0000FF"/>
                <w:w w:val="96"/>
              </w:rPr>
              <w:t xml:space="preserve">SOFR </w:t>
            </w:r>
            <w:r>
              <w:rPr>
                <w:rFonts w:ascii="Arial" w:cs="Arial" w:eastAsia="Arial" w:hAnsi="Arial"/>
                <w:sz w:val="18"/>
                <w:szCs w:val="18"/>
                <w:color w:val="000000"/>
                <w:w w:val="96"/>
              </w:rPr>
              <w:t>Loans</w:t>
            </w: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FF0000"/>
                <w:strike w:val="1"/>
                <w:w w:val="89"/>
              </w:rPr>
              <w:t>Eurodollar Rate</w:t>
            </w:r>
          </w:p>
        </w:tc>
        <w:tc>
          <w:tcPr>
            <w:tcW w:w="4400" w:type="dxa"/>
            <w:vAlign w:val="bottom"/>
            <w:tcBorders>
              <w:right w:val="single" w:sz="8" w:color="auto"/>
            </w:tcBorders>
            <w:gridSpan w:val="9"/>
          </w:tcPr>
          <w:p>
            <w:pPr>
              <w:jc w:val="right"/>
              <w:ind w:right="840"/>
              <w:spacing w:after="0" w:line="169" w:lineRule="exact"/>
              <w:rPr>
                <w:sz w:val="20"/>
                <w:szCs w:val="20"/>
                <w:color w:val="auto"/>
              </w:rPr>
            </w:pPr>
            <w:r>
              <w:rPr>
                <w:rFonts w:ascii="Arial" w:cs="Arial" w:eastAsia="Arial" w:hAnsi="Arial"/>
                <w:sz w:val="18"/>
                <w:szCs w:val="18"/>
                <w:color w:val="0000FF"/>
                <w:w w:val="91"/>
              </w:rPr>
              <w:t xml:space="preserve">Adjusted Term SOFR </w:t>
            </w:r>
            <w:r>
              <w:rPr>
                <w:rFonts w:ascii="Arial" w:cs="Arial" w:eastAsia="Arial" w:hAnsi="Arial"/>
                <w:sz w:val="18"/>
                <w:szCs w:val="18"/>
                <w:i w:val="1"/>
                <w:iCs w:val="1"/>
                <w:color w:val="000000"/>
                <w:w w:val="91"/>
              </w:rPr>
              <w:t>plus</w:t>
            </w:r>
            <w:r>
              <w:rPr>
                <w:rFonts w:ascii="Arial" w:cs="Arial" w:eastAsia="Arial" w:hAnsi="Arial"/>
                <w:sz w:val="18"/>
                <w:szCs w:val="18"/>
                <w:color w:val="0000FF"/>
                <w:w w:val="91"/>
              </w:rPr>
              <w:t xml:space="preserve"> </w:t>
            </w:r>
            <w:r>
              <w:rPr>
                <w:rFonts w:ascii="Arial" w:cs="Arial" w:eastAsia="Arial" w:hAnsi="Arial"/>
                <w:sz w:val="18"/>
                <w:szCs w:val="18"/>
                <w:color w:val="000000"/>
                <w:w w:val="91"/>
              </w:rPr>
              <w:t>the Applicable Margin</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240" w:type="dxa"/>
            <w:vAlign w:val="bottom"/>
            <w:tcBorders>
              <w:right w:val="single" w:sz="8" w:color="auto"/>
            </w:tcBorders>
            <w:gridSpan w:val="22"/>
          </w:tcPr>
          <w:p>
            <w:pPr>
              <w:ind w:left="20"/>
              <w:spacing w:after="0" w:line="170" w:lineRule="exact"/>
              <w:rPr>
                <w:sz w:val="20"/>
                <w:szCs w:val="20"/>
                <w:color w:val="auto"/>
              </w:rPr>
            </w:pPr>
            <w:r>
              <w:rPr>
                <w:rFonts w:ascii="Arial" w:cs="Arial" w:eastAsia="Arial" w:hAnsi="Arial"/>
                <w:sz w:val="18"/>
                <w:szCs w:val="18"/>
                <w:color w:val="auto"/>
                <w:w w:val="91"/>
              </w:rPr>
              <w:t xml:space="preserve">Incremental Loans, Extended Term Loans or Refinancing Term Loans that areBase Rate </w:t>
            </w:r>
            <w:r>
              <w:rPr>
                <w:rFonts w:ascii="Arial" w:cs="Arial" w:eastAsia="Arial" w:hAnsi="Arial"/>
                <w:sz w:val="18"/>
                <w:szCs w:val="18"/>
                <w:i w:val="1"/>
                <w:iCs w:val="1"/>
                <w:color w:val="auto"/>
                <w:w w:val="91"/>
              </w:rPr>
              <w:t>plus</w:t>
            </w:r>
            <w:r>
              <w:rPr>
                <w:rFonts w:ascii="Arial" w:cs="Arial" w:eastAsia="Arial" w:hAnsi="Arial"/>
                <w:sz w:val="18"/>
                <w:szCs w:val="18"/>
                <w:color w:val="auto"/>
                <w:w w:val="91"/>
              </w:rPr>
              <w:t xml:space="preserve"> the applicable margin set forth in the applicable Incremental</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color w:val="auto"/>
              </w:rPr>
              <w:t>Base Rate Loans</w:t>
            </w:r>
          </w:p>
        </w:tc>
        <w:tc>
          <w:tcPr>
            <w:tcW w:w="554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Amendment, Extension Amendment or Refinancing Amendment.</w:t>
            </w:r>
          </w:p>
        </w:tc>
        <w:tc>
          <w:tcPr>
            <w:tcW w:w="0" w:type="dxa"/>
            <w:vAlign w:val="bottom"/>
          </w:tcPr>
          <w:p>
            <w:pPr>
              <w:spacing w:after="0"/>
              <w:rPr>
                <w:sz w:val="1"/>
                <w:szCs w:val="1"/>
                <w:color w:val="auto"/>
              </w:rPr>
            </w:pPr>
          </w:p>
        </w:tc>
      </w:tr>
      <w:tr>
        <w:trPr>
          <w:trHeight w:val="169"/>
        </w:trPr>
        <w:tc>
          <w:tcPr>
            <w:tcW w:w="5700" w:type="dxa"/>
            <w:vAlign w:val="bottom"/>
            <w:gridSpan w:val="8"/>
          </w:tcPr>
          <w:p>
            <w:pPr>
              <w:ind w:left="20"/>
              <w:spacing w:after="0" w:line="169" w:lineRule="exact"/>
              <w:rPr>
                <w:sz w:val="20"/>
                <w:szCs w:val="20"/>
                <w:color w:val="auto"/>
              </w:rPr>
            </w:pPr>
            <w:r>
              <w:rPr>
                <w:rFonts w:ascii="Arial" w:cs="Arial" w:eastAsia="Arial" w:hAnsi="Arial"/>
                <w:sz w:val="18"/>
                <w:szCs w:val="18"/>
                <w:color w:val="auto"/>
                <w:w w:val="90"/>
              </w:rPr>
              <w:t>Incremental Loans, Extended Term Loans or Refinancing Term Loans that are</w:t>
            </w:r>
          </w:p>
        </w:tc>
        <w:tc>
          <w:tcPr>
            <w:tcW w:w="1160" w:type="dxa"/>
            <w:vAlign w:val="bottom"/>
            <w:gridSpan w:val="6"/>
          </w:tcPr>
          <w:p>
            <w:pPr>
              <w:spacing w:after="0" w:line="169" w:lineRule="exact"/>
              <w:rPr>
                <w:sz w:val="20"/>
                <w:szCs w:val="20"/>
                <w:color w:val="auto"/>
              </w:rPr>
            </w:pPr>
            <w:r>
              <w:rPr>
                <w:rFonts w:ascii="Arial" w:cs="Arial" w:eastAsia="Arial" w:hAnsi="Arial"/>
                <w:sz w:val="18"/>
                <w:szCs w:val="18"/>
                <w:color w:val="FF0000"/>
                <w:strike w:val="1"/>
                <w:w w:val="91"/>
              </w:rPr>
              <w:t>Eurodollar Rate</w:t>
            </w:r>
          </w:p>
        </w:tc>
        <w:tc>
          <w:tcPr>
            <w:tcW w:w="4380" w:type="dxa"/>
            <w:vAlign w:val="bottom"/>
            <w:tcBorders>
              <w:right w:val="single" w:sz="8" w:color="auto"/>
            </w:tcBorders>
            <w:gridSpan w:val="8"/>
          </w:tcPr>
          <w:p>
            <w:pPr>
              <w:jc w:val="right"/>
              <w:ind w:right="20"/>
              <w:spacing w:after="0" w:line="169" w:lineRule="exact"/>
              <w:rPr>
                <w:sz w:val="20"/>
                <w:szCs w:val="20"/>
                <w:color w:val="auto"/>
              </w:rPr>
            </w:pPr>
            <w:r>
              <w:rPr>
                <w:rFonts w:ascii="Arial" w:cs="Arial" w:eastAsia="Arial" w:hAnsi="Arial"/>
                <w:sz w:val="18"/>
                <w:szCs w:val="18"/>
                <w:color w:val="0000FF"/>
                <w:w w:val="91"/>
              </w:rPr>
              <w:t xml:space="preserve">Adjusted Term SOFR </w:t>
            </w:r>
            <w:r>
              <w:rPr>
                <w:rFonts w:ascii="Arial" w:cs="Arial" w:eastAsia="Arial" w:hAnsi="Arial"/>
                <w:sz w:val="18"/>
                <w:szCs w:val="18"/>
                <w:i w:val="1"/>
                <w:iCs w:val="1"/>
                <w:color w:val="000000"/>
                <w:w w:val="91"/>
              </w:rPr>
              <w:t>plus</w:t>
            </w:r>
            <w:r>
              <w:rPr>
                <w:rFonts w:ascii="Arial" w:cs="Arial" w:eastAsia="Arial" w:hAnsi="Arial"/>
                <w:sz w:val="18"/>
                <w:szCs w:val="18"/>
                <w:color w:val="0000FF"/>
                <w:w w:val="91"/>
              </w:rPr>
              <w:t xml:space="preserve"> </w:t>
            </w:r>
            <w:r>
              <w:rPr>
                <w:rFonts w:ascii="Arial" w:cs="Arial" w:eastAsia="Arial" w:hAnsi="Arial"/>
                <w:sz w:val="18"/>
                <w:szCs w:val="18"/>
                <w:color w:val="000000"/>
                <w:w w:val="91"/>
              </w:rPr>
              <w:t>the applicable margin set forth in</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196" w:lineRule="exact"/>
              <w:rPr>
                <w:sz w:val="20"/>
                <w:szCs w:val="20"/>
                <w:color w:val="auto"/>
              </w:rPr>
            </w:pPr>
            <w:r>
              <w:rPr>
                <w:rFonts w:ascii="Arial" w:cs="Arial" w:eastAsia="Arial" w:hAnsi="Arial"/>
                <w:sz w:val="18"/>
                <w:szCs w:val="18"/>
                <w:color w:val="FF0000"/>
                <w:strike w:val="1"/>
                <w:w w:val="89"/>
              </w:rPr>
              <w:t>Eurodollar Rate</w:t>
            </w:r>
          </w:p>
        </w:tc>
        <w:tc>
          <w:tcPr>
            <w:tcW w:w="454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 xml:space="preserve">SOFR </w:t>
            </w:r>
            <w:r>
              <w:rPr>
                <w:rFonts w:ascii="Arial" w:cs="Arial" w:eastAsia="Arial" w:hAnsi="Arial"/>
                <w:sz w:val="18"/>
                <w:szCs w:val="18"/>
                <w:color w:val="000000"/>
              </w:rPr>
              <w:t>Loans</w:t>
            </w:r>
          </w:p>
        </w:tc>
        <w:tc>
          <w:tcPr>
            <w:tcW w:w="1160" w:type="dxa"/>
            <w:vAlign w:val="bottom"/>
            <w:gridSpan w:val="6"/>
            <w:vMerge w:val="restart"/>
          </w:tcPr>
          <w:p>
            <w:pPr>
              <w:spacing w:after="0" w:line="196" w:lineRule="exact"/>
              <w:rPr>
                <w:sz w:val="20"/>
                <w:szCs w:val="20"/>
                <w:color w:val="auto"/>
              </w:rPr>
            </w:pPr>
            <w:r>
              <w:rPr>
                <w:rFonts w:ascii="Arial" w:cs="Arial" w:eastAsia="Arial" w:hAnsi="Arial"/>
                <w:sz w:val="18"/>
                <w:szCs w:val="18"/>
                <w:color w:val="auto"/>
                <w:w w:val="98"/>
              </w:rPr>
              <w:t>the  applicable</w:t>
            </w: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4540" w:type="dxa"/>
            <w:vAlign w:val="bottom"/>
            <w:gridSpan w:val="7"/>
            <w:vMerge w:val="continue"/>
          </w:tcPr>
          <w:p>
            <w:pPr>
              <w:spacing w:after="0"/>
              <w:rPr>
                <w:sz w:val="13"/>
                <w:szCs w:val="13"/>
                <w:color w:val="auto"/>
              </w:rPr>
            </w:pPr>
          </w:p>
        </w:tc>
        <w:tc>
          <w:tcPr>
            <w:tcW w:w="1160" w:type="dxa"/>
            <w:vAlign w:val="bottom"/>
            <w:gridSpan w:val="6"/>
            <w:vMerge w:val="continue"/>
          </w:tcPr>
          <w:p>
            <w:pPr>
              <w:spacing w:after="0"/>
              <w:rPr>
                <w:sz w:val="13"/>
                <w:szCs w:val="13"/>
                <w:color w:val="auto"/>
              </w:rPr>
            </w:pPr>
          </w:p>
        </w:tc>
        <w:tc>
          <w:tcPr>
            <w:tcW w:w="4380" w:type="dxa"/>
            <w:vAlign w:val="bottom"/>
            <w:tcBorders>
              <w:right w:val="single" w:sz="8" w:color="auto"/>
            </w:tcBorders>
            <w:gridSpan w:val="8"/>
          </w:tcPr>
          <w:p>
            <w:pPr>
              <w:jc w:val="right"/>
              <w:ind w:right="20"/>
              <w:spacing w:after="0" w:line="156" w:lineRule="exact"/>
              <w:rPr>
                <w:sz w:val="20"/>
                <w:szCs w:val="20"/>
                <w:color w:val="auto"/>
              </w:rPr>
            </w:pPr>
            <w:r>
              <w:rPr>
                <w:rFonts w:ascii="Arial" w:cs="Arial" w:eastAsia="Arial" w:hAnsi="Arial"/>
                <w:sz w:val="18"/>
                <w:szCs w:val="18"/>
                <w:color w:val="auto"/>
              </w:rPr>
              <w:t>Incremental  Amendment,  Extension  Amendment  or</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40" w:type="dxa"/>
            <w:vAlign w:val="bottom"/>
            <w:tcBorders>
              <w:right w:val="single" w:sz="8" w:color="auto"/>
            </w:tcBorders>
            <w:gridSpan w:val="14"/>
            <w:vMerge w:val="restart"/>
          </w:tcPr>
          <w:p>
            <w:pPr>
              <w:spacing w:after="0"/>
              <w:rPr>
                <w:sz w:val="20"/>
                <w:szCs w:val="20"/>
                <w:color w:val="auto"/>
              </w:rPr>
            </w:pPr>
            <w:r>
              <w:rPr>
                <w:rFonts w:ascii="Arial" w:cs="Arial" w:eastAsia="Arial" w:hAnsi="Arial"/>
                <w:sz w:val="18"/>
                <w:szCs w:val="18"/>
                <w:color w:val="auto"/>
              </w:rPr>
              <w:t>Refinancing Amendment.</w:t>
            </w: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540" w:type="dxa"/>
            <w:vAlign w:val="bottom"/>
            <w:tcBorders>
              <w:bottom w:val="single" w:sz="8" w:color="auto"/>
              <w:right w:val="single" w:sz="8" w:color="auto"/>
            </w:tcBorders>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460" w:type="dxa"/>
            <w:vAlign w:val="bottom"/>
            <w:gridSpan w:val="9"/>
          </w:tcPr>
          <w:p>
            <w:pPr>
              <w:ind w:left="55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-1364615</wp:posOffset>
            </wp:positionV>
            <wp:extent cx="8255" cy="1005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100520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jc w:val="both"/>
        <w:ind w:firstLine="1142"/>
        <w:spacing w:after="0" w:line="257" w:lineRule="auto"/>
        <w:tabs>
          <w:tab w:leader="none" w:pos="16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basis for determining the rate of interest with respect to any Loan, and the Interest Period with respect to any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will be selected by the Borrower and notified to the Administrative Agent and the Lenders pursuant to the applicable Funding Notice or</w:t>
      </w:r>
      <w:r>
        <w:rPr>
          <w:rFonts w:ascii="Arial" w:cs="Arial" w:eastAsia="Arial" w:hAnsi="Arial"/>
          <w:sz w:val="18"/>
          <w:szCs w:val="18"/>
          <w:color w:val="FF0000"/>
        </w:rPr>
        <w:t xml:space="preserve"> </w:t>
      </w:r>
      <w:r>
        <w:rPr>
          <w:rFonts w:ascii="Arial" w:cs="Arial" w:eastAsia="Arial" w:hAnsi="Arial"/>
          <w:sz w:val="18"/>
          <w:szCs w:val="18"/>
          <w:color w:val="000000"/>
        </w:rPr>
        <w:t>Conversion/Continuation Notice, as the case may be.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will be a Base Rate Loan.</w:t>
      </w:r>
    </w:p>
    <w:p>
      <w:pPr>
        <w:spacing w:after="0" w:line="187" w:lineRule="exact"/>
        <w:rPr>
          <w:rFonts w:ascii="Arial" w:cs="Arial" w:eastAsia="Arial" w:hAnsi="Arial"/>
          <w:sz w:val="18"/>
          <w:szCs w:val="18"/>
          <w:color w:val="auto"/>
        </w:rPr>
      </w:pPr>
    </w:p>
    <w:p>
      <w:pPr>
        <w:jc w:val="both"/>
        <w:ind w:firstLine="1142"/>
        <w:spacing w:after="0" w:line="269" w:lineRule="auto"/>
        <w:tabs>
          <w:tab w:leader="none" w:pos="1559"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 connection with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there will be no more than five (5) Interest Periods outstanding at any time (unless otherwise agreed by the Administrative Agent). In the event the Borrower fails to specify between a Base Rate Loan or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in the applicable Funding Notice or Conversion/Continuation Notice, such Loan (if outstanding as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will be automatically converted into a Base Rate Loan on the last day of the then-current Interest Period for such Loan (or if outstanding as a Base Rate Loan will remain as, or (if not then outstanding) will be made as, a Base Rate Loan). In the event the Borrower fails to specify an Interest Period for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in the applicable Funding Notice or Conversion/Continuation Notice, the Borrower will be deemed to have selected an Interest Period of one month. As soon as practicable after 10:00 a.m. (New York City time) on each Interest Rate Determination Date, the Administrative Agent will determine (which determination will, absent manifest error, be final, conclusive and binding upon all parties) the interest rate that will apply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for which an interest rate is then being determined for the applicable Interest Period and will promptly give notice thereof (in writing or by telephone confirmed in writing) to the Borrower and each Lender.</w:t>
      </w:r>
    </w:p>
    <w:p>
      <w:pPr>
        <w:spacing w:after="0" w:line="185" w:lineRule="exact"/>
        <w:rPr>
          <w:rFonts w:ascii="Arial" w:cs="Arial" w:eastAsia="Arial" w:hAnsi="Arial"/>
          <w:sz w:val="17"/>
          <w:szCs w:val="17"/>
          <w:color w:val="auto"/>
        </w:rPr>
      </w:pPr>
    </w:p>
    <w:p>
      <w:pPr>
        <w:jc w:val="both"/>
        <w:ind w:firstLine="1142"/>
        <w:spacing w:after="0" w:line="253" w:lineRule="auto"/>
        <w:tabs>
          <w:tab w:leader="none" w:pos="16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Interest payable pursuant to Section 2.8(a) will be computed (i) in the case of Base Rate Loans with the Base Rate determined pursuant to subclause (a) of the definition of “Base Rate”, on the basis of a 365-day year (or 366-day year, in the case of a leap year), (ii) in the case of Base Rate Loans with the Base Rate determined pursuant to subclause (b) or (c) of the definition of “Base Rate”, on the basis of a 360-day year and (iii) in the case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on the basis of a 360-day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date of conversion of such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to such Base Rate Loan, as the case may be, will be included, and the date of payment of such Loan or the expiration date of an Interest Period applicable to such Loan or, with respect to a Base Rate Loan being converted to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date of conversion of such Base Rate Loan to such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as the case may be, will be excluded;</w:t>
      </w:r>
      <w:r>
        <w:rPr>
          <w:rFonts w:ascii="Arial" w:cs="Arial" w:eastAsia="Arial" w:hAnsi="Arial"/>
          <w:sz w:val="18"/>
          <w:szCs w:val="18"/>
          <w:color w:val="FF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FF0000"/>
        </w:rPr>
        <w:t xml:space="preserve"> </w:t>
      </w:r>
      <w:r>
        <w:rPr>
          <w:rFonts w:ascii="Arial" w:cs="Arial" w:eastAsia="Arial" w:hAnsi="Arial"/>
          <w:sz w:val="18"/>
          <w:szCs w:val="18"/>
          <w:color w:val="000000"/>
        </w:rPr>
        <w:t>that if a Loan is repaid on the same day on which it is made, one day’s interest will be paid</w:t>
      </w:r>
      <w:r>
        <w:rPr>
          <w:rFonts w:ascii="Arial" w:cs="Arial" w:eastAsia="Arial" w:hAnsi="Arial"/>
          <w:sz w:val="18"/>
          <w:szCs w:val="18"/>
          <w:color w:val="FF0000"/>
        </w:rPr>
        <w:t xml:space="preserve"> </w:t>
      </w:r>
      <w:r>
        <w:rPr>
          <w:rFonts w:ascii="Arial" w:cs="Arial" w:eastAsia="Arial" w:hAnsi="Arial"/>
          <w:sz w:val="18"/>
          <w:szCs w:val="18"/>
          <w:color w:val="000000"/>
        </w:rPr>
        <w:t>on that Loan.</w:t>
      </w:r>
    </w:p>
    <w:p>
      <w:pPr>
        <w:spacing w:after="0" w:line="194" w:lineRule="exact"/>
        <w:rPr>
          <w:rFonts w:ascii="Arial" w:cs="Arial" w:eastAsia="Arial" w:hAnsi="Arial"/>
          <w:sz w:val="18"/>
          <w:szCs w:val="18"/>
          <w:color w:val="auto"/>
        </w:rPr>
      </w:pPr>
    </w:p>
    <w:p>
      <w:pPr>
        <w:jc w:val="both"/>
        <w:ind w:firstLine="1142"/>
        <w:spacing w:after="0" w:line="311" w:lineRule="auto"/>
        <w:tabs>
          <w:tab w:leader="none" w:pos="15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as otherwise set forth herein, interest on each Loan will accrue on a daily basis and be payable in arrears (i) on each Interest Payment Date applicable to that Loan; (ii) any prepayment of that Term Loan, whether voluntary or mandatory, to the extent accrued on the amount being prepaid; and (iii) at maturity, including final maturity and, after such maturity (or termination), on each date on which demand for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-3333115</wp:posOffset>
            </wp:positionV>
            <wp:extent cx="2832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-3195955</wp:posOffset>
            </wp:positionV>
            <wp:extent cx="2914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-3058795</wp:posOffset>
            </wp:positionV>
            <wp:extent cx="2825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-2784475</wp:posOffset>
            </wp:positionV>
            <wp:extent cx="282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-2372995</wp:posOffset>
            </wp:positionV>
            <wp:extent cx="2914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-1412875</wp:posOffset>
            </wp:positionV>
            <wp:extent cx="2914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-1138555</wp:posOffset>
            </wp:positionV>
            <wp:extent cx="2914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-1138555</wp:posOffset>
            </wp:positionV>
            <wp:extent cx="2825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-864235</wp:posOffset>
            </wp:positionV>
            <wp:extent cx="2825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-727075</wp:posOffset>
            </wp:positionV>
            <wp:extent cx="2914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ind w:left="660"/>
        <w:spacing w:after="0"/>
        <w:tabs>
          <w:tab w:leader="none" w:pos="10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Conversion/Continuation</w:t>
      </w:r>
      <w:r>
        <w:rPr>
          <w:rFonts w:ascii="Arial" w:cs="Arial" w:eastAsia="Arial" w:hAnsi="Arial"/>
          <w:sz w:val="16"/>
          <w:szCs w:val="16"/>
          <w:color w:val="auto"/>
        </w:rPr>
        <w:t>.</w:t>
      </w:r>
    </w:p>
    <w:p>
      <w:pPr>
        <w:spacing w:after="0" w:line="229" w:lineRule="exact"/>
        <w:rPr>
          <w:sz w:val="20"/>
          <w:szCs w:val="20"/>
          <w:color w:val="auto"/>
        </w:rPr>
      </w:pPr>
    </w:p>
    <w:p>
      <w:pPr>
        <w:ind w:left="1560" w:hanging="418"/>
        <w:spacing w:after="0"/>
        <w:tabs>
          <w:tab w:leader="none" w:pos="1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Subject to Section 2.18 and so long as no Default or Event of Default will have occurred and then be continuing, the Borrower will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the option:</w:t>
      </w:r>
    </w:p>
    <w:p>
      <w:pPr>
        <w:spacing w:after="0" w:line="210" w:lineRule="exact"/>
        <w:rPr>
          <w:rFonts w:ascii="Arial" w:cs="Arial" w:eastAsia="Arial" w:hAnsi="Arial"/>
          <w:sz w:val="16"/>
          <w:szCs w:val="16"/>
          <w:color w:val="auto"/>
        </w:rPr>
      </w:pPr>
    </w:p>
    <w:p>
      <w:pPr>
        <w:jc w:val="both"/>
        <w:ind w:left="1140" w:firstLine="488"/>
        <w:spacing w:after="0" w:line="259" w:lineRule="auto"/>
        <w:tabs>
          <w:tab w:leader="none" w:pos="1983"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to convert at any time all or any part of any Term Loan or Incremental Revolving Loan equal to $100,000 and integral multiples of $50,000 in excess of that amount from one Type of Loan to another Type of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may only be converted on the expiration of the Interest Period applicable to such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unless the Borrower will pay all amounts due under Section 2.18 in connection with any such conversion; or</w:t>
      </w:r>
    </w:p>
    <w:p>
      <w:pPr>
        <w:spacing w:after="0" w:line="186" w:lineRule="exact"/>
        <w:rPr>
          <w:rFonts w:ascii="Arial" w:cs="Arial" w:eastAsia="Arial" w:hAnsi="Arial"/>
          <w:sz w:val="18"/>
          <w:szCs w:val="18"/>
          <w:color w:val="auto"/>
        </w:rPr>
      </w:pPr>
    </w:p>
    <w:p>
      <w:pPr>
        <w:ind w:left="1140" w:firstLine="488"/>
        <w:spacing w:after="0" w:line="308" w:lineRule="auto"/>
        <w:tabs>
          <w:tab w:leader="none" w:pos="204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upon the expiration of any Interest Period applicable to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to continue all or any portion of such Loan equal to $100,000 and integral multiples of $50,000 in excess of that amount as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w:t>
      </w:r>
    </w:p>
    <w:p>
      <w:pPr>
        <w:spacing w:after="0" w:line="146" w:lineRule="exact"/>
        <w:rPr>
          <w:rFonts w:ascii="Arial" w:cs="Arial" w:eastAsia="Arial" w:hAnsi="Arial"/>
          <w:sz w:val="17"/>
          <w:szCs w:val="17"/>
          <w:color w:val="auto"/>
        </w:rPr>
      </w:pPr>
    </w:p>
    <w:p>
      <w:pPr>
        <w:jc w:val="both"/>
        <w:ind w:firstLine="1142"/>
        <w:spacing w:after="0" w:line="255" w:lineRule="auto"/>
        <w:tabs>
          <w:tab w:leader="none" w:pos="15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Borrower will deliver a Conversion/Continuation Notice to the Administrative Agent by Electronic Transmission no later than 12:00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Except as otherwise provided herein, a Conversion/Continuation Notice for conversion to, or continuation of, any</w:t>
      </w:r>
      <w:r>
        <w:rPr>
          <w:rFonts w:ascii="Arial" w:cs="Arial" w:eastAsia="Arial" w:hAnsi="Arial"/>
          <w:sz w:val="18"/>
          <w:szCs w:val="18"/>
          <w:color w:val="FF0000"/>
        </w:rPr>
        <w:t xml:space="preserve"> </w:t>
      </w:r>
      <w:r>
        <w:rPr>
          <w:rFonts w:ascii="Arial" w:cs="Arial" w:eastAsia="Arial" w:hAnsi="Arial"/>
          <w:sz w:val="18"/>
          <w:szCs w:val="18"/>
          <w:color w:val="FF0000"/>
          <w:strike w:val="1"/>
        </w:rPr>
        <w:t>Eurodollar</w:t>
      </w:r>
      <w:r>
        <w:rPr>
          <w:rFonts w:ascii="Arial" w:cs="Arial" w:eastAsia="Arial" w:hAnsi="Arial"/>
          <w:sz w:val="18"/>
          <w:szCs w:val="18"/>
          <w:color w:val="FF0000"/>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will be irrevocable on and after the related Interest Rate Determination Date, and the Borrower will be bound to effect a conversion or</w:t>
      </w:r>
      <w:r>
        <w:rPr>
          <w:rFonts w:ascii="Arial" w:cs="Arial" w:eastAsia="Arial" w:hAnsi="Arial"/>
          <w:sz w:val="18"/>
          <w:szCs w:val="18"/>
          <w:color w:val="FF0000"/>
        </w:rPr>
        <w:t xml:space="preserve"> </w:t>
      </w:r>
      <w:r>
        <w:rPr>
          <w:rFonts w:ascii="Arial" w:cs="Arial" w:eastAsia="Arial" w:hAnsi="Arial"/>
          <w:sz w:val="18"/>
          <w:szCs w:val="18"/>
          <w:color w:val="000000"/>
        </w:rPr>
        <w:t>continuation in accordance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-1659890</wp:posOffset>
            </wp:positionV>
            <wp:extent cx="2832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-1522730</wp:posOffset>
            </wp:positionV>
            <wp:extent cx="2914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-1111250</wp:posOffset>
            </wp:positionV>
            <wp:extent cx="2914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-974090</wp:posOffset>
            </wp:positionV>
            <wp:extent cx="2825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-288290</wp:posOffset>
            </wp:positionV>
            <wp:extent cx="2832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-151130</wp:posOffset>
            </wp:positionV>
            <wp:extent cx="2914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2.10 Default Interest</w:t>
      </w:r>
      <w:r>
        <w:rPr>
          <w:rFonts w:ascii="Arial" w:cs="Arial" w:eastAsia="Arial" w:hAnsi="Arial"/>
          <w:sz w:val="17"/>
          <w:szCs w:val="17"/>
          <w:color w:val="auto"/>
        </w:rPr>
        <w:t>. The overdue principal amount of any Loans and, to the extent permitted by applicable law and due and owing,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overdue interest payments on the Loans and any other overdue fees and other overdue amounts, will bear interest (including post-petition interest in any proceeding under the Bankruptcy Code or other applicable bankruptcy laws), payable on demand at a rate that is 2.00% per annum in excess of the interest rate otherwise payable hereunder with respect to the applicable Loans (or, in the case of any such fees and other amounts that do not relate to a specific Class of Loans or Commitments, at a rate which is 2.00% per annum in excess of the interest rate otherwise payable hereunder for Initial Term B Loans outstanding as Base Rate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overdue principal or interest with respect to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upon the expiration of the Interest Period in effect at the time any the increase in interest rate is effective, such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will thereupon become Base Rate Loans and thereafter such overdue principal or interest, as applicable, will bear interest payable upon demand at a rate that is 2.00% per annum in excess of the interest rate otherwise payable hereunder for such Base Rate Loans. Payment or acceptance of the increased rates of interest provided for in this Section 2.10 is not a permitted alternative to timely payment and will not constitute a waiver of any Event of Default or otherwise prejudice or limit any rights or remedies of the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-703580</wp:posOffset>
            </wp:positionV>
            <wp:extent cx="2825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Loan Call Protection</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90" w:lineRule="auto"/>
        <w:tabs>
          <w:tab w:leader="none" w:pos="152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Loan Call Protection</w:t>
      </w:r>
      <w:r>
        <w:rPr>
          <w:rFonts w:ascii="Arial" w:cs="Arial" w:eastAsia="Arial" w:hAnsi="Arial"/>
          <w:sz w:val="16"/>
          <w:szCs w:val="16"/>
          <w:color w:val="auto"/>
        </w:rPr>
        <w:t>. At the time of the effectiveness of any Repricing Event that is consummated during the period from the Closing Date to the six-month anniversary of the Closing Date, the Borrower agrees to pay to the Administrative Agent, for the ratable account of each Lender with Initial Term B Loans that are either repaid, converted or subjected to a pricing reduction or amendment (including the Initial Term B Loans of any Non-Consenting Lender replaced pursuant to Section 2.23 in connection with such conversion or amendment), in each case, in connection with such Repricing Event, a fee in an amount equal to 1.00% of (x) in the case of a Repricing Event described in clause (a) of the definition thereof, the aggregate principal amount of all Initial Term B Loans prepaid (or converted) in connection with such Repricing Event and (y) in the case of a Repricing Event described in clause (b) of the definition thereof, the aggregate principal amount of all Initial Term B Loans outstanding on such date that are subject to an effective pricing reduction pursuant to such Repricing Event. Such fees shall be earned, due and payable upon the date of the effectiveness of such Repricing Event.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ind w:left="1540" w:hanging="398"/>
        <w:spacing w:after="0"/>
        <w:tabs>
          <w:tab w:leader="none" w:pos="1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fees referred to in Section 2.11(a) will be calculated on the basis of a 360-day year and the actual number of days elapsed.</w:t>
      </w:r>
    </w:p>
    <w:p>
      <w:pPr>
        <w:spacing w:after="0" w:line="236" w:lineRule="exact"/>
        <w:rPr>
          <w:rFonts w:ascii="Arial" w:cs="Arial" w:eastAsia="Arial" w:hAnsi="Arial"/>
          <w:sz w:val="17"/>
          <w:szCs w:val="17"/>
          <w:color w:val="auto"/>
        </w:rPr>
      </w:pPr>
    </w:p>
    <w:p>
      <w:pPr>
        <w:ind w:left="1580" w:hanging="438"/>
        <w:spacing w:after="0"/>
        <w:tabs>
          <w:tab w:leader="none" w:pos="1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to the foregoing fees, the Borrower agrees to pay to Agents such other fees in the amounts and at the times separately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agreed upon.</w:t>
      </w:r>
    </w:p>
    <w:p>
      <w:pPr>
        <w:spacing w:after="0" w:line="211" w:lineRule="exact"/>
        <w:rPr>
          <w:sz w:val="20"/>
          <w:szCs w:val="20"/>
          <w:color w:val="auto"/>
        </w:rPr>
      </w:pPr>
    </w:p>
    <w:p>
      <w:pPr>
        <w:ind w:left="1540" w:hanging="398"/>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Once paid, none of the foregoing fees will be refundable under any circumstances.</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Scheduled Payments</w:t>
      </w:r>
      <w:r>
        <w:rPr>
          <w:rFonts w:ascii="Arial" w:cs="Arial" w:eastAsia="Arial" w:hAnsi="Arial"/>
          <w:sz w:val="15"/>
          <w:szCs w:val="15"/>
          <w:color w:val="auto"/>
        </w:rPr>
        <w:t>.</w:t>
      </w:r>
    </w:p>
    <w:p>
      <w:pPr>
        <w:spacing w:after="0" w:line="229" w:lineRule="exact"/>
        <w:rPr>
          <w:sz w:val="20"/>
          <w:szCs w:val="20"/>
          <w:color w:val="auto"/>
        </w:rPr>
      </w:pPr>
    </w:p>
    <w:p>
      <w:pPr>
        <w:ind w:left="1520" w:hanging="378"/>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will repay to the Administrative Agent for the ratable account of the Lenders holding Initial Term B Loans:</w:t>
      </w:r>
    </w:p>
    <w:p>
      <w:pPr>
        <w:spacing w:after="0" w:line="225" w:lineRule="exact"/>
        <w:rPr>
          <w:rFonts w:ascii="Arial" w:cs="Arial" w:eastAsia="Arial" w:hAnsi="Arial"/>
          <w:sz w:val="18"/>
          <w:szCs w:val="18"/>
          <w:color w:val="auto"/>
        </w:rPr>
      </w:pPr>
    </w:p>
    <w:p>
      <w:pPr>
        <w:jc w:val="both"/>
        <w:ind w:left="1140" w:firstLine="488"/>
        <w:spacing w:after="0" w:line="259" w:lineRule="auto"/>
        <w:tabs>
          <w:tab w:leader="none" w:pos="2004"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 the last Business Day of each Fiscal Quarter (commencing with the Fiscal Quarter ending December 29, 2018, which is the first full Fiscal Quarter after the Closing Date) an aggregate principal amount equal to 0.25% of the original aggregate principal amount of all Initial Term B Loans outstanding on the Closing Date (which, for the avoidance of doubt, is $875,000 per calendar quarter, subject to adjustment as provided in clause (c) below), and</w:t>
      </w:r>
    </w:p>
    <w:p>
      <w:pPr>
        <w:spacing w:after="0" w:line="186" w:lineRule="exact"/>
        <w:rPr>
          <w:rFonts w:ascii="Arial" w:cs="Arial" w:eastAsia="Arial" w:hAnsi="Arial"/>
          <w:sz w:val="18"/>
          <w:szCs w:val="18"/>
          <w:color w:val="auto"/>
        </w:rPr>
      </w:pPr>
    </w:p>
    <w:p>
      <w:pPr>
        <w:ind w:left="2080" w:hanging="452"/>
        <w:spacing w:after="0"/>
        <w:tabs>
          <w:tab w:leader="none" w:pos="20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on the applicable Term Loan Maturity Date, the aggregate principal amount of all Initial Term B Loans outstanding on such</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jc w:val="both"/>
        <w:ind w:firstLine="1142"/>
        <w:spacing w:after="0" w:line="263" w:lineRule="auto"/>
        <w:tabs>
          <w:tab w:leader="none" w:pos="15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event any Incremental Term Loans, Extended Term Loans or Refinancing Term Loans are made, such Incremental Term Loans, Extended Term Loans or Refinancing Term Loans will be repaid in such installments as may be set forth in the applicable Incremental Amendment, Extension Amendment or Refinancing Amendment, as applicable.</w:t>
      </w:r>
    </w:p>
    <w:p>
      <w:pPr>
        <w:spacing w:after="0" w:line="183" w:lineRule="exact"/>
        <w:rPr>
          <w:rFonts w:ascii="Arial" w:cs="Arial" w:eastAsia="Arial" w:hAnsi="Arial"/>
          <w:sz w:val="18"/>
          <w:szCs w:val="18"/>
          <w:color w:val="auto"/>
        </w:rPr>
      </w:pPr>
    </w:p>
    <w:p>
      <w:pPr>
        <w:ind w:firstLine="1142"/>
        <w:spacing w:after="0" w:line="277" w:lineRule="auto"/>
        <w:tabs>
          <w:tab w:leader="none" w:pos="15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will repay to the Administrative Agent for the ratable account of the Lenders holding Term C Loans (if any), on the applicable Term Loan Maturity Date, the aggregate principal amount of all Term C Loans outstanding on such date.</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the foregoing clauses (a), (b) and (c):</w:t>
      </w:r>
    </w:p>
    <w:p>
      <w:pPr>
        <w:spacing w:after="0" w:line="225" w:lineRule="exact"/>
        <w:rPr>
          <w:rFonts w:ascii="Arial" w:cs="Arial" w:eastAsia="Arial" w:hAnsi="Arial"/>
          <w:sz w:val="18"/>
          <w:szCs w:val="18"/>
          <w:color w:val="auto"/>
        </w:rPr>
      </w:pPr>
    </w:p>
    <w:p>
      <w:pPr>
        <w:jc w:val="both"/>
        <w:ind w:left="1140" w:firstLine="488"/>
        <w:spacing w:after="0" w:line="263" w:lineRule="auto"/>
        <w:tabs>
          <w:tab w:leader="none" w:pos="21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installment payments contemplated by clause (a) or (b) above will be reduced in connection with any voluntary or mandatory prepayments of the applicable Term Loans in accordance with Sections 2.13, 2.14 and 2.15, as applicable, or any Discounted Prepayments of the Term Loans in accordance with Section 2.25 or 10.6(j);</w:t>
      </w:r>
    </w:p>
    <w:p>
      <w:pPr>
        <w:spacing w:after="0" w:line="183" w:lineRule="exact"/>
        <w:rPr>
          <w:rFonts w:ascii="Arial" w:cs="Arial" w:eastAsia="Arial" w:hAnsi="Arial"/>
          <w:sz w:val="18"/>
          <w:szCs w:val="18"/>
          <w:color w:val="auto"/>
        </w:rPr>
      </w:pPr>
    </w:p>
    <w:p>
      <w:pPr>
        <w:jc w:val="both"/>
        <w:ind w:left="1140" w:firstLine="488"/>
        <w:spacing w:after="0" w:line="301" w:lineRule="auto"/>
        <w:tabs>
          <w:tab w:leader="none" w:pos="205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rate of amortization (or the amount of any installment) with respect to any Class of Term Loans may be increased (and the provisions of clause (a)(i) or the applicable Incremental Amendment, Extension Amendment or Refinancing Amendment may be amended accordingly) without the consent of the Lenders or the Administrative Agent in connection with the incurrence of any subsequent Incremental Term Loans, Extended Term Loans or Refinancing Term Loans that also comprise part of such Class of Term Loans;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left="1140" w:firstLine="488"/>
        <w:spacing w:after="0" w:line="277" w:lineRule="auto"/>
        <w:tabs>
          <w:tab w:leader="none" w:pos="21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 Loans of a given Class, together with all other amounts owed hereunder with respect thereto, will, in any event, be paid in full no later than the applicable Term Loan Maturity Date.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2.13 Voluntary Prepayments</w:t>
      </w:r>
      <w:r>
        <w:rPr>
          <w:rFonts w:ascii="Arial" w:cs="Arial" w:eastAsia="Arial" w:hAnsi="Arial"/>
          <w:sz w:val="18"/>
          <w:szCs w:val="18"/>
          <w:color w:val="auto"/>
        </w:rPr>
        <w:t>. Any time and from time to time, with respect to any Type of Loan, the Borrower may prepay the Loans,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on any Business Day in whole or in part, in an aggregate minimum amount of and integral multiples in excess of that amount (or, in each case, if less the entire amount thereof), and upon prior written notice given to the Administrative Agent, by 1:00 p.m. (New York City time) on the applicable date indicated below, in each case, as set forth in the following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800" w:type="dxa"/>
            <w:vAlign w:val="bottom"/>
            <w:tcBorders>
              <w:top w:val="single" w:sz="8" w:color="auto"/>
              <w:left w:val="single" w:sz="8" w:color="auto"/>
            </w:tcBorders>
            <w:shd w:val="clear" w:color="auto" w:fill="E6E6E6"/>
          </w:tcPr>
          <w:p>
            <w:pPr>
              <w:spacing w:after="0"/>
              <w:rPr>
                <w:sz w:val="16"/>
                <w:szCs w:val="16"/>
                <w:color w:val="auto"/>
              </w:rPr>
            </w:pPr>
          </w:p>
        </w:tc>
        <w:tc>
          <w:tcPr>
            <w:tcW w:w="660" w:type="dxa"/>
            <w:vAlign w:val="bottom"/>
            <w:tcBorders>
              <w:top w:val="single" w:sz="8" w:color="auto"/>
            </w:tcBorders>
            <w:shd w:val="clear" w:color="auto" w:fill="E6E6E6"/>
          </w:tcPr>
          <w:p>
            <w:pPr>
              <w:spacing w:after="0"/>
              <w:rPr>
                <w:sz w:val="16"/>
                <w:szCs w:val="16"/>
                <w:color w:val="auto"/>
              </w:rPr>
            </w:pPr>
          </w:p>
        </w:tc>
        <w:tc>
          <w:tcPr>
            <w:tcW w:w="440" w:type="dxa"/>
            <w:vAlign w:val="bottom"/>
            <w:tcBorders>
              <w:top w:val="single" w:sz="8" w:color="auto"/>
            </w:tcBorders>
            <w:shd w:val="clear" w:color="auto" w:fill="E6E6E6"/>
          </w:tcPr>
          <w:p>
            <w:pPr>
              <w:spacing w:after="0"/>
              <w:rPr>
                <w:sz w:val="16"/>
                <w:szCs w:val="16"/>
                <w:color w:val="auto"/>
              </w:rPr>
            </w:pPr>
          </w:p>
        </w:tc>
        <w:tc>
          <w:tcPr>
            <w:tcW w:w="1820" w:type="dxa"/>
            <w:vAlign w:val="bottom"/>
            <w:tcBorders>
              <w:top w:val="single" w:sz="8" w:color="auto"/>
              <w:right w:val="single" w:sz="8" w:color="auto"/>
            </w:tcBorders>
            <w:shd w:val="clear" w:color="auto" w:fill="E6E6E6"/>
          </w:tcPr>
          <w:p>
            <w:pPr>
              <w:spacing w:after="0"/>
              <w:rPr>
                <w:sz w:val="16"/>
                <w:szCs w:val="16"/>
                <w:color w:val="auto"/>
              </w:rPr>
            </w:pPr>
          </w:p>
        </w:tc>
        <w:tc>
          <w:tcPr>
            <w:tcW w:w="780" w:type="dxa"/>
            <w:vAlign w:val="bottom"/>
            <w:tcBorders>
              <w:top w:val="single" w:sz="8" w:color="auto"/>
              <w:right w:val="single" w:sz="8" w:color="E6E6E6"/>
            </w:tcBorders>
            <w:shd w:val="clear" w:color="auto" w:fill="E6E6E6"/>
          </w:tcPr>
          <w:p>
            <w:pPr>
              <w:spacing w:after="0"/>
              <w:rPr>
                <w:sz w:val="16"/>
                <w:szCs w:val="16"/>
                <w:color w:val="auto"/>
              </w:rPr>
            </w:pPr>
          </w:p>
        </w:tc>
        <w:tc>
          <w:tcPr>
            <w:tcW w:w="1460" w:type="dxa"/>
            <w:vAlign w:val="bottom"/>
            <w:tcBorders>
              <w:top w:val="single" w:sz="8" w:color="auto"/>
              <w:right w:val="single" w:sz="8" w:color="auto"/>
            </w:tcBorders>
            <w:gridSpan w:val="2"/>
            <w:shd w:val="clear" w:color="auto" w:fill="E6E6E6"/>
          </w:tcPr>
          <w:p>
            <w:pPr>
              <w:jc w:val="center"/>
              <w:ind w:right="760"/>
              <w:spacing w:after="0" w:line="192" w:lineRule="exact"/>
              <w:rPr>
                <w:sz w:val="20"/>
                <w:szCs w:val="20"/>
                <w:color w:val="auto"/>
              </w:rPr>
            </w:pPr>
            <w:r>
              <w:rPr>
                <w:rFonts w:ascii="Arial" w:cs="Arial" w:eastAsia="Arial" w:hAnsi="Arial"/>
                <w:sz w:val="18"/>
                <w:szCs w:val="18"/>
                <w:b w:val="1"/>
                <w:bCs w:val="1"/>
                <w:color w:val="auto"/>
                <w:w w:val="88"/>
              </w:rPr>
              <w:t>Minimum</w:t>
            </w:r>
          </w:p>
        </w:tc>
        <w:tc>
          <w:tcPr>
            <w:tcW w:w="720" w:type="dxa"/>
            <w:vAlign w:val="bottom"/>
            <w:tcBorders>
              <w:top w:val="single" w:sz="8" w:color="auto"/>
              <w:right w:val="single" w:sz="8" w:color="E6E6E6"/>
            </w:tcBorders>
            <w:shd w:val="clear" w:color="auto" w:fill="E6E6E6"/>
          </w:tcPr>
          <w:p>
            <w:pPr>
              <w:spacing w:after="0"/>
              <w:rPr>
                <w:sz w:val="16"/>
                <w:szCs w:val="16"/>
                <w:color w:val="auto"/>
              </w:rPr>
            </w:pPr>
          </w:p>
        </w:tc>
        <w:tc>
          <w:tcPr>
            <w:tcW w:w="1380" w:type="dxa"/>
            <w:vAlign w:val="bottom"/>
            <w:tcBorders>
              <w:top w:val="single" w:sz="8" w:color="auto"/>
              <w:right w:val="single" w:sz="8" w:color="auto"/>
            </w:tcBorders>
            <w:gridSpan w:val="2"/>
            <w:shd w:val="clear" w:color="auto" w:fill="E6E6E6"/>
          </w:tcPr>
          <w:p>
            <w:pPr>
              <w:jc w:val="center"/>
              <w:ind w:right="760"/>
              <w:spacing w:after="0" w:line="192" w:lineRule="exact"/>
              <w:rPr>
                <w:sz w:val="20"/>
                <w:szCs w:val="20"/>
                <w:color w:val="auto"/>
              </w:rPr>
            </w:pPr>
            <w:r>
              <w:rPr>
                <w:rFonts w:ascii="Arial" w:cs="Arial" w:eastAsia="Arial" w:hAnsi="Arial"/>
                <w:sz w:val="18"/>
                <w:szCs w:val="18"/>
                <w:b w:val="1"/>
                <w:bCs w:val="1"/>
                <w:color w:val="auto"/>
                <w:w w:val="95"/>
              </w:rPr>
              <w:t>Integral</w:t>
            </w:r>
          </w:p>
        </w:tc>
        <w:tc>
          <w:tcPr>
            <w:tcW w:w="600" w:type="dxa"/>
            <w:vAlign w:val="bottom"/>
            <w:tcBorders>
              <w:top w:val="single" w:sz="8" w:color="auto"/>
            </w:tcBorders>
            <w:shd w:val="clear" w:color="auto" w:fill="E6E6E6"/>
          </w:tcPr>
          <w:p>
            <w:pPr>
              <w:spacing w:after="0"/>
              <w:rPr>
                <w:sz w:val="16"/>
                <w:szCs w:val="16"/>
                <w:color w:val="auto"/>
              </w:rPr>
            </w:pPr>
          </w:p>
        </w:tc>
        <w:tc>
          <w:tcPr>
            <w:tcW w:w="940" w:type="dxa"/>
            <w:vAlign w:val="bottom"/>
            <w:tcBorders>
              <w:top w:val="single" w:sz="8" w:color="auto"/>
            </w:tcBorders>
            <w:shd w:val="clear" w:color="auto" w:fill="E6E6E6"/>
          </w:tcPr>
          <w:p>
            <w:pPr>
              <w:spacing w:after="0"/>
              <w:rPr>
                <w:sz w:val="16"/>
                <w:szCs w:val="16"/>
                <w:color w:val="auto"/>
              </w:rPr>
            </w:pPr>
          </w:p>
        </w:tc>
        <w:tc>
          <w:tcPr>
            <w:tcW w:w="640" w:type="dxa"/>
            <w:vAlign w:val="bottom"/>
            <w:tcBorders>
              <w:top w:val="single" w:sz="8" w:color="auto"/>
              <w:right w:val="single" w:sz="8" w:color="auto"/>
            </w:tcBorders>
            <w:shd w:val="clear" w:color="auto" w:fill="E6E6E6"/>
          </w:tcPr>
          <w:p>
            <w:pPr>
              <w:spacing w:after="0"/>
              <w:rPr>
                <w:sz w:val="16"/>
                <w:szCs w:val="16"/>
                <w:color w:val="auto"/>
              </w:rPr>
            </w:pPr>
          </w:p>
        </w:tc>
      </w:tr>
      <w:tr>
        <w:trPr>
          <w:trHeight w:val="20"/>
        </w:trPr>
        <w:tc>
          <w:tcPr>
            <w:tcW w:w="1800" w:type="dxa"/>
            <w:vAlign w:val="bottom"/>
            <w:tcBorders>
              <w:left w:val="single" w:sz="8" w:color="auto"/>
            </w:tcBorders>
            <w:shd w:val="clear" w:color="auto" w:fill="E6E6E6"/>
          </w:tcPr>
          <w:p>
            <w:pPr>
              <w:spacing w:after="0" w:line="20" w:lineRule="exact"/>
              <w:rPr>
                <w:sz w:val="1"/>
                <w:szCs w:val="1"/>
                <w:color w:val="auto"/>
              </w:rPr>
            </w:pPr>
          </w:p>
        </w:tc>
        <w:tc>
          <w:tcPr>
            <w:tcW w:w="660" w:type="dxa"/>
            <w:vAlign w:val="bottom"/>
            <w:shd w:val="clear" w:color="auto" w:fill="E6E6E6"/>
          </w:tcPr>
          <w:p>
            <w:pPr>
              <w:spacing w:after="0" w:line="20" w:lineRule="exact"/>
              <w:rPr>
                <w:sz w:val="1"/>
                <w:szCs w:val="1"/>
                <w:color w:val="auto"/>
              </w:rPr>
            </w:pPr>
          </w:p>
        </w:tc>
        <w:tc>
          <w:tcPr>
            <w:tcW w:w="440" w:type="dxa"/>
            <w:vAlign w:val="bottom"/>
            <w:shd w:val="clear" w:color="auto" w:fill="E6E6E6"/>
          </w:tcPr>
          <w:p>
            <w:pPr>
              <w:spacing w:after="0" w:line="20" w:lineRule="exact"/>
              <w:rPr>
                <w:sz w:val="1"/>
                <w:szCs w:val="1"/>
                <w:color w:val="auto"/>
              </w:rPr>
            </w:pPr>
          </w:p>
        </w:tc>
        <w:tc>
          <w:tcPr>
            <w:tcW w:w="1820" w:type="dxa"/>
            <w:vAlign w:val="bottom"/>
            <w:tcBorders>
              <w:right w:val="single" w:sz="8" w:color="auto"/>
            </w:tcBorders>
            <w:shd w:val="clear" w:color="auto" w:fill="E6E6E6"/>
          </w:tcPr>
          <w:p>
            <w:pPr>
              <w:spacing w:after="0" w:line="20" w:lineRule="exact"/>
              <w:rPr>
                <w:sz w:val="1"/>
                <w:szCs w:val="1"/>
                <w:color w:val="auto"/>
              </w:rPr>
            </w:pPr>
          </w:p>
        </w:tc>
        <w:tc>
          <w:tcPr>
            <w:tcW w:w="780" w:type="dxa"/>
            <w:vAlign w:val="bottom"/>
            <w:tcBorders>
              <w:right w:val="single" w:sz="8" w:color="auto"/>
            </w:tcBorders>
            <w:shd w:val="clear" w:color="auto" w:fill="E6E6E6"/>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E6E6E6"/>
          </w:tcPr>
          <w:p>
            <w:pPr>
              <w:spacing w:after="0" w:line="20" w:lineRule="exact"/>
              <w:rPr>
                <w:sz w:val="1"/>
                <w:szCs w:val="1"/>
                <w:color w:val="auto"/>
              </w:rPr>
            </w:pPr>
          </w:p>
        </w:tc>
        <w:tc>
          <w:tcPr>
            <w:tcW w:w="720" w:type="dxa"/>
            <w:vAlign w:val="bottom"/>
            <w:tcBorders>
              <w:right w:val="single" w:sz="8" w:color="E6E6E6"/>
            </w:tcBorders>
            <w:shd w:val="clear" w:color="auto" w:fill="E6E6E6"/>
          </w:tcPr>
          <w:p>
            <w:pPr>
              <w:spacing w:after="0" w:line="20" w:lineRule="exact"/>
              <w:rPr>
                <w:sz w:val="1"/>
                <w:szCs w:val="1"/>
                <w:color w:val="auto"/>
              </w:rPr>
            </w:pPr>
          </w:p>
        </w:tc>
        <w:tc>
          <w:tcPr>
            <w:tcW w:w="640" w:type="dxa"/>
            <w:vAlign w:val="bottom"/>
            <w:tcBorders>
              <w:right w:val="single" w:sz="8" w:color="E6E6E6"/>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E6E6E6"/>
          </w:tcPr>
          <w:p>
            <w:pPr>
              <w:spacing w:after="0" w:line="20" w:lineRule="exact"/>
              <w:rPr>
                <w:sz w:val="1"/>
                <w:szCs w:val="1"/>
                <w:color w:val="auto"/>
              </w:rPr>
            </w:pPr>
          </w:p>
        </w:tc>
        <w:tc>
          <w:tcPr>
            <w:tcW w:w="600" w:type="dxa"/>
            <w:vAlign w:val="bottom"/>
            <w:shd w:val="clear" w:color="auto" w:fill="E6E6E6"/>
          </w:tcPr>
          <w:p>
            <w:pPr>
              <w:spacing w:after="0" w:line="20" w:lineRule="exact"/>
              <w:rPr>
                <w:sz w:val="1"/>
                <w:szCs w:val="1"/>
                <w:color w:val="auto"/>
              </w:rPr>
            </w:pPr>
          </w:p>
        </w:tc>
        <w:tc>
          <w:tcPr>
            <w:tcW w:w="940" w:type="dxa"/>
            <w:vAlign w:val="bottom"/>
            <w:shd w:val="clear" w:color="auto" w:fill="E6E6E6"/>
          </w:tcPr>
          <w:p>
            <w:pPr>
              <w:spacing w:after="0" w:line="20" w:lineRule="exact"/>
              <w:rPr>
                <w:sz w:val="1"/>
                <w:szCs w:val="1"/>
                <w:color w:val="auto"/>
              </w:rPr>
            </w:pPr>
          </w:p>
        </w:tc>
        <w:tc>
          <w:tcPr>
            <w:tcW w:w="640" w:type="dxa"/>
            <w:vAlign w:val="bottom"/>
            <w:tcBorders>
              <w:right w:val="single" w:sz="8" w:color="auto"/>
            </w:tcBorders>
            <w:shd w:val="clear" w:color="auto" w:fill="E6E6E6"/>
          </w:tcPr>
          <w:p>
            <w:pPr>
              <w:spacing w:after="0" w:line="20" w:lineRule="exact"/>
              <w:rPr>
                <w:sz w:val="1"/>
                <w:szCs w:val="1"/>
                <w:color w:val="auto"/>
              </w:rPr>
            </w:pPr>
          </w:p>
        </w:tc>
      </w:tr>
      <w:tr>
        <w:trPr>
          <w:trHeight w:val="256"/>
        </w:trPr>
        <w:tc>
          <w:tcPr>
            <w:tcW w:w="4720" w:type="dxa"/>
            <w:vAlign w:val="bottom"/>
            <w:tcBorders>
              <w:left w:val="single" w:sz="8" w:color="auto"/>
              <w:bottom w:val="single" w:sz="8" w:color="auto"/>
              <w:right w:val="single" w:sz="8" w:color="auto"/>
            </w:tcBorders>
            <w:gridSpan w:val="4"/>
            <w:shd w:val="clear" w:color="auto" w:fill="E6E6E6"/>
          </w:tcPr>
          <w:p>
            <w:pPr>
              <w:jc w:val="center"/>
              <w:ind w:right="20"/>
              <w:spacing w:after="0" w:line="196" w:lineRule="exact"/>
              <w:rPr>
                <w:sz w:val="20"/>
                <w:szCs w:val="20"/>
                <w:color w:val="auto"/>
              </w:rPr>
            </w:pPr>
            <w:r>
              <w:rPr>
                <w:rFonts w:ascii="Arial" w:cs="Arial" w:eastAsia="Arial" w:hAnsi="Arial"/>
                <w:sz w:val="18"/>
                <w:szCs w:val="18"/>
                <w:b w:val="1"/>
                <w:bCs w:val="1"/>
                <w:color w:val="auto"/>
                <w:w w:val="90"/>
              </w:rPr>
              <w:t>Type of Loans</w:t>
            </w:r>
          </w:p>
        </w:tc>
        <w:tc>
          <w:tcPr>
            <w:tcW w:w="780" w:type="dxa"/>
            <w:vAlign w:val="bottom"/>
            <w:tcBorders>
              <w:bottom w:val="single" w:sz="8" w:color="auto"/>
              <w:right w:val="single" w:sz="8" w:color="E6E6E6"/>
            </w:tcBorders>
            <w:shd w:val="clear" w:color="auto" w:fill="E6E6E6"/>
          </w:tcPr>
          <w:p>
            <w:pPr>
              <w:spacing w:after="0"/>
              <w:rPr>
                <w:sz w:val="22"/>
                <w:szCs w:val="22"/>
                <w:color w:val="auto"/>
              </w:rPr>
            </w:pPr>
          </w:p>
        </w:tc>
        <w:tc>
          <w:tcPr>
            <w:tcW w:w="700" w:type="dxa"/>
            <w:vAlign w:val="bottom"/>
            <w:tcBorders>
              <w:bottom w:val="single" w:sz="8" w:color="auto"/>
              <w:right w:val="single" w:sz="8" w:color="E6E6E6"/>
            </w:tcBorders>
            <w:shd w:val="clear" w:color="auto" w:fill="E6E6E6"/>
          </w:tcPr>
          <w:p>
            <w:pPr>
              <w:jc w:val="center"/>
              <w:spacing w:after="0" w:line="196" w:lineRule="exact"/>
              <w:rPr>
                <w:sz w:val="20"/>
                <w:szCs w:val="20"/>
                <w:color w:val="auto"/>
              </w:rPr>
            </w:pPr>
            <w:r>
              <w:rPr>
                <w:rFonts w:ascii="Arial" w:cs="Arial" w:eastAsia="Arial" w:hAnsi="Arial"/>
                <w:sz w:val="18"/>
                <w:szCs w:val="18"/>
                <w:b w:val="1"/>
                <w:bCs w:val="1"/>
                <w:color w:val="auto"/>
                <w:w w:val="94"/>
              </w:rPr>
              <w:t>Amount</w:t>
            </w:r>
          </w:p>
        </w:tc>
        <w:tc>
          <w:tcPr>
            <w:tcW w:w="760" w:type="dxa"/>
            <w:vAlign w:val="bottom"/>
            <w:tcBorders>
              <w:bottom w:val="single" w:sz="8" w:color="auto"/>
              <w:right w:val="single" w:sz="8" w:color="auto"/>
            </w:tcBorders>
            <w:shd w:val="clear" w:color="auto" w:fill="E6E6E6"/>
          </w:tcPr>
          <w:p>
            <w:pPr>
              <w:spacing w:after="0"/>
              <w:rPr>
                <w:sz w:val="22"/>
                <w:szCs w:val="22"/>
                <w:color w:val="auto"/>
              </w:rPr>
            </w:pPr>
          </w:p>
        </w:tc>
        <w:tc>
          <w:tcPr>
            <w:tcW w:w="2100" w:type="dxa"/>
            <w:vAlign w:val="bottom"/>
            <w:tcBorders>
              <w:bottom w:val="single" w:sz="8" w:color="auto"/>
              <w:right w:val="single" w:sz="8" w:color="auto"/>
            </w:tcBorders>
            <w:gridSpan w:val="3"/>
            <w:shd w:val="clear" w:color="auto" w:fill="E6E6E6"/>
          </w:tcPr>
          <w:p>
            <w:pPr>
              <w:jc w:val="center"/>
              <w:ind w:right="40"/>
              <w:spacing w:after="0" w:line="196" w:lineRule="exact"/>
              <w:rPr>
                <w:sz w:val="20"/>
                <w:szCs w:val="20"/>
                <w:color w:val="auto"/>
              </w:rPr>
            </w:pPr>
            <w:r>
              <w:rPr>
                <w:rFonts w:ascii="Arial" w:cs="Arial" w:eastAsia="Arial" w:hAnsi="Arial"/>
                <w:sz w:val="18"/>
                <w:szCs w:val="18"/>
                <w:b w:val="1"/>
                <w:bCs w:val="1"/>
                <w:color w:val="auto"/>
                <w:w w:val="96"/>
              </w:rPr>
              <w:t>Multiple</w:t>
            </w:r>
          </w:p>
        </w:tc>
        <w:tc>
          <w:tcPr>
            <w:tcW w:w="2180" w:type="dxa"/>
            <w:vAlign w:val="bottom"/>
            <w:tcBorders>
              <w:bottom w:val="single" w:sz="8" w:color="auto"/>
              <w:right w:val="single" w:sz="8" w:color="auto"/>
            </w:tcBorders>
            <w:gridSpan w:val="3"/>
            <w:shd w:val="clear" w:color="auto" w:fill="E6E6E6"/>
          </w:tcPr>
          <w:p>
            <w:pPr>
              <w:jc w:val="center"/>
              <w:ind w:right="40"/>
              <w:spacing w:after="0" w:line="196" w:lineRule="exact"/>
              <w:rPr>
                <w:sz w:val="20"/>
                <w:szCs w:val="20"/>
                <w:color w:val="auto"/>
              </w:rPr>
            </w:pPr>
            <w:r>
              <w:rPr>
                <w:rFonts w:ascii="Arial" w:cs="Arial" w:eastAsia="Arial" w:hAnsi="Arial"/>
                <w:sz w:val="18"/>
                <w:szCs w:val="18"/>
                <w:b w:val="1"/>
                <w:bCs w:val="1"/>
                <w:color w:val="auto"/>
                <w:w w:val="92"/>
              </w:rPr>
              <w:t>Prior Notice</w:t>
            </w:r>
          </w:p>
        </w:tc>
      </w:tr>
      <w:tr>
        <w:trPr>
          <w:trHeight w:val="190"/>
        </w:trPr>
        <w:tc>
          <w:tcPr>
            <w:tcW w:w="4720" w:type="dxa"/>
            <w:vAlign w:val="bottom"/>
            <w:tcBorders>
              <w:left w:val="single" w:sz="8" w:color="auto"/>
              <w:bottom w:val="single" w:sz="8" w:color="auto"/>
              <w:right w:val="single" w:sz="8" w:color="auto"/>
            </w:tcBorders>
            <w:gridSpan w:val="4"/>
          </w:tcPr>
          <w:p>
            <w:pPr>
              <w:jc w:val="center"/>
              <w:ind w:right="20"/>
              <w:spacing w:after="0" w:line="190" w:lineRule="exact"/>
              <w:rPr>
                <w:sz w:val="20"/>
                <w:szCs w:val="20"/>
                <w:color w:val="auto"/>
              </w:rPr>
            </w:pPr>
            <w:r>
              <w:rPr>
                <w:rFonts w:ascii="Arial" w:cs="Arial" w:eastAsia="Arial" w:hAnsi="Arial"/>
                <w:sz w:val="18"/>
                <w:szCs w:val="18"/>
                <w:color w:val="auto"/>
                <w:w w:val="88"/>
              </w:rPr>
              <w:t>Base Rate Loans</w:t>
            </w:r>
          </w:p>
        </w:tc>
        <w:tc>
          <w:tcPr>
            <w:tcW w:w="1480" w:type="dxa"/>
            <w:vAlign w:val="bottom"/>
            <w:tcBorders>
              <w:bottom w:val="single" w:sz="8" w:color="auto"/>
            </w:tcBorders>
            <w:gridSpan w:val="2"/>
          </w:tcPr>
          <w:p>
            <w:pPr>
              <w:jc w:val="center"/>
              <w:ind w:left="630"/>
              <w:spacing w:after="0" w:line="190" w:lineRule="exact"/>
              <w:rPr>
                <w:sz w:val="20"/>
                <w:szCs w:val="20"/>
                <w:color w:val="auto"/>
              </w:rPr>
            </w:pPr>
            <w:r>
              <w:rPr>
                <w:rFonts w:ascii="Arial" w:cs="Arial" w:eastAsia="Arial" w:hAnsi="Arial"/>
                <w:sz w:val="18"/>
                <w:szCs w:val="18"/>
                <w:color w:val="auto"/>
                <w:w w:val="90"/>
              </w:rPr>
              <w:t>$100,000</w:t>
            </w:r>
          </w:p>
        </w:tc>
        <w:tc>
          <w:tcPr>
            <w:tcW w:w="7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630"/>
              <w:spacing w:after="0" w:line="190" w:lineRule="exact"/>
              <w:rPr>
                <w:sz w:val="20"/>
                <w:szCs w:val="20"/>
                <w:color w:val="auto"/>
              </w:rPr>
            </w:pPr>
            <w:r>
              <w:rPr>
                <w:rFonts w:ascii="Arial" w:cs="Arial" w:eastAsia="Arial" w:hAnsi="Arial"/>
                <w:sz w:val="18"/>
                <w:szCs w:val="18"/>
                <w:color w:val="auto"/>
                <w:w w:val="92"/>
              </w:rPr>
              <w:t>$50,000</w:t>
            </w:r>
          </w:p>
        </w:tc>
        <w:tc>
          <w:tcPr>
            <w:tcW w:w="7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88"/>
              </w:rPr>
              <w:t>One Business Day</w:t>
            </w:r>
          </w:p>
        </w:tc>
      </w:tr>
      <w:tr>
        <w:trPr>
          <w:trHeight w:val="169"/>
        </w:trPr>
        <w:tc>
          <w:tcPr>
            <w:tcW w:w="2460" w:type="dxa"/>
            <w:vAlign w:val="bottom"/>
            <w:tcBorders>
              <w:left w:val="single" w:sz="8" w:color="auto"/>
            </w:tcBorders>
            <w:gridSpan w:val="2"/>
          </w:tcPr>
          <w:p>
            <w:pPr>
              <w:ind w:left="1320"/>
              <w:spacing w:after="0" w:line="169" w:lineRule="exact"/>
              <w:rPr>
                <w:sz w:val="20"/>
                <w:szCs w:val="20"/>
                <w:color w:val="auto"/>
              </w:rPr>
            </w:pPr>
            <w:r>
              <w:rPr>
                <w:rFonts w:ascii="Arial" w:cs="Arial" w:eastAsia="Arial" w:hAnsi="Arial"/>
                <w:sz w:val="18"/>
                <w:szCs w:val="18"/>
                <w:color w:val="FF0000"/>
                <w:strike w:val="1"/>
                <w:w w:val="89"/>
              </w:rPr>
              <w:t>Eurodollar Rate</w:t>
            </w:r>
          </w:p>
        </w:tc>
        <w:tc>
          <w:tcPr>
            <w:tcW w:w="22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0000FF"/>
              </w:rPr>
              <w:t xml:space="preserve">SOFR </w:t>
            </w:r>
            <w:r>
              <w:rPr>
                <w:rFonts w:ascii="Arial" w:cs="Arial" w:eastAsia="Arial" w:hAnsi="Arial"/>
                <w:sz w:val="18"/>
                <w:szCs w:val="18"/>
                <w:color w:val="000000"/>
              </w:rPr>
              <w:t>Loans</w:t>
            </w:r>
          </w:p>
        </w:tc>
        <w:tc>
          <w:tcPr>
            <w:tcW w:w="1480" w:type="dxa"/>
            <w:vAlign w:val="bottom"/>
            <w:gridSpan w:val="2"/>
          </w:tcPr>
          <w:p>
            <w:pPr>
              <w:jc w:val="center"/>
              <w:ind w:left="630"/>
              <w:spacing w:after="0" w:line="169" w:lineRule="exact"/>
              <w:rPr>
                <w:sz w:val="20"/>
                <w:szCs w:val="20"/>
                <w:color w:val="auto"/>
              </w:rPr>
            </w:pPr>
            <w:r>
              <w:rPr>
                <w:rFonts w:ascii="Arial" w:cs="Arial" w:eastAsia="Arial" w:hAnsi="Arial"/>
                <w:sz w:val="18"/>
                <w:szCs w:val="18"/>
                <w:color w:val="auto"/>
                <w:w w:val="90"/>
              </w:rPr>
              <w:t>$100,000</w:t>
            </w:r>
          </w:p>
        </w:tc>
        <w:tc>
          <w:tcPr>
            <w:tcW w:w="760" w:type="dxa"/>
            <w:vAlign w:val="bottom"/>
            <w:tcBorders>
              <w:right w:val="single" w:sz="8" w:color="auto"/>
            </w:tcBorders>
          </w:tcPr>
          <w:p>
            <w:pPr>
              <w:spacing w:after="0"/>
              <w:rPr>
                <w:sz w:val="14"/>
                <w:szCs w:val="14"/>
                <w:color w:val="auto"/>
              </w:rPr>
            </w:pPr>
          </w:p>
        </w:tc>
        <w:tc>
          <w:tcPr>
            <w:tcW w:w="1360" w:type="dxa"/>
            <w:vAlign w:val="bottom"/>
            <w:gridSpan w:val="2"/>
          </w:tcPr>
          <w:p>
            <w:pPr>
              <w:jc w:val="center"/>
              <w:ind w:left="630"/>
              <w:spacing w:after="0" w:line="169" w:lineRule="exact"/>
              <w:rPr>
                <w:sz w:val="20"/>
                <w:szCs w:val="20"/>
                <w:color w:val="auto"/>
              </w:rPr>
            </w:pPr>
            <w:r>
              <w:rPr>
                <w:rFonts w:ascii="Arial" w:cs="Arial" w:eastAsia="Arial" w:hAnsi="Arial"/>
                <w:sz w:val="18"/>
                <w:szCs w:val="18"/>
                <w:color w:val="auto"/>
                <w:w w:val="92"/>
              </w:rPr>
              <w:t>$50,000</w:t>
            </w:r>
          </w:p>
        </w:tc>
        <w:tc>
          <w:tcPr>
            <w:tcW w:w="740" w:type="dxa"/>
            <w:vAlign w:val="bottom"/>
            <w:tcBorders>
              <w:right w:val="single" w:sz="8" w:color="auto"/>
            </w:tcBorders>
          </w:tcPr>
          <w:p>
            <w:pPr>
              <w:spacing w:after="0"/>
              <w:rPr>
                <w:sz w:val="14"/>
                <w:szCs w:val="14"/>
                <w:color w:val="auto"/>
              </w:rPr>
            </w:pPr>
          </w:p>
        </w:tc>
        <w:tc>
          <w:tcPr>
            <w:tcW w:w="2180" w:type="dxa"/>
            <w:vAlign w:val="bottom"/>
            <w:tcBorders>
              <w:right w:val="single" w:sz="8" w:color="auto"/>
            </w:tcBorders>
            <w:gridSpan w:val="3"/>
          </w:tcPr>
          <w:p>
            <w:pPr>
              <w:jc w:val="center"/>
              <w:ind w:right="20"/>
              <w:spacing w:after="0" w:line="169" w:lineRule="exact"/>
              <w:rPr>
                <w:sz w:val="20"/>
                <w:szCs w:val="20"/>
                <w:color w:val="auto"/>
              </w:rPr>
            </w:pPr>
            <w:r>
              <w:rPr>
                <w:rFonts w:ascii="Arial" w:cs="Arial" w:eastAsia="Arial" w:hAnsi="Arial"/>
                <w:sz w:val="18"/>
                <w:szCs w:val="18"/>
                <w:color w:val="auto"/>
                <w:w w:val="88"/>
              </w:rPr>
              <w:t>Three Business Days</w:t>
            </w:r>
          </w:p>
        </w:tc>
      </w:tr>
      <w:tr>
        <w:trPr>
          <w:trHeight w:val="20"/>
        </w:trPr>
        <w:tc>
          <w:tcPr>
            <w:tcW w:w="180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Any amounts received after such time on such date will be deemed to have been received on the next succeeding Business Day. Upon the giving of any such notice, the principal amount of the Loans specified in such notice will become due and payable without premium or penalty (except as set forth in Section 2.11(a) and subject to Section 2.18(c)) on the prepayment date specified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notice may be conditioned on receiving the proceeds necessary for such prepayment in a refinancing or otherwise conditioned. Any such voluntary prepayment will be applied as specified in Section 2.15(a). The foregoing provisions will not apply with respect to any Discounted Prepayment governed by Section 2.25.</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Mandatory Prepayments/Commitment Reductions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79" w:lineRule="auto"/>
        <w:tabs>
          <w:tab w:leader="none" w:pos="157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Asset Sales</w:t>
      </w:r>
      <w:r>
        <w:rPr>
          <w:rFonts w:ascii="Arial" w:cs="Arial" w:eastAsia="Arial" w:hAnsi="Arial"/>
          <w:sz w:val="17"/>
          <w:szCs w:val="17"/>
          <w:color w:val="auto"/>
        </w:rPr>
        <w:t>. No later than the fifth Business Day following the date of receipt by the Borrower or any Subsidiary of any Net Cash Proceeds from Asset Sales made pursuant to Section 6.8(e), the Borrower will prepay, or cause to be prepaid, the Term Loans (other than Term C Loans) in accordance with Section 2.15(b) in an aggregate amount equal to 100% (such percentage, as it may be reduced as described below, the “</w:t>
      </w:r>
      <w:r>
        <w:rPr>
          <w:rFonts w:ascii="Arial" w:cs="Arial" w:eastAsia="Arial" w:hAnsi="Arial"/>
          <w:sz w:val="17"/>
          <w:szCs w:val="17"/>
          <w:b w:val="1"/>
          <w:bCs w:val="1"/>
          <w:color w:val="auto"/>
        </w:rPr>
        <w:t>Asset Sale Sweep</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of such Net Cash Proceeds (subject to Sections 2.15(e) and 2.15(f));</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w:t>
      </w:r>
    </w:p>
    <w:p>
      <w:pPr>
        <w:spacing w:after="0" w:line="171" w:lineRule="exact"/>
        <w:rPr>
          <w:rFonts w:ascii="Arial" w:cs="Arial" w:eastAsia="Arial" w:hAnsi="Arial"/>
          <w:sz w:val="17"/>
          <w:szCs w:val="17"/>
          <w:color w:val="auto"/>
        </w:rPr>
      </w:pPr>
    </w:p>
    <w:p>
      <w:pPr>
        <w:jc w:val="both"/>
        <w:ind w:left="1140" w:firstLine="488"/>
        <w:spacing w:after="0" w:line="259" w:lineRule="auto"/>
        <w:tabs>
          <w:tab w:leader="none" w:pos="200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Borrower will have the option, directly or through one or more Subsidiaries, to invest such Net Cash Proceeds within three hundred sixty-five (365) days of receipt thereof (subject to extension as provided in subclause (ii) below) in the Business (other than inventory and other working capital assets), which investment may include research and development expenditures, capital expenditures and the repair, restoration or replacement of the applicable assets thereof; and</w:t>
      </w:r>
    </w:p>
    <w:p>
      <w:pPr>
        <w:spacing w:after="0" w:line="186" w:lineRule="exact"/>
        <w:rPr>
          <w:rFonts w:ascii="Arial" w:cs="Arial" w:eastAsia="Arial" w:hAnsi="Arial"/>
          <w:sz w:val="18"/>
          <w:szCs w:val="18"/>
          <w:color w:val="auto"/>
        </w:rPr>
      </w:pPr>
    </w:p>
    <w:p>
      <w:pPr>
        <w:jc w:val="both"/>
        <w:ind w:left="1140" w:firstLine="488"/>
        <w:spacing w:after="0" w:line="263" w:lineRule="auto"/>
        <w:tabs>
          <w:tab w:leader="none" w:pos="2059"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the Borrower or any Subsidiary enters into a legally binding commitment to invest such Net Cash Proceeds within the 365-day period specified in subclause (i) above, it may directly or through one or more Subsidiaries, so invest such Net Cash Proceeds within one hundred eighty (180) days following the end of such initial 365-day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(x) so long as no Event of Default has occurred and is continuing, if, as of the last day of the most recently ended Test Period prior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Asset Sale, the Total Net Leverage Ratio (determined on a Pro Forma Basis by reference to the applicable Compliance Certificate then last delivered pursuant to Section 5.1(e)) is less than 0.82:1.00, the Asset Sale Sweep Percentage will be 50% and (y) to the extent that the sum of all Net Cash Proceeds from Asset Sales made pursuant to Section 6.8(e) received during any Fiscal Year does not exceed $10,000,000, then no such prepayment shall be required (it being understood that if such Net Cash Proceeds exceeds $10,000,000 in a Fiscal Year, then the Borrower shall only be required to make a prepayment with such excess amount above $10,000,000).</w:t>
      </w:r>
    </w:p>
    <w:p>
      <w:pPr>
        <w:spacing w:after="0" w:line="192" w:lineRule="exact"/>
        <w:rPr>
          <w:sz w:val="20"/>
          <w:szCs w:val="20"/>
          <w:color w:val="auto"/>
        </w:rPr>
      </w:pPr>
    </w:p>
    <w:p>
      <w:pPr>
        <w:jc w:val="both"/>
        <w:ind w:firstLine="1142"/>
        <w:spacing w:after="0" w:line="287" w:lineRule="auto"/>
        <w:tabs>
          <w:tab w:leader="none" w:pos="1644"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Casualty Events</w:t>
      </w:r>
      <w:r>
        <w:rPr>
          <w:rFonts w:ascii="Arial" w:cs="Arial" w:eastAsia="Arial" w:hAnsi="Arial"/>
          <w:sz w:val="16"/>
          <w:szCs w:val="16"/>
          <w:color w:val="auto"/>
        </w:rPr>
        <w:t>. No later than the fifth Business Day following the date of receipt by the Borrower or any Subsidiary, or the Administrative Agent as loss payee, of any Net Cash Proceeds from a Casualty Event, the Borrower will prepay, or cause to be prepaid, the Term Loans (other than Term C Loans) in accordance with Section 2.15(b) in an aggregate amount equal to 100% of such Net Cash Proceeds (subject to Sections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2.15(e) and 2.15(f));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0" w:lineRule="exact"/>
        <w:rPr>
          <w:rFonts w:ascii="Arial" w:cs="Arial" w:eastAsia="Arial" w:hAnsi="Arial"/>
          <w:sz w:val="16"/>
          <w:szCs w:val="16"/>
          <w:color w:val="auto"/>
        </w:rPr>
      </w:pPr>
    </w:p>
    <w:p>
      <w:pPr>
        <w:jc w:val="both"/>
        <w:ind w:left="1140" w:firstLine="488"/>
        <w:spacing w:after="0" w:line="286" w:lineRule="auto"/>
        <w:tabs>
          <w:tab w:leader="none" w:pos="1992"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Borrower will have the option, directly or through one or more of the Subsidiaries, to invest such Net Cash Proceeds within three hundred sixty-five (365) days of receipt thereof (subject to extension as provided in subclause (ii) below) in assets used or useful in the Business, which investment may include the repair, restoration or replacement of the applicable assets thereof; and</w:t>
      </w:r>
    </w:p>
    <w:p>
      <w:pPr>
        <w:spacing w:after="0" w:line="165" w:lineRule="exact"/>
        <w:rPr>
          <w:rFonts w:ascii="Arial" w:cs="Arial" w:eastAsia="Arial" w:hAnsi="Arial"/>
          <w:sz w:val="17"/>
          <w:szCs w:val="17"/>
          <w:color w:val="auto"/>
        </w:rPr>
      </w:pPr>
    </w:p>
    <w:p>
      <w:pPr>
        <w:jc w:val="both"/>
        <w:ind w:left="1140" w:firstLine="488"/>
        <w:spacing w:after="0" w:line="263" w:lineRule="auto"/>
        <w:tabs>
          <w:tab w:leader="none" w:pos="20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the Borrower or any Subsidiary enters into a legally binding commitment to invest such Net Cash Proceeds within the 365-day period specified in subclause (i) above, it may directly or through one or more of the Subsidiaries, so invest such Net Cash Proceeds within one hundred eighty (180) days following the end of such initial 365-day period.</w:t>
      </w:r>
    </w:p>
    <w:p>
      <w:pPr>
        <w:spacing w:after="0" w:line="183" w:lineRule="exact"/>
        <w:rPr>
          <w:rFonts w:ascii="Arial" w:cs="Arial" w:eastAsia="Arial" w:hAnsi="Arial"/>
          <w:sz w:val="18"/>
          <w:szCs w:val="18"/>
          <w:color w:val="auto"/>
        </w:rPr>
      </w:pPr>
    </w:p>
    <w:p>
      <w:pPr>
        <w:jc w:val="both"/>
        <w:ind w:firstLine="1142"/>
        <w:spacing w:after="0" w:line="259" w:lineRule="auto"/>
        <w:tabs>
          <w:tab w:leader="none" w:pos="153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Issuance of Debt</w:t>
      </w:r>
      <w:r>
        <w:rPr>
          <w:rFonts w:ascii="Arial" w:cs="Arial" w:eastAsia="Arial" w:hAnsi="Arial"/>
          <w:sz w:val="18"/>
          <w:szCs w:val="18"/>
          <w:color w:val="auto"/>
        </w:rPr>
        <w:t>. No later than the first Business Day following receipt by the Borrower or any Subsidiary of any Net Cash Proceeds from the incurrence of any Indebtedness of the Borrower or any Subsidiary (other than any Indebtedness permitted to be incurred or issued pursuant to Section 6.1 (excluding Credit Agreement Refinancing Indebtedness and Replacement Term Loans)), the Borrower will prepay the Term Loans in accordance with Section 2.15(b) in an aggregate amount equal to 100% of such Net Cash Proceeds.</w:t>
      </w:r>
    </w:p>
    <w:p>
      <w:pPr>
        <w:spacing w:after="0" w:line="186" w:lineRule="exact"/>
        <w:rPr>
          <w:rFonts w:ascii="Arial" w:cs="Arial" w:eastAsia="Arial" w:hAnsi="Arial"/>
          <w:sz w:val="18"/>
          <w:szCs w:val="18"/>
          <w:color w:val="auto"/>
        </w:rPr>
      </w:pPr>
    </w:p>
    <w:p>
      <w:pPr>
        <w:jc w:val="both"/>
        <w:ind w:firstLine="1142"/>
        <w:spacing w:after="0" w:line="257" w:lineRule="auto"/>
        <w:tabs>
          <w:tab w:leader="none" w:pos="155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In the event that there is positive Consolidated Excess Cash Flow for any Fiscal Year (commencing with the Fiscal Year ending 2019), the Borrower will, within five (5) Business Days of delivery (or, if later, required delivery) of the annual financial statements pursuant to Section 5.1(a) (the date of such payment, the “</w:t>
      </w:r>
      <w:r>
        <w:rPr>
          <w:rFonts w:ascii="Arial" w:cs="Arial" w:eastAsia="Arial" w:hAnsi="Arial"/>
          <w:sz w:val="18"/>
          <w:szCs w:val="18"/>
          <w:b w:val="1"/>
          <w:bCs w:val="1"/>
          <w:color w:val="auto"/>
        </w:rPr>
        <w:t>ECF Payment Date</w:t>
      </w:r>
      <w:r>
        <w:rPr>
          <w:rFonts w:ascii="Arial" w:cs="Arial" w:eastAsia="Arial" w:hAnsi="Arial"/>
          <w:sz w:val="18"/>
          <w:szCs w:val="18"/>
          <w:color w:val="auto"/>
        </w:rPr>
        <w:t>”), prepay the Term Loans in accordance with Section 2.15(b) in an aggregate amount equal to 25% (such percentage, as it may be increased or decreased as described below, the “</w:t>
      </w:r>
      <w:r>
        <w:rPr>
          <w:rFonts w:ascii="Arial" w:cs="Arial" w:eastAsia="Arial" w:hAnsi="Arial"/>
          <w:sz w:val="18"/>
          <w:szCs w:val="18"/>
          <w:b w:val="1"/>
          <w:bCs w:val="1"/>
          <w:color w:val="auto"/>
        </w:rPr>
        <w:t>ECF Percentage</w:t>
      </w:r>
      <w:r>
        <w:rPr>
          <w:rFonts w:ascii="Arial" w:cs="Arial" w:eastAsia="Arial" w:hAnsi="Arial"/>
          <w:sz w:val="18"/>
          <w:szCs w:val="18"/>
          <w:color w:val="auto"/>
        </w:rPr>
        <w:t>”) of the sum of (subject to Sections 2.15(e) and 2.15(f)):</w:t>
      </w:r>
    </w:p>
    <w:p>
      <w:pPr>
        <w:spacing w:after="0" w:line="187" w:lineRule="exact"/>
        <w:rPr>
          <w:rFonts w:ascii="Arial" w:cs="Arial" w:eastAsia="Arial" w:hAnsi="Arial"/>
          <w:sz w:val="18"/>
          <w:szCs w:val="18"/>
          <w:color w:val="auto"/>
        </w:rPr>
      </w:pPr>
    </w:p>
    <w:p>
      <w:pPr>
        <w:ind w:left="1980" w:hanging="352"/>
        <w:spacing w:after="0"/>
        <w:tabs>
          <w:tab w:leader="none" w:pos="1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Consolidated Excess Cash Flow for such Fiscal Year, </w:t>
      </w:r>
      <w:r>
        <w:rPr>
          <w:rFonts w:ascii="Arial" w:cs="Arial" w:eastAsia="Arial" w:hAnsi="Arial"/>
          <w:sz w:val="18"/>
          <w:szCs w:val="18"/>
          <w:i w:val="1"/>
          <w:iCs w:val="1"/>
          <w:u w:val="single" w:color="auto"/>
          <w:color w:val="auto"/>
        </w:rPr>
        <w:t>minus</w:t>
      </w:r>
    </w:p>
    <w:p>
      <w:pPr>
        <w:spacing w:after="0" w:line="225" w:lineRule="exact"/>
        <w:rPr>
          <w:rFonts w:ascii="Arial" w:cs="Arial" w:eastAsia="Arial" w:hAnsi="Arial"/>
          <w:sz w:val="18"/>
          <w:szCs w:val="18"/>
          <w:color w:val="auto"/>
        </w:rPr>
      </w:pPr>
    </w:p>
    <w:p>
      <w:pPr>
        <w:jc w:val="both"/>
        <w:ind w:left="1140" w:firstLine="488"/>
        <w:spacing w:after="0" w:line="293" w:lineRule="auto"/>
        <w:tabs>
          <w:tab w:leader="none" w:pos="205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the aggregate amount of all voluntary repayments or prepayments of Loans (including Incremental Term Loans, but excluding Term C Loans) and any other Pari Passu Lien Indebtedness, in each case made during such Fiscal Year (other than (A) repayments or prepayments of Incremental Revolving Loans, unless such repayments or prepayments are accompanied by a permanent reduction of the Incremental Revolving Credit Commitments in like amount, (B) repurchases or other refinancing of Term Loans pursuant to Section 2.26 or substantially comparable repurchase or refinancing provisions in the definitive documentation governing such other Indebtedness and (C) repayments or prepayments of Loans or such other Indebtedness with proceeds of Funded Debt), </w:t>
      </w:r>
      <w:r>
        <w:rPr>
          <w:rFonts w:ascii="Arial" w:cs="Arial" w:eastAsia="Arial" w:hAnsi="Arial"/>
          <w:sz w:val="16"/>
          <w:szCs w:val="16"/>
          <w:i w:val="1"/>
          <w:iCs w:val="1"/>
          <w:u w:val="single" w:color="auto"/>
          <w:color w:val="auto"/>
        </w:rPr>
        <w:t>minus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jc w:val="both"/>
        <w:ind w:left="1140" w:firstLine="488"/>
        <w:spacing w:after="0" w:line="275" w:lineRule="auto"/>
        <w:tabs>
          <w:tab w:leader="none" w:pos="210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aggregate amount of all voluntary purchases, repayments or prepayments of the Term Loans (including Incremental Term Loans, but excluding Term C Loans) and any other Pari Passu Lien Indebtedness made at a discount to par in compliance with Section 2.25 or Section 10.6(j) or comparable provisions in the definitive documentation governing such other Indebtedness (in each case, other than any such purchase, repayment or prepayment made with proceeds of Funded Debt), with such amount being equal to the discounted amount actually paid in respect of such prepayment for such Indebtedness during such Fiscal Year;</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as of the last day of the most recently ended Fiscal Year, the First Lien Net Leverage Ratio on a Pro Forma Basis (determined for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by reference to the applicable Compliance Certificate delivered pursuant to Section 5.1(e), calculating the First Lien Net Leverage Ratio on a Pro Forma Basis as of the last day of such Fiscal Year) is (i) equal to or greater than 2.50:1.00, the ECF Percentage will be increased to 50% and (ii) equal to or less than 1.50:1.00, the ECF Percentage will be decreased to 0%, so long as no Default or Event of Default has occurred and is continuing.</w:t>
      </w:r>
    </w:p>
    <w:p>
      <w:pPr>
        <w:spacing w:after="0" w:line="157" w:lineRule="exact"/>
        <w:rPr>
          <w:sz w:val="20"/>
          <w:szCs w:val="20"/>
          <w:color w:val="auto"/>
        </w:rPr>
      </w:pPr>
    </w:p>
    <w:p>
      <w:pPr>
        <w:jc w:val="both"/>
        <w:ind w:firstLine="1142"/>
        <w:spacing w:after="0" w:line="275" w:lineRule="auto"/>
        <w:tabs>
          <w:tab w:leader="none" w:pos="162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Prepayment Certificate</w:t>
      </w:r>
      <w:r>
        <w:rPr>
          <w:rFonts w:ascii="Arial" w:cs="Arial" w:eastAsia="Arial" w:hAnsi="Arial"/>
          <w:sz w:val="17"/>
          <w:szCs w:val="17"/>
          <w:color w:val="auto"/>
        </w:rPr>
        <w:t>. Concurrently with any prepayment of the Term Loans pursuant to Sections 2.14(a) through 2.14(d), the Borrower will deliver to the Administrative Agent a calculation of the amount of the applicable Net Cash Proceeds or Consolidated Excess Cash Flow, as the case may be. In the event that the Borrower will subsequently determine that the actual amount received exceeded the amount applied pursuant to this Section 2.14, the Borrower will promptly make an additional prepayment of the Term Loans in an amount equal to such excess, and the Borrower will concurrently therewith deliver to the Administrative Agent a calculation of such excess.</w:t>
      </w:r>
    </w:p>
    <w:p>
      <w:pPr>
        <w:spacing w:after="0" w:line="17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Application of Prepayments/Reductions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9" w:lineRule="auto"/>
        <w:tabs>
          <w:tab w:leader="none" w:pos="160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xml:space="preserve">. Subject to Section 2.15(d), any prepayment of any Loan pursuant to Section 2.13 will be applied as specified by the Borrower in the applicable notice of prepayment and absent any such direction as to the prepayment of such Loans, in direct order of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any prepayment shall be applied ratably among holders of the same Class of Loans (or, in the case of any Obligations other than Loans, of the same type of such Obligations).</w:t>
      </w:r>
    </w:p>
    <w:p>
      <w:pPr>
        <w:spacing w:after="0" w:line="186" w:lineRule="exact"/>
        <w:rPr>
          <w:rFonts w:ascii="Arial" w:cs="Arial" w:eastAsia="Arial" w:hAnsi="Arial"/>
          <w:sz w:val="18"/>
          <w:szCs w:val="18"/>
          <w:color w:val="auto"/>
        </w:rPr>
      </w:pPr>
    </w:p>
    <w:p>
      <w:pPr>
        <w:ind w:firstLine="1142"/>
        <w:spacing w:after="0" w:line="277" w:lineRule="auto"/>
        <w:tabs>
          <w:tab w:leader="none" w:pos="161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Subject to Section 2.15(d), any amount required to be paid pursuant to Sections 2.14(a) through 2.14(d) will be applied as follows:</w:t>
      </w:r>
    </w:p>
    <w:p>
      <w:pPr>
        <w:spacing w:after="0" w:line="170" w:lineRule="exact"/>
        <w:rPr>
          <w:rFonts w:ascii="Arial" w:cs="Arial" w:eastAsia="Arial" w:hAnsi="Arial"/>
          <w:sz w:val="18"/>
          <w:szCs w:val="18"/>
          <w:color w:val="auto"/>
        </w:rPr>
      </w:pPr>
    </w:p>
    <w:p>
      <w:pPr>
        <w:jc w:val="both"/>
        <w:ind w:left="1140" w:firstLine="488"/>
        <w:spacing w:after="0" w:line="279" w:lineRule="auto"/>
        <w:tabs>
          <w:tab w:leader="none" w:pos="2116"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except as set forth in any Refinancing Amendment, Extension Amendment or Incremental Amendment (or as otherwise provided in Section 2.14(a) or (b)), such prepayment will be applied to each Class of Term Loans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 respective outstanding principal amounts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prepayment of Term Loans with the Net Cash Proceeds of Credit Agreement Refinancing Indebtedness will be applied solely to each applicable Class of Refinanced Indebtedness,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ind w:left="1140" w:firstLine="488"/>
        <w:spacing w:after="0" w:line="342" w:lineRule="auto"/>
        <w:tabs>
          <w:tab w:leader="none" w:pos="2081"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such prepayment will be applied to the succeeding installments of each applicable Class of Term Loans in such order as the Borrower may direct, or, if no direction is given, in direct order of maturity, with the balance, if any, applied to the amount due at maturity.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Notwithstanding anything to the contrary in any Credit Document, the Borrower may use a portion of the amounts required to be paid pursuant to Sections 2.14(a) and 2.14(b) to prepay, repurchase, redeem, defease or otherwise repay, or offer to prepay, repurchase, redeem, defease or otherwise repay, with such amounts other Pari Passu Lien Indebtedness and the amount required to be paid pursuant to such Sections will be ratably reduced;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definitive documentation in respect of such Pari Passu Lien Indebtedness requires the issuer or borrower thereof to prepay, repurchase, redeem, defease or otherwise repay, or offer to prepay, repurchase, redeem, defease or otherwise repay, such Pari Passu Lien Indebtedness with such amounts, in each case,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the outstanding principal amount of Term Loans.</w:t>
      </w:r>
    </w:p>
    <w:p>
      <w:pPr>
        <w:spacing w:after="0" w:line="178" w:lineRule="exact"/>
        <w:rPr>
          <w:sz w:val="20"/>
          <w:szCs w:val="20"/>
          <w:color w:val="auto"/>
        </w:rPr>
      </w:pPr>
    </w:p>
    <w:p>
      <w:pPr>
        <w:jc w:val="both"/>
        <w:ind w:firstLine="1142"/>
        <w:spacing w:after="0" w:line="311" w:lineRule="auto"/>
        <w:tabs>
          <w:tab w:leader="none" w:pos="155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Application of Prepayments of Loans to Base Rate Loans and</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Eurodollar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xml:space="preserve">. Considering each Class of Loans being prepaid separately, any prepayment thereof will be applied first to Base Rate Loans to the full extent thereof before application to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in each case, in a manner that minimizes the amount of any payments required to be made by the Borrower pursuant to Section 2.18(c).</w:t>
      </w:r>
    </w:p>
    <w:p>
      <w:pPr>
        <w:spacing w:after="0" w:line="148" w:lineRule="exact"/>
        <w:rPr>
          <w:rFonts w:ascii="Arial" w:cs="Arial" w:eastAsia="Arial" w:hAnsi="Arial"/>
          <w:sz w:val="16"/>
          <w:szCs w:val="16"/>
          <w:color w:val="auto"/>
        </w:rPr>
      </w:pPr>
    </w:p>
    <w:p>
      <w:pPr>
        <w:jc w:val="both"/>
        <w:ind w:firstLine="1142"/>
        <w:spacing w:after="0" w:line="279" w:lineRule="auto"/>
        <w:tabs>
          <w:tab w:leader="none" w:pos="1531"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Application of Payments or Proceeds</w:t>
      </w:r>
      <w:r>
        <w:rPr>
          <w:rFonts w:ascii="Arial" w:cs="Arial" w:eastAsia="Arial" w:hAnsi="Arial"/>
          <w:sz w:val="17"/>
          <w:szCs w:val="17"/>
          <w:color w:val="auto"/>
        </w:rPr>
        <w:t>. During the continuance of an Event of Default, the Administrative Agent may and will upon the direction of the Required Lenders apply any and all payments received by the Administrative Agent in respect of any Obligation in accordance with Section 8.2. All payments made by a Credit Party to the Administrative Agent after any or all of the Obligations have been accelerated (so long as such acceleration has not been rescinded), including proceeds of Collateral, will be applied in accordance with Section 8.2.</w:t>
      </w:r>
    </w:p>
    <w:p>
      <w:pPr>
        <w:spacing w:after="0" w:line="171" w:lineRule="exact"/>
        <w:rPr>
          <w:rFonts w:ascii="Arial" w:cs="Arial" w:eastAsia="Arial" w:hAnsi="Arial"/>
          <w:sz w:val="17"/>
          <w:szCs w:val="17"/>
          <w:color w:val="auto"/>
        </w:rPr>
      </w:pPr>
    </w:p>
    <w:p>
      <w:pPr>
        <w:jc w:val="both"/>
        <w:ind w:firstLine="1142"/>
        <w:spacing w:after="0" w:line="268" w:lineRule="auto"/>
        <w:tabs>
          <w:tab w:leader="none" w:pos="1659"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Waivable Mandatory Prepayment</w:t>
      </w:r>
      <w:r>
        <w:rPr>
          <w:rFonts w:ascii="Arial" w:cs="Arial" w:eastAsia="Arial" w:hAnsi="Arial"/>
          <w:sz w:val="17"/>
          <w:szCs w:val="17"/>
          <w:color w:val="auto"/>
        </w:rPr>
        <w:t>. Anything contained herein to the contrary notwithstanding, so long as any Term Loans are outstanding, in the event the Borrower is required to make any mandatory prepayment pursuant to Section 2.14(a) through (d) (other than any mandatory prepayment with the Net Cash Proceeds of any Credit Agreement Refinancing Indebtedness or Replacement Term Loans) (a “</w:t>
      </w:r>
      <w:r>
        <w:rPr>
          <w:rFonts w:ascii="Arial" w:cs="Arial" w:eastAsia="Arial" w:hAnsi="Arial"/>
          <w:sz w:val="17"/>
          <w:szCs w:val="17"/>
          <w:b w:val="1"/>
          <w:bCs w:val="1"/>
          <w:color w:val="auto"/>
        </w:rPr>
        <w:t>Waivable Mandatory</w:t>
      </w:r>
      <w:r>
        <w:rPr>
          <w:rFonts w:ascii="Arial" w:cs="Arial" w:eastAsia="Arial" w:hAnsi="Arial"/>
          <w:sz w:val="17"/>
          <w:szCs w:val="17"/>
          <w:color w:val="auto"/>
        </w:rPr>
        <w:t xml:space="preserve"> </w:t>
      </w:r>
      <w:r>
        <w:rPr>
          <w:rFonts w:ascii="Arial" w:cs="Arial" w:eastAsia="Arial" w:hAnsi="Arial"/>
          <w:sz w:val="17"/>
          <w:szCs w:val="17"/>
          <w:b w:val="1"/>
          <w:bCs w:val="1"/>
          <w:color w:val="auto"/>
        </w:rPr>
        <w:t>Prepayment</w:t>
      </w:r>
      <w:r>
        <w:rPr>
          <w:rFonts w:ascii="Arial" w:cs="Arial" w:eastAsia="Arial" w:hAnsi="Arial"/>
          <w:sz w:val="17"/>
          <w:szCs w:val="17"/>
          <w:color w:val="auto"/>
        </w:rPr>
        <w:t>”), not less than three (3) Business Days prior to the date (the “</w:t>
      </w:r>
      <w:r>
        <w:rPr>
          <w:rFonts w:ascii="Arial" w:cs="Arial" w:eastAsia="Arial" w:hAnsi="Arial"/>
          <w:sz w:val="17"/>
          <w:szCs w:val="17"/>
          <w:b w:val="1"/>
          <w:bCs w:val="1"/>
          <w:color w:val="auto"/>
        </w:rPr>
        <w:t>Required Prepayment Date</w:t>
      </w:r>
      <w:r>
        <w:rPr>
          <w:rFonts w:ascii="Arial" w:cs="Arial" w:eastAsia="Arial" w:hAnsi="Arial"/>
          <w:sz w:val="17"/>
          <w:szCs w:val="17"/>
          <w:color w:val="auto"/>
        </w:rPr>
        <w:t>”) on which the Borrower is are required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such Waivable Mandatory Prepayment, the Borrower will notify the Administrative Agent of the amount of such prepayment. Each such Lender may exercise its option to refuse any Waivable Mandatory Prepayment by giving written notice to the Borrower and the Administrative Agent of its election to do so on or before the first Business Day prior to the Required Prepayment Date (it being understood that any Lender that does not notify the Borrower and the Administrative Agent of its election to exercise such option on or before the first Business Day prior to the Required Prepayment Date will be deemed to have elected, as of such date, not to exercise such option). On the Required Prepayment Date, the Borrower will pay to the Administrative Agent the amount of the Waivable Mandatory Prepayment, which amount will be applied to those Lenders that have elected not to exercise such option, as prepayment of the Term Loans (which prepayment will be applied to the scheduled installments of principal of the Term Loans of Lenders not electing to exercise such option, in accordance with Section 2.15(b)), with any balance of the Waivable Mandatory Prepayment to be retained by the Borrower and used for any purpose permitted by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-2898140</wp:posOffset>
            </wp:positionV>
            <wp:extent cx="2832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-2760980</wp:posOffset>
            </wp:positionV>
            <wp:extent cx="2832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ind w:left="1500" w:hanging="358"/>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Repatriation; Foreign Considerations</w:t>
      </w:r>
      <w:r>
        <w:rPr>
          <w:rFonts w:ascii="Arial" w:cs="Arial" w:eastAsia="Arial" w:hAnsi="Arial"/>
          <w:sz w:val="18"/>
          <w:szCs w:val="18"/>
          <w:color w:val="auto"/>
        </w:rPr>
        <w:t>. Notwithstanding any provisions of Section 2.14 or this Section 2.15 to the contrary:</w:t>
      </w:r>
    </w:p>
    <w:p>
      <w:pPr>
        <w:spacing w:after="0" w:line="225" w:lineRule="exact"/>
        <w:rPr>
          <w:rFonts w:ascii="Arial" w:cs="Arial" w:eastAsia="Arial" w:hAnsi="Arial"/>
          <w:sz w:val="18"/>
          <w:szCs w:val="18"/>
          <w:color w:val="auto"/>
        </w:rPr>
      </w:pPr>
    </w:p>
    <w:p>
      <w:pPr>
        <w:jc w:val="both"/>
        <w:ind w:left="1140" w:firstLine="488"/>
        <w:spacing w:after="0" w:line="268" w:lineRule="auto"/>
        <w:tabs>
          <w:tab w:leader="none" w:pos="1998" w:val="left"/>
        </w:tabs>
        <w:numPr>
          <w:ilvl w:val="1"/>
          <w:numId w:val="89"/>
        </w:numPr>
        <w:rPr>
          <w:rFonts w:ascii="Arial" w:cs="Arial" w:eastAsia="Arial" w:hAnsi="Arial"/>
          <w:sz w:val="17"/>
          <w:szCs w:val="17"/>
          <w:color w:val="auto"/>
        </w:rPr>
      </w:pPr>
      <w:r>
        <w:rPr>
          <w:rFonts w:ascii="Arial" w:cs="Arial" w:eastAsia="Arial" w:hAnsi="Arial"/>
          <w:sz w:val="17"/>
          <w:szCs w:val="17"/>
          <w:color w:val="auto"/>
        </w:rPr>
        <w:t>to the extent that any or all of the Net Cash Proceeds of any Asset Sale by a Foreign Subsidiary (or a Domestic Subsidiary of a Foreign Subsidiary) giving rise to a prepayment event pursuant to Section 2.14(a) (a “</w:t>
      </w:r>
      <w:r>
        <w:rPr>
          <w:rFonts w:ascii="Arial" w:cs="Arial" w:eastAsia="Arial" w:hAnsi="Arial"/>
          <w:sz w:val="17"/>
          <w:szCs w:val="17"/>
          <w:b w:val="1"/>
          <w:bCs w:val="1"/>
          <w:color w:val="auto"/>
        </w:rPr>
        <w:t>Foreign Disposition</w:t>
      </w:r>
      <w:r>
        <w:rPr>
          <w:rFonts w:ascii="Arial" w:cs="Arial" w:eastAsia="Arial" w:hAnsi="Arial"/>
          <w:sz w:val="17"/>
          <w:szCs w:val="17"/>
          <w:color w:val="auto"/>
        </w:rPr>
        <w:t>”), the Net Cash Proceeds of any Casualty Event from a Foreign Subsidiary (or a Domestic Subsidiary of a Foreign Subsidiary) giving rise to a prepayment event pursuant to Section 2.14(b) (a “</w:t>
      </w:r>
      <w:r>
        <w:rPr>
          <w:rFonts w:ascii="Arial" w:cs="Arial" w:eastAsia="Arial" w:hAnsi="Arial"/>
          <w:sz w:val="17"/>
          <w:szCs w:val="17"/>
          <w:b w:val="1"/>
          <w:bCs w:val="1"/>
          <w:color w:val="auto"/>
        </w:rPr>
        <w:t>Foreign Casualty Event</w:t>
      </w:r>
      <w:r>
        <w:rPr>
          <w:rFonts w:ascii="Arial" w:cs="Arial" w:eastAsia="Arial" w:hAnsi="Arial"/>
          <w:sz w:val="17"/>
          <w:szCs w:val="17"/>
          <w:color w:val="auto"/>
        </w:rPr>
        <w:t>”) or Consolidated Excess Cash Flow are prohibited or delayed by applicable local law (including, without limitation, as to financial assistance, restrictions on upstreaming of cash, corporate benefit restrictions and as to fiduciary and statutory duties of directors and managers) from being repatriated to the United States, the portion of such Net Cash Proceeds or Consolidated Excess Cash Flow so affected will not be required to be applied to repay Term Loans at the times provided in Section 2.14 but may be retained by the applicable Subsidiary so long, but only so long, as the applicable local law will not permit repatriation to the United States, and once such repatriation of any of such affected Net Cash Proceeds or Consolidated Excess Cash Flow is permitted under the applicable local law, such repatriation will be effected promptly and such repatriated Net Cash Proceeds or Consolidated Excess Cash Flow will be promptly (and in any event not later than three (3) Business Days after such repatriation) applied (net of additional Taxes payable or reserved against as a result thereof) to the repayment of the Term Loans pursuant to Section 2.14 to the extent provided therein, and</w:t>
      </w:r>
    </w:p>
    <w:p>
      <w:pPr>
        <w:spacing w:after="0" w:line="186" w:lineRule="exact"/>
        <w:rPr>
          <w:rFonts w:ascii="Arial" w:cs="Arial" w:eastAsia="Arial" w:hAnsi="Arial"/>
          <w:sz w:val="17"/>
          <w:szCs w:val="17"/>
          <w:color w:val="auto"/>
        </w:rPr>
      </w:pPr>
    </w:p>
    <w:p>
      <w:pPr>
        <w:jc w:val="both"/>
        <w:ind w:left="1140" w:firstLine="488"/>
        <w:spacing w:after="0" w:line="290" w:lineRule="auto"/>
        <w:tabs>
          <w:tab w:leader="none" w:pos="2042"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the extent that the Borrower has reasonably determined in good faith that repatriation of any of or all the Net Cash Proceeds of any Foreign Disposition, Net Cash Proceeds of any Foreign Casualty Event or Consolidated Excess Cash Flow would result in material adverse Tax consequences (taking into account any foreign tax credit or benefit received in connection with such repatriation) with respect to such Net Cash Proceeds or Consolidated Excess Cash Flow, the Net Cash Proceeds or Consolidated Excess Cash Flow so affected may be retained by the applicable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that to the extent that the repatriation of any Net Cash Proceeds or Consolidated Excess Cash Flow from the relevant Subsidiary would no longer result in such material adverse Tax consequences, an amount equal to the Net Cash Proceeds or Consolidated Excess Cash Flow, as applicable, not previously applied by operation of this clause (ii) shall be promptly applied to the repayment of the Term Loans pursuant to Section 2.14 as otherwise provided therein.</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General Provisions Regarding Payments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5" w:lineRule="auto"/>
        <w:tabs>
          <w:tab w:leader="none" w:pos="15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payments by the Borrower of principal, interest, fees and other Obligations will be made in Dollars in same day funds and by wire transfer or ACH transfer (which will be the exclusive means of payment hereunder), without defense, setoff or counterclaim, free of any restriction or condition, and delivered to the Administrative Agent not later than 1:00 p.m. (New York City time) on the date due at the Payment Office (or such other address as the Administrative Agent may from time to time specify in accordance with Section 10.1) for the account of the Lenders; for purposes of computing interest and fees, funds received by the Administrative Agent after that time on such due date will be deemed to have been paid by the Borrower on the next succeeding Business Day.</w:t>
      </w:r>
    </w:p>
    <w:p>
      <w:pPr>
        <w:spacing w:after="0" w:line="192" w:lineRule="exact"/>
        <w:rPr>
          <w:rFonts w:ascii="Arial" w:cs="Arial" w:eastAsia="Arial" w:hAnsi="Arial"/>
          <w:sz w:val="18"/>
          <w:szCs w:val="18"/>
          <w:color w:val="auto"/>
        </w:rPr>
      </w:pPr>
    </w:p>
    <w:p>
      <w:pPr>
        <w:jc w:val="both"/>
        <w:ind w:firstLine="1142"/>
        <w:spacing w:after="0" w:line="263" w:lineRule="auto"/>
        <w:tabs>
          <w:tab w:leader="none" w:pos="156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payments of the principal amount of any Term Loan made pursuant to Section 2.13 will be accompanied by payment of accrued interest on the principal amount being repaid or prepaid, and all such payments will be applied to the payment of interest then due and payable before application to principal.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jc w:val="both"/>
        <w:ind w:firstLine="1142"/>
        <w:spacing w:after="0" w:line="259" w:lineRule="auto"/>
        <w:tabs>
          <w:tab w:leader="none" w:pos="15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Agent (or its agent or sub-agent appointed by it) will promptly distribute to each Lender at such address as such Lender may indicate in writing, (i) such Lender’s applicable Pro Rata Share of all payments and prepayments of principal and interest due to such Lender pursuant to Sections 2.8, 2.10, 2.12, 2.13 or 2.14, and (ii) all other amounts due to such Lender, including all fees payable with respect thereto, to the extent received by the Administrative Agent.</w:t>
      </w:r>
    </w:p>
    <w:p>
      <w:pPr>
        <w:spacing w:after="0" w:line="186" w:lineRule="exact"/>
        <w:rPr>
          <w:rFonts w:ascii="Arial" w:cs="Arial" w:eastAsia="Arial" w:hAnsi="Arial"/>
          <w:sz w:val="18"/>
          <w:szCs w:val="18"/>
          <w:color w:val="auto"/>
        </w:rPr>
      </w:pPr>
    </w:p>
    <w:p>
      <w:pPr>
        <w:jc w:val="both"/>
        <w:ind w:firstLine="1142"/>
        <w:spacing w:after="0" w:line="263" w:lineRule="auto"/>
        <w:tabs>
          <w:tab w:leader="none" w:pos="15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hereof, if any Conversion/Continuation Notice is withdrawn as to any Affected Lender or if any Affected Lender makes Base Rate Loans in lieu of its Pro Rata Share of any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the Administrative Agent will give effect thereto in apportioning payments received thereafter.</w:t>
      </w:r>
    </w:p>
    <w:p>
      <w:pPr>
        <w:spacing w:after="0" w:line="183" w:lineRule="exact"/>
        <w:rPr>
          <w:rFonts w:ascii="Arial" w:cs="Arial" w:eastAsia="Arial" w:hAnsi="Arial"/>
          <w:sz w:val="18"/>
          <w:szCs w:val="18"/>
          <w:color w:val="auto"/>
        </w:rPr>
      </w:pPr>
    </w:p>
    <w:p>
      <w:pPr>
        <w:jc w:val="both"/>
        <w:ind w:firstLine="1142"/>
        <w:spacing w:after="0" w:line="263" w:lineRule="auto"/>
        <w:tabs>
          <w:tab w:leader="none" w:pos="15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the provisos set forth in the definition of “Interest Period,” whenever any payment to be made hereunder is stated to be due on a day that is not a Business Day, such payment will be made on the next succeeding Business Day and such extension of time will be included in the computation of the payment of interest hereunder.</w:t>
      </w:r>
    </w:p>
    <w:p>
      <w:pPr>
        <w:spacing w:after="0" w:line="183" w:lineRule="exact"/>
        <w:rPr>
          <w:rFonts w:ascii="Arial" w:cs="Arial" w:eastAsia="Arial" w:hAnsi="Arial"/>
          <w:sz w:val="18"/>
          <w:szCs w:val="18"/>
          <w:color w:val="auto"/>
        </w:rPr>
      </w:pPr>
    </w:p>
    <w:p>
      <w:pPr>
        <w:jc w:val="both"/>
        <w:ind w:firstLine="1142"/>
        <w:spacing w:after="0" w:line="291" w:lineRule="auto"/>
        <w:tabs>
          <w:tab w:leader="none" w:pos="151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Administrative Agent will deem any payment by or on behalf of the Borrower hereunder that is not made in same day funds prior to 1:00 p.m. (New York City time) to be a non-conforming payment. Any such payment will not be deemed to have been received by the Administrative Agent until the later of (i) the time such funds become available funds and (ii) the applicable next Business Day. The Administrative Agent will give prompt written notice to the Borrower if any payment is non-conforming. Any non-conforming payment may constitute or become a Default or Event of Default in accordance with the terms of Section 8.1(a). Interest will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2.10 from the date such amount was due and payable until the date such amount is paid in full.</w:t>
      </w:r>
    </w:p>
    <w:p>
      <w:pPr>
        <w:spacing w:after="0" w:line="166" w:lineRule="exact"/>
        <w:rPr>
          <w:rFonts w:ascii="Arial" w:cs="Arial" w:eastAsia="Arial" w:hAnsi="Arial"/>
          <w:sz w:val="16"/>
          <w:szCs w:val="16"/>
          <w:color w:val="auto"/>
        </w:rPr>
      </w:pPr>
    </w:p>
    <w:p>
      <w:pPr>
        <w:jc w:val="both"/>
        <w:ind w:firstLine="1142"/>
        <w:spacing w:after="0" w:line="269" w:lineRule="auto"/>
        <w:tabs>
          <w:tab w:leader="none" w:pos="158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hereof, so long as no Event of Default has occurred and is continuing, if any prepayment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FF0000"/>
        </w:rPr>
        <w:t xml:space="preserve"> </w:t>
      </w:r>
      <w:r>
        <w:rPr>
          <w:rFonts w:ascii="Arial" w:cs="Arial" w:eastAsia="Arial" w:hAnsi="Arial"/>
          <w:sz w:val="17"/>
          <w:szCs w:val="17"/>
          <w:color w:val="000000"/>
        </w:rPr>
        <w:t>Loans is required to be made prior to the last day of the Interest Period therefor, in lieu of making any payment in respect of any</w:t>
      </w:r>
      <w:r>
        <w:rPr>
          <w:rFonts w:ascii="Arial" w:cs="Arial" w:eastAsia="Arial" w:hAnsi="Arial"/>
          <w:sz w:val="17"/>
          <w:szCs w:val="17"/>
          <w:color w:val="FF0000"/>
        </w:rPr>
        <w:t xml:space="preserve"> </w:t>
      </w:r>
      <w:r>
        <w:rPr>
          <w:rFonts w:ascii="Arial" w:cs="Arial" w:eastAsia="Arial" w:hAnsi="Arial"/>
          <w:sz w:val="17"/>
          <w:szCs w:val="17"/>
          <w:color w:val="000000"/>
        </w:rPr>
        <w:t xml:space="preserve">such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000000"/>
        </w:rPr>
        <w:t xml:space="preserve"> Loan prior to the last day of the Interest Period therefor, the Borrower may, in the sole discretion of the Borrower, deposit an amount sufficient to make any such prepayment otherwise required to be made thereunder together with accrued interest to the last day of such Interest Period into an escrow account designated by the Administrative Agent until the last day of such Interest Period, at which time the Administrative Agent will be authorized (without any further action by or notice to or from the Borrower or any other Credit Party) to apply such amount to the prepayment of such Term Loans in accordance with the provisions of this Agreement otherwise applicable to such payment. Upon the occurrence and during the continuance of any Event of Default, the Administrative Agent will also be authorized (without any further action by or notice to or from the Borrower or any other Credit Party) to apply such amount to the prepayment of the outstanding Loans in accordance with the provisions of this Agreement otherwise applicable to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-3310255</wp:posOffset>
            </wp:positionV>
            <wp:extent cx="2832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-1115695</wp:posOffset>
            </wp:positionV>
            <wp:extent cx="2832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-978535</wp:posOffset>
            </wp:positionV>
            <wp:extent cx="2825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jc w:val="both"/>
        <w:ind w:firstLine="648"/>
        <w:spacing w:after="0" w:line="285" w:lineRule="auto"/>
        <w:rPr>
          <w:sz w:val="20"/>
          <w:szCs w:val="20"/>
          <w:color w:val="auto"/>
        </w:rPr>
      </w:pPr>
      <w:r>
        <w:rPr>
          <w:rFonts w:ascii="Arial" w:cs="Arial" w:eastAsia="Arial" w:hAnsi="Arial"/>
          <w:sz w:val="16"/>
          <w:szCs w:val="16"/>
          <w:b w:val="1"/>
          <w:bCs w:val="1"/>
          <w:color w:val="auto"/>
        </w:rPr>
        <w:t>2.17 Ratable Sharing</w:t>
      </w:r>
      <w:r>
        <w:rPr>
          <w:rFonts w:ascii="Arial" w:cs="Arial" w:eastAsia="Arial" w:hAnsi="Arial"/>
          <w:sz w:val="16"/>
          <w:szCs w:val="16"/>
          <w:color w:val="auto"/>
        </w:rPr>
        <w:t>. The Lenders hereby agree among themselves that, except as otherwise provided in the Collateral Documents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amounts realized from the exercise of rights with respect to Liens on the Collateral, if any of them,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as adequate protection of a deposit treated as cash collateral under the Bankruptcy Code or as a distribution in connection with a plan of reorganization, plan of liquidation or similar dispositive plan,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6"/>
          <w:szCs w:val="16"/>
          <w:b w:val="1"/>
          <w:bCs w:val="1"/>
          <w:color w:val="auto"/>
        </w:rPr>
        <w:t>Aggregate Amounts Due</w:t>
      </w:r>
      <w:r>
        <w:rPr>
          <w:rFonts w:ascii="Arial" w:cs="Arial" w:eastAsia="Arial" w:hAnsi="Arial"/>
          <w:sz w:val="16"/>
          <w:szCs w:val="16"/>
          <w:color w:val="auto"/>
        </w:rPr>
        <w:t xml:space="preserve">” to such Lender) which is greater than the proportion received by any other Lender in respect of the Aggregate Amounts Due to such other Lender, then the Lender receiving such proportionately greater payment will (a) notify the Administrative Agent and each other Lender of the receipt of such payment and (b) apply a portion of such payment to purchase participations (which it will be deemed to have purchased from each seller of a participation simultaneously upon the receipt by such seller of its portion of such payment) in the Aggregate Amounts Due to the other Lenders so that all such recoveries of Aggregate Amounts Due will be shared by all of the Lenders in proportion to the Aggregate Amounts Due to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all or part of such proportionately greater payment received by such purchasing Lender is thereafter recovered from such Lender upon the bankruptcy or reorganization of the Borrower or otherwise, those purchases will be rescinded and the purchase prices paid for such participations will be returned to such purchasing Lender ratably to the extent of such recovery, but without interest. The Borrower expressly consents to the foregoing arrangement and agrees that any holder of a participation so purchased may exercise any and all rights of banker’s lien, set-off or counterclaim with respect to any and all monies owing by the Borrower to that holder with respect thereto as fully as if that holder were owed the amount of the participation held by that holder. The provisions of this Section 2.17 will not be construed to apply to (i) any payment made by a Credit Party pursuant to and in accordance with the express terms of this Agreement, (ii) any payment obtained by any Lender as consideration for the assignment or sale of a participation in any of its Loans or other Obligations owed to it, (iii) the exchange of any Loans held by a Lender for all or a portion of a new tranche of Loans issued hereunder or (iv) the acceptance of the Waivable Mandatory Prepayment in accordance with Section 2.15(e).</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 xml:space="preserve">Making or Maintaining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auto"/>
        </w:rPr>
        <w:t xml:space="preserve"> Loans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70" w:lineRule="auto"/>
        <w:tabs>
          <w:tab w:leader="none" w:pos="156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Inability to Determine Applicable Interest Rate</w:t>
      </w:r>
      <w:r>
        <w:rPr>
          <w:rFonts w:ascii="Arial" w:cs="Arial" w:eastAsia="Arial" w:hAnsi="Arial"/>
          <w:sz w:val="17"/>
          <w:szCs w:val="17"/>
          <w:color w:val="auto"/>
        </w:rPr>
        <w:t xml:space="preserve">. In the event that the Administrative Agent determines (which determination will be final and conclusive and binding upon all parties hereto), on any Interest Rate Determination Date with respect to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that (i) adequate and fair means do not exist for ascertaining the interest rate applicable to such Loans on the basis provided for in the definition of “</w:t>
      </w:r>
      <w:r>
        <w:rPr>
          <w:rFonts w:ascii="Arial" w:cs="Arial" w:eastAsia="Arial" w:hAnsi="Arial"/>
          <w:sz w:val="17"/>
          <w:szCs w:val="17"/>
          <w:color w:val="FF0000"/>
          <w:strike w:val="1"/>
        </w:rPr>
        <w:t>Eurodollar</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Adjusted Term SOFR</w:t>
      </w:r>
      <w:r>
        <w:rPr>
          <w:rFonts w:ascii="Arial" w:cs="Arial" w:eastAsia="Arial" w:hAnsi="Arial"/>
          <w:sz w:val="17"/>
          <w:szCs w:val="17"/>
          <w:color w:val="000000"/>
        </w:rPr>
        <w:t>” or (ii)</w:t>
      </w:r>
      <w:r>
        <w:rPr>
          <w:rFonts w:ascii="Arial" w:cs="Arial" w:eastAsia="Arial" w:hAnsi="Arial"/>
          <w:sz w:val="17"/>
          <w:szCs w:val="17"/>
          <w:color w:val="FF0000"/>
        </w:rPr>
        <w:t xml:space="preserve"> </w:t>
      </w:r>
      <w:r>
        <w:rPr>
          <w:rFonts w:ascii="Arial" w:cs="Arial" w:eastAsia="Arial" w:hAnsi="Arial"/>
          <w:sz w:val="17"/>
          <w:szCs w:val="17"/>
          <w:color w:val="FF0000"/>
          <w:strike w:val="1"/>
        </w:rPr>
        <w:t>the Eurodollar Rate</w:t>
      </w:r>
      <w:r>
        <w:rPr>
          <w:rFonts w:ascii="Arial" w:cs="Arial" w:eastAsia="Arial" w:hAnsi="Arial"/>
          <w:sz w:val="17"/>
          <w:szCs w:val="17"/>
          <w:u w:val="single" w:color="auto"/>
          <w:color w:val="0000FF"/>
        </w:rPr>
        <w:t>Adjusted Term SOFR</w:t>
      </w:r>
      <w:r>
        <w:rPr>
          <w:rFonts w:ascii="Arial" w:cs="Arial" w:eastAsia="Arial" w:hAnsi="Arial"/>
          <w:sz w:val="17"/>
          <w:szCs w:val="17"/>
          <w:color w:val="FF0000"/>
        </w:rPr>
        <w:t xml:space="preserve"> </w:t>
      </w:r>
      <w:r>
        <w:rPr>
          <w:rFonts w:ascii="Arial" w:cs="Arial" w:eastAsia="Arial" w:hAnsi="Arial"/>
          <w:sz w:val="17"/>
          <w:szCs w:val="17"/>
          <w:color w:val="000000"/>
        </w:rPr>
        <w:t>for any requested Interest Period does not adequately and fairly reflect the cost</w:t>
      </w:r>
      <w:r>
        <w:rPr>
          <w:rFonts w:ascii="Arial" w:cs="Arial" w:eastAsia="Arial" w:hAnsi="Arial"/>
          <w:sz w:val="17"/>
          <w:szCs w:val="17"/>
          <w:color w:val="FF0000"/>
        </w:rPr>
        <w:t xml:space="preserve"> </w:t>
      </w:r>
      <w:r>
        <w:rPr>
          <w:rFonts w:ascii="Arial" w:cs="Arial" w:eastAsia="Arial" w:hAnsi="Arial"/>
          <w:sz w:val="17"/>
          <w:szCs w:val="17"/>
          <w:color w:val="000000"/>
        </w:rPr>
        <w:t xml:space="preserve">to Lenders of funding such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000000"/>
        </w:rPr>
        <w:t xml:space="preserve"> Loan, the Administrative Agent will on such date give notice (by electronic notice or by telephone confirmed in writing) to the Borrower and each Lender of such determination, whereupon (i) no Loans may be made as, or converted to, </w:t>
      </w:r>
      <w:r>
        <w:rPr>
          <w:rFonts w:ascii="Arial" w:cs="Arial" w:eastAsia="Arial" w:hAnsi="Arial"/>
          <w:sz w:val="17"/>
          <w:szCs w:val="17"/>
          <w:color w:val="FF0000"/>
          <w:strike w:val="1"/>
        </w:rPr>
        <w:t>Eurodollar</w:t>
      </w:r>
      <w:r>
        <w:rPr>
          <w:rFonts w:ascii="Arial" w:cs="Arial" w:eastAsia="Arial" w:hAnsi="Arial"/>
          <w:sz w:val="17"/>
          <w:szCs w:val="17"/>
          <w:color w:val="000000"/>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SOFR</w:t>
      </w:r>
      <w:r>
        <w:rPr>
          <w:rFonts w:ascii="Arial" w:cs="Arial" w:eastAsia="Arial" w:hAnsi="Arial"/>
          <w:sz w:val="17"/>
          <w:szCs w:val="17"/>
          <w:color w:val="FF0000"/>
        </w:rPr>
        <w:t xml:space="preserve"> </w:t>
      </w:r>
      <w:r>
        <w:rPr>
          <w:rFonts w:ascii="Arial" w:cs="Arial" w:eastAsia="Arial" w:hAnsi="Arial"/>
          <w:sz w:val="17"/>
          <w:szCs w:val="17"/>
          <w:color w:val="000000"/>
        </w:rPr>
        <w:t>Loans until such time as the Administrative Agent notifies the Borrower and the Lenders that the circumstances giving rise to such notice no</w:t>
      </w:r>
      <w:r>
        <w:rPr>
          <w:rFonts w:ascii="Arial" w:cs="Arial" w:eastAsia="Arial" w:hAnsi="Arial"/>
          <w:sz w:val="17"/>
          <w:szCs w:val="17"/>
          <w:color w:val="FF0000"/>
        </w:rPr>
        <w:t xml:space="preserve"> </w:t>
      </w:r>
      <w:r>
        <w:rPr>
          <w:rFonts w:ascii="Arial" w:cs="Arial" w:eastAsia="Arial" w:hAnsi="Arial"/>
          <w:sz w:val="17"/>
          <w:szCs w:val="17"/>
          <w:color w:val="000000"/>
        </w:rPr>
        <w:t>longer exist and (ii) any Funding Notice or Conversion/Continuation Notice given by the Borrower with respect to the Loans in respect of which such determination was made will be deemed to be rescinded by the Borrower.</w:t>
      </w:r>
    </w:p>
    <w:p>
      <w:pPr>
        <w:spacing w:after="0" w:line="180" w:lineRule="exact"/>
        <w:rPr>
          <w:rFonts w:ascii="Arial" w:cs="Arial" w:eastAsia="Arial" w:hAnsi="Arial"/>
          <w:sz w:val="17"/>
          <w:szCs w:val="17"/>
          <w:color w:val="auto"/>
        </w:rPr>
      </w:pPr>
    </w:p>
    <w:p>
      <w:pPr>
        <w:jc w:val="both"/>
        <w:ind w:firstLine="1304"/>
        <w:spacing w:after="0" w:line="289" w:lineRule="auto"/>
        <w:tabs>
          <w:tab w:leader="none" w:pos="1569" w:val="left"/>
        </w:tabs>
        <w:numPr>
          <w:ilvl w:val="1"/>
          <w:numId w:val="92"/>
        </w:numPr>
        <w:rPr>
          <w:rFonts w:ascii="Arial" w:cs="Arial" w:eastAsia="Arial" w:hAnsi="Arial"/>
          <w:sz w:val="16"/>
          <w:szCs w:val="16"/>
          <w:color w:val="FF0000"/>
          <w:strike w:val="1"/>
        </w:rPr>
      </w:pPr>
      <w:r>
        <w:rPr>
          <w:rFonts w:ascii="Arial" w:cs="Arial" w:eastAsia="Arial" w:hAnsi="Arial"/>
          <w:sz w:val="16"/>
          <w:szCs w:val="16"/>
          <w:u w:val="single" w:color="auto"/>
          <w:color w:val="FF0000"/>
          <w:strike w:val="1"/>
        </w:rPr>
        <w:t>Eurodollar Replacement Rate</w:t>
      </w:r>
      <w:r>
        <w:rPr>
          <w:rFonts w:ascii="Arial" w:cs="Arial" w:eastAsia="Arial" w:hAnsi="Arial"/>
          <w:sz w:val="16"/>
          <w:szCs w:val="16"/>
          <w:color w:val="FF0000"/>
          <w:strike w:val="1"/>
        </w:rPr>
        <w:t>. If at any time the Administrative Agent determines (which determination shall be conclusive absent</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manifest error) that (i) the circumstances set forth in clause (i) of Section 2.18(a) have arisen and such circumstances are unlikely to be temporary or (ii) the circumstances set forth in clause (i) of Section 2.18(a) have not arisen but the supervisor for the administrator of the screen rate used by the Administrative Agent pursuant to clause (a)(i) of the definition of “Eurodollar Rate” or a Governmental Authority having jurisdiction over the Administrative Agent has made a public statement identifying a specific date after which such screen rate shall no longer be used or published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Margin).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ind w:left="420" w:hanging="398"/>
        <w:spacing w:after="0"/>
        <w:tabs>
          <w:tab w:leader="none" w:pos="420" w:val="left"/>
        </w:tabs>
        <w:numPr>
          <w:ilvl w:val="0"/>
          <w:numId w:val="9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Benchmark Replacement Setting.</w:t>
      </w:r>
    </w:p>
    <w:p>
      <w:pPr>
        <w:spacing w:after="0" w:line="225" w:lineRule="exact"/>
        <w:rPr>
          <w:rFonts w:ascii="Arial" w:cs="Arial" w:eastAsia="Arial" w:hAnsi="Arial"/>
          <w:sz w:val="18"/>
          <w:szCs w:val="18"/>
          <w:u w:val="single" w:color="auto"/>
          <w:color w:val="0000FF"/>
        </w:rPr>
      </w:pPr>
    </w:p>
    <w:p>
      <w:pPr>
        <w:jc w:val="both"/>
        <w:ind w:left="20" w:firstLine="488"/>
        <w:spacing w:after="0" w:line="272" w:lineRule="auto"/>
        <w:tabs>
          <w:tab w:leader="none" w:pos="1023" w:val="left"/>
        </w:tabs>
        <w:numPr>
          <w:ilvl w:val="1"/>
          <w:numId w:val="9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Benchmark Replacement. Notwithstanding anything to the contrary herein or in any other Credit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2.18(b)(i) will occur prior to the applicable Benchmark Transition Start Date.</w:t>
      </w:r>
    </w:p>
    <w:p>
      <w:pPr>
        <w:spacing w:after="0" w:line="177" w:lineRule="exact"/>
        <w:rPr>
          <w:rFonts w:ascii="Arial" w:cs="Arial" w:eastAsia="Arial" w:hAnsi="Arial"/>
          <w:sz w:val="17"/>
          <w:szCs w:val="17"/>
          <w:u w:val="single" w:color="auto"/>
          <w:color w:val="0000FF"/>
        </w:rPr>
      </w:pPr>
    </w:p>
    <w:p>
      <w:pPr>
        <w:jc w:val="both"/>
        <w:ind w:left="20" w:firstLine="488"/>
        <w:spacing w:after="0" w:line="269" w:lineRule="auto"/>
        <w:tabs>
          <w:tab w:leader="none" w:pos="969" w:val="left"/>
        </w:tabs>
        <w:numPr>
          <w:ilvl w:val="1"/>
          <w:numId w:val="9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 xml:space="preserve">Benchmark Replacement Conforming Changes. In connection with the use, administration, adoption or implementation of a Benchmark Replacement, the Administrative Agent will have the right to make Conforming Changes from time to time and, </w:t>
      </w:r>
      <w:r>
        <w:rPr>
          <w:rFonts w:ascii="Arial" w:cs="Arial" w:eastAsia="Arial" w:hAnsi="Arial"/>
          <w:sz w:val="17"/>
          <w:szCs w:val="17"/>
          <w:color w:val="FF0000"/>
          <w:strike w:val="1"/>
        </w:rPr>
        <w:t>N</w:t>
      </w:r>
      <w:r>
        <w:rPr>
          <w:rFonts w:ascii="Arial" w:cs="Arial" w:eastAsia="Arial" w:hAnsi="Arial"/>
          <w:sz w:val="17"/>
          <w:szCs w:val="17"/>
          <w:color w:val="0000FF"/>
        </w:rPr>
        <w:t>n</w:t>
      </w:r>
      <w:r>
        <w:rPr>
          <w:rFonts w:ascii="Arial" w:cs="Arial" w:eastAsia="Arial" w:hAnsi="Arial"/>
          <w:sz w:val="17"/>
          <w:szCs w:val="17"/>
          <w:color w:val="000000"/>
        </w:rPr>
        <w:t>otwithstanding anything to the contrary</w:t>
      </w:r>
      <w:r>
        <w:rPr>
          <w:rFonts w:ascii="Arial" w:cs="Arial" w:eastAsia="Arial" w:hAnsi="Arial"/>
          <w:sz w:val="17"/>
          <w:szCs w:val="17"/>
          <w:color w:val="FF0000"/>
        </w:rPr>
        <w:t xml:space="preserve"> </w:t>
      </w:r>
      <w:r>
        <w:rPr>
          <w:rFonts w:ascii="Arial" w:cs="Arial" w:eastAsia="Arial" w:hAnsi="Arial"/>
          <w:sz w:val="17"/>
          <w:szCs w:val="17"/>
          <w:color w:val="FF0000"/>
          <w:strike w:val="1"/>
        </w:rPr>
        <w:t>in Section 10.5, such amendment shall</w:t>
      </w:r>
      <w:r>
        <w:rPr>
          <w:rFonts w:ascii="Arial" w:cs="Arial" w:eastAsia="Arial" w:hAnsi="Arial"/>
          <w:sz w:val="17"/>
          <w:szCs w:val="17"/>
          <w:u w:val="single" w:color="auto"/>
          <w:color w:val="0000FF"/>
        </w:rPr>
        <w:t>herein or in any other Credit Document, any amendments</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implementing such Conforming Changes will</w:t>
      </w:r>
      <w:r>
        <w:rPr>
          <w:rFonts w:ascii="Arial" w:cs="Arial" w:eastAsia="Arial" w:hAnsi="Arial"/>
          <w:sz w:val="17"/>
          <w:szCs w:val="17"/>
          <w:color w:val="0000FF"/>
        </w:rPr>
        <w:t xml:space="preserve"> </w:t>
      </w:r>
      <w:r>
        <w:rPr>
          <w:rFonts w:ascii="Arial" w:cs="Arial" w:eastAsia="Arial" w:hAnsi="Arial"/>
          <w:sz w:val="17"/>
          <w:szCs w:val="17"/>
          <w:color w:val="000000"/>
        </w:rPr>
        <w:t>become effective without any further action or consent of any other party to this Agreement</w:t>
      </w:r>
      <w:r>
        <w:rPr>
          <w:rFonts w:ascii="Arial" w:cs="Arial" w:eastAsia="Arial" w:hAnsi="Arial"/>
          <w:sz w:val="17"/>
          <w:szCs w:val="17"/>
          <w:color w:val="0000FF"/>
        </w:rPr>
        <w:t xml:space="preserve"> </w:t>
      </w:r>
      <w:r>
        <w:rPr>
          <w:rFonts w:ascii="Arial" w:cs="Arial" w:eastAsia="Arial" w:hAnsi="Arial"/>
          <w:sz w:val="17"/>
          <w:szCs w:val="17"/>
          <w:color w:val="FF0000"/>
          <w:strike w:val="1"/>
        </w:rPr>
        <w:t xml:space="preserve">so long as the Administrative Agent shall not have received, within five Business Days of the date notice of such alternate rate of interest is provided to the Lenders, a written notice from the Required Lenders of each Class stating that such Required Lenders object to such amendment;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to the extent such written notice is received from the Required Lenders within such time period, only the consent of the Required Lenders shall be necessary to amend this Agreement to reflect an alternate rate of interest to the Eurodollar Rate, and such other related changes to this Agreement as may be applicable. Until an alternate rate of interest shall be determined in accordance with this Section 2.18</w:t>
      </w:r>
      <w:r>
        <w:rPr>
          <w:rFonts w:ascii="Arial" w:cs="Arial" w:eastAsia="Arial" w:hAnsi="Arial"/>
          <w:sz w:val="17"/>
          <w:szCs w:val="17"/>
          <w:u w:val="single" w:color="auto"/>
          <w:color w:val="0000FF"/>
          <w:strike w:val="1"/>
        </w:rPr>
        <w:t>or any other Credit Document.</w:t>
      </w:r>
    </w:p>
    <w:p>
      <w:pPr>
        <w:spacing w:after="0" w:line="185" w:lineRule="exact"/>
        <w:rPr>
          <w:rFonts w:ascii="Arial" w:cs="Arial" w:eastAsia="Arial" w:hAnsi="Arial"/>
          <w:sz w:val="17"/>
          <w:szCs w:val="17"/>
          <w:u w:val="single" w:color="auto"/>
          <w:color w:val="0000FF"/>
        </w:rPr>
      </w:pPr>
    </w:p>
    <w:p>
      <w:pPr>
        <w:jc w:val="both"/>
        <w:ind w:left="20" w:firstLine="488"/>
        <w:spacing w:after="0" w:line="287" w:lineRule="auto"/>
        <w:tabs>
          <w:tab w:leader="none" w:pos="1021" w:val="left"/>
        </w:tabs>
        <w:numPr>
          <w:ilvl w:val="1"/>
          <w:numId w:val="9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w:t>
      </w:r>
    </w:p>
    <w:p>
      <w:pPr>
        <w:spacing w:after="0" w:line="2" w:lineRule="exact"/>
        <w:rPr>
          <w:rFonts w:ascii="Arial" w:cs="Arial" w:eastAsia="Arial" w:hAnsi="Arial"/>
          <w:sz w:val="16"/>
          <w:szCs w:val="16"/>
          <w:u w:val="single" w:color="auto"/>
          <w:color w:val="0000FF"/>
        </w:rPr>
      </w:pPr>
    </w:p>
    <w:p>
      <w:pPr>
        <w:jc w:val="both"/>
        <w:ind w:left="20" w:firstLine="2"/>
        <w:spacing w:after="0" w:line="290" w:lineRule="auto"/>
        <w:tabs>
          <w:tab w:leader="none" w:pos="276" w:val="left"/>
        </w:tabs>
        <w:numPr>
          <w:ilvl w:val="0"/>
          <w:numId w:val="9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removal or reinstatement of any tenor of a Benchmark pursuant to Section 2.18(b)(iv)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2.18.</w:t>
      </w:r>
    </w:p>
    <w:p>
      <w:pPr>
        <w:spacing w:after="0" w:line="163" w:lineRule="exact"/>
        <w:rPr>
          <w:rFonts w:ascii="Arial" w:cs="Arial" w:eastAsia="Arial" w:hAnsi="Arial"/>
          <w:sz w:val="16"/>
          <w:szCs w:val="16"/>
          <w:u w:val="single" w:color="auto"/>
          <w:color w:val="0000FF"/>
        </w:rPr>
      </w:pPr>
    </w:p>
    <w:p>
      <w:pPr>
        <w:jc w:val="both"/>
        <w:ind w:left="20" w:firstLine="488"/>
        <w:spacing w:after="0" w:line="285" w:lineRule="auto"/>
        <w:tabs>
          <w:tab w:leader="none" w:pos="954" w:val="left"/>
        </w:tabs>
        <w:numPr>
          <w:ilvl w:val="1"/>
          <w:numId w:val="94"/>
        </w:numPr>
        <w:rPr>
          <w:rFonts w:ascii="Arial" w:cs="Arial" w:eastAsia="Arial" w:hAnsi="Arial"/>
          <w:sz w:val="16"/>
          <w:szCs w:val="16"/>
          <w:u w:val="single" w:color="auto"/>
          <w:color w:val="0000FF"/>
        </w:rPr>
      </w:pPr>
      <w:r>
        <w:rPr>
          <w:rFonts w:ascii="Arial" w:cs="Arial" w:eastAsia="Arial" w:hAnsi="Arial"/>
          <w:sz w:val="16"/>
          <w:szCs w:val="16"/>
          <w:color w:val="FF0000"/>
          <w:strike w:val="1"/>
        </w:rPr>
        <w:t>(b) (but, in the case of the circumstances described in clause (ii) of the immediately preceding paragraph (b), only to the extent the screen rate used by the Administrative Agent pursuant to clause (a)(i) of</w:t>
      </w:r>
      <w:r>
        <w:rPr>
          <w:rFonts w:ascii="Arial" w:cs="Arial" w:eastAsia="Arial" w:hAnsi="Arial"/>
          <w:sz w:val="16"/>
          <w:szCs w:val="16"/>
          <w:u w:val="single" w:color="auto"/>
          <w:color w:val="0000FF"/>
          <w:strike w:val="1"/>
        </w:rPr>
        <w:t>Unavailability of Tenor of Benchmark. Notwithstanding</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the definition of “</w:t>
      </w:r>
      <w:r>
        <w:rPr>
          <w:rFonts w:ascii="Arial" w:cs="Arial" w:eastAsia="Arial" w:hAnsi="Arial"/>
          <w:sz w:val="16"/>
          <w:szCs w:val="16"/>
          <w:color w:val="FF0000"/>
          <w:strike w:val="1"/>
        </w:rPr>
        <w:t>Eurodollar Rate” for such</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Interest Period</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is not available or</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 xml:space="preserve">published at such time on a current basis), (x) any Funding Notice or Conversion/Continuation Notice that requests the conversion of any Loan to, or continuation of any Loan as, a Eurodollar Rate Loan shall be ineffective, and (y) if any Funding Notice or Conversion/Continuation Notice requests a Eurodollar Rate Loan, such Loan shall be made as or converted into a Base Rate Loan;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if such alternate rate of interest shall be less than zero, such rate shall be deemed to be zero for the purposes of this Agreement.</w:t>
      </w:r>
      <w:r>
        <w:rPr>
          <w:rFonts w:ascii="Arial" w:cs="Arial" w:eastAsia="Arial" w:hAnsi="Arial"/>
          <w:sz w:val="16"/>
          <w:szCs w:val="16"/>
          <w:u w:val="single" w:color="auto"/>
          <w:color w:val="0000FF"/>
          <w:strike w:val="1"/>
        </w:rPr>
        <w:t>” (or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any similar or analogous definition) for all Benchmark settings at or after such time to reinstate such previously removed tenor.</w:t>
      </w:r>
    </w:p>
    <w:p>
      <w:pPr>
        <w:spacing w:after="0" w:line="173" w:lineRule="exact"/>
        <w:rPr>
          <w:rFonts w:ascii="Arial" w:cs="Arial" w:eastAsia="Arial" w:hAnsi="Arial"/>
          <w:sz w:val="16"/>
          <w:szCs w:val="16"/>
          <w:u w:val="single" w:color="auto"/>
          <w:color w:val="0000FF"/>
        </w:rPr>
      </w:pPr>
    </w:p>
    <w:p>
      <w:pPr>
        <w:jc w:val="both"/>
        <w:ind w:left="20" w:firstLine="488"/>
        <w:spacing w:after="0" w:line="293" w:lineRule="auto"/>
        <w:tabs>
          <w:tab w:leader="none" w:pos="909" w:val="left"/>
        </w:tabs>
        <w:numPr>
          <w:ilvl w:val="1"/>
          <w:numId w:val="9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Benchmark Unavailability Period.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-7438390</wp:posOffset>
            </wp:positionV>
            <wp:extent cx="17830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-7164070</wp:posOffset>
            </wp:positionV>
            <wp:extent cx="61036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-7026910</wp:posOffset>
            </wp:positionV>
            <wp:extent cx="64122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-6889750</wp:posOffset>
            </wp:positionV>
            <wp:extent cx="64122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-6752590</wp:posOffset>
            </wp:positionV>
            <wp:extent cx="64122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-6615430</wp:posOffset>
            </wp:positionV>
            <wp:extent cx="64122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-6478270</wp:posOffset>
            </wp:positionV>
            <wp:extent cx="64122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-6341110</wp:posOffset>
            </wp:positionV>
            <wp:extent cx="52546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-6066790</wp:posOffset>
            </wp:positionV>
            <wp:extent cx="61036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-5929630</wp:posOffset>
            </wp:positionV>
            <wp:extent cx="64122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-5792470</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-5809615</wp:posOffset>
            </wp:positionV>
            <wp:extent cx="139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-5792470</wp:posOffset>
            </wp:positionV>
            <wp:extent cx="26492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4922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-5655310</wp:posOffset>
            </wp:positionV>
            <wp:extent cx="2108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-4832350</wp:posOffset>
            </wp:positionV>
            <wp:extent cx="1405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-4558030</wp:posOffset>
            </wp:positionV>
            <wp:extent cx="61036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-4420870</wp:posOffset>
            </wp:positionV>
            <wp:extent cx="64122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-4283710</wp:posOffset>
            </wp:positionV>
            <wp:extent cx="64122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-4146550</wp:posOffset>
            </wp:positionV>
            <wp:extent cx="64122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-4009390</wp:posOffset>
            </wp:positionV>
            <wp:extent cx="64122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-3872230</wp:posOffset>
            </wp:positionV>
            <wp:extent cx="64122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-3735070</wp:posOffset>
            </wp:positionV>
            <wp:extent cx="64122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-3597910</wp:posOffset>
            </wp:positionV>
            <wp:extent cx="64122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-3460750</wp:posOffset>
            </wp:positionV>
            <wp:extent cx="58204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-3186430</wp:posOffset>
            </wp:positionV>
            <wp:extent cx="1631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-3049270</wp:posOffset>
            </wp:positionV>
            <wp:extent cx="26835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8351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-2912110</wp:posOffset>
            </wp:positionV>
            <wp:extent cx="64122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-2774950</wp:posOffset>
            </wp:positionV>
            <wp:extent cx="64122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-2637790</wp:posOffset>
            </wp:positionV>
            <wp:extent cx="64122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-2500630</wp:posOffset>
            </wp:positionV>
            <wp:extent cx="6412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-2363470</wp:posOffset>
            </wp:positionV>
            <wp:extent cx="64122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-2226310</wp:posOffset>
            </wp:positionV>
            <wp:extent cx="64122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-2089150</wp:posOffset>
            </wp:positionV>
            <wp:extent cx="64122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-1951990</wp:posOffset>
            </wp:positionV>
            <wp:extent cx="64122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-1814830</wp:posOffset>
            </wp:positionV>
            <wp:extent cx="64122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-1677670</wp:posOffset>
            </wp:positionV>
            <wp:extent cx="27089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08910" cy="889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-1746250</wp:posOffset>
            </wp:positionV>
            <wp:extent cx="8858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5825"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-1129030</wp:posOffset>
            </wp:positionV>
            <wp:extent cx="2228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-991870</wp:posOffset>
            </wp:positionV>
            <wp:extent cx="58121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-717550</wp:posOffset>
            </wp:positionV>
            <wp:extent cx="61036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-580390</wp:posOffset>
            </wp:positionV>
            <wp:extent cx="64122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-443230</wp:posOffset>
            </wp:positionV>
            <wp:extent cx="64122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-306070</wp:posOffset>
            </wp:positionV>
            <wp:extent cx="64122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-168910</wp:posOffset>
            </wp:positionV>
            <wp:extent cx="64122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-31750</wp:posOffset>
            </wp:positionV>
            <wp:extent cx="4243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91" w:name="page92"/>
    <w:bookmarkEnd w:id="91"/>
    <w:p>
      <w:pPr>
        <w:jc w:val="both"/>
        <w:ind w:firstLine="1142"/>
        <w:spacing w:after="0" w:line="267" w:lineRule="auto"/>
        <w:tabs>
          <w:tab w:leader="none" w:pos="1519"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Illegality or Impracticability of</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In the event that on any date any Lender determines in good faith (which determination will be final and conclusive and binding upon all parties hereto but will be made only after consultation with the Borrower and the Administrative Agent) that the making, maintaining or continuation of its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w:t>
      </w:r>
      <w:r>
        <w:rPr>
          <w:rFonts w:ascii="Arial" w:cs="Arial" w:eastAsia="Arial" w:hAnsi="Arial"/>
          <w:sz w:val="17"/>
          <w:szCs w:val="17"/>
          <w:color w:val="FF0000"/>
          <w:strike w:val="1"/>
        </w:rPr>
        <w:t>(i)</w:t>
      </w:r>
      <w:r>
        <w:rPr>
          <w:rFonts w:ascii="Arial" w:cs="Arial" w:eastAsia="Arial" w:hAnsi="Arial"/>
          <w:sz w:val="17"/>
          <w:szCs w:val="17"/>
          <w:color w:val="auto"/>
        </w:rPr>
        <w:t xml:space="preserve">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w:t>
      </w:r>
      <w:r>
        <w:rPr>
          <w:rFonts w:ascii="Arial" w:cs="Arial" w:eastAsia="Arial" w:hAnsi="Arial"/>
          <w:sz w:val="17"/>
          <w:szCs w:val="17"/>
          <w:color w:val="FF0000"/>
          <w:strike w:val="1"/>
        </w:rPr>
        <w:t>or (ii) has become</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impracticable, as a result of contingencies occurring after the Closing Date that materially and adversely affect the London interbank market or the position of such Lender in that market, </w:t>
      </w:r>
      <w:r>
        <w:rPr>
          <w:rFonts w:ascii="Arial" w:cs="Arial" w:eastAsia="Arial" w:hAnsi="Arial"/>
          <w:sz w:val="17"/>
          <w:szCs w:val="17"/>
          <w:color w:val="000000"/>
          <w:strike w:val="1"/>
        </w:rPr>
        <w:t>then, and in any such event, each such Lender will be an “</w:t>
      </w:r>
      <w:r>
        <w:rPr>
          <w:rFonts w:ascii="Arial" w:cs="Arial" w:eastAsia="Arial" w:hAnsi="Arial"/>
          <w:sz w:val="17"/>
          <w:szCs w:val="17"/>
          <w:b w:val="1"/>
          <w:bCs w:val="1"/>
          <w:color w:val="000000"/>
          <w:strike w:val="1"/>
        </w:rPr>
        <w:t>Affected Lender</w:t>
      </w:r>
      <w:r>
        <w:rPr>
          <w:rFonts w:ascii="Arial" w:cs="Arial" w:eastAsia="Arial" w:hAnsi="Arial"/>
          <w:sz w:val="17"/>
          <w:szCs w:val="17"/>
          <w:color w:val="000000"/>
          <w:strike w:val="1"/>
        </w:rPr>
        <w:t>” and it will on that day give notice (by electronic</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notice or by telephone confirmed in writing) to the Borrower and the Administrative Agent of such determination (which notice the Administrative Agent will promptly transmit to each other Lender). If the Administrative Agent receives a notice from any Lender pursuant to the preceding sentence, then (A) the obligation of such Lender to make Loans as, or to convert Loans to,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SOFR</w:t>
      </w:r>
      <w:r>
        <w:rPr>
          <w:rFonts w:ascii="Arial" w:cs="Arial" w:eastAsia="Arial" w:hAnsi="Arial"/>
          <w:sz w:val="17"/>
          <w:szCs w:val="17"/>
          <w:color w:val="000000"/>
          <w:strike w:val="1"/>
        </w:rPr>
        <w:t xml:space="preserve"> Loans will be suspended until such notice is withdrawn by such Affected Lender, (B) to the extent such determination by the Affected Lender relates to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SOFR</w:t>
      </w:r>
      <w:r>
        <w:rPr>
          <w:rFonts w:ascii="Arial" w:cs="Arial" w:eastAsia="Arial" w:hAnsi="Arial"/>
          <w:sz w:val="17"/>
          <w:szCs w:val="17"/>
          <w:color w:val="000000"/>
          <w:strike w:val="1"/>
        </w:rPr>
        <w:t xml:space="preserve"> Loan then being requested by the Borrower pursuant to a Funding Notice or a Conversion/Continuation Notice, such Lender makes such Loan as (or continue such Loan as or convert such Loan to, as the case may be) a Base Rate Loan, (C) such Lender’s obligations to maintain its outstanding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SOFR</w:t>
      </w:r>
      <w:r>
        <w:rPr>
          <w:rFonts w:ascii="Arial" w:cs="Arial" w:eastAsia="Arial" w:hAnsi="Arial"/>
          <w:sz w:val="17"/>
          <w:szCs w:val="17"/>
          <w:color w:val="000000"/>
          <w:strike w:val="1"/>
        </w:rPr>
        <w:t xml:space="preserve"> Loans (the “</w:t>
      </w:r>
      <w:r>
        <w:rPr>
          <w:rFonts w:ascii="Arial" w:cs="Arial" w:eastAsia="Arial" w:hAnsi="Arial"/>
          <w:sz w:val="17"/>
          <w:szCs w:val="17"/>
          <w:b w:val="1"/>
          <w:bCs w:val="1"/>
          <w:color w:val="000000"/>
          <w:strike w:val="1"/>
        </w:rPr>
        <w:t>Affected</w:t>
      </w:r>
      <w:r>
        <w:rPr>
          <w:rFonts w:ascii="Arial" w:cs="Arial" w:eastAsia="Arial" w:hAnsi="Arial"/>
          <w:sz w:val="17"/>
          <w:szCs w:val="17"/>
          <w:color w:val="000000"/>
          <w:strike w:val="1"/>
        </w:rPr>
        <w:t xml:space="preserve"> </w:t>
      </w:r>
      <w:r>
        <w:rPr>
          <w:rFonts w:ascii="Arial" w:cs="Arial" w:eastAsia="Arial" w:hAnsi="Arial"/>
          <w:sz w:val="17"/>
          <w:szCs w:val="17"/>
          <w:b w:val="1"/>
          <w:bCs w:val="1"/>
          <w:color w:val="000000"/>
          <w:strike w:val="1"/>
        </w:rPr>
        <w:t>Loans</w:t>
      </w:r>
      <w:r>
        <w:rPr>
          <w:rFonts w:ascii="Arial" w:cs="Arial" w:eastAsia="Arial" w:hAnsi="Arial"/>
          <w:sz w:val="17"/>
          <w:szCs w:val="17"/>
          <w:color w:val="000000"/>
          <w:strike w:val="1"/>
        </w:rPr>
        <w:t>”) will be terminated at the earlier to occur of the expiration of the Interest Period then in effect with respect to the Affected Loans or when required</w:t>
      </w:r>
      <w:r>
        <w:rPr>
          <w:rFonts w:ascii="Arial" w:cs="Arial" w:eastAsia="Arial" w:hAnsi="Arial"/>
          <w:sz w:val="17"/>
          <w:szCs w:val="17"/>
          <w:b w:val="1"/>
          <w:bCs w:val="1"/>
          <w:color w:val="000000"/>
          <w:strike w:val="1"/>
        </w:rPr>
        <w:t xml:space="preserve"> </w:t>
      </w:r>
      <w:r>
        <w:rPr>
          <w:rFonts w:ascii="Arial" w:cs="Arial" w:eastAsia="Arial" w:hAnsi="Arial"/>
          <w:sz w:val="17"/>
          <w:szCs w:val="17"/>
          <w:color w:val="000000"/>
          <w:strike w:val="1"/>
        </w:rPr>
        <w:t xml:space="preserve">by law, and (D) the Affected Loans will automatically convert into Base Rate Loans on the date of such termination. Notwithstanding the foregoing, to the extent a determination by an Affected Lender as described above relates to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SOFR</w:t>
      </w:r>
      <w:r>
        <w:rPr>
          <w:rFonts w:ascii="Arial" w:cs="Arial" w:eastAsia="Arial" w:hAnsi="Arial"/>
          <w:sz w:val="17"/>
          <w:szCs w:val="17"/>
          <w:color w:val="000000"/>
          <w:strike w:val="1"/>
        </w:rPr>
        <w:t xml:space="preserve"> Loan then being requested by the Borrower pursuant to a Funding Notice or a Conversion/Continuation Notice, the Borrower will have the option, subject to the provisions of Section 2.18(</w:t>
      </w:r>
      <w:r>
        <w:rPr>
          <w:rFonts w:ascii="Arial" w:cs="Arial" w:eastAsia="Arial" w:hAnsi="Arial"/>
          <w:sz w:val="17"/>
          <w:szCs w:val="17"/>
          <w:color w:val="FF0000"/>
          <w:strike w:val="1"/>
        </w:rPr>
        <w:t>c</w:t>
      </w:r>
      <w:r>
        <w:rPr>
          <w:rFonts w:ascii="Arial" w:cs="Arial" w:eastAsia="Arial" w:hAnsi="Arial"/>
          <w:sz w:val="17"/>
          <w:szCs w:val="17"/>
          <w:u w:val="single" w:color="auto"/>
          <w:color w:val="0000FF"/>
          <w:strike w:val="1"/>
        </w:rPr>
        <w:t>b)(iv</w:t>
      </w:r>
      <w:r>
        <w:rPr>
          <w:rFonts w:ascii="Arial" w:cs="Arial" w:eastAsia="Arial" w:hAnsi="Arial"/>
          <w:sz w:val="17"/>
          <w:szCs w:val="17"/>
          <w:color w:val="000000"/>
          <w:strike w:val="1"/>
        </w:rPr>
        <w:t>), to rescind such Funding Notice or Conversion/Continuation Notice as to all Lenders by giving written notice to Administrative Agent of such rescission on the date on which the Affected Lender gives notice of its determination as described above (which notice of rescission the Administrative Agent will promptly transmit to each other Lender). Except as provided in the immediately preceding sentence, nothing in this Section 2.18(</w:t>
      </w:r>
      <w:r>
        <w:rPr>
          <w:rFonts w:ascii="Arial" w:cs="Arial" w:eastAsia="Arial" w:hAnsi="Arial"/>
          <w:sz w:val="17"/>
          <w:szCs w:val="17"/>
          <w:color w:val="FF0000"/>
          <w:strike w:val="1"/>
        </w:rPr>
        <w:t>c</w:t>
      </w:r>
      <w:r>
        <w:rPr>
          <w:rFonts w:ascii="Arial" w:cs="Arial" w:eastAsia="Arial" w:hAnsi="Arial"/>
          <w:sz w:val="17"/>
          <w:szCs w:val="17"/>
          <w:u w:val="single" w:color="auto"/>
          <w:color w:val="0000FF"/>
          <w:strike w:val="1"/>
        </w:rPr>
        <w:t>b)(iv</w:t>
      </w:r>
      <w:r>
        <w:rPr>
          <w:rFonts w:ascii="Arial" w:cs="Arial" w:eastAsia="Arial" w:hAnsi="Arial"/>
          <w:sz w:val="17"/>
          <w:szCs w:val="17"/>
          <w:color w:val="000000"/>
          <w:strike w:val="1"/>
        </w:rPr>
        <w:t xml:space="preserve">) will affect the obligation of any Lender other than an Affected Lender to make or maintain Loans as, or to convert Loans to,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SOFR</w:t>
      </w:r>
      <w:r>
        <w:rPr>
          <w:rFonts w:ascii="Arial" w:cs="Arial" w:eastAsia="Arial" w:hAnsi="Arial"/>
          <w:sz w:val="17"/>
          <w:szCs w:val="17"/>
          <w:color w:val="000000"/>
          <w:strike w:val="1"/>
        </w:rPr>
        <w:t xml:space="preserve"> Loans in accordance with the terms hereof.</w:t>
      </w:r>
    </w:p>
    <w:p>
      <w:pPr>
        <w:spacing w:after="0" w:line="183" w:lineRule="exact"/>
        <w:rPr>
          <w:rFonts w:ascii="Arial" w:cs="Arial" w:eastAsia="Arial" w:hAnsi="Arial"/>
          <w:sz w:val="17"/>
          <w:szCs w:val="17"/>
          <w:color w:val="auto"/>
        </w:rPr>
      </w:pPr>
    </w:p>
    <w:p>
      <w:pPr>
        <w:jc w:val="both"/>
        <w:ind w:firstLine="1142"/>
        <w:spacing w:after="0" w:line="269" w:lineRule="auto"/>
        <w:tabs>
          <w:tab w:leader="none" w:pos="155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Compensation for Breakage or Non-Commencement of Interest Periods</w:t>
      </w:r>
      <w:r>
        <w:rPr>
          <w:rFonts w:ascii="Arial" w:cs="Arial" w:eastAsia="Arial" w:hAnsi="Arial"/>
          <w:sz w:val="17"/>
          <w:szCs w:val="17"/>
          <w:color w:val="auto"/>
        </w:rPr>
        <w:t xml:space="preserve">. In the event of (i) the payment or prepayment (voluntary or otherwise) of any principal of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other than on the last day of an Interest Period applicable thereto (including as a result of an Event of Default), (ii) the conversion of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other than on the last day of the Interest Period applicable thereto, (iii) the failure to borrow, convert, continue or prepay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on the date specified in any notice delivered pursuant hereto or (iv) the assignment of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 earlier than the last day of the Interest Period applicable thereto as a result of a request by the Borrower pursuant to Section 2.23, then, in any such event, the Borrower will compensate each Lender for the actual loss, cost and expense incurred by such Lender attributable to such event, excluding loss of anticipated profits or margin and without giving to any applicable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Adjusted Term SOFR</w:t>
      </w:r>
      <w:r>
        <w:rPr>
          <w:rFonts w:ascii="Arial" w:cs="Arial" w:eastAsia="Arial" w:hAnsi="Arial"/>
          <w:sz w:val="17"/>
          <w:szCs w:val="17"/>
          <w:color w:val="auto"/>
        </w:rPr>
        <w:t xml:space="preserve"> “floor.” A certificate of any Lender computing any amount or amounts that such Lender is entitled to receive pursuant to this Section in reasonable detail will be delivered to the Borrower and will be presumptively correct. The Borrower will pay such Lender the amount shown as due on any such certificate within thirty (30) days after receipt thereof.</w:t>
      </w:r>
    </w:p>
    <w:p>
      <w:pPr>
        <w:spacing w:after="0" w:line="185" w:lineRule="exact"/>
        <w:rPr>
          <w:rFonts w:ascii="Arial" w:cs="Arial" w:eastAsia="Arial" w:hAnsi="Arial"/>
          <w:sz w:val="17"/>
          <w:szCs w:val="17"/>
          <w:color w:val="auto"/>
        </w:rPr>
      </w:pPr>
    </w:p>
    <w:p>
      <w:pPr>
        <w:ind w:firstLine="1142"/>
        <w:spacing w:after="0" w:line="277" w:lineRule="auto"/>
        <w:tabs>
          <w:tab w:leader="none" w:pos="160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Booking of</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Any Lender may make, carry or transfer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at, to, or for the account of any of its branch offices or the office of an Affiliate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-4828540</wp:posOffset>
            </wp:positionV>
            <wp:extent cx="2914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-4554220</wp:posOffset>
            </wp:positionV>
            <wp:extent cx="2825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-3594100</wp:posOffset>
            </wp:positionV>
            <wp:extent cx="2825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-3456940</wp:posOffset>
            </wp:positionV>
            <wp:extent cx="2914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-3182620</wp:posOffset>
            </wp:positionV>
            <wp:extent cx="2832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-2771140</wp:posOffset>
            </wp:positionV>
            <wp:extent cx="2914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-2085340</wp:posOffset>
            </wp:positionV>
            <wp:extent cx="2825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-1536700</wp:posOffset>
            </wp:positionV>
            <wp:extent cx="2825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-1399540</wp:posOffset>
            </wp:positionV>
            <wp:extent cx="282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-1262380</wp:posOffset>
            </wp:positionV>
            <wp:extent cx="2914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-850900</wp:posOffset>
            </wp:positionV>
            <wp:extent cx="9944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-165100</wp:posOffset>
            </wp:positionV>
            <wp:extent cx="28321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-182245</wp:posOffset>
            </wp:positionV>
            <wp:extent cx="3219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194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-165100</wp:posOffset>
            </wp:positionV>
            <wp:extent cx="2832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left="660"/>
        <w:spacing w:after="0"/>
        <w:tabs>
          <w:tab w:leader="none" w:pos="114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Increased Costs; Capital Adequacy</w:t>
      </w:r>
      <w:r>
        <w:rPr>
          <w:rFonts w:ascii="Arial" w:cs="Arial" w:eastAsia="Arial" w:hAnsi="Arial"/>
          <w:sz w:val="15"/>
          <w:szCs w:val="15"/>
          <w:color w:val="auto"/>
        </w:rPr>
        <w:t>.</w:t>
      </w:r>
    </w:p>
    <w:p>
      <w:pPr>
        <w:spacing w:after="0" w:line="229" w:lineRule="exact"/>
        <w:rPr>
          <w:sz w:val="20"/>
          <w:szCs w:val="20"/>
          <w:color w:val="auto"/>
        </w:rPr>
      </w:pPr>
    </w:p>
    <w:p>
      <w:pPr>
        <w:jc w:val="both"/>
        <w:ind w:firstLine="1142"/>
        <w:spacing w:after="0" w:line="284" w:lineRule="auto"/>
        <w:tabs>
          <w:tab w:leader="none" w:pos="153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Compensation For Increased Costs and Taxes</w:t>
      </w:r>
      <w:r>
        <w:rPr>
          <w:rFonts w:ascii="Arial" w:cs="Arial" w:eastAsia="Arial" w:hAnsi="Arial"/>
          <w:sz w:val="16"/>
          <w:szCs w:val="16"/>
          <w:color w:val="auto"/>
        </w:rPr>
        <w:t xml:space="preserve">. Subject to the provisions of Section 2.20 (which will be controlling with respect to the matters covered thereby), in the event that any Lender determines in good faith (which determination will,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Governmental Authority, in each case that becomes effective after the Closing Date, or compliance by such Lender with any guideline, request or directive issued or made after the Closing Date by any central bank or other Governmental Authority: (i) subjects such Lender (or its applicable Lending Office) to any additional Tax (other than (x) Indemnified Taxes and (y) Excluded Taxes) with respect to this Agreement or any of the other Credit Documents or any of its obligations hereunder or thereunder or any payments to such Lender (or its applicable Lending Office) of principal, interest, fees or any other amount payable hereunder or thereunder;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w:t>
      </w:r>
      <w:r>
        <w:rPr>
          <w:rFonts w:ascii="Arial" w:cs="Arial" w:eastAsia="Arial" w:hAnsi="Arial"/>
          <w:sz w:val="16"/>
          <w:szCs w:val="16"/>
          <w:color w:val="FF0000"/>
          <w:strike w:val="1"/>
        </w:rPr>
        <w:t>(other than any such reserve or other</w:t>
      </w:r>
      <w:r>
        <w:rPr>
          <w:rFonts w:ascii="Arial" w:cs="Arial" w:eastAsia="Arial" w:hAnsi="Arial"/>
          <w:sz w:val="16"/>
          <w:szCs w:val="16"/>
          <w:color w:val="auto"/>
        </w:rPr>
        <w:t xml:space="preserve"> </w:t>
      </w:r>
      <w:r>
        <w:rPr>
          <w:rFonts w:ascii="Arial" w:cs="Arial" w:eastAsia="Arial" w:hAnsi="Arial"/>
          <w:sz w:val="16"/>
          <w:szCs w:val="16"/>
          <w:color w:val="FF0000"/>
          <w:strike w:val="1"/>
        </w:rPr>
        <w:t>requirements with respect to Eurodollar Rate Loans that are reflected in the definition of “Eurodollar Rate”)</w:t>
      </w:r>
      <w:r>
        <w:rPr>
          <w:rFonts w:ascii="Arial" w:cs="Arial" w:eastAsia="Arial" w:hAnsi="Arial"/>
          <w:sz w:val="16"/>
          <w:szCs w:val="16"/>
          <w:color w:val="000000"/>
        </w:rPr>
        <w:t>; or (iii) imposes any other condition (other</w:t>
      </w:r>
      <w:r>
        <w:rPr>
          <w:rFonts w:ascii="Arial" w:cs="Arial" w:eastAsia="Arial" w:hAnsi="Arial"/>
          <w:sz w:val="16"/>
          <w:szCs w:val="16"/>
          <w:color w:val="FF0000"/>
        </w:rPr>
        <w:t xml:space="preserve"> </w:t>
      </w:r>
      <w:r>
        <w:rPr>
          <w:rFonts w:ascii="Arial" w:cs="Arial" w:eastAsia="Arial" w:hAnsi="Arial"/>
          <w:sz w:val="16"/>
          <w:szCs w:val="16"/>
          <w:color w:val="000000"/>
        </w:rPr>
        <w:t xml:space="preserve">than with respect to a Tax matter) on or affecting such Lender (or its applicable Lending Office) or its obligations hereunder </w:t>
      </w:r>
      <w:r>
        <w:rPr>
          <w:rFonts w:ascii="Arial" w:cs="Arial" w:eastAsia="Arial" w:hAnsi="Arial"/>
          <w:sz w:val="16"/>
          <w:szCs w:val="16"/>
          <w:color w:val="FF0000"/>
        </w:rPr>
        <w:t>or the London interbank</w:t>
      </w:r>
      <w:r>
        <w:rPr>
          <w:rFonts w:ascii="Arial" w:cs="Arial" w:eastAsia="Arial" w:hAnsi="Arial"/>
          <w:sz w:val="16"/>
          <w:szCs w:val="16"/>
          <w:color w:val="000000"/>
        </w:rPr>
        <w:t xml:space="preserve"> </w:t>
      </w:r>
      <w:r>
        <w:rPr>
          <w:rFonts w:ascii="Arial" w:cs="Arial" w:eastAsia="Arial" w:hAnsi="Arial"/>
          <w:sz w:val="16"/>
          <w:szCs w:val="16"/>
          <w:color w:val="FF0000"/>
          <w:strike w:val="1"/>
        </w:rPr>
        <w:t>market</w:t>
      </w:r>
      <w:r>
        <w:rPr>
          <w:rFonts w:ascii="Arial" w:cs="Arial" w:eastAsia="Arial" w:hAnsi="Arial"/>
          <w:sz w:val="16"/>
          <w:szCs w:val="16"/>
          <w:color w:val="000000"/>
        </w:rPr>
        <w:t>; and the result of any of the foregoing is to increase the cost to such Lender of agreeing to make, making or maintaining Loans hereunder or to</w:t>
      </w:r>
      <w:r>
        <w:rPr>
          <w:rFonts w:ascii="Arial" w:cs="Arial" w:eastAsia="Arial" w:hAnsi="Arial"/>
          <w:sz w:val="16"/>
          <w:szCs w:val="16"/>
          <w:color w:val="FF0000"/>
        </w:rPr>
        <w:t xml:space="preserve"> </w:t>
      </w:r>
      <w:r>
        <w:rPr>
          <w:rFonts w:ascii="Arial" w:cs="Arial" w:eastAsia="Arial" w:hAnsi="Arial"/>
          <w:sz w:val="16"/>
          <w:szCs w:val="16"/>
          <w:color w:val="000000"/>
        </w:rPr>
        <w:t>reduce any amount received or receivable by such Lender (or its applicable Lending Office) with respect thereto; then, in any such case, the Borrower will pay to such Lender, within ten (10) Business Days of receipt of the statement referred to in the next sentence, such additional amount or amounts (in the form of an increased rate of, or a different method of calculating, interest or otherwise as such Lender in its sole discretion may determine) as may be necessary to compensate such Lender for any such increased cost or reduction in amounts received or receivable hereunder. Such Lender will deliver to the Borrower (with a copy to the Administrative Agent) a written statement, setting forth in reasonable detail the basis for calculating the additional amounts owed to such Lender under this Section 2.19(a), which statement will be conclusive and binding upon all parties hereto absent manifest error.</w:t>
      </w:r>
    </w:p>
    <w:p>
      <w:pPr>
        <w:spacing w:after="0" w:line="181" w:lineRule="exact"/>
        <w:rPr>
          <w:rFonts w:ascii="Arial" w:cs="Arial" w:eastAsia="Arial" w:hAnsi="Arial"/>
          <w:sz w:val="16"/>
          <w:szCs w:val="16"/>
          <w:color w:val="auto"/>
        </w:rPr>
      </w:pPr>
    </w:p>
    <w:p>
      <w:pPr>
        <w:jc w:val="both"/>
        <w:ind w:firstLine="1142"/>
        <w:spacing w:after="0" w:line="268" w:lineRule="auto"/>
        <w:tabs>
          <w:tab w:leader="none" w:pos="1544"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Capital Adequacy Adjustment</w:t>
      </w:r>
      <w:r>
        <w:rPr>
          <w:rFonts w:ascii="Arial" w:cs="Arial" w:eastAsia="Arial" w:hAnsi="Arial"/>
          <w:sz w:val="17"/>
          <w:szCs w:val="17"/>
          <w:color w:val="auto"/>
        </w:rPr>
        <w:t>. In the event that any Lender determines that the adoption, effectiveness, phase-in or applicability after the Closing Date of any law, rule or regulation (or any provision thereof) regarding capital or liquidity requirements, or any change therein or in the interpretation or administration thereof by any Governmental Authority, central bank or comparable agency charged with the interpretation or administration thereof, or compliance by any Lender (or its applicable Lending Office) or any entity controlling any Lender with any guideline, request or directive regarding capital or liquidity requirements (whether or not having the force of law) of any such Governmental Authority, central bank or comparable agency, has or would have the effect of reducing the rate of return on the capital of such Lender or any entity controlling such Lender as a consequence of, or with reference to, such Lender’s Loans or Incremental Revolving Credit Commitments, if any, or participations therein or other obligations hereunder with respect to the Loans to a level below that which such Lender or such controlling entity could have achieved but for such adoption, effectiveness, phase-in, applicability, change or compliance (taking into consideration the policies of such Lender or such controlling entity with regard to capital or liquidity requirements), then from time to time, within five (5) Business Days after receipt by the Borrower from such Lender of the statement referred to in the next sentence, the Borrower will pay to such Lender such additional amount or amounts as will compensate such Lender or such controlling entity for such reduction. Such Lender will deliver to the Borrower (with a copy to the Administrative Agent) a written statement, setting forth in reasonable detail the basis for calculating the additional amounts owed to Lender under this Section 2.19(b), which statement will be conclusive and binding upon all parties hereto absent manifest error.</w:t>
      </w:r>
    </w:p>
    <w:p>
      <w:pPr>
        <w:spacing w:after="0" w:line="184" w:lineRule="exact"/>
        <w:rPr>
          <w:rFonts w:ascii="Arial" w:cs="Arial" w:eastAsia="Arial" w:hAnsi="Arial"/>
          <w:sz w:val="17"/>
          <w:szCs w:val="17"/>
          <w:color w:val="auto"/>
        </w:rPr>
      </w:pPr>
    </w:p>
    <w:p>
      <w:pPr>
        <w:jc w:val="both"/>
        <w:ind w:firstLine="1142"/>
        <w:spacing w:after="0" w:line="293" w:lineRule="auto"/>
        <w:tabs>
          <w:tab w:leader="none" w:pos="163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Dodd-Frank; Basel III</w:t>
      </w:r>
      <w:r>
        <w:rPr>
          <w:rFonts w:ascii="Arial" w:cs="Arial" w:eastAsia="Arial" w:hAnsi="Arial"/>
          <w:sz w:val="16"/>
          <w:szCs w:val="16"/>
          <w:color w:val="auto"/>
        </w:rPr>
        <w: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in respect of this clause (ii) pursuant to Basel III, will, in each case, be deemed to be a change in law, treaty or governmental rule, regulation or order under subsection (a) above and/or a change in law, rule or regulation (or any provision thereof) regarding capital or liquidity requirements under subsection (b) above, as applicable, regardless of the date enacted, adopted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-4077970</wp:posOffset>
            </wp:positionV>
            <wp:extent cx="11912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1142"/>
        <w:spacing w:after="0" w:line="273" w:lineRule="auto"/>
        <w:tabs>
          <w:tab w:leader="none" w:pos="1527"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The failure or delay on the part of any Lender to demand compensation pursuant to the foregoing provisions of this Section 2.19 will not constitute a waiver of such Lender’s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will not be required to compensate a Lender pursuant to the foregoing provisions of this Section 2.19 for any increased costs incurred or reductions suffered more than one hundred and eighty (180) days prior to the date that such Lender sends the Borrower written notice of such Lender’s intention to claim compensation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circumstance giving rise to such increased costs or reductions suffered is retroactive, then the 180-day period referred to above will be extended to include the period of retroactive effect thereof.</w:t>
      </w:r>
    </w:p>
    <w:p>
      <w:pPr>
        <w:spacing w:after="0" w:line="177" w:lineRule="exact"/>
        <w:rPr>
          <w:rFonts w:ascii="Arial" w:cs="Arial" w:eastAsia="Arial" w:hAnsi="Arial"/>
          <w:sz w:val="17"/>
          <w:szCs w:val="17"/>
          <w:color w:val="auto"/>
        </w:rPr>
      </w:pPr>
    </w:p>
    <w:p>
      <w:pPr>
        <w:jc w:val="both"/>
        <w:ind w:firstLine="1142"/>
        <w:spacing w:after="0" w:line="263" w:lineRule="auto"/>
        <w:tabs>
          <w:tab w:leader="none" w:pos="151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Most Favored Nations Limitation</w:t>
      </w:r>
      <w:r>
        <w:rPr>
          <w:rFonts w:ascii="Arial" w:cs="Arial" w:eastAsia="Arial" w:hAnsi="Arial"/>
          <w:sz w:val="18"/>
          <w:szCs w:val="18"/>
          <w:color w:val="auto"/>
        </w:rPr>
        <w:t>. A Lender shall only be entitled to demand compensation pursuant to the foregoing provisions of this Section 2.19 if such Lender is requesting compensation from borrowers similarly situated to the Borrower under syndicated credit facilities comparable to those provided hereunder.</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5"/>
          <w:szCs w:val="15"/>
          <w:b w:val="1"/>
          <w:bCs w:val="1"/>
          <w:color w:val="auto"/>
        </w:rPr>
        <w:t>Taxes; Withholding, etc</w:t>
      </w:r>
      <w:r>
        <w:rPr>
          <w:rFonts w:ascii="Arial" w:cs="Arial" w:eastAsia="Arial" w:hAnsi="Arial"/>
          <w:sz w:val="15"/>
          <w:szCs w:val="15"/>
          <w:color w:val="auto"/>
        </w:rPr>
        <w:t>.</w:t>
      </w:r>
    </w:p>
    <w:p>
      <w:pPr>
        <w:spacing w:after="0" w:line="229" w:lineRule="exact"/>
        <w:rPr>
          <w:sz w:val="20"/>
          <w:szCs w:val="20"/>
          <w:color w:val="auto"/>
        </w:rPr>
      </w:pPr>
    </w:p>
    <w:p>
      <w:pPr>
        <w:ind w:firstLine="1142"/>
        <w:spacing w:after="0" w:line="277" w:lineRule="auto"/>
        <w:tabs>
          <w:tab w:leader="none" w:pos="15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required by Law or otherwise provided in this Section 2.20, each payment by any Credit Party under any Credit Document will be made without deduction or withholding for any Taxes with respect thereto.</w:t>
      </w:r>
    </w:p>
    <w:p>
      <w:pPr>
        <w:spacing w:after="0" w:line="170" w:lineRule="exact"/>
        <w:rPr>
          <w:rFonts w:ascii="Arial" w:cs="Arial" w:eastAsia="Arial" w:hAnsi="Arial"/>
          <w:sz w:val="18"/>
          <w:szCs w:val="18"/>
          <w:color w:val="auto"/>
        </w:rPr>
      </w:pPr>
    </w:p>
    <w:p>
      <w:pPr>
        <w:jc w:val="both"/>
        <w:ind w:firstLine="1142"/>
        <w:spacing w:after="0" w:line="290" w:lineRule="auto"/>
        <w:tabs>
          <w:tab w:leader="none" w:pos="15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any Taxes will be required by any Law to be deducted from or in respect of any amount payable under any Credit Document to any Recipient (i) to the extent such Taxes required to be deducted are Indemnified Taxes, such amount will be increased as necessary to ensure that, after all required deductions for Indemnified Taxes are made (including deductions for Indemnified Taxes applicable to any increases to any amount under this Section 2.20(b)(i)), such Recipient receives the amount it would have received had no such deductions for Indemnified Taxes been made, (ii) the relevant Credit Party or the Administrative Agent, as applicable, will make such deductions, (iii) the relevant Credit Party or the Administrative Agent, as applicable, will timely pay the full amount deducted to the relevant taxing authority or other authority in accordance with applicable Law and (iv) within 30 days after any such payment by a Credit Party is made, the relevant Credit Party will deliver to the Administrative Agent an original or certified copy of a receipt evidencing such payment or other evidence of payment reasonably satisfactory to the Administrative Agent.</w:t>
      </w:r>
    </w:p>
    <w:p>
      <w:pPr>
        <w:spacing w:after="0" w:line="165" w:lineRule="exact"/>
        <w:rPr>
          <w:rFonts w:ascii="Arial" w:cs="Arial" w:eastAsia="Arial" w:hAnsi="Arial"/>
          <w:sz w:val="16"/>
          <w:szCs w:val="16"/>
          <w:color w:val="auto"/>
        </w:rPr>
      </w:pPr>
    </w:p>
    <w:p>
      <w:pPr>
        <w:jc w:val="both"/>
        <w:ind w:firstLine="1142"/>
        <w:spacing w:after="0" w:line="259" w:lineRule="auto"/>
        <w:tabs>
          <w:tab w:leader="none" w:pos="15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addition, the Credit Parties will timely pay to the relevant Governmental Authority, in accordance with applicable law, any Other Taxes. Within 30 days after the date of any payment of Other Taxes by any Credit Party pursuant to this Section 2.20(c), the Borrower will deliver to the Administrative Agent the original or a certified copy of a receipt evidencing payment thereof or other evidence of payment reasonably satisfactory to the Administrative Agent.</w:t>
      </w:r>
    </w:p>
    <w:p>
      <w:pPr>
        <w:spacing w:after="0" w:line="186" w:lineRule="exact"/>
        <w:rPr>
          <w:rFonts w:ascii="Arial" w:cs="Arial" w:eastAsia="Arial" w:hAnsi="Arial"/>
          <w:sz w:val="18"/>
          <w:szCs w:val="18"/>
          <w:color w:val="auto"/>
        </w:rPr>
      </w:pPr>
    </w:p>
    <w:p>
      <w:pPr>
        <w:jc w:val="both"/>
        <w:ind w:firstLine="1142"/>
        <w:spacing w:after="0" w:line="253" w:lineRule="auto"/>
        <w:tabs>
          <w:tab w:leader="none" w:pos="15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duplication of Section 2.20(b) or Section 2.20(c), the Credit Parties will jointly and severally indemnify and reimburse, within 30 days after receipt of a written demand therefor (with copy to the Administrative Agent), each Recipient for all Indemnified Taxes (including any Indemnified Taxes imposed by any jurisdiction on amounts payable under this Section 2.20) imposed on or with respect to any payment made by the Credit Parties hereunder, and any reasonable out-of-pocket expenses arising therefrom or with respect thereto, whether or not such Indemnified Taxes were correctly or legally asserted. Any Recipient claiming indemnity pursuant to this Section 2.20(d) will notify the Credit Parties of the imposition of the relevant Indemnified Taxes as soon as practicable after the Recipient becomes aware of such imposition. A certificate of the Recipient (or of the Administrative Agent on behalf of such Recipient) claiming any compensation under this clause (d), setting forth in reasonable detail the amounts to be paid thereunder and delivered to the Borrower with copy to the Administrative Agent, will be conclusive, binding and final for all purposes, absent manifest error.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jc w:val="both"/>
        <w:ind w:firstLine="1142"/>
        <w:spacing w:after="0" w:line="259" w:lineRule="auto"/>
        <w:tabs>
          <w:tab w:leader="none" w:pos="16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limiting Section 2.21, any Lender claiming any additional amounts payable pursuant to this Section 2.20 will use its reasonable efforts (consistent with its internal policies and Law) to change the jurisdiction of its Lending Office if such a change would reduce any such additional amounts (or any similar amount that may thereafter accrue) and would not, in the sole determination of such Lender, be otherwise disadvantageous to such Lender.</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jc w:val="both"/>
        <w:ind w:left="1140" w:firstLine="488"/>
        <w:spacing w:after="0" w:line="269" w:lineRule="auto"/>
        <w:tabs>
          <w:tab w:leader="none" w:pos="203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Credit Document will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will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2.20(f)(ii)(1), Section 2.20(f)(ii)(2) and Section 2.20(f)(ii)(4) below) will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2020" w:hanging="392"/>
        <w:spacing w:after="0"/>
        <w:tabs>
          <w:tab w:leader="none" w:pos="20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620" w:firstLine="494"/>
        <w:spacing w:after="0" w:line="311" w:lineRule="auto"/>
        <w:tabs>
          <w:tab w:leader="none" w:pos="2504"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any U.S. Lender will deliver to the Borrower and the Administrative Agent, on or prior to the date on which such Lender becomes a party to this Agreement from time to time thereafter upon the reasonable request of the Borrower or the Administrative Agent, executed originals of IRS Form W-9 (certifying that such U.S. Lender is exempt from U.S. federal backup withholding tax);</w:t>
      </w:r>
    </w:p>
    <w:p>
      <w:pPr>
        <w:spacing w:after="0" w:line="148" w:lineRule="exact"/>
        <w:rPr>
          <w:rFonts w:ascii="Arial" w:cs="Arial" w:eastAsia="Arial" w:hAnsi="Arial"/>
          <w:sz w:val="16"/>
          <w:szCs w:val="16"/>
          <w:color w:val="auto"/>
        </w:rPr>
      </w:pPr>
    </w:p>
    <w:p>
      <w:pPr>
        <w:jc w:val="both"/>
        <w:ind w:left="1620" w:firstLine="494"/>
        <w:spacing w:after="0" w:line="259" w:lineRule="auto"/>
        <w:tabs>
          <w:tab w:leader="none" w:pos="25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Non-U.S. Lender will, to the extent it is legally entitled to do so, deliver to the Borrower and the Administrative Agent (in such number of copies as will be requested by the recipient), on or prior to the date on which such Non-U.S. Lender becomes a party to this Agreement (and from time to time thereafter upon the reasonable request of the Borrower or the Administrative Agent), whichever of the following is applicable:</w:t>
      </w:r>
    </w:p>
    <w:p>
      <w:pPr>
        <w:spacing w:after="0" w:line="186" w:lineRule="exact"/>
        <w:rPr>
          <w:rFonts w:ascii="Arial" w:cs="Arial" w:eastAsia="Arial" w:hAnsi="Arial"/>
          <w:sz w:val="18"/>
          <w:szCs w:val="18"/>
          <w:color w:val="auto"/>
        </w:rPr>
      </w:pPr>
    </w:p>
    <w:p>
      <w:pPr>
        <w:ind w:left="2900" w:hanging="300"/>
        <w:spacing w:after="0"/>
        <w:tabs>
          <w:tab w:leader="none" w:pos="290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an income tax treaty to which the United States is a party</w:t>
      </w:r>
    </w:p>
    <w:p>
      <w:pPr>
        <w:spacing w:after="0" w:line="46" w:lineRule="exact"/>
        <w:rPr>
          <w:rFonts w:ascii="Arial" w:cs="Arial" w:eastAsia="Arial" w:hAnsi="Arial"/>
          <w:sz w:val="16"/>
          <w:szCs w:val="16"/>
          <w:color w:val="auto"/>
        </w:rPr>
      </w:pPr>
    </w:p>
    <w:p>
      <w:pPr>
        <w:jc w:val="both"/>
        <w:ind w:left="2120"/>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Credit Document, executed originals of IRS Form W-8BEN or IRS Form W-8BEN-E establishing an exemption from, or reduction of, U.S. federal withholding Tax pursuant to the “interest” article of such tax treaty and (y) with respect to any other applicable payments under any Credit Document, executed originals of IRS Form W-8BEN or W-8BEN-E establishing an exemption from, or reduction of, U.S. federal withholding Tax pursuant to the “business profits” or “other income” article of such tax treaty;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left="1820" w:hanging="340"/>
        <w:spacing w:after="0"/>
        <w:tabs>
          <w:tab w:leader="none" w:pos="1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executed originals of IRS Form W-8ECI or W-8EXP;</w:t>
      </w:r>
    </w:p>
    <w:p>
      <w:pPr>
        <w:spacing w:after="0" w:line="225" w:lineRule="exact"/>
        <w:rPr>
          <w:rFonts w:ascii="Arial" w:cs="Arial" w:eastAsia="Arial" w:hAnsi="Arial"/>
          <w:sz w:val="18"/>
          <w:szCs w:val="18"/>
          <w:color w:val="auto"/>
        </w:rPr>
      </w:pPr>
    </w:p>
    <w:p>
      <w:pPr>
        <w:jc w:val="both"/>
        <w:ind w:left="1000" w:firstLine="480"/>
        <w:spacing w:after="0" w:line="273" w:lineRule="auto"/>
        <w:tabs>
          <w:tab w:leader="none" w:pos="187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in the case of a Non-U.S. Lender claiming the benefits of the exemption for portfolio interest under Section 881(c) of the Internal Revenue Code, (x) a certificate substantially in the form of </w:t>
      </w:r>
      <w:r>
        <w:rPr>
          <w:rFonts w:ascii="Arial" w:cs="Arial" w:eastAsia="Arial" w:hAnsi="Arial"/>
          <w:sz w:val="17"/>
          <w:szCs w:val="17"/>
          <w:u w:val="single" w:color="auto"/>
          <w:color w:val="auto"/>
        </w:rPr>
        <w:t>Exhibit F-1</w:t>
      </w:r>
      <w:r>
        <w:rPr>
          <w:rFonts w:ascii="Arial" w:cs="Arial" w:eastAsia="Arial" w:hAnsi="Arial"/>
          <w:sz w:val="17"/>
          <w:szCs w:val="17"/>
          <w:color w:val="auto"/>
        </w:rPr>
        <w:t xml:space="preserve"> to the effect that such Non-U.S. Lender is not a “bank” within the meaning of Section 881(c)(3)(A) of the Internal Revenue Code, a “10-percent shareholder” of the Borrower within the meaning of Section 881(c)(3)(B) of the Internal Revenue Code or a “controlled foreign corporation” described in Section 881(c)(3)(C) of the Internal Revenue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originals of IRS Form W-8BEN or IRS Form W-8BEN-E; or</w:t>
      </w:r>
    </w:p>
    <w:p>
      <w:pPr>
        <w:spacing w:after="0" w:line="177" w:lineRule="exact"/>
        <w:rPr>
          <w:rFonts w:ascii="Arial" w:cs="Arial" w:eastAsia="Arial" w:hAnsi="Arial"/>
          <w:sz w:val="17"/>
          <w:szCs w:val="17"/>
          <w:color w:val="auto"/>
        </w:rPr>
      </w:pPr>
    </w:p>
    <w:p>
      <w:pPr>
        <w:jc w:val="both"/>
        <w:ind w:left="1000" w:firstLine="480"/>
        <w:spacing w:after="0" w:line="273" w:lineRule="auto"/>
        <w:tabs>
          <w:tab w:leader="none" w:pos="205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to the extent a Non-U.S. Lender is not the beneficial owner, executed originals of IRS Form W-8IMY, accompanied by IRS Form W-8ECI, IRS Form W-8BEN or IRS Form W-8BEN-E, a U.S. Tax Compliance Certificate substantially in the form of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F-3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7"/>
          <w:szCs w:val="17"/>
          <w:u w:val="single" w:color="auto"/>
          <w:color w:val="auto"/>
        </w:rPr>
        <w:t>Exhibit F-4</w:t>
      </w:r>
      <w:r>
        <w:rPr>
          <w:rFonts w:ascii="Arial" w:cs="Arial" w:eastAsia="Arial" w:hAnsi="Arial"/>
          <w:sz w:val="17"/>
          <w:szCs w:val="17"/>
          <w:color w:val="auto"/>
        </w:rPr>
        <w:t xml:space="preserve"> on behalf of each such direct and indirect partner;</w:t>
      </w:r>
    </w:p>
    <w:p>
      <w:pPr>
        <w:spacing w:after="0" w:line="177" w:lineRule="exact"/>
        <w:rPr>
          <w:rFonts w:ascii="Arial" w:cs="Arial" w:eastAsia="Arial" w:hAnsi="Arial"/>
          <w:sz w:val="17"/>
          <w:szCs w:val="17"/>
          <w:color w:val="auto"/>
        </w:rPr>
      </w:pPr>
    </w:p>
    <w:p>
      <w:pPr>
        <w:jc w:val="both"/>
        <w:ind w:left="500" w:firstLine="494"/>
        <w:spacing w:after="0" w:line="254" w:lineRule="auto"/>
        <w:tabs>
          <w:tab w:leader="none" w:pos="14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Non-U.S. Lender will, to the extent it is legally entitled to do so, deliver to the Borrower and the Administrative Agent (in such number of copies as will be requested by the recipient), on or prior to the date on which such Non-U.S. Lender becomes a party to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4" w:lineRule="exact"/>
        <w:rPr>
          <w:rFonts w:ascii="Arial" w:cs="Arial" w:eastAsia="Arial" w:hAnsi="Arial"/>
          <w:sz w:val="18"/>
          <w:szCs w:val="18"/>
          <w:color w:val="auto"/>
        </w:rPr>
      </w:pPr>
    </w:p>
    <w:p>
      <w:pPr>
        <w:jc w:val="both"/>
        <w:ind w:left="500" w:firstLine="494"/>
        <w:spacing w:after="0" w:line="269" w:lineRule="auto"/>
        <w:tabs>
          <w:tab w:leader="none" w:pos="138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 payment made to a Recipient under any Credit Document would be subject to U.S. federal withholding Tax imposed by FATCA if such Recipient were to fail to comply with the applicable reporting requirements of FATCA (including those contained in Section 1471(b) or 1472(b) of the Internal Revenue Code, as applicable), such Recipient will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Section 2.20(f)(ii)(4), “FATCA” will include any amendments made to FATCA after the date of this Agreement.</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96" w:name="page97"/>
    <w:bookmarkEnd w:id="96"/>
    <w:p>
      <w:pPr>
        <w:jc w:val="both"/>
        <w:ind w:left="1960"/>
        <w:spacing w:after="0" w:line="263" w:lineRule="auto"/>
        <w:rPr>
          <w:sz w:val="20"/>
          <w:szCs w:val="20"/>
          <w:color w:val="auto"/>
        </w:rPr>
      </w:pPr>
      <w:r>
        <w:rPr>
          <w:rFonts w:ascii="Arial" w:cs="Arial" w:eastAsia="Arial" w:hAnsi="Arial"/>
          <w:sz w:val="18"/>
          <w:szCs w:val="18"/>
          <w:color w:val="auto"/>
        </w:rPr>
        <w:t>Each Recipient agrees that if any form or certification it previously delivered expires or becomes obsolete or inaccurate in any respect, it will update such form or certification or promptly notify the Borrower and the Administrative Agent in writing of its legal inability to do so.</w:t>
      </w:r>
    </w:p>
    <w:p>
      <w:pPr>
        <w:spacing w:after="0" w:line="184" w:lineRule="exact"/>
        <w:rPr>
          <w:sz w:val="20"/>
          <w:szCs w:val="20"/>
          <w:color w:val="auto"/>
        </w:rPr>
      </w:pPr>
    </w:p>
    <w:p>
      <w:pPr>
        <w:jc w:val="both"/>
        <w:ind w:firstLine="1142"/>
        <w:spacing w:after="0" w:line="285" w:lineRule="auto"/>
        <w:tabs>
          <w:tab w:leader="none" w:pos="154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Administrative Agent that (i) is a U.S. Person will deliver to the Borrower, on or prior to the date on which it becomes a party to this Agreement (and from time to time thereafter upon the reasonable request of the Borrower), duly completed copies of IRS Form W-9 certifying that such Administrative Agent is exempt from U.S. federal backup withholding tax or (ii) is not a U.S. Person will deliver to the Borrower, on or prior to the date on which it becomes a party to this Agreement (and from time to time thereafter upon the reasonable request of the Borrower), duly completed copies of (A) IRS Form W-8IMY evidencing its agreement with the Borrower to be treated as a U.S. Person and (B) IRS Form W-8ECI, in each of case (A) and</w:t>
      </w:r>
    </w:p>
    <w:p>
      <w:pPr>
        <w:spacing w:after="0" w:line="1" w:lineRule="exact"/>
        <w:rPr>
          <w:rFonts w:ascii="Arial" w:cs="Arial" w:eastAsia="Arial" w:hAnsi="Arial"/>
          <w:sz w:val="16"/>
          <w:szCs w:val="16"/>
          <w:color w:val="auto"/>
        </w:rPr>
      </w:pPr>
    </w:p>
    <w:p>
      <w:pPr>
        <w:jc w:val="both"/>
        <w:ind w:firstLine="8"/>
        <w:spacing w:after="0" w:line="302" w:lineRule="auto"/>
        <w:tabs>
          <w:tab w:leader="none" w:pos="29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establishing that the Borrower can make payments to the Administrative Agent without deduction or withholding of any Taxes imposed by the United States, including Taxes imposed under FATCA. The Administrative Agent agrees that if any form or certification it previously delivered expires or becomes obsolete or inaccurate in any respect, it will update such form or certification or promptly notify the Borrower in writing of its legal inability to do so.</w:t>
      </w:r>
    </w:p>
    <w:p>
      <w:pPr>
        <w:spacing w:after="0" w:line="155" w:lineRule="exact"/>
        <w:rPr>
          <w:rFonts w:ascii="Arial" w:cs="Arial" w:eastAsia="Arial" w:hAnsi="Arial"/>
          <w:sz w:val="16"/>
          <w:szCs w:val="16"/>
          <w:color w:val="auto"/>
        </w:rPr>
      </w:pPr>
    </w:p>
    <w:p>
      <w:pPr>
        <w:jc w:val="both"/>
        <w:ind w:firstLine="1142"/>
        <w:spacing w:after="0" w:line="268" w:lineRule="auto"/>
        <w:tabs>
          <w:tab w:leader="none" w:pos="160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If any Recipient determines in its sole discretion exercised in good faith that it has received a refund (which for purposes of this paragraph shall include a credit received in lieu of a refund) of any Taxes as to which it has been indemnified pursuant to this Section 2.20 (including by the payment of additional amounts pursuant to this Section 2.20), it will pay to the Borrower an amount equal to such refund (but only to the extent of indemnity payments made or additional amounts paid under this Section 2.20 with respect to the Taxes giving rise to such refund), net of all reasonable, documented, out-of-pocket expenses of such Recipient and without interest (other than any interest paid by the relevant Governmental Authority with respect to such refund). The Borrower, upon the request of such Recipient, will repay to such Recipient the amount paid over pursuant to this Section 2.20(h)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any penalties, interest or other charges properly imposed by the relevant Governmental Authority) in the event that such Recipient is required to repay such refund to such Governmental Authority. Notwithstanding anything to the contrary in this paragraph (h), in no event will the Recipient be required to pay any amount to a Credit Party pursuant to this paragraph (h)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paragraph will not be construed to require any Recipient to make available its Tax returns (or any other information relating to its Taxes that it deems confidential) to any Credit Party or any other Person.</w:t>
      </w:r>
    </w:p>
    <w:p>
      <w:pPr>
        <w:spacing w:after="0" w:line="186" w:lineRule="exact"/>
        <w:rPr>
          <w:rFonts w:ascii="Arial" w:cs="Arial" w:eastAsia="Arial" w:hAnsi="Arial"/>
          <w:sz w:val="17"/>
          <w:szCs w:val="17"/>
          <w:color w:val="auto"/>
        </w:rPr>
      </w:pPr>
    </w:p>
    <w:p>
      <w:pPr>
        <w:ind w:firstLine="1142"/>
        <w:spacing w:after="0" w:line="277" w:lineRule="auto"/>
        <w:tabs>
          <w:tab w:leader="none" w:pos="159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party’s obligations under this Section 2.20 will survive the resignation or replacement of the Administrative Agent or any assignment of right by, or the replacement of, a Recipient.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2.21 Obligation to Mitigate</w:t>
      </w:r>
      <w:r>
        <w:rPr>
          <w:rFonts w:ascii="Arial" w:cs="Arial" w:eastAsia="Arial" w:hAnsi="Arial"/>
          <w:sz w:val="17"/>
          <w:szCs w:val="17"/>
          <w:color w:val="auto"/>
        </w:rPr>
        <w:t>. Each Lender agrees that, as promptly as practicable after the officer of such Lender responsible for administering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Loans becomes aware of the occurrence of an event or the existence of a condition that would cause such Lender to become an Affected Lender or that would entitle such Lender to receive payments under Section 2.18, 2.19 or 2.20, it will, to the extent not inconsistent with the internal policies of such Lender and any applicable legal or regulatory restrictions, use reasonable efforts (a) to make, fund or maintain its Credit Extensions, including any Affected Loans, through another office of such Lender, or (b) to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2.18, 2.19 or 2.20 would be materially reduced and if, as determined by such Lender in its sole discretion, the making, funding or maintaining of such Commitments or Loans through such other office or in accordance with such other measures, as the case may be, would not otherwise adversely affect such Commitments or Loans or the interests of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not be obligated to utilize such other office pursuant to this Section 2.21 unless the Borrower agrees to pay all incremental expenses incurred by such Lender as a result of utilizing such other office as described above. A certificate as to the amount of any such expenses payable by the Borrower pursuant to this Section 2.21 (setting forth in reasonable detail the basis for requesting such amount) submitted by such Lender to the Borrower (with a copy to the Administrative Agent) will be conclusive absent manifest error.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ind w:left="660"/>
        <w:spacing w:after="0"/>
        <w:tabs>
          <w:tab w:leader="none" w:pos="11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Removal or Replacement of a Lender</w:t>
      </w:r>
      <w:r>
        <w:rPr>
          <w:rFonts w:ascii="Arial" w:cs="Arial" w:eastAsia="Arial" w:hAnsi="Arial"/>
          <w:sz w:val="16"/>
          <w:szCs w:val="16"/>
          <w:color w:val="auto"/>
        </w:rPr>
        <w:t>. Anything contained herein to the contrary notwithstanding, in the event that:</w:t>
      </w:r>
    </w:p>
    <w:p>
      <w:pPr>
        <w:spacing w:after="0" w:line="225" w:lineRule="exact"/>
        <w:rPr>
          <w:sz w:val="20"/>
          <w:szCs w:val="20"/>
          <w:color w:val="auto"/>
        </w:rPr>
      </w:pPr>
    </w:p>
    <w:p>
      <w:pPr>
        <w:jc w:val="both"/>
        <w:ind w:firstLine="1142"/>
        <w:spacing w:after="0" w:line="261" w:lineRule="auto"/>
        <w:tabs>
          <w:tab w:leader="none" w:pos="15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any Lender (an “</w:t>
      </w:r>
      <w:r>
        <w:rPr>
          <w:rFonts w:ascii="Arial" w:cs="Arial" w:eastAsia="Arial" w:hAnsi="Arial"/>
          <w:sz w:val="18"/>
          <w:szCs w:val="18"/>
          <w:b w:val="1"/>
          <w:bCs w:val="1"/>
          <w:color w:val="auto"/>
        </w:rPr>
        <w:t>Increased Cost Lender</w:t>
      </w:r>
      <w:r>
        <w:rPr>
          <w:rFonts w:ascii="Arial" w:cs="Arial" w:eastAsia="Arial" w:hAnsi="Arial"/>
          <w:sz w:val="18"/>
          <w:szCs w:val="18"/>
          <w:color w:val="auto"/>
        </w:rPr>
        <w:t>”) gives notice to the Borrower that such Lender is an Affected Lender or that such Lender is entitled to receive payments under Section 2.18, 2.19 or 2.20, (ii) the circumstances that have caused such Lender to be an Affected Lender or that entitle such Lender to receive such payments remain in effect, and (iii) such Lender fails to withdraw such notice within five (5) Business Days after the Borrower’s request for such withdrawal; or</w:t>
      </w:r>
    </w:p>
    <w:p>
      <w:pPr>
        <w:spacing w:after="0" w:line="183" w:lineRule="exact"/>
        <w:rPr>
          <w:rFonts w:ascii="Arial" w:cs="Arial" w:eastAsia="Arial" w:hAnsi="Arial"/>
          <w:sz w:val="18"/>
          <w:szCs w:val="18"/>
          <w:color w:val="auto"/>
        </w:rPr>
      </w:pPr>
    </w:p>
    <w:p>
      <w:pPr>
        <w:jc w:val="both"/>
        <w:ind w:firstLine="1142"/>
        <w:spacing w:after="0" w:line="286" w:lineRule="auto"/>
        <w:tabs>
          <w:tab w:leader="none" w:pos="155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termination, waiver or consent with respect to any of the provisions of a Credit Document as contemplated by Section 10.5(b), the consent of Required Lenders with respect to which has been obtained but the consent of one or more of such other Lenders (each a “</w:t>
      </w:r>
      <w:r>
        <w:rPr>
          <w:rFonts w:ascii="Arial" w:cs="Arial" w:eastAsia="Arial" w:hAnsi="Arial"/>
          <w:sz w:val="17"/>
          <w:szCs w:val="17"/>
          <w:b w:val="1"/>
          <w:bCs w:val="1"/>
          <w:color w:val="auto"/>
        </w:rPr>
        <w:t>Non-Consenting Lender</w:t>
      </w:r>
      <w:r>
        <w:rPr>
          <w:rFonts w:ascii="Arial" w:cs="Arial" w:eastAsia="Arial" w:hAnsi="Arial"/>
          <w:sz w:val="17"/>
          <w:szCs w:val="17"/>
          <w:color w:val="auto"/>
        </w:rPr>
        <w:t>”) whose consent is required has not been obtained;</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with respect to each such Increased Cost Lender or Non-Consenting Lender (the “</w:t>
      </w:r>
      <w:r>
        <w:rPr>
          <w:rFonts w:ascii="Arial" w:cs="Arial" w:eastAsia="Arial" w:hAnsi="Arial"/>
          <w:sz w:val="16"/>
          <w:szCs w:val="16"/>
          <w:b w:val="1"/>
          <w:bCs w:val="1"/>
          <w:color w:val="auto"/>
        </w:rPr>
        <w:t>Terminated Lender</w:t>
      </w:r>
      <w:r>
        <w:rPr>
          <w:rFonts w:ascii="Arial" w:cs="Arial" w:eastAsia="Arial" w:hAnsi="Arial"/>
          <w:sz w:val="16"/>
          <w:szCs w:val="16"/>
          <w:color w:val="auto"/>
        </w:rPr>
        <w:t>”), the Borrower may, by giving written notice to the Administrative Agent and any Terminated Lender of its election to do so, elect to cause such Terminated Lender (and such Terminated Lender hereby irrevocably agrees) to assign its outstanding Loans and its Incremental Revolving Credit Commitments, if any, in full to one or more Eligible Assignees (each a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in accordance with the provisions of Section 10.6 and the Borrower will pay the fees, if any, payable thereunder in connection with any such assignment from an Increased Cost Lender or a Non-Consenting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on the date of such assignment, the Replacement Lender must pay to a Terminated Lender an amount equal to the sum of (A) an amount equal to the principal of, and all accrued interest on, all outstanding Loans of the Terminated Lender, (B) an amount equal to all unreimbursed drawings that have been funded by such Terminated Lender, together with all then unpaid interest with respect thereto at such time and (C) an amount equal to all accrued, but theretofore unpaid fees owing to such Terminated Lender pursuant to Section 2.11; (2) on the date of such assignment, the Borrower must pay any amounts payable to such Terminated Lender pursuant to Section 2.11(a), 2.18(</w:t>
      </w:r>
      <w:r>
        <w:rPr>
          <w:rFonts w:ascii="Arial" w:cs="Arial" w:eastAsia="Arial" w:hAnsi="Arial"/>
          <w:sz w:val="16"/>
          <w:szCs w:val="16"/>
          <w:color w:val="FF0000"/>
          <w:strike w:val="1"/>
        </w:rPr>
        <w:t>c</w:t>
      </w:r>
      <w:r>
        <w:rPr>
          <w:rFonts w:ascii="Arial" w:cs="Arial" w:eastAsia="Arial" w:hAnsi="Arial"/>
          <w:sz w:val="16"/>
          <w:szCs w:val="16"/>
          <w:u w:val="single" w:color="auto"/>
          <w:color w:val="0000FF"/>
        </w:rPr>
        <w:t>b)(iv</w:t>
      </w:r>
      <w:r>
        <w:rPr>
          <w:rFonts w:ascii="Arial" w:cs="Arial" w:eastAsia="Arial" w:hAnsi="Arial"/>
          <w:sz w:val="16"/>
          <w:szCs w:val="16"/>
          <w:color w:val="auto"/>
        </w:rPr>
        <w:t xml:space="preserve">), 2.19 or 2.20; and (3) in the event such Terminated Lender is a Non-Consenting Lender, each Replacement Lender will consent, at the time of such assignment, to each matter in respect of which such Terminated Lender was a Non-Consenting Lender. Upon the assignment of all amounts owing to any Terminated Lender and the termination or assignment of such Terminated Lender’s Incremental Revolving Credit Commitments, if any, such Terminated Lender will no longer constitute a “Lender” for purposes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rights of such Terminated Lender to indemnification hereunder will survive as to such Terminated Lender. Each Lender agrees that if the Borrower exercises its option hereunder to cause an assignment by such Lender as a Non-Consenting Lender or Terminated Lender, such Lender will, promptly after receipt of written notice of such election, execute and deliver all documentation necessary to effectuate such assignment in accordance with Section 10.6. In the event that a Lender does not comply with the requirements of the immediately preceding sentence within one (1) Business Day after receipt of such notice, each Lender hereby grants to the Administrative Agent an irrevocable power of attorney (which power of attorney will be coupled with an interest) to execute and deliver such documentation as may be required to give effect to an assignment in accordance with Section 10.6 on behalf of a Non-Consenting Lender or Terminated Lender and any such documentation so executed by the Administrative Agent will be effective for purposes of documenting an assignment pursuant to Section 10.6.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left="660"/>
        <w:spacing w:after="0"/>
        <w:tabs>
          <w:tab w:leader="none" w:pos="11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Incremental Facilities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90" w:lineRule="auto"/>
        <w:tabs>
          <w:tab w:leader="none" w:pos="156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At any time and from time to time, on one or more occasions, the Borrower may, by notice to the Administrative Agent, (i) increase the aggregate principal amount of any outstanding tranche of Term Loans (other than Term C Loans) or add one or more additional tranches of term loans under the Credit Documents (the “</w:t>
      </w:r>
      <w:r>
        <w:rPr>
          <w:rFonts w:ascii="Arial" w:cs="Arial" w:eastAsia="Arial" w:hAnsi="Arial"/>
          <w:sz w:val="16"/>
          <w:szCs w:val="16"/>
          <w:b w:val="1"/>
          <w:bCs w:val="1"/>
          <w:color w:val="auto"/>
        </w:rPr>
        <w:t>Incremental Term Facilities</w:t>
      </w:r>
      <w:r>
        <w:rPr>
          <w:rFonts w:ascii="Arial" w:cs="Arial" w:eastAsia="Arial" w:hAnsi="Arial"/>
          <w:sz w:val="16"/>
          <w:szCs w:val="16"/>
          <w:color w:val="auto"/>
        </w:rPr>
        <w:t>” and the term loans made thereunder, the “</w:t>
      </w:r>
      <w:r>
        <w:rPr>
          <w:rFonts w:ascii="Arial" w:cs="Arial" w:eastAsia="Arial" w:hAnsi="Arial"/>
          <w:sz w:val="16"/>
          <w:szCs w:val="16"/>
          <w:b w:val="1"/>
          <w:bCs w:val="1"/>
          <w:color w:val="auto"/>
        </w:rPr>
        <w:t>Incremental Term Loans</w:t>
      </w:r>
      <w:r>
        <w:rPr>
          <w:rFonts w:ascii="Arial" w:cs="Arial" w:eastAsia="Arial" w:hAnsi="Arial"/>
          <w:sz w:val="16"/>
          <w:szCs w:val="16"/>
          <w:color w:val="auto"/>
        </w:rPr>
        <w:t>”) or (ii) establish a tranche (or a new tranche) of Incremental Revolving Credit Commitments on terms as agreed between the Borrower and the Lenders providing such Incremental Revolving Credit Commitments (but subject to the terms of this Section 2.24) and/or increase the aggregate principal amount of Incremental Revolving Credit Commitments on the same terms as any then-existing Incremental Revolving Credit Commitments (the “</w:t>
      </w:r>
      <w:r>
        <w:rPr>
          <w:rFonts w:ascii="Arial" w:cs="Arial" w:eastAsia="Arial" w:hAnsi="Arial"/>
          <w:sz w:val="16"/>
          <w:szCs w:val="16"/>
          <w:b w:val="1"/>
          <w:b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Facilities</w:t>
      </w:r>
      <w:r>
        <w:rPr>
          <w:rFonts w:ascii="Arial" w:cs="Arial" w:eastAsia="Arial" w:hAnsi="Arial"/>
          <w:sz w:val="16"/>
          <w:szCs w:val="16"/>
          <w:color w:val="auto"/>
        </w:rPr>
        <w:t>” and the revolving loans and other extensions of credit made thereunder, the “</w:t>
      </w:r>
      <w:r>
        <w:rPr>
          <w:rFonts w:ascii="Arial" w:cs="Arial" w:eastAsia="Arial" w:hAnsi="Arial"/>
          <w:sz w:val="16"/>
          <w:szCs w:val="16"/>
          <w:b w:val="1"/>
          <w:bCs w:val="1"/>
          <w:color w:val="auto"/>
        </w:rPr>
        <w:t>Incremental Revolving Loans</w:t>
      </w:r>
      <w:r>
        <w:rPr>
          <w:rFonts w:ascii="Arial" w:cs="Arial" w:eastAsia="Arial" w:hAnsi="Arial"/>
          <w:sz w:val="16"/>
          <w:szCs w:val="16"/>
          <w:color w:val="auto"/>
        </w:rPr>
        <w:t>”) (each such increase or</w:t>
      </w:r>
      <w:r>
        <w:rPr>
          <w:rFonts w:ascii="Arial" w:cs="Arial" w:eastAsia="Arial" w:hAnsi="Arial"/>
          <w:sz w:val="16"/>
          <w:szCs w:val="16"/>
          <w:b w:val="1"/>
          <w:bCs w:val="1"/>
          <w:color w:val="auto"/>
        </w:rPr>
        <w:t xml:space="preserve"> </w:t>
      </w:r>
      <w:r>
        <w:rPr>
          <w:rFonts w:ascii="Arial" w:cs="Arial" w:eastAsia="Arial" w:hAnsi="Arial"/>
          <w:sz w:val="16"/>
          <w:szCs w:val="16"/>
          <w:color w:val="auto"/>
        </w:rPr>
        <w:t>tranche pursuant to clauses (i) and (ii), an “</w:t>
      </w:r>
      <w:r>
        <w:rPr>
          <w:rFonts w:ascii="Arial" w:cs="Arial" w:eastAsia="Arial" w:hAnsi="Arial"/>
          <w:sz w:val="16"/>
          <w:szCs w:val="16"/>
          <w:b w:val="1"/>
          <w:bCs w:val="1"/>
          <w:color w:val="auto"/>
        </w:rPr>
        <w:t>Incremental Facility</w:t>
      </w:r>
      <w:r>
        <w:rPr>
          <w:rFonts w:ascii="Arial" w:cs="Arial" w:eastAsia="Arial" w:hAnsi="Arial"/>
          <w:sz w:val="16"/>
          <w:szCs w:val="16"/>
          <w:color w:val="auto"/>
        </w:rPr>
        <w:t>” and the loans or other extensions of credit made thereunder, the “</w:t>
      </w:r>
      <w:r>
        <w:rPr>
          <w:rFonts w:ascii="Arial" w:cs="Arial" w:eastAsia="Arial" w:hAnsi="Arial"/>
          <w:sz w:val="16"/>
          <w:szCs w:val="16"/>
          <w:b w:val="1"/>
          <w:bCs w:val="1"/>
          <w:color w:val="auto"/>
        </w:rPr>
        <w:t>Incremental Loans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firstLine="1142"/>
        <w:spacing w:after="0" w:line="263" w:lineRule="auto"/>
        <w:tabs>
          <w:tab w:leader="none" w:pos="15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Incremental Facilities will (i)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B Loans and the Term C Loans (subject to Section 8.2), (ii) be secured by the same Liens on the Collateral (with the same ranking in priority) that secure the Term C Loans and the Initial Term B Loans and (iii) benefit from the same Guaranties as the Term C Loans and the Initial Term B Loans.</w:t>
      </w:r>
    </w:p>
    <w:p>
      <w:pPr>
        <w:spacing w:after="0" w:line="183" w:lineRule="exact"/>
        <w:rPr>
          <w:rFonts w:ascii="Arial" w:cs="Arial" w:eastAsia="Arial" w:hAnsi="Arial"/>
          <w:sz w:val="18"/>
          <w:szCs w:val="18"/>
          <w:color w:val="auto"/>
        </w:rPr>
      </w:pPr>
    </w:p>
    <w:p>
      <w:pPr>
        <w:jc w:val="both"/>
        <w:ind w:firstLine="1142"/>
        <w:spacing w:after="0" w:line="284" w:lineRule="auto"/>
        <w:tabs>
          <w:tab w:leader="none" w:pos="1559"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Size</w:t>
      </w:r>
      <w:r>
        <w:rPr>
          <w:rFonts w:ascii="Arial" w:cs="Arial" w:eastAsia="Arial" w:hAnsi="Arial"/>
          <w:sz w:val="16"/>
          <w:szCs w:val="16"/>
          <w:color w:val="auto"/>
        </w:rPr>
        <w:t xml:space="preserve">. On the date of each incurrence of Incremental Facilities, (A) the aggregate principal amount of such Incremental Facilities (or relevant portion thereof, if such Incremental Facilities includes a portion that will be incurred under clause (B)) (together with any Incremental Equivalent Debt incurred on such date in reliance on subclause (A) of clause (a) of the first proviso appearing in the definition of “Incremental Equivalent Debt”) shall not exceed an amount equal to the Incremental Ratio Amount or (B) the aggregate principal amount of such Incremental Facilities (or relevant portion thereof, if such Incremental Facilities includes a portion that will be incurred under clause (A)), together with the aggregate principal amount of all other Incremental Facilities incurred in reliance on this clause (B) (but without regard to the immediately succeeding proviso) and all Incremental Equivalent Debt incurred in reliance on subclause (B) of clause (a) of the definition of “Incremental Equivalent Debt”, shall not exceed an amount equal to the Incremental Fixed Amount (it being understood that Incremental Facilities may be incurred under either clause (A) or (B) as selected by the Borrower in its sole discretion, including by designating any portion of the Incremental Facilities in excess of an amount permitted to be incurred under clause (A) at the time of such incurrence as incurred under clause (B));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the foregoing, Incremental Revolving Facilities may be established, so long as on the date of the establishment thereof, the aggregate principal amount of such Incremental Revolving Facilities, together with the aggregate principal amount of all other Incremental Revolving Facilities incurred in reliance on this proviso, shall not exceed an amount equal to the Additional Incremental RCF Basket Amount. Calculation of the Incremental Ratio Amount, if used, will be made on Pro Forma Basis and, for purposes of the calculation thereof, all Incremental Revolving Facilities incurred at the time of such calculation (other than any Incremental Revolving Facilities incurred in reliance on the Additional Incremental RCF Basket Amount) shall be deemed fully utilized. Each Incremental Amendment executed in connection with an Incremental Facility will identify whether all or any portion of such Incremental Facility is being incurred pursuant to the Incremental Fixed Amount, the Incremental Ratio Amount or the Additional Incremental RCF Basket Amount. For the avoidance of doubt, if the Borrower incurs indebtedness under an Incremental Facility under the Incremental Fixed Amount on the same date that it incurs indebtedness under the Incremental Ratio Amount, then the First Lien Net Leverage Ratio or Total Net Leverage Ratio, as applicable, will be calculated with respect to such incurrence under the Incremental Ratio Amount without regard to any incurrence of indebtedness under the Incremental Fixed Amount. Unless the Borrower elects otherwise, each Incremental Facility will be deemed incurred first under the Incremental Ratio Amount to the extent permitted, with the balance incurred under the Incremental Fixed Amount. The Borrower may redesignate any indebtedness originally designated as incurred under the Incremental Fixed Amount as having been incurred under the Incremental Ratio Amount, so long as at the time of such redesignation, the Borrower would be permitted to incur under the Incremental Ratio Amount the aggregate principal amount of indebtedness being so redesignated (for purposes of clarity, with any such redesignation having the effect of increasing the Borrower’s ability to incur indebtedness under the Incremental Fixed Amount as of the date of such redesignation by the amount of indebtedness so redesignated). Each Incremental Facility will be in an integral multiple of $1,000,000 and in an aggregate principal amount that is not less than $5,000,000 (or such lesser minimum amount approved by the Administrative Agent in its reasonable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may be less than such minimum amount or integral multiple amount if such amount represents all the remaining availability under the limit set forth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1142"/>
        <w:spacing w:after="0" w:line="301" w:lineRule="auto"/>
        <w:tabs>
          <w:tab w:leader="none" w:pos="154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Incremental Lenders</w:t>
      </w:r>
      <w:r>
        <w:rPr>
          <w:rFonts w:ascii="Arial" w:cs="Arial" w:eastAsia="Arial" w:hAnsi="Arial"/>
          <w:sz w:val="16"/>
          <w:szCs w:val="16"/>
          <w:color w:val="auto"/>
        </w:rPr>
        <w:t xml:space="preserve">. Incremental Facilities may be provided by any existing Lender (it being understood that no existing Lender will have an obligation to make all or any portion of any Incremental Loan) or by any Additional Lender on terms permitted by this Section 2.24;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will have consented (in each case, such consent not to be unreasonably withheld, conditioned or delayed) to any such Person’s providing Incremental Facilities if such consent would be required under Section 10.6(c)(ii) for an assignment of Loans or Commitments to such Person.</w:t>
      </w:r>
    </w:p>
    <w:p>
      <w:pPr>
        <w:spacing w:after="0" w:line="157" w:lineRule="exact"/>
        <w:rPr>
          <w:rFonts w:ascii="Arial" w:cs="Arial" w:eastAsia="Arial" w:hAnsi="Arial"/>
          <w:sz w:val="16"/>
          <w:szCs w:val="16"/>
          <w:color w:val="auto"/>
        </w:rPr>
      </w:pPr>
    </w:p>
    <w:p>
      <w:pPr>
        <w:jc w:val="both"/>
        <w:ind w:firstLine="1142"/>
        <w:spacing w:after="0" w:line="284" w:lineRule="auto"/>
        <w:tabs>
          <w:tab w:leader="none" w:pos="1519"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Incremental Facility Amendments; Use of Proceeds</w:t>
      </w:r>
      <w:r>
        <w:rPr>
          <w:rFonts w:ascii="Arial" w:cs="Arial" w:eastAsia="Arial" w:hAnsi="Arial"/>
          <w:sz w:val="16"/>
          <w:szCs w:val="16"/>
          <w:color w:val="auto"/>
        </w:rPr>
        <w:t>. Each Incremental Facility will become effective pursuant to an amendment (each, an “</w:t>
      </w:r>
      <w:r>
        <w:rPr>
          <w:rFonts w:ascii="Arial" w:cs="Arial" w:eastAsia="Arial" w:hAnsi="Arial"/>
          <w:sz w:val="16"/>
          <w:szCs w:val="16"/>
          <w:b w:val="1"/>
          <w:bCs w:val="1"/>
          <w:color w:val="auto"/>
        </w:rPr>
        <w:t>Incremental Amendment</w:t>
      </w:r>
      <w:r>
        <w:rPr>
          <w:rFonts w:ascii="Arial" w:cs="Arial" w:eastAsia="Arial" w:hAnsi="Arial"/>
          <w:sz w:val="16"/>
          <w:szCs w:val="16"/>
          <w:color w:val="auto"/>
        </w:rPr>
        <w:t>”) to this Agreement and, as appropriate, the other Credit Documents, executed by the Borrower, each Person providing such Incremental Facility and the Administrative Agent. Incremental Amendments may, without the consent of any other Lenders, effect such amendments to this Agreement and the other Credit Documents as may be necessary or appropriate, in the reasonable good faith opinion of the Administrative Agent and the Borrower, to effect the provisions of this Section 2.24, which shall include, without limitation, in the case of an Incremental Revolving Facility, amendments to add customary revolving credit facility conditions and provisions relating to letters of credit, swingline facilities and defaulting Lenders, letter of credit fees, commitment fees, financial maintenance covenants (which may exclusively benefit Lenders with Incremental Revolving Loan Exposure), customary prepayment and repayment provisions and voting and events of default provisions relating to financial maintenance covenants that solely benefit Lenders with Incremental Revolving Loan Exposure, in each case, without the consent of any Term Lender. An Incremental Amendment may, at the election of the Borrower, effect such amendments as may be reasonably necessary or advisable so that such Incremental Term Loans and the applicable existing Term Loans form the same Class of Term Loans or so that such Incremental Term Loans are fungible with other outstanding Term Loans, including by (i) extending or adding “call protection” to any applicable existing tranche of Term Loans, including amendments to Section 2.11(a), and (ii) amending the schedule of amortization payments relating to any applicable existing tranche of Term Loans, including amendments to Section 2.12(a)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amendment will not decrease any amortization payment to any Lender that would have otherwise been payable to such Lender immediately prior to the effectiveness of the applicable Incremental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are not adverse to the existing Term Lenders (as determined in good faith by the Borrower). Each of the parties hereto hereby agrees that, upon the effectiveness of any Incremental Amendment, this Agreement and the other Credit Documents, as applicable, will be amended to the extent necessary to reflect the existence and terms of the Incremental Facility and the Incremental Loans evidenced thereby. This Section 2.24 will supersede any provisions in Section 2.17 or 10.5 to the contrary. The Borrower may use the proceeds of the Incremental Loans for working capital and other general corporate purposes, including the financing of Permitted Acquisitions and other Investments and any other purpose not prohibited by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ind w:left="1500" w:hanging="358"/>
        <w:spacing w:after="0"/>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availability of Incremental Facilities under this Agreement will be subject solely to the following conditions:</w:t>
      </w:r>
    </w:p>
    <w:p>
      <w:pPr>
        <w:spacing w:after="0" w:line="225" w:lineRule="exact"/>
        <w:rPr>
          <w:rFonts w:ascii="Arial" w:cs="Arial" w:eastAsia="Arial" w:hAnsi="Arial"/>
          <w:sz w:val="18"/>
          <w:szCs w:val="18"/>
          <w:color w:val="auto"/>
        </w:rPr>
      </w:pPr>
    </w:p>
    <w:p>
      <w:pPr>
        <w:jc w:val="both"/>
        <w:ind w:left="1140" w:firstLine="488"/>
        <w:spacing w:after="0" w:line="263" w:lineRule="auto"/>
        <w:tabs>
          <w:tab w:leader="none" w:pos="20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no Default or Event of Default (other than with respect to a Limited Condition Acquisition, which shall be subject only to the absence of an Event of Default pursuant to Section 8.1(a), (f) or (g)) will have occurred and be continuing on the date such Incremental Loans are incurred or would occur immediately after giving effect thereto,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1140" w:firstLine="488"/>
        <w:spacing w:after="0" w:line="270" w:lineRule="auto"/>
        <w:tabs>
          <w:tab w:leader="none" w:pos="21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in the Credit Documents will be true and correct in all material respects (except for representations and warranties that are already qualified by materiality, which representations and warranties will be true and correct in all respects) immediately prior to, and immediately after giving effect to, the incurrence of such Incremental Facility (except to the extent that such representation or warranty expressly relates to an earlier date, in which case such representation or warranty shall be true and correct in all material respects (without duplication of any materiality qualifier contained therein) as of such earlier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Incremental Facility is being provided in connection with a Limited Condition Acquisition, the condition set forth in this clause (ii) may, if agreed by the lenders providing such Incremental Facility, be satisfied with (x) the accuracy of customary “specified representations” and “acquisition agreement representations” and (y) such other limitations or exceptions to representations and warranties as may be agreed by the lenders providing such Incremental Facility.</w:t>
      </w:r>
    </w:p>
    <w:p>
      <w:pPr>
        <w:spacing w:after="0" w:line="180" w:lineRule="exact"/>
        <w:rPr>
          <w:rFonts w:ascii="Arial" w:cs="Arial" w:eastAsia="Arial" w:hAnsi="Arial"/>
          <w:sz w:val="17"/>
          <w:szCs w:val="17"/>
          <w:color w:val="auto"/>
        </w:rPr>
      </w:pPr>
    </w:p>
    <w:p>
      <w:pPr>
        <w:ind w:firstLine="1142"/>
        <w:spacing w:after="0" w:line="342" w:lineRule="auto"/>
        <w:tabs>
          <w:tab w:leader="none" w:pos="153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xml:space="preserve">. Each Incremental Amendment will set forth the amount and terms of the relevant Incremental Facility. The other terms of each tranche of Incremental Term Loans will be as agreed between the Borrower and the Persons providing such Incremental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23" w:lineRule="exact"/>
        <w:rPr>
          <w:rFonts w:ascii="Arial" w:cs="Arial" w:eastAsia="Arial" w:hAnsi="Arial"/>
          <w:sz w:val="16"/>
          <w:szCs w:val="16"/>
          <w:color w:val="auto"/>
        </w:rPr>
      </w:pPr>
    </w:p>
    <w:p>
      <w:pPr>
        <w:ind w:left="1140" w:firstLine="488"/>
        <w:spacing w:after="0" w:line="277" w:lineRule="auto"/>
        <w:tabs>
          <w:tab w:leader="none" w:pos="198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final stated maturity date of such Incremental Term Loans will be no earlier than the Latest Term Loan Maturity Date of any Class of then-outstanding Term Loans;</w:t>
      </w:r>
    </w:p>
    <w:p>
      <w:pPr>
        <w:spacing w:after="0" w:line="170" w:lineRule="exact"/>
        <w:rPr>
          <w:rFonts w:ascii="Arial" w:cs="Arial" w:eastAsia="Arial" w:hAnsi="Arial"/>
          <w:sz w:val="18"/>
          <w:szCs w:val="18"/>
          <w:color w:val="auto"/>
        </w:rPr>
      </w:pPr>
    </w:p>
    <w:p>
      <w:pPr>
        <w:ind w:left="1140" w:firstLine="488"/>
        <w:spacing w:after="0" w:line="277" w:lineRule="auto"/>
        <w:tabs>
          <w:tab w:leader="none" w:pos="203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Weighted Average Life to Maturity of such Incremental Term Loans will be no shorter than the longest remaining Weighted Average Life to Maturity of any then-outstanding Class of Term Loans;</w:t>
      </w:r>
    </w:p>
    <w:p>
      <w:pPr>
        <w:spacing w:after="0" w:line="170" w:lineRule="exact"/>
        <w:rPr>
          <w:rFonts w:ascii="Arial" w:cs="Arial" w:eastAsia="Arial" w:hAnsi="Arial"/>
          <w:sz w:val="18"/>
          <w:szCs w:val="18"/>
          <w:color w:val="auto"/>
        </w:rPr>
      </w:pPr>
    </w:p>
    <w:p>
      <w:pPr>
        <w:jc w:val="both"/>
        <w:ind w:left="1140" w:firstLine="488"/>
        <w:spacing w:after="0" w:line="286" w:lineRule="auto"/>
        <w:tabs>
          <w:tab w:leader="none" w:pos="208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any such Incremental Term Loans may participate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a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(but not greater than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compared to any earlier or equivalent maturing Class of Term Loans (other than pursuant to a refinancing)) in any mandatory repayments or prepayments of any other Term Loans (other than Term C Loans);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jc w:val="both"/>
        <w:ind w:left="1140" w:firstLine="488"/>
        <w:spacing w:after="0" w:line="287" w:lineRule="auto"/>
        <w:tabs>
          <w:tab w:leader="none" w:pos="213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other terms applicable to such Incremental Term Loans are substantially identical to, or either (A) (taken as a whole as determined by the Borrower in good faith) not materially more restrictive to the Borrower and its Subsidiaries than those applicable to any then-outstanding Class of Term Loans (other than Term C Loans) or (B) if the requirements in clause (A) are not satisfied, are reasonably satisfactory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will not apply to (1) interest rates, fees, funding discounts and other pricing terms, (2) redemption, prepayment or other premiums, (3) optional prepayment terms, and (4) covenants and other terms, in each case that are (i) applied to the Term Loans existing at the time of incurrence of such Incremental Term Facility (so that existing Lenders also receive the benefit of such provisions) and/or (ii) applicable only to periods after the Latest Term Loan Maturity Date at the time of incurrence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a certificate of the Borrower delivered to the Administrative Agent stating that the Borrower has reasonably determined in good faith that the terms and conditions satisfy the foregoing requirement in clause (A) shall be conclusive evidence that such terms and conditions satisfy the foregoing requirement in clause (A);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each case, the operational and agency provisions contained in such documentation are reasonably satisfactory to the Administrative Agent.</w:t>
      </w:r>
    </w:p>
    <w:p>
      <w:pPr>
        <w:spacing w:after="0" w:line="171" w:lineRule="exact"/>
        <w:rPr>
          <w:rFonts w:ascii="Arial" w:cs="Arial" w:eastAsia="Arial" w:hAnsi="Arial"/>
          <w:sz w:val="16"/>
          <w:szCs w:val="16"/>
          <w:color w:val="auto"/>
        </w:rPr>
      </w:pPr>
    </w:p>
    <w:p>
      <w:pPr>
        <w:jc w:val="both"/>
        <w:ind w:firstLine="1142"/>
        <w:spacing w:after="0" w:line="263" w:lineRule="auto"/>
        <w:tabs>
          <w:tab w:leader="none" w:pos="15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Pricing</w:t>
      </w:r>
      <w:r>
        <w:rPr>
          <w:rFonts w:ascii="Arial" w:cs="Arial" w:eastAsia="Arial" w:hAnsi="Arial"/>
          <w:sz w:val="18"/>
          <w:szCs w:val="18"/>
          <w:color w:val="auto"/>
        </w:rPr>
        <w:t xml:space="preserve">. The interest rate, fees, and original issue discount for any Incremental Term Loans will be as determined by the Borrower and the Persons providing such Incremental Term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MFN Adjustment will apply to any Incremental Term Loans that constitute MFN Eligible Debt.</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5"/>
          <w:szCs w:val="15"/>
          <w:b w:val="1"/>
          <w:bCs w:val="1"/>
          <w:color w:val="auto"/>
        </w:rPr>
        <w:t>Discounted Prepayments</w:t>
      </w:r>
      <w:r>
        <w:rPr>
          <w:rFonts w:ascii="Arial" w:cs="Arial" w:eastAsia="Arial" w:hAnsi="Arial"/>
          <w:sz w:val="15"/>
          <w:szCs w:val="15"/>
          <w:color w:val="auto"/>
        </w:rPr>
        <w:t>.</w:t>
      </w:r>
    </w:p>
    <w:p>
      <w:pPr>
        <w:spacing w:after="0" w:line="229" w:lineRule="exact"/>
        <w:rPr>
          <w:sz w:val="20"/>
          <w:szCs w:val="20"/>
          <w:color w:val="auto"/>
        </w:rPr>
      </w:pPr>
    </w:p>
    <w:p>
      <w:pPr>
        <w:jc w:val="both"/>
        <w:ind w:firstLine="1142"/>
        <w:spacing w:after="0" w:line="286"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Notwithstanding anything in any Credit Document to the contrary, so long as (i) no Default or Event of Default has occurred and is continuing on both the date a Discounted Prepayment Notice (as defined below) is delivered to the Administrative Agent and Lenders and the date a Discounted Prepayment (as defined below) is made (both before and after giving effect thereto), (ii) all parties to such transaction render a Big Boy Letter and (iii) no proceeds of Incremental Revolving Loans are used to make any such Discounted Prepayment, the Borrower or other Credit Party (in such capacity, the “</w:t>
      </w:r>
      <w:r>
        <w:rPr>
          <w:rFonts w:ascii="Arial" w:cs="Arial" w:eastAsia="Arial" w:hAnsi="Arial"/>
          <w:sz w:val="16"/>
          <w:szCs w:val="16"/>
          <w:b w:val="1"/>
          <w:bCs w:val="1"/>
          <w:color w:val="auto"/>
        </w:rPr>
        <w:t>Discounted Prepayment Offeror</w:t>
      </w:r>
      <w:r>
        <w:rPr>
          <w:rFonts w:ascii="Arial" w:cs="Arial" w:eastAsia="Arial" w:hAnsi="Arial"/>
          <w:sz w:val="16"/>
          <w:szCs w:val="16"/>
          <w:color w:val="auto"/>
        </w:rPr>
        <w:t>”) will be permitted to (x) offer to make voluntary prepayments of the Term Loans (other than Term C Loans) from internally generated funds and/or with the proceeds of any contribution to the common equity capital of the Discounted Prepayment Offeror (each, a “</w:t>
      </w:r>
      <w:r>
        <w:rPr>
          <w:rFonts w:ascii="Arial" w:cs="Arial" w:eastAsia="Arial" w:hAnsi="Arial"/>
          <w:sz w:val="16"/>
          <w:szCs w:val="16"/>
          <w:b w:val="1"/>
          <w:bCs w:val="1"/>
          <w:color w:val="auto"/>
        </w:rPr>
        <w:t>Discounted Prepayment</w:t>
      </w:r>
      <w:r>
        <w:rPr>
          <w:rFonts w:ascii="Arial" w:cs="Arial" w:eastAsia="Arial" w:hAnsi="Arial"/>
          <w:sz w:val="16"/>
          <w:szCs w:val="16"/>
          <w:color w:val="auto"/>
        </w:rPr>
        <w:t>”) on one or more occasions pursuant to the provisions of this Section 2.25, and (y) make such Discounted Prepayment on one or more occasions pursuant to the provisions of this Section 2.25 (it being understood that no Lender will have an obligation to accept a Discounted Prepayment). As used herein, “</w:t>
      </w:r>
      <w:r>
        <w:rPr>
          <w:rFonts w:ascii="Arial" w:cs="Arial" w:eastAsia="Arial" w:hAnsi="Arial"/>
          <w:sz w:val="16"/>
          <w:szCs w:val="16"/>
          <w:b w:val="1"/>
          <w:bCs w:val="1"/>
          <w:color w:val="auto"/>
        </w:rPr>
        <w:t>Big Boy Letter</w:t>
      </w:r>
      <w:r>
        <w:rPr>
          <w:rFonts w:ascii="Arial" w:cs="Arial" w:eastAsia="Arial" w:hAnsi="Arial"/>
          <w:sz w:val="16"/>
          <w:szCs w:val="16"/>
          <w:color w:val="auto"/>
        </w:rPr>
        <w:t>” means a letter from a Lender acknowledging that (1) the Borrower may have information regarding the Borrower and the Subsidiaries, their ability to perform the Obligations or any other material information that has not previously been disclosed to the Administrative Agent and the Lenders (“</w:t>
      </w:r>
      <w:r>
        <w:rPr>
          <w:rFonts w:ascii="Arial" w:cs="Arial" w:eastAsia="Arial" w:hAnsi="Arial"/>
          <w:sz w:val="16"/>
          <w:szCs w:val="16"/>
          <w:b w:val="1"/>
          <w:bCs w:val="1"/>
          <w:color w:val="auto"/>
        </w:rPr>
        <w:t>Excluded Information</w:t>
      </w:r>
      <w:r>
        <w:rPr>
          <w:rFonts w:ascii="Arial" w:cs="Arial" w:eastAsia="Arial" w:hAnsi="Arial"/>
          <w:sz w:val="16"/>
          <w:szCs w:val="16"/>
          <w:color w:val="auto"/>
        </w:rPr>
        <w:t>”), (2) the Excluded Information may not be available to such Lender, (3) such Lender has independently and without reliance on any other party made its own analysis and determined to assign Term Loans to the Borrower pursuant to this Section 2.25 notwithstanding its lack of knowledge of the Excluded Information and (4) such Lender waives and releases any claims it may have against the Administrative Agent, the Borrower and the Subsidiaries with respect to the nondisclosure of the Excluded Information; or otherwise in form and substance reasonably satisfactory to the Administrative Agent, the Borrower and assigning such Lender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jc w:val="both"/>
        <w:ind w:firstLine="1142"/>
        <w:spacing w:after="0" w:line="283" w:lineRule="auto"/>
        <w:tabs>
          <w:tab w:leader="none" w:pos="154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In connection with any Discounted Prepayment, the Discounted Prepayment Offeror will notify the Administrative Agent in writing (the “</w:t>
      </w:r>
      <w:r>
        <w:rPr>
          <w:rFonts w:ascii="Arial" w:cs="Arial" w:eastAsia="Arial" w:hAnsi="Arial"/>
          <w:sz w:val="16"/>
          <w:szCs w:val="16"/>
          <w:b w:val="1"/>
          <w:bCs w:val="1"/>
          <w:color w:val="auto"/>
        </w:rPr>
        <w:t>Discounted Prepayment Notice</w:t>
      </w:r>
      <w:r>
        <w:rPr>
          <w:rFonts w:ascii="Arial" w:cs="Arial" w:eastAsia="Arial" w:hAnsi="Arial"/>
          <w:sz w:val="16"/>
          <w:szCs w:val="16"/>
          <w:color w:val="auto"/>
        </w:rPr>
        <w:t>”) that the Discounted Prepayment Offeror desires to prepay the Term Loans on a specified Business Day, in a maximum aggregate amount (which amount will be not less than $1,000,000 and whole increments of $100,000 in excess thereof) (the “</w:t>
      </w:r>
      <w:r>
        <w:rPr>
          <w:rFonts w:ascii="Arial" w:cs="Arial" w:eastAsia="Arial" w:hAnsi="Arial"/>
          <w:sz w:val="16"/>
          <w:szCs w:val="16"/>
          <w:b w:val="1"/>
          <w:bCs w:val="1"/>
          <w:color w:val="auto"/>
        </w:rPr>
        <w:t>Discounted</w:t>
      </w:r>
      <w:r>
        <w:rPr>
          <w:rFonts w:ascii="Arial" w:cs="Arial" w:eastAsia="Arial" w:hAnsi="Arial"/>
          <w:sz w:val="16"/>
          <w:szCs w:val="16"/>
          <w:color w:val="auto"/>
        </w:rPr>
        <w:t xml:space="preserve"> </w:t>
      </w:r>
      <w:r>
        <w:rPr>
          <w:rFonts w:ascii="Arial" w:cs="Arial" w:eastAsia="Arial" w:hAnsi="Arial"/>
          <w:sz w:val="16"/>
          <w:szCs w:val="16"/>
          <w:b w:val="1"/>
          <w:bCs w:val="1"/>
          <w:color w:val="auto"/>
        </w:rPr>
        <w:t>Prepayment Amount</w:t>
      </w:r>
      <w:r>
        <w:rPr>
          <w:rFonts w:ascii="Arial" w:cs="Arial" w:eastAsia="Arial" w:hAnsi="Arial"/>
          <w:sz w:val="16"/>
          <w:szCs w:val="16"/>
          <w:color w:val="auto"/>
        </w:rPr>
        <w:t>”) at a discount to par (which will be expressed as a range of percentages of par of the principal amount of the Term Loans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Term C Loans)) specified by the Discounted Prepayment Offeror with respect to each Discounted Prepayment (the “</w:t>
      </w:r>
      <w:r>
        <w:rPr>
          <w:rFonts w:ascii="Arial" w:cs="Arial" w:eastAsia="Arial" w:hAnsi="Arial"/>
          <w:sz w:val="16"/>
          <w:szCs w:val="16"/>
          <w:b w:val="1"/>
          <w:bCs w:val="1"/>
          <w:color w:val="auto"/>
        </w:rPr>
        <w:t>Discount Price Range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such notice will be received by the Administrative Agent and Lenders no earlier than 15 Business Days and no later than 5 Business Days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proposed date by which Lenders are required to respond to the Discounted Prepayment Notice if they desire to participate (the “</w:t>
      </w:r>
      <w:r>
        <w:rPr>
          <w:rFonts w:ascii="Arial" w:cs="Arial" w:eastAsia="Arial" w:hAnsi="Arial"/>
          <w:sz w:val="16"/>
          <w:szCs w:val="16"/>
          <w:b w:val="1"/>
          <w:bCs w:val="1"/>
          <w:color w:val="auto"/>
        </w:rPr>
        <w:t>Discounted</w:t>
      </w:r>
      <w:r>
        <w:rPr>
          <w:rFonts w:ascii="Arial" w:cs="Arial" w:eastAsia="Arial" w:hAnsi="Arial"/>
          <w:sz w:val="16"/>
          <w:szCs w:val="16"/>
          <w:color w:val="auto"/>
        </w:rPr>
        <w:t xml:space="preserve"> </w:t>
      </w:r>
      <w:r>
        <w:rPr>
          <w:rFonts w:ascii="Arial" w:cs="Arial" w:eastAsia="Arial" w:hAnsi="Arial"/>
          <w:sz w:val="16"/>
          <w:szCs w:val="16"/>
          <w:b w:val="1"/>
          <w:bCs w:val="1"/>
          <w:color w:val="auto"/>
        </w:rPr>
        <w:t>Prepayment Response Date</w:t>
      </w:r>
      <w:r>
        <w:rPr>
          <w:rFonts w:ascii="Arial" w:cs="Arial" w:eastAsia="Arial" w:hAnsi="Arial"/>
          <w:sz w:val="16"/>
          <w:szCs w:val="16"/>
          <w:color w:val="auto"/>
        </w:rPr>
        <w:t>”) and (ii) at the Discounted Prepayment Offeror’s discretion, the offer in any such notice will be made to all Lenders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Term Loans (other than Term C Loans) (it being understood that different Discount Price Ranges may be offered with respect to different Classes of Term Loans and, in such event, each such offer will be treated as a separate offer pursuant to the terms of this Section 2.25). The Administrative Agent will promptly provide each Lender of the applicable Classes a copy of such Discounted Prepayment Notice. In connection with a Discounted Prepayment, each Lender holding the Term Loans of the applicable Classes will be entitled to specify to the Administrative Agent a discount to par (which will be expressed as a price equal to a percentage of par of the principal amount of the Term Loans held by such Lender, the “</w:t>
      </w:r>
      <w:r>
        <w:rPr>
          <w:rFonts w:ascii="Arial" w:cs="Arial" w:eastAsia="Arial" w:hAnsi="Arial"/>
          <w:sz w:val="16"/>
          <w:szCs w:val="16"/>
          <w:b w:val="1"/>
          <w:bCs w:val="1"/>
          <w:color w:val="auto"/>
        </w:rPr>
        <w:t>Acceptable Discount Price</w:t>
      </w:r>
      <w:r>
        <w:rPr>
          <w:rFonts w:ascii="Arial" w:cs="Arial" w:eastAsia="Arial" w:hAnsi="Arial"/>
          <w:sz w:val="16"/>
          <w:szCs w:val="16"/>
          <w:color w:val="auto"/>
        </w:rPr>
        <w:t>”) within the Discount Price Range for a principal amount (subject to rounding requirements specified by the Administrative Agent) of the Term Loans of the applicable Class held by such Lender at which such Lender is willing to accept such Discounted Prepayment. Each response by a Lender to a Discounted Prepayment Notice (x) will be due no later than 5:00 p.m. (New York City time) on the Discounted Prepayment Response Date, (y) to the extent not timely received by the Administrative Agent will be disregarded and such Lender will be deemed to have declined the Discounted Prepayment offer and (z) to the extent timely received by the Administrative Agent will be irrevocable. The Administrative Agent will provide the Discounted Prepayment Offeror with a summary of all tenders by Lenders in response to the Discounted Prepayment Notice and, based on the Acceptable Discount Prices and principal amounts of the Term Loans of the applicable Classes specified by Lenders, the Administrative Agent, in consultation with the Discounted Prepayment Offeror, will determine the applicable discount price (the “</w:t>
      </w:r>
      <w:r>
        <w:rPr>
          <w:rFonts w:ascii="Arial" w:cs="Arial" w:eastAsia="Arial" w:hAnsi="Arial"/>
          <w:sz w:val="16"/>
          <w:szCs w:val="16"/>
          <w:b w:val="1"/>
          <w:bCs w:val="1"/>
          <w:color w:val="auto"/>
        </w:rPr>
        <w:t>Applicable Discount Price</w:t>
      </w:r>
      <w:r>
        <w:rPr>
          <w:rFonts w:ascii="Arial" w:cs="Arial" w:eastAsia="Arial" w:hAnsi="Arial"/>
          <w:sz w:val="16"/>
          <w:szCs w:val="16"/>
          <w:color w:val="auto"/>
        </w:rPr>
        <w:t>”) for the applicable Discounted Prepayment of all Term Loans to be prepaid in such Discounted Prepayment, which will be the lower of (i) the lowest Acceptable Discount Price at which the Discounted Prepayment Offeror can complete the Discounted Prepayment for 100% of the Discounted Prepayment Amount and (ii) if the Lenders’ response is such that the Discounted Prepayment could not be completed for 100% of the Discounted Prepayment Amount, the highest Acceptable Discount Price specified by the Lenders that is within the Discount Price Range specified by the Discounted Prepayment Offeror. The Discounted Prepayment Offeror will have the right, by written notice to the Administrative Agent, to revoke in full (but not in part) its offer to make a Discounted Prepayment and rescind any Discounted Prepayment Notice therefor at its discretion at any time on or prior to the applicable Discounted Prepayment Response Date (and if such offer is revoked or notice rescinded, any failure by the Discounted Prepayment Offeror to make a prepayment to a Lender, as applicable, pursuant to this Section will not constitute a Default or Event of Default under Section 8.1 or otherwise).</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firstLine="1142"/>
        <w:spacing w:after="0" w:line="286" w:lineRule="auto"/>
        <w:tabs>
          <w:tab w:leader="none" w:pos="1666"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Prepayments; Application</w:t>
      </w:r>
      <w:r>
        <w:rPr>
          <w:rFonts w:ascii="Arial" w:cs="Arial" w:eastAsia="Arial" w:hAnsi="Arial"/>
          <w:sz w:val="16"/>
          <w:szCs w:val="16"/>
          <w:color w:val="auto"/>
        </w:rPr>
        <w:t>. The Discounted Prepayment Offeror will prepay the Term Loans of the applicable Classes (or the respective portion thereof) accepted by Lenders at the Acceptable Discount Prices specified by each such Lender that are equal to or less than (expressed as a percentage of par of the principal amount of such Term Loans) the Applicable Discount Price (“</w:t>
      </w:r>
      <w:r>
        <w:rPr>
          <w:rFonts w:ascii="Arial" w:cs="Arial" w:eastAsia="Arial" w:hAnsi="Arial"/>
          <w:sz w:val="16"/>
          <w:szCs w:val="16"/>
          <w:b w:val="1"/>
          <w:bCs w:val="1"/>
          <w:color w:val="auto"/>
        </w:rPr>
        <w:t>Qualifying Term Loans</w:t>
      </w:r>
      <w:r>
        <w:rPr>
          <w:rFonts w:ascii="Arial" w:cs="Arial" w:eastAsia="Arial" w:hAnsi="Arial"/>
          <w:sz w:val="16"/>
          <w:szCs w:val="16"/>
          <w:color w:val="auto"/>
        </w:rPr>
        <w:t xml:space="preserve">”) at the Applicable Discount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proceeds required to prepay Qualifying Term Loans (disregarding any interest payable under this Section 2.25) would exceed the Discounted Prepayment Amount for such Discounted Prepayment, the Discounted Prepayment Offeror will prepay such Qualifying Term Loans at the Applicable Discount Price ratably based on the respective principal amounts of such Qualifying Term Loans (subject to rounding requirements specified by the Administrative Agent). The portion of the Term Loans prepaid by the Discounted Prepayment Offeror pursuant to this Section 2.25 will be accompanied by payment of accrued and unpaid interest on the par principal amount so prepaid to, but not including, the date of prepayment. The par principal amount of the Term Loans prepaid pursuant to this Section 2.25 will be applied to reduce the remaining installments of Term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against all such scheduled installments (including, for the avoidance of doubt, the amount of scheduled installments owing to Lenders not prepaid pursuant to this Section 2.25). The Administrative Agent will notify the Discounted Prepayment Offeror and the Lenders that received the Discounted Prepayment Notice of the results of the offer promptly after completion of the determinations referred to above, and the Discounted Prepayment Offeror will make the Discounted Prepayment no later than 3 Business Days after receipt of such notice. The par principal amount of the Term Loans prepaid pursuant to this Section 2.25 will be deemed immediately cancelled upon payment of the applicable Discounted Prepayment.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jc w:val="both"/>
        <w:ind w:firstLine="1142"/>
        <w:spacing w:after="0" w:line="259" w:lineRule="auto"/>
        <w:tabs>
          <w:tab w:leader="none" w:pos="160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Lender Consent</w:t>
      </w:r>
      <w:r>
        <w:rPr>
          <w:rFonts w:ascii="Arial" w:cs="Arial" w:eastAsia="Arial" w:hAnsi="Arial"/>
          <w:sz w:val="18"/>
          <w:szCs w:val="18"/>
          <w:color w:val="auto"/>
        </w:rPr>
        <w:t>. The Lenders hereby consent to the transactions described in this Section 2.25 and waive (i) the requirements of Section 2.17 or any other requirement to the extent it would require that the Discounted Prepayment be made in respect of the Lenders’ Pro Rata Share of the Term Loans or with respect to all Classes of Term Loans, and (ii) the requirements of any provision of this Agreement or any other Credit Document that might otherwise result in a Default or Event of Default as a result of a Discounted Prepayment.</w:t>
      </w:r>
    </w:p>
    <w:p>
      <w:pPr>
        <w:spacing w:after="0" w:line="186" w:lineRule="exact"/>
        <w:rPr>
          <w:rFonts w:ascii="Arial" w:cs="Arial" w:eastAsia="Arial" w:hAnsi="Arial"/>
          <w:sz w:val="18"/>
          <w:szCs w:val="18"/>
          <w:color w:val="auto"/>
        </w:rPr>
      </w:pPr>
    </w:p>
    <w:p>
      <w:pPr>
        <w:jc w:val="both"/>
        <w:ind w:firstLine="1142"/>
        <w:spacing w:after="0" w:line="273" w:lineRule="auto"/>
        <w:tabs>
          <w:tab w:leader="none" w:pos="1612"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Each Discounted Prepayment will be consummated pursuant to procedures (including as to timing, rounding and minimum amounts, type and Interest Periods of accepted Term Loans, conditions for terminating a Discounted Prepayment or rescinding an acceptance of prepayment, forms of other notices (including notices of offer and acceptance) by the Discounted Prepayment Offeror and Lenders and determination of Applicable Discount Price) established by the Administrative Agent acting in its reasonable discretion in consultation with the Discounted Prepayment Offeror. The making of a Discounted Prepayment will be deemed to be a representation and warranty by the Borrower that all conditions precedent to such Discounted Prepayment set forth in this Section 2.25 were satisfied in all respects.</w:t>
      </w:r>
    </w:p>
    <w:p>
      <w:pPr>
        <w:spacing w:after="0" w:line="17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Credit Agreement Refinancing Indebtedness; 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96" w:lineRule="auto"/>
        <w:tabs>
          <w:tab w:leader="none" w:pos="153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Refinancing Term Loans</w:t>
      </w:r>
      <w:r>
        <w:rPr>
          <w:rFonts w:ascii="Arial" w:cs="Arial" w:eastAsia="Arial" w:hAnsi="Arial"/>
          <w:sz w:val="16"/>
          <w:szCs w:val="16"/>
          <w:color w:val="auto"/>
        </w:rPr>
        <w:t>. At any time after the Closing Date, the Borrower may obtain (i) from any Lender or any Additional Lender, Credit Agreement Refinancing Indebtedness in the form of Refinancing Term Loans or Refinancing Term Commitments, in each case pursuant to a Refinancing Amendment, or (ii) from any bank, other financial institution or institutional investor that agrees to provide any portion of any Credit Agreement Refinancing Indebtedness in any other form, such other Credit Agreement Refinancing Indebtedness, in each case to refinance (and to reduce on a dollar-for-dollar or greater basis) all or any portion of the Term Loans (other than Term C Loans) then outstanding under this Agreement.</w:t>
      </w:r>
    </w:p>
    <w:p>
      <w:pPr>
        <w:spacing w:after="0" w:line="161" w:lineRule="exact"/>
        <w:rPr>
          <w:rFonts w:ascii="Arial" w:cs="Arial" w:eastAsia="Arial" w:hAnsi="Arial"/>
          <w:sz w:val="16"/>
          <w:szCs w:val="16"/>
          <w:color w:val="auto"/>
        </w:rPr>
      </w:pPr>
    </w:p>
    <w:p>
      <w:pPr>
        <w:jc w:val="both"/>
        <w:ind w:firstLine="1142"/>
        <w:spacing w:after="0" w:line="255" w:lineRule="auto"/>
        <w:tabs>
          <w:tab w:leader="none" w:pos="162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Refinancing Amendments</w:t>
      </w:r>
      <w:r>
        <w:rPr>
          <w:rFonts w:ascii="Arial" w:cs="Arial" w:eastAsia="Arial" w:hAnsi="Arial"/>
          <w:sz w:val="18"/>
          <w:szCs w:val="18"/>
          <w:color w:val="auto"/>
        </w:rPr>
        <w:t>. The effectiveness of any Refinancing Amendment will be subject only to the satisfaction on the date thereof of such of the conditions set forth in Sections 3.1 and 3.2 as may be requested by the providers of applicable Refinancing Term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Term Loans incurred pursuant thereto (including any amendments necessary to treat the Term Loans subject thereto as Refinancing Term Loans).</w:t>
      </w:r>
    </w:p>
    <w:p>
      <w:pPr>
        <w:spacing w:after="0" w:line="192" w:lineRule="exact"/>
        <w:rPr>
          <w:rFonts w:ascii="Arial" w:cs="Arial" w:eastAsia="Arial" w:hAnsi="Arial"/>
          <w:sz w:val="18"/>
          <w:szCs w:val="18"/>
          <w:color w:val="auto"/>
        </w:rPr>
      </w:pPr>
    </w:p>
    <w:p>
      <w:pPr>
        <w:jc w:val="both"/>
        <w:ind w:firstLine="1142"/>
        <w:spacing w:after="0" w:line="257" w:lineRule="auto"/>
        <w:tabs>
          <w:tab w:leader="none" w:pos="152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Any Refinancing Amendment may, without the consent of any Person other than the Administrative Agent (which consent shall not be unreasonably withheld, conditioned or delayed), the Borrower and the Persons providing the applicable Refinancing Term Loans, effect such amendments to this Agreement and the other Credit Documents as may be necessary or appropriate, in the reasonable opinion of the Administrative Agent and the Borrower, to effect the provisions of this Section 2.26. This Section 2.26 supersedes any provisions in Section 10.5 to the contrary.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jc w:val="both"/>
        <w:ind w:firstLine="1142"/>
        <w:spacing w:after="0" w:line="275" w:lineRule="auto"/>
        <w:tabs>
          <w:tab w:leader="none" w:pos="1547"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Providers of Refinancing Term Loans</w:t>
      </w:r>
      <w:r>
        <w:rPr>
          <w:rFonts w:ascii="Arial" w:cs="Arial" w:eastAsia="Arial" w:hAnsi="Arial"/>
          <w:sz w:val="17"/>
          <w:szCs w:val="17"/>
          <w:color w:val="auto"/>
        </w:rPr>
        <w:t xml:space="preserve">. Refinancing Term Loans may be provided by any existing Lender (it being understood that no existing Lender will have an obligation to make all or any portion of any Refinancing Term Loan) or by any Additional Lender on terms permitted by this Section 2.26;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will have consented (in each case, such consent not to be unreasonably withheld, conditioned or delayed) to any such Person’s providing Refinancing Term Loans or Refinancing Term Commitments if such consent would be required under Section 10.6(c), respectively, for an assignment of Term Loans or Term Loan Commitments to such Person.</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3.</w:t>
        <w:tab/>
        <w:t>CONDITIONS PRECEDENT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 Closing Date</w:t>
      </w:r>
      <w:r>
        <w:rPr>
          <w:rFonts w:ascii="Arial" w:cs="Arial" w:eastAsia="Arial" w:hAnsi="Arial"/>
          <w:sz w:val="18"/>
          <w:szCs w:val="18"/>
          <w:color w:val="auto"/>
        </w:rPr>
        <w:t>. The obligation of the Lenders on the Closing Date to fund the Initial Term B Loans and the Term C Loans on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Initial Credit Extension</w:t>
      </w:r>
      <w:r>
        <w:rPr>
          <w:rFonts w:ascii="Arial" w:cs="Arial" w:eastAsia="Arial" w:hAnsi="Arial"/>
          <w:sz w:val="18"/>
          <w:szCs w:val="18"/>
          <w:color w:val="auto"/>
        </w:rPr>
        <w:t>”) is subject to the satisfaction, or waiver by the Administrative Agent, of only the following conditions on or before the Closing Date:</w:t>
      </w:r>
    </w:p>
    <w:p>
      <w:pPr>
        <w:spacing w:after="0" w:line="180" w:lineRule="exact"/>
        <w:rPr>
          <w:sz w:val="20"/>
          <w:szCs w:val="20"/>
          <w:color w:val="auto"/>
        </w:rPr>
      </w:pPr>
    </w:p>
    <w:p>
      <w:pPr>
        <w:jc w:val="both"/>
        <w:ind w:firstLine="1142"/>
        <w:spacing w:after="0" w:line="259" w:lineRule="auto"/>
        <w:tabs>
          <w:tab w:leader="none" w:pos="159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Credit Documents</w:t>
      </w:r>
      <w:r>
        <w:rPr>
          <w:rFonts w:ascii="Arial" w:cs="Arial" w:eastAsia="Arial" w:hAnsi="Arial"/>
          <w:sz w:val="18"/>
          <w:szCs w:val="18"/>
          <w:color w:val="auto"/>
        </w:rPr>
        <w:t>. The Administrative Agent will have received a copy of each of the following Credit Documents, in each case where applicable, executed and delivered by the Borrower and each Guarantor Subsidiary party thereto: (A) this Agreement; (B) the Pledge and Security Agreement; (C) each of the Term Loan Notes (if such Term Loan Notes have been requested at least three (3) Business Days prior to the date the funding of the Initial Credit Extension would otherwise occur); and (D) the Perfection Certificate.</w:t>
      </w:r>
    </w:p>
    <w:p>
      <w:pPr>
        <w:spacing w:after="0" w:line="186" w:lineRule="exact"/>
        <w:rPr>
          <w:rFonts w:ascii="Arial" w:cs="Arial" w:eastAsia="Arial" w:hAnsi="Arial"/>
          <w:sz w:val="18"/>
          <w:szCs w:val="18"/>
          <w:color w:val="auto"/>
        </w:rPr>
      </w:pPr>
    </w:p>
    <w:p>
      <w:pPr>
        <w:ind w:firstLine="1142"/>
        <w:spacing w:after="0" w:line="277" w:lineRule="auto"/>
        <w:tabs>
          <w:tab w:leader="none" w:pos="160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Incumbency; Resolutions; Good Standing Certificates</w:t>
      </w:r>
      <w:r>
        <w:rPr>
          <w:rFonts w:ascii="Arial" w:cs="Arial" w:eastAsia="Arial" w:hAnsi="Arial"/>
          <w:sz w:val="18"/>
          <w:szCs w:val="18"/>
          <w:color w:val="auto"/>
        </w:rPr>
        <w:t>. The Administrative Agent will have received a customary secretary’s certificate from the Borrower and each Guarantor Subsidiary appending:</w:t>
      </w:r>
    </w:p>
    <w:p>
      <w:pPr>
        <w:spacing w:after="0" w:line="170" w:lineRule="exact"/>
        <w:rPr>
          <w:rFonts w:ascii="Arial" w:cs="Arial" w:eastAsia="Arial" w:hAnsi="Arial"/>
          <w:sz w:val="18"/>
          <w:szCs w:val="18"/>
          <w:color w:val="auto"/>
        </w:rPr>
      </w:pPr>
    </w:p>
    <w:p>
      <w:pPr>
        <w:jc w:val="both"/>
        <w:ind w:left="1140" w:firstLine="488"/>
        <w:spacing w:after="0" w:line="263" w:lineRule="auto"/>
        <w:tabs>
          <w:tab w:leader="none" w:pos="2025"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Organizational Documents</w:t>
      </w:r>
      <w:r>
        <w:rPr>
          <w:rFonts w:ascii="Arial" w:cs="Arial" w:eastAsia="Arial" w:hAnsi="Arial"/>
          <w:sz w:val="18"/>
          <w:szCs w:val="18"/>
          <w:color w:val="auto"/>
        </w:rPr>
        <w:t>. A copy of each Organizational Document of the Borrower and each Guarantor Subsidiary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applicable, certified as of a recent date by the appropriate governmental official, each dated the Closing Date or a recent date prior thereto.</w:t>
      </w:r>
    </w:p>
    <w:p>
      <w:pPr>
        <w:spacing w:after="0" w:line="183" w:lineRule="exact"/>
        <w:rPr>
          <w:rFonts w:ascii="Arial" w:cs="Arial" w:eastAsia="Arial" w:hAnsi="Arial"/>
          <w:sz w:val="18"/>
          <w:szCs w:val="18"/>
          <w:color w:val="auto"/>
        </w:rPr>
      </w:pPr>
    </w:p>
    <w:p>
      <w:pPr>
        <w:ind w:left="1140" w:firstLine="488"/>
        <w:spacing w:after="0" w:line="277" w:lineRule="auto"/>
        <w:tabs>
          <w:tab w:leader="none" w:pos="2148"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Incumbency Certificate</w:t>
      </w:r>
      <w:r>
        <w:rPr>
          <w:rFonts w:ascii="Arial" w:cs="Arial" w:eastAsia="Arial" w:hAnsi="Arial"/>
          <w:sz w:val="18"/>
          <w:szCs w:val="18"/>
          <w:color w:val="auto"/>
        </w:rPr>
        <w:t>. A signature and incumbency certificate of the officers or other authorized representatives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and each Guarantor Subsidiary executing the Credit Documents referenced in Section 3.1(a).</w:t>
      </w:r>
    </w:p>
    <w:p>
      <w:pPr>
        <w:spacing w:after="0" w:line="170" w:lineRule="exact"/>
        <w:rPr>
          <w:rFonts w:ascii="Arial" w:cs="Arial" w:eastAsia="Arial" w:hAnsi="Arial"/>
          <w:sz w:val="18"/>
          <w:szCs w:val="18"/>
          <w:color w:val="auto"/>
        </w:rPr>
      </w:pPr>
    </w:p>
    <w:p>
      <w:pPr>
        <w:jc w:val="both"/>
        <w:ind w:left="1140" w:firstLine="488"/>
        <w:spacing w:after="0" w:line="279" w:lineRule="auto"/>
        <w:tabs>
          <w:tab w:leader="none" w:pos="2117"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Resolutions</w:t>
      </w:r>
      <w:r>
        <w:rPr>
          <w:rFonts w:ascii="Arial" w:cs="Arial" w:eastAsia="Arial" w:hAnsi="Arial"/>
          <w:sz w:val="17"/>
          <w:szCs w:val="17"/>
          <w:color w:val="auto"/>
        </w:rPr>
        <w:t>. Resolutions of the board of directors or similar governing body of the Borrower and each Guarantor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approving and authorizing the execution, delivery and performance of this Agreement and the other Credit Documents to which it is a party or by which it or its assets may be bound as of the Closing Date, certified as of the Closing Date by its secretary or an assistant secretary (or any other officer with an equivalent role) as being in full force and effect without modification or amendment.</w:t>
      </w:r>
    </w:p>
    <w:p>
      <w:pPr>
        <w:spacing w:after="0" w:line="171" w:lineRule="exact"/>
        <w:rPr>
          <w:rFonts w:ascii="Arial" w:cs="Arial" w:eastAsia="Arial" w:hAnsi="Arial"/>
          <w:sz w:val="17"/>
          <w:szCs w:val="17"/>
          <w:color w:val="auto"/>
        </w:rPr>
      </w:pPr>
    </w:p>
    <w:p>
      <w:pPr>
        <w:ind w:left="1140" w:firstLine="488"/>
        <w:spacing w:after="0" w:line="277" w:lineRule="auto"/>
        <w:tabs>
          <w:tab w:leader="none" w:pos="2152"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Good Standing Certificates</w:t>
      </w:r>
      <w:r>
        <w:rPr>
          <w:rFonts w:ascii="Arial" w:cs="Arial" w:eastAsia="Arial" w:hAnsi="Arial"/>
          <w:sz w:val="18"/>
          <w:szCs w:val="18"/>
          <w:color w:val="auto"/>
        </w:rPr>
        <w:t>. A good standing certificate from the applicable Governmental Authority of the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organization or formation of the Borrower and each Guarantor Subsidiary.</w:t>
      </w:r>
    </w:p>
    <w:p>
      <w:pPr>
        <w:spacing w:after="0" w:line="170" w:lineRule="exact"/>
        <w:rPr>
          <w:rFonts w:ascii="Arial" w:cs="Arial" w:eastAsia="Arial" w:hAnsi="Arial"/>
          <w:sz w:val="18"/>
          <w:szCs w:val="18"/>
          <w:color w:val="auto"/>
        </w:rPr>
      </w:pPr>
    </w:p>
    <w:p>
      <w:pPr>
        <w:ind w:left="1520" w:hanging="378"/>
        <w:spacing w:after="0"/>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ind w:firstLine="1142"/>
        <w:spacing w:after="0" w:line="308" w:lineRule="auto"/>
        <w:tabs>
          <w:tab w:leader="none" w:pos="1559"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Funding Notice</w:t>
      </w:r>
      <w:r>
        <w:rPr>
          <w:rFonts w:ascii="Arial" w:cs="Arial" w:eastAsia="Arial" w:hAnsi="Arial"/>
          <w:sz w:val="17"/>
          <w:szCs w:val="17"/>
          <w:color w:val="auto"/>
        </w:rPr>
        <w:t xml:space="preserve">. The Administrative Agent will have received a fully executed and delivered Funding Notice as required pursuant to Section 2.1;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certifications made under such Funding Notice will be made (or deemed made) as of the Closing Date.</w:t>
      </w:r>
    </w:p>
    <w:p>
      <w:pPr>
        <w:spacing w:after="0" w:line="146" w:lineRule="exact"/>
        <w:rPr>
          <w:rFonts w:ascii="Arial" w:cs="Arial" w:eastAsia="Arial" w:hAnsi="Arial"/>
          <w:sz w:val="17"/>
          <w:szCs w:val="17"/>
          <w:color w:val="auto"/>
        </w:rPr>
      </w:pPr>
    </w:p>
    <w:p>
      <w:pPr>
        <w:ind w:firstLine="1142"/>
        <w:spacing w:after="0" w:line="277" w:lineRule="auto"/>
        <w:tabs>
          <w:tab w:leader="none" w:pos="151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Closing Date Certificate and Attachments</w:t>
      </w:r>
      <w:r>
        <w:rPr>
          <w:rFonts w:ascii="Arial" w:cs="Arial" w:eastAsia="Arial" w:hAnsi="Arial"/>
          <w:sz w:val="18"/>
          <w:szCs w:val="18"/>
          <w:color w:val="auto"/>
        </w:rPr>
        <w:t>. The Administrative Agent will have received an executed Closing Date Certificate, together with all attachments thereto, certifying to the satisfaction of the conditions set forth in Sections 3.1(f), 3.1(g) and 3.1(j).</w:t>
      </w:r>
    </w:p>
    <w:p>
      <w:pPr>
        <w:spacing w:after="0" w:line="170" w:lineRule="exact"/>
        <w:rPr>
          <w:rFonts w:ascii="Arial" w:cs="Arial" w:eastAsia="Arial" w:hAnsi="Arial"/>
          <w:sz w:val="18"/>
          <w:szCs w:val="18"/>
          <w:color w:val="auto"/>
        </w:rPr>
      </w:pPr>
    </w:p>
    <w:p>
      <w:pPr>
        <w:jc w:val="both"/>
        <w:ind w:firstLine="1142"/>
        <w:spacing w:after="0" w:line="270" w:lineRule="auto"/>
        <w:tabs>
          <w:tab w:leader="none" w:pos="1538"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The Acquisition will have been consummated substantially concurrently with the Initial Credit Extension in accordance with the terms and conditions of the Merger Agreement without any waiver, amendment or modification thereof, in each case, that is materially adverse to the Lenders unless consented to in writing by the Administrative Agent and the Lead Arranger (such consents not to be unreasonably withheld or delayed); it being understood and agreed that any alteration, change, supplement, amendment, modification, waiver or consent (a) that decreases the purchase price in respect of the Acquisition shall not be deemed to be adverse to the interests of the Lenders in any material respect, so long as any such decrease is allocated on a dollar-for-dollar basis to reduce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the aggregate principal amount of the Initial Term B Loans and (ii) </w:t>
      </w:r>
      <w:r>
        <w:rPr>
          <w:rFonts w:ascii="Arial" w:cs="Arial" w:eastAsia="Arial" w:hAnsi="Arial"/>
          <w:sz w:val="17"/>
          <w:szCs w:val="17"/>
          <w:u w:val="single" w:color="auto"/>
          <w:color w:val="auto"/>
        </w:rPr>
        <w:t>thereafter</w:t>
      </w:r>
      <w:r>
        <w:rPr>
          <w:rFonts w:ascii="Arial" w:cs="Arial" w:eastAsia="Arial" w:hAnsi="Arial"/>
          <w:sz w:val="17"/>
          <w:szCs w:val="17"/>
          <w:color w:val="auto"/>
        </w:rPr>
        <w:t>, the aggregate principal amount of the Term C Loans and (b) that results in any increase in the purchase price in respect of the Acquisition shall not be deemed to be adverse to the interests of the Lenders in any material respect, so long as such increase is funded solely by an issuance of common equity interests of, or unrestricted cash on hand of, the Borrower.</w:t>
      </w:r>
    </w:p>
    <w:p>
      <w:pPr>
        <w:spacing w:after="0" w:line="180" w:lineRule="exact"/>
        <w:rPr>
          <w:rFonts w:ascii="Arial" w:cs="Arial" w:eastAsia="Arial" w:hAnsi="Arial"/>
          <w:sz w:val="17"/>
          <w:szCs w:val="17"/>
          <w:color w:val="auto"/>
        </w:rPr>
      </w:pPr>
    </w:p>
    <w:p>
      <w:pPr>
        <w:jc w:val="both"/>
        <w:ind w:firstLine="1142"/>
        <w:spacing w:after="0" w:line="263" w:lineRule="auto"/>
        <w:tabs>
          <w:tab w:leader="none" w:pos="161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Specified Representations and Merger Agreement Representations</w:t>
      </w:r>
      <w:r>
        <w:rPr>
          <w:rFonts w:ascii="Arial" w:cs="Arial" w:eastAsia="Arial" w:hAnsi="Arial"/>
          <w:sz w:val="18"/>
          <w:szCs w:val="18"/>
          <w:color w:val="auto"/>
        </w:rPr>
        <w:t>. Each of (x) the Specified Representations and (y) the Merger Agreement Representations will be true and correct in all material respects on and as of the Closing Date (or, if qualified by materiality, true and correct in all respects).</w:t>
      </w:r>
    </w:p>
    <w:p>
      <w:pPr>
        <w:spacing w:after="0" w:line="183" w:lineRule="exact"/>
        <w:rPr>
          <w:rFonts w:ascii="Arial" w:cs="Arial" w:eastAsia="Arial" w:hAnsi="Arial"/>
          <w:sz w:val="18"/>
          <w:szCs w:val="18"/>
          <w:color w:val="auto"/>
        </w:rPr>
      </w:pPr>
    </w:p>
    <w:p>
      <w:pPr>
        <w:ind w:left="1540" w:hanging="398"/>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42"/>
        <w:spacing w:after="0" w:line="289" w:lineRule="auto"/>
        <w:tabs>
          <w:tab w:leader="none" w:pos="1548"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Administrative Agent and the Lenders will have received (i) the audited consolidated balance sheets and related statements of income and cash flows of each of the Borrower and the Acquired Business for the Fiscal Years ended December 26, 2015, December 31, 2016 and December 30, 2017, with respect to the Borrower, and ended July 31, 2015, July 31, 2016 and July 31, 2017, with respect to the Acquired Business; (ii) the unaudited consolidated balance sheets and related statements of income and cash flows of the Borrower and the Acquired Business for the Fiscal Quarters ended June 30, 2018 and March 31, 2018, with respect to the Borrower, and ended April 30, 2018, January 31, 2018 and October 31, 2017, with respect to the Acquired Business; and (iii) a pro forma consolidated balance sheet for the Borrower and its Subsidiaries (including the Acquired Business) and a pro forma consolidated statement of comprehensive income (loss) for the Borrower and its Subsidiaries as of and for the twelve-month period ending June 30, 2018, prepared after giving effect to the Transactions as if the Transactions had occurred at the beginning of such period, which need not be prepared in compliance with Regulation S-X of the Securities Act, or include adjustments for purchase accounting.</w:t>
      </w:r>
    </w:p>
    <w:p>
      <w:pPr>
        <w:spacing w:after="0" w:line="166" w:lineRule="exact"/>
        <w:rPr>
          <w:rFonts w:ascii="Arial" w:cs="Arial" w:eastAsia="Arial" w:hAnsi="Arial"/>
          <w:sz w:val="16"/>
          <w:szCs w:val="16"/>
          <w:color w:val="auto"/>
        </w:rPr>
      </w:pPr>
    </w:p>
    <w:p>
      <w:pPr>
        <w:ind w:firstLine="1142"/>
        <w:spacing w:after="0" w:line="277" w:lineRule="auto"/>
        <w:tabs>
          <w:tab w:leader="none" w:pos="148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xml:space="preserve"> No event, occurrence, revelation or development of a state of circumstances or facts, which individually or in the aggregate has had or would reasonably be expected to have a Company Material Adverse Effect, has occurred.</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63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will have received a solvency certificate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from the chief financial officer or other officer with reasonably equivalent duties of the Borrower certifying to the solvency of the Borrower and the Subsidiaries on a consolidated basis after giving effect to the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jc w:val="both"/>
        <w:ind w:firstLine="1142"/>
        <w:spacing w:after="0" w:line="259" w:lineRule="auto"/>
        <w:tabs>
          <w:tab w:leader="none" w:pos="154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On the Closing Date, after giving effect to the Transactions, the Borrower and its Subsidiaries shall have no outstanding third party Indebtedness for borrowed money, other than Indebtedness permitted pursuant to Sections 6.1(a) and (c), working capital Indebtedness in an amount not to exceed $10,000,000, purchase money Indebtedness and Capital Lease obligations incurred in the ordinary course of business and such other Indebtedness as agreed by the Lead Arranger.</w:t>
      </w:r>
    </w:p>
    <w:p>
      <w:pPr>
        <w:spacing w:after="0" w:line="186" w:lineRule="exact"/>
        <w:rPr>
          <w:rFonts w:ascii="Arial" w:cs="Arial" w:eastAsia="Arial" w:hAnsi="Arial"/>
          <w:sz w:val="18"/>
          <w:szCs w:val="18"/>
          <w:color w:val="auto"/>
        </w:rPr>
      </w:pPr>
    </w:p>
    <w:p>
      <w:pPr>
        <w:ind w:firstLine="1142"/>
        <w:spacing w:after="0" w:line="277" w:lineRule="auto"/>
        <w:tabs>
          <w:tab w:leader="none" w:pos="166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The Collateral Agent will have received (or arrangements shall have been made for the execution, delivery and filing of the following substantially concurrently with the consummation of the Transactions):</w:t>
      </w:r>
    </w:p>
    <w:p>
      <w:pPr>
        <w:spacing w:after="0" w:line="170" w:lineRule="exact"/>
        <w:rPr>
          <w:rFonts w:ascii="Arial" w:cs="Arial" w:eastAsia="Arial" w:hAnsi="Arial"/>
          <w:sz w:val="18"/>
          <w:szCs w:val="18"/>
          <w:color w:val="auto"/>
        </w:rPr>
      </w:pPr>
    </w:p>
    <w:p>
      <w:pPr>
        <w:jc w:val="both"/>
        <w:ind w:left="1140" w:firstLine="488"/>
        <w:spacing w:after="0" w:line="296" w:lineRule="auto"/>
        <w:tabs>
          <w:tab w:leader="none" w:pos="2042"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Deliverables, Etc</w:t>
      </w:r>
      <w:r>
        <w:rPr>
          <w:rFonts w:ascii="Arial" w:cs="Arial" w:eastAsia="Arial" w:hAnsi="Arial"/>
          <w:sz w:val="16"/>
          <w:szCs w:val="16"/>
          <w:color w:val="auto"/>
        </w:rPr>
        <w:t>. In connection with the pledge of Capital Stock held by the Credit Parties, and the pledge of 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owing to the Credit Parties, in each case to the extent required under the Pledge and Security Agreement, the Borrower and each applicable Guarantor Subsidiary will deliver, or cause to be delivered, to the Collateral Agent, to the extent required under the Pledge and Security Agreement, an original stock certificate or other instruments representing such pledged Capital Stock or Indebtedness, together with customary blank stock or other equity transfer powers and instruments of transfer and irrevocable powers duly executed in blank.</w:t>
      </w:r>
    </w:p>
    <w:p>
      <w:pPr>
        <w:spacing w:after="0" w:line="161" w:lineRule="exact"/>
        <w:rPr>
          <w:rFonts w:ascii="Arial" w:cs="Arial" w:eastAsia="Arial" w:hAnsi="Arial"/>
          <w:sz w:val="16"/>
          <w:szCs w:val="16"/>
          <w:color w:val="auto"/>
        </w:rPr>
      </w:pPr>
    </w:p>
    <w:p>
      <w:pPr>
        <w:jc w:val="both"/>
        <w:ind w:left="1140" w:firstLine="488"/>
        <w:spacing w:after="0" w:line="257" w:lineRule="auto"/>
        <w:tabs>
          <w:tab w:leader="none" w:pos="207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UCC financing statements in appropriate form for filing under the UCC, documents suitable for filing with the United States Patent and Trademark Office </w:t>
      </w:r>
      <w:r>
        <w:rPr>
          <w:rFonts w:ascii="Arial" w:cs="Arial" w:eastAsia="Arial" w:hAnsi="Arial"/>
          <w:sz w:val="18"/>
          <w:szCs w:val="18"/>
          <w:i w:val="1"/>
          <w:iCs w:val="1"/>
          <w:color w:val="auto"/>
        </w:rPr>
        <w:t>and</w:t>
      </w:r>
      <w:r>
        <w:rPr>
          <w:rFonts w:ascii="Arial" w:cs="Arial" w:eastAsia="Arial" w:hAnsi="Arial"/>
          <w:sz w:val="18"/>
          <w:szCs w:val="18"/>
          <w:color w:val="auto"/>
        </w:rPr>
        <w:t xml:space="preserve"> United States Copyright Office, and all other documents and instruments necessary to establish and perfect under the laws of the United States the Collateral Agent’s first priority Lien in the Collateral other than foreign Intellectual Property (subject to Permitted Liens), in each case, executed and delivered (if applicable, in proper form for filing) by the Borrower and the Guarantors;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any Liens on the Collateral that are required hereunder or the other Credit Documents have not attached or are not perfected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(other than to the extent that a Lien on such Collateral may be perfected by (A) the filing of a financing statement under the UCC or (B) the delivery of certificated securities representing equity of direct wholly-owned material domestic subsidiaries of the Borrower (other than any subsidiaries of the Acquired Business, which will, to the extent the Borrower has used commercially reasonable efforts to obtain such certificated securities, only be required to be delivered on the Closing Date to the extent received from the holders thereof prior to the Closing Date)) after use of commercially reasonable efforts to do so, such attachment or perfection will not constitute a condition precedent to the borrowing on the Closing Date, but will be required in accordance with Section 5.17.</w:t>
      </w:r>
    </w:p>
    <w:p>
      <w:pPr>
        <w:spacing w:after="0" w:line="195" w:lineRule="exact"/>
        <w:rPr>
          <w:sz w:val="20"/>
          <w:szCs w:val="20"/>
          <w:color w:val="auto"/>
        </w:rPr>
      </w:pPr>
    </w:p>
    <w:p>
      <w:pPr>
        <w:jc w:val="both"/>
        <w:ind w:firstLine="1142"/>
        <w:spacing w:after="0" w:line="259" w:lineRule="auto"/>
        <w:tabs>
          <w:tab w:leader="none" w:pos="1559"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Opinions of Counsel to Credit Parties</w:t>
      </w:r>
      <w:r>
        <w:rPr>
          <w:rFonts w:ascii="Arial" w:cs="Arial" w:eastAsia="Arial" w:hAnsi="Arial"/>
          <w:sz w:val="18"/>
          <w:szCs w:val="18"/>
          <w:color w:val="auto"/>
        </w:rPr>
        <w:t>. The Administrative Agent and its counsel will have received copies of (and each Credit Party hereby instructs such counsel to deliver such opinions to the Administrative Agent and the Lenders) customary legal opinions, each dated as of the Closing Date, of Cleary Gottlieb Steen &amp; Hamilton LLP, Young Conaway Stargatt &amp; Taylor, LLP and DLA Piper LLP, special counsel to the Borrower, with respect to the Borrower and each Guarantor Subsidiary.</w:t>
      </w:r>
    </w:p>
    <w:p>
      <w:pPr>
        <w:spacing w:after="0" w:line="186" w:lineRule="exact"/>
        <w:rPr>
          <w:rFonts w:ascii="Arial" w:cs="Arial" w:eastAsia="Arial" w:hAnsi="Arial"/>
          <w:sz w:val="18"/>
          <w:szCs w:val="18"/>
          <w:color w:val="auto"/>
        </w:rPr>
      </w:pPr>
    </w:p>
    <w:p>
      <w:pPr>
        <w:jc w:val="both"/>
        <w:ind w:firstLine="1142"/>
        <w:spacing w:after="0" w:line="259" w:lineRule="auto"/>
        <w:tabs>
          <w:tab w:leader="none" w:pos="155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All reasonable and documented costs, fees, expenses (including, without limitation, legal fees and expenses) and other compensation payable to the Lead Arranger, Administrative Agent and the Lenders will have been paid (or will concurrently be paid) to the extent then due and owing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invoice of such expenses will have been presented no less than three (3) Business Days prior to the Closing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7" w:name="page108"/>
    <w:bookmarkEnd w:id="107"/>
    <w:p>
      <w:pPr>
        <w:jc w:val="both"/>
        <w:ind w:firstLine="1142"/>
        <w:spacing w:after="0" w:line="291" w:lineRule="auto"/>
        <w:tabs>
          <w:tab w:leader="none" w:pos="1558"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“Know-Your-Customer”</w:t>
      </w:r>
      <w:r>
        <w:rPr>
          <w:rFonts w:ascii="Arial" w:cs="Arial" w:eastAsia="Arial" w:hAnsi="Arial"/>
          <w:sz w:val="16"/>
          <w:szCs w:val="16"/>
          <w:color w:val="auto"/>
        </w:rPr>
        <w:t>. The Administrative Agent will have received all documentation and other information required by bank regulatory authorities under applicable “know-your-customer” and anti-money laundering rules and regulations (including the PATRIOT Act) at least three</w:t>
      </w:r>
    </w:p>
    <w:p>
      <w:pPr>
        <w:jc w:val="both"/>
        <w:ind w:firstLine="8"/>
        <w:spacing w:after="0" w:line="277" w:lineRule="auto"/>
        <w:tabs>
          <w:tab w:leader="none" w:pos="26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Business Days prior to the Closing Date, to the extent requested in writing from the Borrower at least ten (10) days prior to the Closing Date. At least three (3) days prior to the Closing Date, the Borrower and any Guarantor Subsidiary that qualifies as a “legal entity customer” under the Beneficial Ownership Regulation shall deliver a Beneficial Ownership Certification in relation to the Borrower and any such Guarantor Subsidiary.</w:t>
      </w:r>
    </w:p>
    <w:p>
      <w:pPr>
        <w:spacing w:after="0" w:line="172" w:lineRule="exact"/>
        <w:rPr>
          <w:rFonts w:ascii="Arial" w:cs="Arial" w:eastAsia="Arial" w:hAnsi="Arial"/>
          <w:sz w:val="17"/>
          <w:szCs w:val="17"/>
          <w:color w:val="auto"/>
        </w:rPr>
      </w:pPr>
    </w:p>
    <w:p>
      <w:pPr>
        <w:jc w:val="both"/>
        <w:ind w:firstLine="1142"/>
        <w:spacing w:after="0" w:line="263" w:lineRule="auto"/>
        <w:tabs>
          <w:tab w:leader="none" w:pos="154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Upfront Fee</w:t>
      </w:r>
      <w:r>
        <w:rPr>
          <w:rFonts w:ascii="Arial" w:cs="Arial" w:eastAsia="Arial" w:hAnsi="Arial"/>
          <w:sz w:val="18"/>
          <w:szCs w:val="18"/>
          <w:color w:val="auto"/>
        </w:rPr>
        <w:t xml:space="preserve">. The Borrower shall have paid each Lender an upfront fee equal to 0.50% of its Initial Term B Loan Commitment on the Closing Date (as in effect immediately before giving effect to the termination thereof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with such payment to be earned by, and payable to, each such Lender on the Closing Date.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compliance with the conditions specified in this Section 3.1, (i)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(ii) transactions occurring (or to occur) on the Closing Date in accordance with, and as expressly set forth in, the funds flow memorandum delivered to (and approved by) the Administrative Agent shall be deemed to occur and have occurred substantially simultaneously with the Initial Credit Extension.</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Conditions to Each Credit Extension After the Closing Date</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9" w:lineRule="auto"/>
        <w:tabs>
          <w:tab w:leader="none" w:pos="161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Except (x) in connection with the Initial Credit Extension and (y) as may be limited in respect of certain conditions precedent as set forth in Section 2.24(f) with respect to Incremental Term Loans or in Section 1.5 with respect to any Limited Condition Acquisition, the obligation of each Lender to make any Loan on any Credit Date, are subject to the satisfaction, or waiver in accordance with Section 10.5, of the following conditions precedent:</w:t>
      </w:r>
    </w:p>
    <w:p>
      <w:pPr>
        <w:spacing w:after="0" w:line="186" w:lineRule="exact"/>
        <w:rPr>
          <w:rFonts w:ascii="Arial" w:cs="Arial" w:eastAsia="Arial" w:hAnsi="Arial"/>
          <w:sz w:val="18"/>
          <w:szCs w:val="18"/>
          <w:color w:val="auto"/>
        </w:rPr>
      </w:pPr>
    </w:p>
    <w:p>
      <w:pPr>
        <w:ind w:left="2000" w:hanging="372"/>
        <w:spacing w:after="0"/>
        <w:tabs>
          <w:tab w:leader="none" w:pos="2000"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Notice</w:t>
      </w:r>
      <w:r>
        <w:rPr>
          <w:rFonts w:ascii="Arial" w:cs="Arial" w:eastAsia="Arial" w:hAnsi="Arial"/>
          <w:sz w:val="16"/>
          <w:szCs w:val="16"/>
          <w:color w:val="auto"/>
        </w:rPr>
        <w:t>. The Administrative Agent will have received a fully executed and delivered Funding Notice or Application, as the case</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may be;</w:t>
      </w:r>
    </w:p>
    <w:p>
      <w:pPr>
        <w:spacing w:after="0" w:line="210" w:lineRule="exact"/>
        <w:rPr>
          <w:rFonts w:ascii="Arial" w:cs="Arial" w:eastAsia="Arial" w:hAnsi="Arial"/>
          <w:sz w:val="16"/>
          <w:szCs w:val="16"/>
          <w:color w:val="auto"/>
        </w:rPr>
      </w:pPr>
    </w:p>
    <w:p>
      <w:pPr>
        <w:jc w:val="both"/>
        <w:ind w:left="1140" w:firstLine="488"/>
        <w:spacing w:after="0" w:line="254" w:lineRule="auto"/>
        <w:tabs>
          <w:tab w:leader="none" w:pos="2069"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As of such Credit Date, the representations and warranties contained herein and in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Documents will be true and correct in all material respects (except for those representations and warranties that are conditioned by materiality, which will be true and correct in all respects) both immediately before and after such Credit Extension on and as of that Credit Date to the same extent as though made on and as of that date, except to the extent such representations and warranties specifically relate to an earlier date, in which case such representations and warranties will have been true and correct in all material respects (except for those representations and warranties that are conditioned by materiality, which will have been true and correct in all respects) on and as of such earlier date; and</w:t>
      </w:r>
    </w:p>
    <w:p>
      <w:pPr>
        <w:spacing w:after="0" w:line="194" w:lineRule="exact"/>
        <w:rPr>
          <w:rFonts w:ascii="Arial" w:cs="Arial" w:eastAsia="Arial" w:hAnsi="Arial"/>
          <w:sz w:val="18"/>
          <w:szCs w:val="18"/>
          <w:color w:val="auto"/>
        </w:rPr>
      </w:pPr>
    </w:p>
    <w:p>
      <w:pPr>
        <w:ind w:left="1140" w:firstLine="488"/>
        <w:spacing w:after="0" w:line="277" w:lineRule="auto"/>
        <w:tabs>
          <w:tab w:leader="none" w:pos="2092"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No Default or Event of Default</w:t>
      </w:r>
      <w:r>
        <w:rPr>
          <w:rFonts w:ascii="Arial" w:cs="Arial" w:eastAsia="Arial" w:hAnsi="Arial"/>
          <w:sz w:val="18"/>
          <w:szCs w:val="18"/>
          <w:color w:val="auto"/>
        </w:rPr>
        <w:t>. Both immediately before and after the Credit Extension on such Credit Date, no Default or an</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shall have occurred and be continuing.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jc w:val="both"/>
        <w:ind w:firstLine="1142"/>
        <w:spacing w:after="0" w:line="255" w:lineRule="auto"/>
        <w:tabs>
          <w:tab w:leader="none" w:pos="153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will be executed by an Authorized Officer in a writing delivered to the Administrative Agent. The Administrative Agent or any Lender will not have any obligation to verify the veracity of any such notice referred to above nor will the Administrative Agent or any Lender incur any liability to the Borrower in acting upon any notice referred to above that the Administrative Agent believes in good faith to have been given by a duly authorized officer or other Person authorized on behalf of the Borrower. Each delivery of a Notice will constitute a representation and warranty that as of the date of any Credit Extension (both immediately before and immediately after such Credit Extension) the conditions contained in Section 3.2 have been satisfied.</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induce the Lenders and each Agent to enter into this Agreement and to make each Credit Extension to be made thereby, each Credit Party represents and warrants to the Lenders and the Agents, on the Closing Date and on each Credit Date, that the following statements are true and correct: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4.1 Organization; Requisite Power and Authority; Qualification</w:t>
      </w:r>
      <w:r>
        <w:rPr>
          <w:rFonts w:ascii="Arial" w:cs="Arial" w:eastAsia="Arial" w:hAnsi="Arial"/>
          <w:sz w:val="16"/>
          <w:szCs w:val="16"/>
          <w:color w:val="auto"/>
        </w:rPr>
        <w:t>. The Borrower and each Subsidiary (a) is duly organized, validly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 good standing under the laws of its jurisdiction of organization which, as of the Closing Date, is identified in </w:t>
      </w:r>
      <w:r>
        <w:rPr>
          <w:rFonts w:ascii="Arial" w:cs="Arial" w:eastAsia="Arial" w:hAnsi="Arial"/>
          <w:sz w:val="16"/>
          <w:szCs w:val="16"/>
          <w:u w:val="single" w:color="auto"/>
          <w:color w:val="auto"/>
        </w:rPr>
        <w:t>Schedule 4.10(b)</w:t>
      </w:r>
      <w:r>
        <w:rPr>
          <w:rFonts w:ascii="Arial" w:cs="Arial" w:eastAsia="Arial" w:hAnsi="Arial"/>
          <w:sz w:val="16"/>
          <w:szCs w:val="16"/>
          <w:color w:val="auto"/>
        </w:rPr>
        <w:t>, (b) has all requisite organizational power and authority to (i) own and operate its properties, to lease the property it operates as lessee, and to carry on its business as now conducted and as proposed to be conducted, (ii) to enter into the Credit Documents to which it is a party and (iii) to carry out the transactions contemplated hereby and thereby, and (c) is qualified to do business and in good standing as a foreign entity in every jurisdiction where its assets are located and wherever necessary to carry out its business and operations, except in jurisdictions where (i) such Person is organized, (ii) there is no requirement to be so registered, or (iii) the failure to be so qualified or in good standing has not had, and would not be reasonably expected to have, a Material Adverse Effect.</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4.2 Due Authorization</w:t>
      </w:r>
      <w:r>
        <w:rPr>
          <w:rFonts w:ascii="Arial" w:cs="Arial" w:eastAsia="Arial" w:hAnsi="Arial"/>
          <w:sz w:val="18"/>
          <w:szCs w:val="18"/>
          <w:color w:val="auto"/>
        </w:rPr>
        <w:t>. The execution, delivery and performance of the Credit Documents have been duly authorized by all necessary action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 of each Credit Party that is a party thereto.</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 Conflict; Government Consents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7" w:lineRule="auto"/>
        <w:tabs>
          <w:tab w:leader="none" w:pos="160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No Conflict with Organizational Documents, Law or Contractual Obligations; No Creation of Liens</w:t>
      </w:r>
      <w:r>
        <w:rPr>
          <w:rFonts w:ascii="Arial" w:cs="Arial" w:eastAsia="Arial" w:hAnsi="Arial"/>
          <w:sz w:val="16"/>
          <w:szCs w:val="16"/>
          <w:color w:val="auto"/>
        </w:rPr>
        <w:t>. The execution, delivery and performance by each Credit Party of the Credit Documents to which it is a party and the consummation of the transactions contemplated by the Credit Documents do not and will not (i)(1) violate any of the Organizational Documents of such Credit Party or (2) otherwise require any approval of any stockholder, member or partner of such Credit Party, except for such approvals or consents which have been obtained or made prior to the Closing Date; (ii) violate any provision of any law, rule, regulation, order, judgment or decree of any Governmental Authority applicable to or otherwise binding on such Credit Party, except to the extent such violation would not reasonably be expected to have a Material Adverse Effect; (iii) conflict with, result in a breach of or constitute (with due notice or lapse of time or both) a default under, or otherwise require any approval or consent of any Person under, (x) any Contractual Obligation of such Credit Party, except to the extent such conflict, breach or default would not reasonably be expected to have a Material Adverse Effect, or (y) any Material Indebtedness, and in each case, except for such approvals or consents which have been obtained or made; or (iv) result in or require the creation or imposition of any Lien upon any of the properties or assets of such Credit Party (other than any Liens created under any of the Credit Documents in favor of the Collateral Agent, on behalf of the Secured Parties, and Permitted Liens).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9" w:name="page110"/>
    <w:bookmarkEnd w:id="109"/>
    <w:p>
      <w:pPr>
        <w:jc w:val="both"/>
        <w:ind w:firstLine="1142"/>
        <w:spacing w:after="0" w:line="255" w:lineRule="auto"/>
        <w:tabs>
          <w:tab w:leader="none" w:pos="155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The execution, delivery and performance by each Credit Party of the Credit Documents to which it is party and the consummation of the transactions contemplated by the Credit Documents do not and will not require any registration with, consent, license, permit or approval of, or notice to, or other action to, with or by, any Governmental Authority, except for (x) such filings and recordings with respect to the Collateral made as of the Closing Date or made or to be made in accordance with Sections 5.10, 5.12 and 5.17, (y) such as have been obtained or made and are (or will so be) in full force and effect on the Closing Date and (z) those the failure to obtain or make which, individually or in the aggregate, would not reasonably be expected to result in a Material Adverse Effect.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4.4 Binding Obligation</w:t>
      </w:r>
      <w:r>
        <w:rPr>
          <w:rFonts w:ascii="Arial" w:cs="Arial" w:eastAsia="Arial" w:hAnsi="Arial"/>
          <w:sz w:val="18"/>
          <w:szCs w:val="18"/>
          <w:color w:val="auto"/>
        </w:rPr>
        <w:t>. Each Credit Document has been duly executed and delivered by each Credit Party that is a party thereto and is the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valid and binding obligation of such Credit Party, enforceable against such Credit Party in accordance with its terms, except as may be limited by bankruptcy, insolvency, reorganization, moratorium or similar laws relating to or limiting creditors’ rights generally or by general equitable principles, regardless of whether considered in a proceeding in equity or at law and principles of good faith and fair dealing.</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4.5 Historical Financial Statements</w:t>
      </w:r>
      <w:r>
        <w:rPr>
          <w:rFonts w:ascii="Arial" w:cs="Arial" w:eastAsia="Arial" w:hAnsi="Arial"/>
          <w:sz w:val="18"/>
          <w:szCs w:val="18"/>
          <w:color w:val="auto"/>
        </w:rPr>
        <w:t>. The Historical Financial Statements were prepared in conformity with GAAP applied on a consistent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periods covered thereby, except as may be indicated in the notes thereto,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w:t>
      </w:r>
    </w:p>
    <w:p>
      <w:pPr>
        <w:spacing w:after="0" w:line="1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4.7 No Material Adverse Effect</w:t>
      </w:r>
      <w:r>
        <w:rPr>
          <w:rFonts w:ascii="Arial" w:cs="Arial" w:eastAsia="Arial" w:hAnsi="Arial"/>
          <w:sz w:val="18"/>
          <w:szCs w:val="18"/>
          <w:color w:val="auto"/>
        </w:rPr>
        <w:t>. Since December 30, 2017, no event or change has occurred that has caused or would reasonably be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either in any case or in the aggregate, a Material Adverse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4.8 Adverse Proceedings</w:t>
      </w:r>
      <w:r>
        <w:rPr>
          <w:rFonts w:ascii="Arial" w:cs="Arial" w:eastAsia="Arial" w:hAnsi="Arial"/>
          <w:sz w:val="17"/>
          <w:szCs w:val="17"/>
          <w:color w:val="auto"/>
        </w:rPr>
        <w:t>. There are no Adverse Proceedings, individually or in the aggregate, that would reasonably be expected to have a</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Adverse Effect. None of the Borrower or the Subsidiaries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would reasonably be expected to have a Material Adverse Effect.</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4.9 Payment of Taxes</w:t>
      </w:r>
      <w:r>
        <w:rPr>
          <w:rFonts w:ascii="Arial" w:cs="Arial" w:eastAsia="Arial" w:hAnsi="Arial"/>
          <w:sz w:val="18"/>
          <w:szCs w:val="18"/>
          <w:color w:val="auto"/>
        </w:rPr>
        <w:t>. Except as could not, either individually or in the aggregate, reasonably be expected to result in a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the Borrower and the Subsidiaries have timely filed (or obtained valid extensions) with the appropriate United States federal, state, local and foreign taxing authorities all tax returns and reports that were required to be filed and have timely paid all Taxes owed by them, except those that are being contested in good faith by appropriate proceedings, so long as adequate reserves or other appropriate provisions are being maintained in accordance with GAAP therefor.</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Ownership of Material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69" w:lineRule="auto"/>
        <w:tabs>
          <w:tab w:leader="none" w:pos="159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Borrower and its Subsidiaries have (i) good, valid and legal fee simple title to (in the case of fee interests in real property), (ii) valid leasehold interests in (in the case of leasehold interests in real or tangible personal property) and (iii) good title, valid leasehold interests in, licenses of, or other rights with respect to (in the case of all other tangible personal property), all of their respective properties and material assets necessary in the ordinary conduct of the Business (as of the Closing Date, as reflected in the Historical Financial Statements and, from time to time after the Closing Date, as reflected in the most recent financial statements delivered pursuant to Section 5.1(a) or (b)), in each case, to the extent necessary to not materially interfere with its ability to conduct the Business or utilize such assets for their intended purposes as of the date of such financial statements, except (x) for assets disposed of since the balance sheet date of such financial statements in the ordinary course of business or as otherwise permitted under Section 6.8 and (y) as would not reasonably be expected to have, individually or in the aggregate, a Material Adverse Effect. Except as permitted by this Agreement or as would not reasonably be expected to have, individually or in the aggregate, a Material Adverse Effect, all such properties and assets are free and clear of Liens, except for Permitted Liens.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jc w:val="both"/>
        <w:ind w:firstLine="1142"/>
        <w:spacing w:after="0" w:line="254" w:lineRule="auto"/>
        <w:tabs>
          <w:tab w:leader="none" w:pos="154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Capital Stock and Subsidiaries</w:t>
      </w:r>
      <w:r>
        <w:rPr>
          <w:rFonts w:ascii="Arial" w:cs="Arial" w:eastAsia="Arial" w:hAnsi="Arial"/>
          <w:sz w:val="18"/>
          <w:szCs w:val="18"/>
          <w:color w:val="auto"/>
        </w:rPr>
        <w:t xml:space="preserve"> The Capital Stock of the Borrower and each Subsidiary has been duly authorized and validly issued in compliance with all applicable federal, state and other Laws and is fully paid and non-assessable (except to the extent such concepts are not applicable under the applicable Law of such Subsidiary’s jurisdiction of formation). Except as set forth on </w:t>
      </w:r>
      <w:r>
        <w:rPr>
          <w:rFonts w:ascii="Arial" w:cs="Arial" w:eastAsia="Arial" w:hAnsi="Arial"/>
          <w:sz w:val="18"/>
          <w:szCs w:val="18"/>
          <w:u w:val="single" w:color="auto"/>
          <w:color w:val="auto"/>
        </w:rPr>
        <w:t>Schedule 4.10(b)</w:t>
      </w:r>
      <w:r>
        <w:rPr>
          <w:rFonts w:ascii="Arial" w:cs="Arial" w:eastAsia="Arial" w:hAnsi="Arial"/>
          <w:sz w:val="18"/>
          <w:szCs w:val="18"/>
          <w:color w:val="auto"/>
        </w:rPr>
        <w:t>, as of the Closing Date, there is no existing option, warrant, call, right, commitment or other agreement (including preemptive rights) to which the Borrower or any Subsidiary is a party requiring, and there is no membership interest or other Capital Stock of the Borrower or any Subsidiary outstanding which upon conversion or exchange would require, the issuance by the Borrower or any Subsidiary of any additional membership interests or other Capital Stock of the Borrower or any Subsidiary or other Securities convertible into, exchangeable for or evidencing the right to subscribe for or purchase, a membership interest or other Capital Stock of the Borrower or any Subsidiary.</w:t>
      </w:r>
    </w:p>
    <w:p>
      <w:pPr>
        <w:spacing w:after="0" w:line="191" w:lineRule="exact"/>
        <w:rPr>
          <w:rFonts w:ascii="Arial" w:cs="Arial" w:eastAsia="Arial" w:hAnsi="Arial"/>
          <w:sz w:val="18"/>
          <w:szCs w:val="18"/>
          <w:color w:val="auto"/>
        </w:rPr>
      </w:pPr>
    </w:p>
    <w:p>
      <w:pPr>
        <w:jc w:val="both"/>
        <w:ind w:firstLine="1142"/>
        <w:spacing w:after="0" w:line="257" w:lineRule="auto"/>
        <w:tabs>
          <w:tab w:leader="none" w:pos="151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Borrower and the Subsidiaries own, license, or otherwise have the right to use all Intellectual Property that is used in or otherwise necessary for the operation of their respective Business substantially as currently conducted, except where the failure of the foregoing would not reasonably be expected to have a Material Adverse Effect. The operation of the Business by the Borrower and the Subsidiaries does not infringe upon, misappropriate, violate or otherwise conflict with the material Intellectual Property of any third party, except, in each case, as would not reasonably be expected to have a Material Adverse Effect.</w:t>
      </w:r>
    </w:p>
    <w:p>
      <w:pPr>
        <w:spacing w:after="0" w:line="18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Environmental Matters</w:t>
      </w:r>
      <w:r>
        <w:rPr>
          <w:rFonts w:ascii="Arial" w:cs="Arial" w:eastAsia="Arial" w:hAnsi="Arial"/>
          <w:sz w:val="16"/>
          <w:szCs w:val="16"/>
          <w:color w:val="auto"/>
        </w:rPr>
        <w:t>. Except as would not, individually or in the aggregate, reasonably be expected to have a Material Adverse Effect:</w:t>
      </w:r>
    </w:p>
    <w:p>
      <w:pPr>
        <w:spacing w:after="0" w:line="229" w:lineRule="exact"/>
        <w:rPr>
          <w:sz w:val="20"/>
          <w:szCs w:val="20"/>
          <w:color w:val="auto"/>
        </w:rPr>
      </w:pPr>
    </w:p>
    <w:p>
      <w:pPr>
        <w:ind w:firstLine="1142"/>
        <w:spacing w:after="0" w:line="277" w:lineRule="auto"/>
        <w:tabs>
          <w:tab w:leader="none" w:pos="15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neither the Borrower nor any of its Subsidiaries nor any of their respective Facilities or operations are subject to any Environmental Claim, or any Environmental Liability;</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6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and, to the knowledge of any Executive Officer of the Borrower, have been, no conditions or occurrences which could reasonably be expected to form an Environmental Claim against the Borrower or any Subsidiary or give rise to any Environmental Liabilities of the Borrower or any Subsidiary; and</w:t>
      </w:r>
    </w:p>
    <w:p>
      <w:pPr>
        <w:spacing w:after="0" w:line="183" w:lineRule="exact"/>
        <w:rPr>
          <w:rFonts w:ascii="Arial" w:cs="Arial" w:eastAsia="Arial" w:hAnsi="Arial"/>
          <w:sz w:val="18"/>
          <w:szCs w:val="18"/>
          <w:color w:val="auto"/>
        </w:rPr>
      </w:pPr>
    </w:p>
    <w:p>
      <w:pPr>
        <w:ind w:firstLine="1142"/>
        <w:spacing w:after="0" w:line="342" w:lineRule="auto"/>
        <w:tabs>
          <w:tab w:leader="none" w:pos="15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Borrower, each Subsidiary and their respective Facilities and operations are in compliance with applicable Environmental Laws, including obtaining, maintaining and complying with the terms of any Governmental Authorizations required under any applicable Environmental Law.</w:t>
      </w:r>
    </w:p>
    <w:p>
      <w:pPr>
        <w:spacing w:after="0" w:line="1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4.12 Governmental Regulation</w:t>
      </w:r>
      <w:r>
        <w:rPr>
          <w:rFonts w:ascii="Arial" w:cs="Arial" w:eastAsia="Arial" w:hAnsi="Arial"/>
          <w:sz w:val="18"/>
          <w:szCs w:val="18"/>
          <w:color w:val="auto"/>
        </w:rPr>
        <w:t>. None of the Credit Parties is required to register as an “investment company”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as amended.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4.13 Margin Stock</w:t>
      </w:r>
      <w:r>
        <w:rPr>
          <w:rFonts w:ascii="Arial" w:cs="Arial" w:eastAsia="Arial" w:hAnsi="Arial"/>
          <w:sz w:val="18"/>
          <w:szCs w:val="18"/>
          <w:color w:val="auto"/>
        </w:rPr>
        <w:t>. Neither the Borrower nor any of its Subsidiaries is engaged principally, or as one of its important activities, in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extending credit for the purpose of purchasing or carrying any Margin Stock. No part of the proceeds of any Credit Extension made to or for the benefit of any Credit Party or any Subsidiary will be used to purchase or carry any Margin Stock, to extend credit to others for the purpose of purchasing or carrying any Margin Stock or for any purpose that, in each case, violates the provisions of Regulation U or X of the Board of Governors, as in effect from time to time or any successor to all or any portion of such regulations.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jc w:val="both"/>
        <w:ind w:firstLine="648"/>
        <w:spacing w:after="0" w:line="270" w:lineRule="auto"/>
        <w:rPr>
          <w:sz w:val="20"/>
          <w:szCs w:val="20"/>
          <w:color w:val="auto"/>
        </w:rPr>
      </w:pPr>
      <w:r>
        <w:rPr>
          <w:rFonts w:ascii="Arial" w:cs="Arial" w:eastAsia="Arial" w:hAnsi="Arial"/>
          <w:sz w:val="17"/>
          <w:szCs w:val="17"/>
          <w:b w:val="1"/>
          <w:bCs w:val="1"/>
          <w:color w:val="auto"/>
        </w:rPr>
        <w:t>4.14 Employee Matters</w:t>
      </w:r>
      <w:r>
        <w:rPr>
          <w:rFonts w:ascii="Arial" w:cs="Arial" w:eastAsia="Arial" w:hAnsi="Arial"/>
          <w:sz w:val="17"/>
          <w:szCs w:val="17"/>
          <w:color w:val="auto"/>
        </w:rPr>
        <w:t>. Neither the Borrower nor any of its Subsidiaries is engaged in any unfair labor practice that could reasonably be</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have a Material Adverse Effect. There is (a) no unfair labor practice complaint pending against the Borrower or any Subsidiary, or to the knowledge of any Executive Officer of the Borrower, threatened against any of them before the National Labor Relations Board and no grievance or arbitration proceeding arising out of or under any collective bargaining agreement that is so pending against the Borrower or any Subsidiary or to the knowledge of any Executive Officer of the Borrower, threatened against any of them, (b) no strike or work stoppage in existence or, to the knowledge of any Executive Officer of the Borrower, threatened involving the Borrower or any Subsidiary, (c) no collective bargaining agreement with any union covering the employees of any Credit Party or any Subsidiary as of the Closing Date and (d) to the knowledge of any Executive Officer of the Borrower, no union representation question existing with respect to the employees of the Borrower or any Subsidiary, to the knowledge of any Executive Officer of the Borrower, no union organization activity that is taking place, except, with respect to any matter specified in clause (a), (b) or (d) above, either individually or in the aggregate, as would not be reasonably likely to result in a Material Adverse Effect.</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4.15 Employee Benefit Plans</w:t>
      </w:r>
      <w:r>
        <w:rPr>
          <w:rFonts w:ascii="Arial" w:cs="Arial" w:eastAsia="Arial" w:hAnsi="Arial"/>
          <w:sz w:val="17"/>
          <w:szCs w:val="17"/>
          <w:color w:val="auto"/>
        </w:rPr>
        <w:t>. (a) The Borrower, each of its Subsidiaries and each of their respective ERISA Affiliates are in compliance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with all applicable provisions and requirements of ERISA and the Internal Revenue Code and the regulations and published interpretations thereunder with respect to each Employee Benefit Plan, (b) each Employee Benefit Plan which is intended to qualify under Section 401(a) of the Internal Revenue Code has received a favorable determination letter from the Internal Revenue Service indicating that such Employee Benefit Plan is so qualified and, to the knowledge of any Executive Officer of the Borrower, nothing has occurred subsequent to the issuance of such determination letter which would cause such Employee Benefit Plan to lose its qualified status, (c) no Liability to the PBGC (other than required premium payments), the Internal Revenue Service, any Employee Benefit Plan (except in the ordinary course) or any trust established under Title IV of ERISA has been or is expected to be incurred by the Borrower or any Subsidiary or any of their respective ERISA Affiliates, (d) except to the extent required under Section 4980B of the Internal Revenue Code or similar state laws, no Employee Benefit Plan provides health or welfare benefits (through the purchase of insurance or otherwise) for any retired or former employee of any of the Borrower or any Subsidiary or any of their respective ERISA Affiliates, (e) the present value of the aggregate benefit liabilities under each Pension Plan sponsored, maintained or contributed to by the Borrower or any Subsidiary or any of their respective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and (f) no ERISA Event has occurred or is reasonably expected to occur; in each case, except as would not reasonably be expected to result, individually or in the aggregate, in a Material Adverse Effect. To the extent applicable, each Foreign Plan has been maintained in material compliance with its terms and with the requirements of any and all applicable requirements of Law and has been maintained, where required, in good standing with applicable regulatory authorities except where the failure to comply or be maintained in good standing would not reasonably be expected to have a Material Adverse Effect. No Credit Party has incurred any obligation in connection with the termination of or withdrawal from any Foreign Plan that could reasonably be expected to have a Material Adverse Effect.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4.16 Solvency</w:t>
      </w:r>
      <w:r>
        <w:rPr>
          <w:rFonts w:ascii="Arial" w:cs="Arial" w:eastAsia="Arial" w:hAnsi="Arial"/>
          <w:sz w:val="17"/>
          <w:szCs w:val="17"/>
          <w:color w:val="auto"/>
        </w:rPr>
        <w:t>. On the Closing Date, after giving effect to the Transactions, including the making of the Credit Extensions to be made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Date and giving effect to the application of the proceeds thereof, the Borrower and the Subsidiaries, on a consolidated basis, are Solvent.</w:t>
      </w:r>
    </w:p>
    <w:p>
      <w:pPr>
        <w:spacing w:after="0" w:line="14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b w:val="1"/>
          <w:bCs w:val="1"/>
          <w:color w:val="auto"/>
        </w:rPr>
        <w:t>Compliance with Laws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63" w:lineRule="auto"/>
        <w:tabs>
          <w:tab w:leader="none" w:pos="161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of the Borrower and the Subsidiaries is in compliance with all applicable Laws in respect of the conduct of its business and the ownership of its property, except such non-compliance that, individually or in the aggregate, would not reasonably be expected to result in a Material Adverse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1142"/>
        <w:spacing w:after="0" w:line="301" w:lineRule="auto"/>
        <w:tabs>
          <w:tab w:leader="none" w:pos="1543"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Sanctions, Anti-Money Laundering Laws, Etc</w:t>
      </w:r>
      <w:r>
        <w:rPr>
          <w:rFonts w:ascii="Arial" w:cs="Arial" w:eastAsia="Arial" w:hAnsi="Arial"/>
          <w:sz w:val="16"/>
          <w:szCs w:val="16"/>
          <w:color w:val="auto"/>
        </w:rPr>
        <w:t>. Without limiting clause (a) above, no Credit Party nor any of its Controlled Entities or any of their respective directors or officers (i) is located, organized or resident in a Sanctioned Country, (ii) is in material violation of any Anti-Money Laundering Law. (iii) is in violation of any Sanctions, (iv) evades or avoids, or has the purpose of evading or avoiding, or engages in or conspires to engage in any transaction that attempts to violate any of the prohibitions set forth in any Anti-Money Laundering Law or Sanctions or (v) is a Blocked Person.</w:t>
      </w:r>
    </w:p>
    <w:p>
      <w:pPr>
        <w:spacing w:after="0" w:line="157" w:lineRule="exact"/>
        <w:rPr>
          <w:rFonts w:ascii="Arial" w:cs="Arial" w:eastAsia="Arial" w:hAnsi="Arial"/>
          <w:sz w:val="16"/>
          <w:szCs w:val="16"/>
          <w:color w:val="auto"/>
        </w:rPr>
      </w:pPr>
    </w:p>
    <w:p>
      <w:pPr>
        <w:jc w:val="both"/>
        <w:ind w:firstLine="1142"/>
        <w:spacing w:after="0" w:line="269" w:lineRule="auto"/>
        <w:tabs>
          <w:tab w:leader="none" w:pos="154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Anti-Corruption Laws, Etc</w:t>
      </w:r>
      <w:r>
        <w:rPr>
          <w:rFonts w:ascii="Arial" w:cs="Arial" w:eastAsia="Arial" w:hAnsi="Arial"/>
          <w:sz w:val="17"/>
          <w:szCs w:val="17"/>
          <w:color w:val="auto"/>
        </w:rPr>
        <w:t>. During the five (5) years prior to the Closing Date, there has been no action taken, directly or indirectly, by any Credit Party or any of its Controlled Entities or any officer, director, or employee of any Credit Party or any of its Controlled Entities when they are acting on behalf of any Credit Party or any of its Controlled Entities, in violation of the FCPA or in material violation of any other applicable Anti-Corruption Laws. In the five (5) years prior to the Closing Date, to the knowledge of the Responsible Officers, (i) none of the Credit Parties or any of their Controlled Entities has been subjected to any investigation by a Governmental Entity for violation of any applicable Anti-Corruption Laws, (ii) there has been no material suit, litigation, arbitration, claim, audit, action, investigation, or proceeding pending or threatened against the Credit Parties or any of their Controlled Entities related to any applicable Anti-Corruption Laws, before or by any Governmental Entity, and (iii) none of the Credit Parties or any of their respective Subsidiaries has received any written notice, request or citation regarding any actual or potential noncompliance with any of the foregoing. In the five (5) years prior to the Closing Date, none of the Credit Parties or any of their respective Subsidiaries has made a voluntary, directed, or involuntary disclosure to any Governmental Entity with respect to any alleged act or omission arising under or relating to any noncompliance with any Anti-Corruption Laws.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4.18 Disclosure</w:t>
      </w:r>
      <w:r>
        <w:rPr>
          <w:rFonts w:ascii="Arial" w:cs="Arial" w:eastAsia="Arial" w:hAnsi="Arial"/>
          <w:sz w:val="17"/>
          <w:szCs w:val="17"/>
          <w:color w:val="auto"/>
        </w:rPr>
        <w:t>. None of the written information and data (other than any projections, any information of a forward-looking nature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economic or specific industry information) heretofore furnished to any Agent or the Lenders by or on behalf of the Borrower on or prior to the Closing Date for use in connection with the transactions contemplated hereby, when taken as a whole, contains any untrue statement of a material fact or omits to state a material fact (known to any Executive Officer of the Borrower, in the case of any document not furnished by the Borrower) necessary in order to make the statements contained therein taken as a whole not materially misleading in light of the circumstances under which such statements were made (after giving effect to all supplements and updates to such written information and data, in each case, furnished after the date on which such written information or data was originally delivered and prior to the Closing Date). Any projections and information of a forward-looking nature furnished to any Agent or the Lenders by or on behalf of the Borrower have been prepared in good faith based upon assumptions believed by the Borrower to be reasonable at the time made (it being understood and agreed that such projections and information of a forward-looking nature are not to be viewed as a guarantee of financial performance or achievement, that such projections and information of a forward-looking nature are subject to significant uncertainties and contingencies, many of which are beyond the Borrower’s control, and that actual results may differ from the Projections and such differences may be material and that no assurance can be given that the projected results will be realized).</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4.19 Perfection of Security Interests in the Collateral</w:t>
      </w:r>
      <w:r>
        <w:rPr>
          <w:rFonts w:ascii="Arial" w:cs="Arial" w:eastAsia="Arial" w:hAnsi="Arial"/>
          <w:sz w:val="16"/>
          <w:szCs w:val="16"/>
          <w:color w:val="auto"/>
        </w:rPr>
        <w:t>. On the Closing Date, the Collateral Documents create valid security interests in, and</w:t>
      </w:r>
      <w:r>
        <w:rPr>
          <w:rFonts w:ascii="Arial" w:cs="Arial" w:eastAsia="Arial" w:hAnsi="Arial"/>
          <w:sz w:val="16"/>
          <w:szCs w:val="16"/>
          <w:b w:val="1"/>
          <w:bCs w:val="1"/>
          <w:color w:val="auto"/>
        </w:rPr>
        <w:t xml:space="preserve"> </w:t>
      </w:r>
      <w:r>
        <w:rPr>
          <w:rFonts w:ascii="Arial" w:cs="Arial" w:eastAsia="Arial" w:hAnsi="Arial"/>
          <w:sz w:val="16"/>
          <w:szCs w:val="16"/>
          <w:color w:val="auto"/>
        </w:rPr>
        <w:t>Liens on, the Collateral of the Credit Parties purported to be covered thereby on such date and described therein (other than foreign Intellectual Property), which security interests and Liens will be first priority Liens (subject to Permitted Liens) with respect to personal property of the Credit Parties, to the extent such Liens are perfected by filing appropriate UCC-1 financing statements against each such Credit Party with the secretary of state of the state of incorporation or formation of each such Credit Party and the receipt and recording of appropriate filings with the U.S. Patent and Trademark Office and the U.S. Copyright Office, as applicable, or the pledge and delivery of original stock certificates representing Capital Stock and customary stock and other equity powers related thereto upon the timely and proper filings, deliveries and other actions contemplated by the Collateral Documents (to the extent that such security interests and Liens may be perfected by such filings, deliveries and other actions contemplated by the Collateral Documents).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jc w:val="both"/>
        <w:ind w:firstLine="648"/>
        <w:spacing w:after="0" w:line="282" w:lineRule="auto"/>
        <w:rPr>
          <w:sz w:val="20"/>
          <w:szCs w:val="20"/>
          <w:color w:val="auto"/>
        </w:rPr>
      </w:pPr>
      <w:r>
        <w:rPr>
          <w:rFonts w:ascii="Arial" w:cs="Arial" w:eastAsia="Arial" w:hAnsi="Arial"/>
          <w:sz w:val="18"/>
          <w:szCs w:val="18"/>
          <w:b w:val="1"/>
          <w:bCs w:val="1"/>
          <w:color w:val="auto"/>
        </w:rPr>
        <w:t>4.20 Use of Proceeds</w:t>
      </w:r>
      <w:r>
        <w:rPr>
          <w:rFonts w:ascii="Arial" w:cs="Arial" w:eastAsia="Arial" w:hAnsi="Arial"/>
          <w:sz w:val="18"/>
          <w:szCs w:val="18"/>
          <w:color w:val="auto"/>
        </w:rPr>
        <w:t>. The Borrower has used (or will use) the proceeds of the Initial Term B Loans and the Term C Loans (if 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2.6.</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5.</w:t>
        <w:tab/>
        <w:t>AFFIRMATIVE 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Borrower and each Guarantor Subsidiary covenants and agrees that so long as the Commitments have not been terminated and until the principal of and interest on each Loan, all fees and all other expenses or amounts payable under any Credit Document (other than amounts in respect of indemnification, expense reimbursement, yield protection or tax gross-up and contingent obligations, in each case that are not then owing or with respect to which no claim has been made) have been paid in full and the Borrower will cause each of the Subsidiaries to perform (to the extent applicable to such Subsidiaries), all covenants in this Section 5.</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Financial Statements; Notices and Other Reports</w:t>
      </w:r>
      <w:r>
        <w:rPr>
          <w:rFonts w:ascii="Arial" w:cs="Arial" w:eastAsia="Arial" w:hAnsi="Arial"/>
          <w:sz w:val="16"/>
          <w:szCs w:val="16"/>
          <w:color w:val="auto"/>
        </w:rPr>
        <w:t>. The Borrower will deliver to the Administrative Agent by Electronic Transmission:</w:t>
      </w:r>
    </w:p>
    <w:p>
      <w:pPr>
        <w:spacing w:after="0" w:line="229" w:lineRule="exact"/>
        <w:rPr>
          <w:sz w:val="20"/>
          <w:szCs w:val="20"/>
          <w:color w:val="auto"/>
        </w:rPr>
      </w:pPr>
    </w:p>
    <w:p>
      <w:pPr>
        <w:jc w:val="both"/>
        <w:ind w:firstLine="1142"/>
        <w:spacing w:after="0" w:line="268" w:lineRule="auto"/>
        <w:tabs>
          <w:tab w:leader="none" w:pos="1554"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ninety (90) days after the end of each Fiscal Year ended after the Closing Date, (i) the consolidated balance sheet of the Borrower and the Subsidiaries and Unrestricted Subsidiaries as at the end of such Fiscal Year and the related consolidated statements of comprehensive income, stockholders’ equity and cash flows of the Borrower and the Subsidiaries and Unrestricted Subsidiaries for such Fiscal Year, setting forth, in each case, in comparative form the corresponding figures for the previous Fiscal Year, together with a Financial Officer Certification and a Narrative Report with respect thereto, and (ii) with respect to such consolidated financial statements, a report thereon of independent certified public accountants of recognized national standing selected by the Borrower (or another accounting firm selected by the Borrower and reasonably satisfactory to the Administrative Agent), which report (1) will not be subject to any explanatory statement as to the Borrower’s ability to continue as a “going concern” or like qualification or exception (other than with respect to (A) an upcoming maturity of any Loans under this Agreement within the subsequent twelve (12) months or (B) any actual or anticipated inability to satisfy a financial covenant hereunder or in any Incremental Equivalent Debt) or any qualification or exception as to the scope of such audit and (2) will state that such consolidated financial statements fairly present, in all material respects, the consolidated financial position of the Borrower and the Subsidiaries and Unrestricted Subsidiaries as at the dates indicated and the results of their operations and their cash flows for the periods indicated in conformity with GAAP applied on a basis consistent with prior years (except as otherwise disclosed in such financial statements).</w:t>
      </w:r>
    </w:p>
    <w:p>
      <w:pPr>
        <w:spacing w:after="0" w:line="186" w:lineRule="exact"/>
        <w:rPr>
          <w:rFonts w:ascii="Arial" w:cs="Arial" w:eastAsia="Arial" w:hAnsi="Arial"/>
          <w:sz w:val="17"/>
          <w:szCs w:val="17"/>
          <w:color w:val="auto"/>
        </w:rPr>
      </w:pPr>
    </w:p>
    <w:p>
      <w:pPr>
        <w:jc w:val="both"/>
        <w:ind w:firstLine="1142"/>
        <w:spacing w:after="0" w:line="291" w:lineRule="auto"/>
        <w:tabs>
          <w:tab w:leader="none" w:pos="1581"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and in any event within forty-five (45) days after the end of each of the first three Fiscal Quarters of each Fiscal Year, commencing with the September 30, 2018 Fiscal Quarter, the consolidated balance sheet of the Borrower and the Subsidiaries and Unrestricted Subsidiaries as at the end of such Fiscal Quarter and the related consolidated statements of comprehensive income and cash flows of the Borrower and the Subsidiaries and Unrestricted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and in accordance with GAAP in all material respects (subject to normal year-end audit adjustments and the absence of footnotes), together with a Financial Officer Certification and a Narrative Report with respect thereto.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1142"/>
        <w:spacing w:after="0" w:line="263" w:lineRule="auto"/>
        <w:tabs>
          <w:tab w:leader="none" w:pos="152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Annual Budget</w:t>
      </w:r>
      <w:r>
        <w:rPr>
          <w:rFonts w:ascii="Arial" w:cs="Arial" w:eastAsia="Arial" w:hAnsi="Arial"/>
          <w:sz w:val="18"/>
          <w:szCs w:val="18"/>
          <w:color w:val="auto"/>
        </w:rPr>
        <w:t>. As soon as practicable and in any event no later than ninety (90) days after the beginning of each Fiscal Year after the Closing Date, commencing with Fiscal Year 2019, upon the request of the Administrative Agent, a summary consolidated budget for such Fiscal Year (a “</w:t>
      </w:r>
      <w:r>
        <w:rPr>
          <w:rFonts w:ascii="Arial" w:cs="Arial" w:eastAsia="Arial" w:hAnsi="Arial"/>
          <w:sz w:val="18"/>
          <w:szCs w:val="18"/>
          <w:b w:val="1"/>
          <w:bCs w:val="1"/>
          <w:color w:val="auto"/>
        </w:rPr>
        <w:t>Annual Budget</w:t>
      </w:r>
      <w:r>
        <w:rPr>
          <w:rFonts w:ascii="Arial" w:cs="Arial" w:eastAsia="Arial" w:hAnsi="Arial"/>
          <w:sz w:val="18"/>
          <w:szCs w:val="18"/>
          <w:color w:val="auto"/>
        </w:rPr>
        <w:t>”) in a form customarily prepared by management of the Borrower.</w:t>
      </w:r>
    </w:p>
    <w:p>
      <w:pPr>
        <w:spacing w:after="0" w:line="183" w:lineRule="exact"/>
        <w:rPr>
          <w:rFonts w:ascii="Arial" w:cs="Arial" w:eastAsia="Arial" w:hAnsi="Arial"/>
          <w:sz w:val="18"/>
          <w:szCs w:val="18"/>
          <w:color w:val="auto"/>
        </w:rPr>
      </w:pPr>
    </w:p>
    <w:p>
      <w:pPr>
        <w:jc w:val="both"/>
        <w:ind w:firstLine="1142"/>
        <w:spacing w:after="0" w:line="273" w:lineRule="auto"/>
        <w:tabs>
          <w:tab w:leader="none" w:pos="1524"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Information Regarding Unrestricted Subsidiaries</w:t>
      </w:r>
      <w:r>
        <w:rPr>
          <w:rFonts w:ascii="Arial" w:cs="Arial" w:eastAsia="Arial" w:hAnsi="Arial"/>
          <w:sz w:val="17"/>
          <w:szCs w:val="17"/>
          <w:color w:val="auto"/>
        </w:rPr>
        <w:t>. Notwithstanding anything to the contrary in this Section 5.1, if the Borrower has any Unrestricted Subsidiaries as of the last date on which the financial statements or Annual Budget for any fiscal period are required to be delivered pursuant to Section 5.1(a), 5.1(b) or 5.1(c), then the Borrower will include, together with delivery of such financial statements or Annual Budget, consolidating information (which shall be audited or unaudited, as applicable) that shows in reasonable detail in accordance with GAAP the breakdown of assets and liabilities, and revenues and expenses, between the Borrower and the Subsidiaries, on the one hand, and the Unrestricted Subsidiaries, on the other hand, as of the dates and for the periods covered by such financial statements or Annual Budget.</w:t>
      </w:r>
    </w:p>
    <w:p>
      <w:pPr>
        <w:spacing w:after="0" w:line="177" w:lineRule="exact"/>
        <w:rPr>
          <w:rFonts w:ascii="Arial" w:cs="Arial" w:eastAsia="Arial" w:hAnsi="Arial"/>
          <w:sz w:val="17"/>
          <w:szCs w:val="17"/>
          <w:color w:val="auto"/>
        </w:rPr>
      </w:pPr>
    </w:p>
    <w:p>
      <w:pPr>
        <w:ind w:firstLine="1142"/>
        <w:spacing w:after="0" w:line="277" w:lineRule="auto"/>
        <w:tabs>
          <w:tab w:leader="none" w:pos="158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Together with each delivery of financial statements of the Borrower and the Subsidiaries and Unrestricted Subsidiaries pursuant to Sections 5.1(a) and 5.1(b), a duly executed and completed Compliance Certificate.</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Promptly upon an Executive Officer of the Borrower obtaining knowledge:</w:t>
      </w:r>
    </w:p>
    <w:p>
      <w:pPr>
        <w:spacing w:after="0" w:line="225" w:lineRule="exact"/>
        <w:rPr>
          <w:rFonts w:ascii="Arial" w:cs="Arial" w:eastAsia="Arial" w:hAnsi="Arial"/>
          <w:sz w:val="18"/>
          <w:szCs w:val="18"/>
          <w:color w:val="auto"/>
        </w:rPr>
      </w:pPr>
    </w:p>
    <w:p>
      <w:pPr>
        <w:ind w:left="2200" w:hanging="572"/>
        <w:spacing w:after="0"/>
        <w:tabs>
          <w:tab w:leader="none" w:pos="22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or</w:t>
      </w:r>
    </w:p>
    <w:p>
      <w:pPr>
        <w:spacing w:after="0" w:line="225" w:lineRule="exact"/>
        <w:rPr>
          <w:rFonts w:ascii="Arial" w:cs="Arial" w:eastAsia="Arial" w:hAnsi="Arial"/>
          <w:sz w:val="18"/>
          <w:szCs w:val="18"/>
          <w:color w:val="auto"/>
        </w:rPr>
      </w:pPr>
    </w:p>
    <w:p>
      <w:pPr>
        <w:ind w:left="1300" w:firstLine="328"/>
        <w:spacing w:after="0" w:line="277" w:lineRule="auto"/>
        <w:tabs>
          <w:tab w:leader="none" w:pos="236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of the occurrence of any event or change that has caused or evidences, either in any case or in the aggregate, a Material Adverse Effect;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certificate of an Authorized Officer of the Borrower specifying the nature and period of existence of such condition, event or change, or specifying the notice given and action taken by any such Person and the nature of such claimed Event of Default, Default, default, event or condition, and what action the Borrower has taken, is taking and proposes to take with respect thereto.</w:t>
      </w:r>
    </w:p>
    <w:p>
      <w:pPr>
        <w:spacing w:after="0" w:line="184" w:lineRule="exact"/>
        <w:rPr>
          <w:sz w:val="20"/>
          <w:szCs w:val="20"/>
          <w:color w:val="auto"/>
        </w:rPr>
      </w:pPr>
    </w:p>
    <w:p>
      <w:pPr>
        <w:ind w:left="1500" w:hanging="358"/>
        <w:spacing w:after="0"/>
        <w:tabs>
          <w:tab w:leader="none" w:pos="15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 of Litigation and Judgments</w:t>
      </w:r>
      <w:r>
        <w:rPr>
          <w:rFonts w:ascii="Arial" w:cs="Arial" w:eastAsia="Arial" w:hAnsi="Arial"/>
          <w:sz w:val="18"/>
          <w:szCs w:val="18"/>
          <w:color w:val="auto"/>
        </w:rPr>
        <w:t>. Promptly upon an Executive Officer of the Borrower obtaining knowledge of:</w:t>
      </w:r>
    </w:p>
    <w:p>
      <w:pPr>
        <w:spacing w:after="0" w:line="225" w:lineRule="exact"/>
        <w:rPr>
          <w:rFonts w:ascii="Arial" w:cs="Arial" w:eastAsia="Arial" w:hAnsi="Arial"/>
          <w:sz w:val="18"/>
          <w:szCs w:val="18"/>
          <w:color w:val="auto"/>
        </w:rPr>
      </w:pPr>
    </w:p>
    <w:p>
      <w:pPr>
        <w:ind w:left="1300" w:firstLine="328"/>
        <w:spacing w:after="0" w:line="277" w:lineRule="auto"/>
        <w:tabs>
          <w:tab w:leader="none" w:pos="185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institution of, or non-frivolous threat of, any Adverse Proceeding not previously disclosed in writing by the Borrower to the Administrative Agent; or</w:t>
      </w:r>
    </w:p>
    <w:p>
      <w:pPr>
        <w:spacing w:after="0" w:line="170" w:lineRule="exact"/>
        <w:rPr>
          <w:rFonts w:ascii="Arial" w:cs="Arial" w:eastAsia="Arial" w:hAnsi="Arial"/>
          <w:sz w:val="18"/>
          <w:szCs w:val="18"/>
          <w:color w:val="auto"/>
        </w:rPr>
      </w:pPr>
    </w:p>
    <w:p>
      <w:pPr>
        <w:ind w:left="1900" w:hanging="272"/>
        <w:spacing w:after="0"/>
        <w:tabs>
          <w:tab w:leader="none" w:pos="1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material development in any Adverse Proceeding or the entry of any judgment;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 if adversely determined could be reasonably expected to result in a Material Adverse Effect, written notice thereof by the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5" w:name="page116"/>
    <w:bookmarkEnd w:id="115"/>
    <w:p>
      <w:pPr>
        <w:jc w:val="both"/>
        <w:ind w:firstLine="1142"/>
        <w:spacing w:after="0" w:line="270" w:lineRule="auto"/>
        <w:tabs>
          <w:tab w:leader="none" w:pos="163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Notices of ERISA Events</w:t>
      </w:r>
      <w:r>
        <w:rPr>
          <w:rFonts w:ascii="Arial" w:cs="Arial" w:eastAsia="Arial" w:hAnsi="Arial"/>
          <w:sz w:val="17"/>
          <w:szCs w:val="17"/>
          <w:color w:val="auto"/>
        </w:rPr>
        <w:t>. (i) Promptly upon an Executive Officer of the Borrower becoming aware of the occurrence of or forthcoming occurrence of any ERISA Event that would reasonably be expected to result in a material liability, a written notice specifying the nature thereof, what action the Borrower or any Subsidiary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(A) each Schedule B (Actuarial Information) to the annual report (Form 5500 Series) filed by the Borrower or any Subsidiary or any of their respective ERISA Affiliates with the Internal Revenue Service with respect to each Pension Plan; (B) all notices received by the Borrower or any Subsidiary or any of their respective ERISA Affiliates from a Multiemployer Plan sponsor concerning an ERISA Event that would reasonably be expected to result in a Material Adverse Effect; and (C) copies of such other documents or governmental reports or filings relating to any Employee Benefit Plan as the Administrative Agent will reasonably request.</w:t>
      </w:r>
    </w:p>
    <w:p>
      <w:pPr>
        <w:spacing w:after="0" w:line="180" w:lineRule="exact"/>
        <w:rPr>
          <w:rFonts w:ascii="Arial" w:cs="Arial" w:eastAsia="Arial" w:hAnsi="Arial"/>
          <w:sz w:val="17"/>
          <w:szCs w:val="17"/>
          <w:color w:val="auto"/>
        </w:rPr>
      </w:pPr>
    </w:p>
    <w:p>
      <w:pPr>
        <w:ind w:left="1540" w:hanging="398"/>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52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The Borrower will deliver to the Administrative Agent, promptly upon request therefor, such other information and data with respect to the Borrower, any Subsidiary or any Unrestricted Subsidiary the Administrative Agent may from time to time reasonably request (including on behalf of any Lender) relating to the Loans.</w:t>
      </w:r>
    </w:p>
    <w:p>
      <w:pPr>
        <w:spacing w:after="0" w:line="183" w:lineRule="exact"/>
        <w:rPr>
          <w:rFonts w:ascii="Arial" w:cs="Arial" w:eastAsia="Arial" w:hAnsi="Arial"/>
          <w:sz w:val="18"/>
          <w:szCs w:val="18"/>
          <w:color w:val="auto"/>
        </w:rPr>
      </w:pPr>
    </w:p>
    <w:p>
      <w:pPr>
        <w:jc w:val="both"/>
        <w:ind w:firstLine="1142"/>
        <w:spacing w:after="0" w:line="269" w:lineRule="auto"/>
        <w:tabs>
          <w:tab w:leader="none" w:pos="1532"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Certification of Public Information</w:t>
      </w:r>
      <w:r>
        <w:rPr>
          <w:rFonts w:ascii="Arial" w:cs="Arial" w:eastAsia="Arial" w:hAnsi="Arial"/>
          <w:sz w:val="17"/>
          <w:szCs w:val="17"/>
          <w:color w:val="auto"/>
        </w:rPr>
        <w:t>. Concurrently with the delivery of any document or notice required to be delivered pursuant to this Section 5.1, the Borrower will indicate in writing whether such document or notice contains Nonpublic Information. The Borrower and each Lender acknowledge that certain of the Lenders may be “public-side” Lenders (Lenders that do not wish to receive Nonpublic Information, a “</w:t>
      </w:r>
      <w:r>
        <w:rPr>
          <w:rFonts w:ascii="Arial" w:cs="Arial" w:eastAsia="Arial" w:hAnsi="Arial"/>
          <w:sz w:val="17"/>
          <w:szCs w:val="17"/>
          <w:b w:val="1"/>
          <w:bCs w:val="1"/>
          <w:color w:val="auto"/>
        </w:rPr>
        <w:t>Public Lender</w:t>
      </w:r>
      <w:r>
        <w:rPr>
          <w:rFonts w:ascii="Arial" w:cs="Arial" w:eastAsia="Arial" w:hAnsi="Arial"/>
          <w:sz w:val="17"/>
          <w:szCs w:val="17"/>
          <w:color w:val="auto"/>
        </w:rPr>
        <w:t>”) and, if documents or notices required to be delivered pursuant to this Section 5.1 or otherwise are being distributed by Electronic Transmission (including, through IntraLinks/IntraAgency, SyndTrak or another relevant website or other information platform approved by the Administrative Agent (the “</w:t>
      </w:r>
      <w:r>
        <w:rPr>
          <w:rFonts w:ascii="Arial" w:cs="Arial" w:eastAsia="Arial" w:hAnsi="Arial"/>
          <w:sz w:val="17"/>
          <w:szCs w:val="17"/>
          <w:b w:val="1"/>
          <w:bCs w:val="1"/>
          <w:color w:val="auto"/>
        </w:rPr>
        <w:t>Platform</w:t>
      </w:r>
      <w:r>
        <w:rPr>
          <w:rFonts w:ascii="Arial" w:cs="Arial" w:eastAsia="Arial" w:hAnsi="Arial"/>
          <w:sz w:val="17"/>
          <w:szCs w:val="17"/>
          <w:color w:val="auto"/>
        </w:rPr>
        <w:t>”)), any document or notice that the Borrower has indicated contains Nonpublic Information will not be posted on that portion of the Platform designated for such public-side Lenders. If the Borrower has not indicated whether a document or notice delivered pursuant to this Section 5.1 contains Nonpublic Information, the Administrative Agent reserves the right to post such document or notice solely on that portion of the Platform designated for Lenders who wish to receive Nonpublic Information with respect to the Borrower and the Subsidiaries and their respective securities. Notwithstanding the foregoing or anything to the contrary in this Agreement, the following documentation, notices and information shall be deemed not to contain Nonpublic Information: (A) the Credit Documents, (B) notification of changes in the terms of the Credit Documents and (C) all information delivered pursuant to Section 5.1(a) or (b).</w:t>
      </w:r>
    </w:p>
    <w:p>
      <w:pPr>
        <w:spacing w:after="0" w:line="178" w:lineRule="exact"/>
        <w:rPr>
          <w:rFonts w:ascii="Arial" w:cs="Arial" w:eastAsia="Arial" w:hAnsi="Arial"/>
          <w:sz w:val="17"/>
          <w:szCs w:val="17"/>
          <w:color w:val="auto"/>
        </w:rPr>
      </w:pPr>
    </w:p>
    <w:p>
      <w:pPr>
        <w:ind w:left="1540" w:hanging="398"/>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Substitution of SEC Reports; Purchase Accounting</w:t>
      </w:r>
      <w:r>
        <w:rPr>
          <w:rFonts w:ascii="Arial" w:cs="Arial" w:eastAsia="Arial" w:hAnsi="Arial"/>
          <w:sz w:val="18"/>
          <w:szCs w:val="18"/>
          <w:color w:val="auto"/>
        </w:rPr>
        <w:t>. Notwithstanding anything to the contrary in this Section 5.1:</w:t>
      </w:r>
    </w:p>
    <w:p>
      <w:pPr>
        <w:spacing w:after="0" w:line="225" w:lineRule="exact"/>
        <w:rPr>
          <w:rFonts w:ascii="Arial" w:cs="Arial" w:eastAsia="Arial" w:hAnsi="Arial"/>
          <w:sz w:val="18"/>
          <w:szCs w:val="18"/>
          <w:color w:val="auto"/>
        </w:rPr>
      </w:pPr>
    </w:p>
    <w:p>
      <w:pPr>
        <w:jc w:val="both"/>
        <w:ind w:left="1140" w:firstLine="488"/>
        <w:spacing w:after="0" w:line="259" w:lineRule="auto"/>
        <w:tabs>
          <w:tab w:leader="none" w:pos="206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filing by the Borrower of a Form 10-K or Form 10-Q (or any successor or comparable forms) with the Securities and Exchange Commission (or any successor thereto) with respect to any Fiscal Year or Fiscal Quarter will be deemed to satisfy the obligations under Section 5.1(a) or 5.1(b), as applicable, as to the Credit Parties and Subsidiaries covered by such filing to deliver financial statements and a Narrative Report;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6" w:name="page117"/>
    <w:bookmarkEnd w:id="116"/>
    <w:p>
      <w:pPr>
        <w:jc w:val="both"/>
        <w:ind w:left="1140" w:firstLine="488"/>
        <w:spacing w:after="0" w:line="263" w:lineRule="auto"/>
        <w:tabs>
          <w:tab w:leader="none" w:pos="205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financial statements required to be delivered pursuant to Sections 5.1(a) or 5.1(b) will not be required to contain purchase accounting adjustments relating to the Transactions or any other any transaction(s) permitted hereunder (including Permitted Acquisitions or other Investments permitted under Section 6.6).</w:t>
      </w:r>
    </w:p>
    <w:p>
      <w:pPr>
        <w:spacing w:after="0" w:line="183" w:lineRule="exact"/>
        <w:rPr>
          <w:rFonts w:ascii="Arial" w:cs="Arial" w:eastAsia="Arial" w:hAnsi="Arial"/>
          <w:sz w:val="18"/>
          <w:szCs w:val="18"/>
          <w:color w:val="auto"/>
        </w:rPr>
      </w:pPr>
    </w:p>
    <w:p>
      <w:pPr>
        <w:jc w:val="both"/>
        <w:ind w:firstLine="1142"/>
        <w:spacing w:after="0" w:line="255" w:lineRule="auto"/>
        <w:tabs>
          <w:tab w:leader="none" w:pos="164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Confidentiality and Privilege</w:t>
      </w:r>
      <w:r>
        <w:rPr>
          <w:rFonts w:ascii="Arial" w:cs="Arial" w:eastAsia="Arial" w:hAnsi="Arial"/>
          <w:sz w:val="18"/>
          <w:szCs w:val="18"/>
          <w:color w:val="auto"/>
        </w:rPr>
        <w:t xml:space="preserve">. Notwithstanding anything to the contrary in any Credit Document, neither the Borrower nor any Subsidiary will be required to deliver or disclose to the Administrative Agent or any Lender any financial information or data (i) that constitutes non-financial trade secrets or non-financial proprietary information, (ii) in respect of which disclosure is prohibited by applicable Laws, (iii) that is subject to bona fide attorney client or similar privilege or constitutes attorney work product or (iv) the disclosure of which is prohibited by binding agreements not entered into primarily for the purpose of qualifying for the exclusion in this clause (iv);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foregoing will not limit the Borrower’s obligation to deliver financial statements or forecasts pursuant to Section 5.1(a), 5.1(b) and 5.1(c).</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5.2 Existence</w:t>
      </w:r>
      <w:r>
        <w:rPr>
          <w:rFonts w:ascii="Arial" w:cs="Arial" w:eastAsia="Arial" w:hAnsi="Arial"/>
          <w:sz w:val="18"/>
          <w:szCs w:val="18"/>
          <w:color w:val="auto"/>
        </w:rPr>
        <w:t>. Except as otherwise permitted under Section 6.8, each Credit Party will, and will cause each of the Subsidiaries to,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preserve and keep in full force and effect its existence and all rights (charter and statutory), franchises, licenses, permits and approvals unless (other than with respect to the preservation of the existence of the Borrower) the failure to do so would not reasonably be expected to have, individually or in the aggregate, a Material Adverse Effect.</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5.3 Payment of Taxes and Claims</w:t>
      </w:r>
      <w:r>
        <w:rPr>
          <w:rFonts w:ascii="Arial" w:cs="Arial" w:eastAsia="Arial" w:hAnsi="Arial"/>
          <w:sz w:val="17"/>
          <w:szCs w:val="17"/>
          <w:color w:val="auto"/>
        </w:rPr>
        <w:t>. The Borrower will, and will cause each of its Subsidiaries to, pay all Taxes before the same shall become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delinquent or in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Tax or claim need be paid if (x) it is being contested in good faith by appropriate proceedings promptly instituted and diligently conducted, so long as adequate reserve or other appropriate provision, as may be required pursuant to GAAP has been made therefor, or (y) the failure to do so would not reasonably be expected to have, individually or in the aggregate, a Material Adverse Effect.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5.4 Maintenance of Properties</w:t>
      </w:r>
      <w:r>
        <w:rPr>
          <w:rFonts w:ascii="Arial" w:cs="Arial" w:eastAsia="Arial" w:hAnsi="Arial"/>
          <w:sz w:val="18"/>
          <w:szCs w:val="18"/>
          <w:color w:val="auto"/>
        </w:rPr>
        <w:t>. Except as otherwise permitted under Section 6.8 or where the failure to do so would not reasonably be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individually or in the aggregate, a Material Adverse Effect, the Borrower will, and will cause each of the Subsidiaries to, maintain or cause to be maintained in good repair, working order and condition, ordinary wear and tear excepted, all properties that are necessary in the operation of the business of such Person and from time to time will make or cause to be made all necessary repairs, renewals and replacements thereof in Borrower’s reasonable discretion, and prosecute, protect, defend, preserve, maintain, renew and enforce all Intellectual Property (except to the extent the Borrower reasonably determines in good faith that (a) such actions are not necessary, (b) such Intellectual Property is not used in the conduct of the business of any Credit Party or (c) it is no longer economically practicable to maintain such Intellectual Property or the cost of such actions is excessive in relation to the value of such Intellectual Property).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ind w:left="660"/>
        <w:spacing w:after="0"/>
        <w:tabs>
          <w:tab w:leader="none" w:pos="10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7" w:lineRule="auto"/>
        <w:tabs>
          <w:tab w:leader="none" w:pos="16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Borrower will maintain or cause to be maintained, with financially sound and reputable unaffiliated insurers, such liability insurance, third party property damage insurance, business interruption insurance and casualty insurance with respect to liabilities, losses or damages in respect of the assets, properties and Business of the Borrower and the Subsidiaries as may customarily be carried or maintained under similar circumstances by Persons engaged in similar Business, in each case, in such amounts (giving effect to self-insurance), with such deductibles, covering such risks and otherwise on such terms and conditions as may be customary for such Persons. Without limiting the generality of the foregoing, the Borrower will maintain or cause to be maintained replacement value casualty insurance on the Collateral under such policies of insurance, with such insurance companies, in such amounts, with such deductibles, and covering such risks as are at all times carried or maintained under similar circumstances by Persons engaged in similar Business. Subject to Section 5.17, each such policy of insurance will, (i) in the case of liability insurance, name the Collateral Agent, on behalf of the Secured Parties, as an additional insured thereunder as its interests may appear and (ii) in the case of each casualty insurance policy, contain a lender loss payable clause or endorsement that names the Collateral Agent, on behalf of the Secured Parties, as the lender loss payee thereunder for any covered loss. To the extent that the requirements of this Section 5.5 are not satisfied on the Closing Date, the Borrower may satisfy such requirements within ninety (90) days of the Closing Date (as extended by the Administrative Agent in its reasonable discretion).</w:t>
      </w:r>
    </w:p>
    <w:p>
      <w:pPr>
        <w:spacing w:after="0" w:line="167" w:lineRule="exact"/>
        <w:rPr>
          <w:rFonts w:ascii="Arial" w:cs="Arial" w:eastAsia="Arial" w:hAnsi="Arial"/>
          <w:sz w:val="16"/>
          <w:szCs w:val="16"/>
          <w:color w:val="auto"/>
        </w:rPr>
      </w:pPr>
    </w:p>
    <w:p>
      <w:pPr>
        <w:jc w:val="both"/>
        <w:ind w:firstLine="1142"/>
        <w:spacing w:after="0" w:line="273" w:lineRule="auto"/>
        <w:tabs>
          <w:tab w:leader="none" w:pos="157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any portion of any improved Material Real Estate Asset subject to a Mortgage is at any time located in an area identified by the Federal Emergency Management Agency (or any successor agency) as a Special Flood Hazard Area with respect to which flood insurance has been made available under the National Flood Insurance Act of 1968 (as in effect on the Closing Date or thereafter or any successor act thereto), then the Borrower shall, or shall cause each applicable Credit Party to, (i) maintain, or cause to be maintained, with a financially sound and reputable insurer, flood insurance in an amount and otherwise sufficient to comply with all applicable rules and regulations promulgated pursuant to the Flood Insurance Laws and (ii) deliver to the Collateral Agent evidence of such compliance in form and substance reasonably acceptable to the Collateral Agent.</w:t>
      </w:r>
    </w:p>
    <w:p>
      <w:pPr>
        <w:spacing w:after="0" w:line="17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5.6 Books and Records; Inspections</w:t>
      </w:r>
      <w:r>
        <w:rPr>
          <w:rFonts w:ascii="Arial" w:cs="Arial" w:eastAsia="Arial" w:hAnsi="Arial"/>
          <w:sz w:val="16"/>
          <w:szCs w:val="16"/>
          <w:color w:val="auto"/>
        </w:rPr>
        <w:t>. Each Credit Party will, and the Borrower will cause each of the Subsidiaries to, keep proper books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record and accounts in accordance with GAAP in which full, true and correct entries will be made of all material dealings and transactions in relation to its business and activities. Subject to the last paragraph of Section 5.1, each Credit Party will, and the Borrower will cause each of the Subsidiaries to, permit the Administrative Agent and any Lender and their respective authorized representatives to visit and inspect any of the properties of such Person, to inspect and take extracts from its and their financial and accounting records, and to discuss its and their affairs, finances and accounts with its and their officers and independent public accountants (provided an authorized representative of the Borrower and its Subsidiaries shall be allowed to be present), all upon reasonable notice and at such reasonable times during normal business hours and as often as may reasonably be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unless an Event of Default has occurred and is continuing, only the Administrative Agent on behalf of the Lenders may exercise rights under this Section 5.6;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unless an Event of Default has occurred and be continuing, the Administrative Agent shall not exercise such rights more often than two</w:t>
      </w:r>
    </w:p>
    <w:p>
      <w:pPr>
        <w:spacing w:after="0" w:line="3" w:lineRule="exact"/>
        <w:rPr>
          <w:sz w:val="20"/>
          <w:szCs w:val="20"/>
          <w:color w:val="auto"/>
        </w:rPr>
      </w:pPr>
    </w:p>
    <w:p>
      <w:pPr>
        <w:jc w:val="both"/>
        <w:ind w:firstLine="8"/>
        <w:spacing w:after="0" w:line="253" w:lineRule="auto"/>
        <w:tabs>
          <w:tab w:leader="none" w:pos="2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times during any calendar year and only one (1) such time shall be at the Borrower’s expense and (b)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indemnity, non-reliance letter or other than requirements of such accountants.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5.7 Compliance with Laws</w:t>
      </w:r>
      <w:r>
        <w:rPr>
          <w:rFonts w:ascii="Arial" w:cs="Arial" w:eastAsia="Arial" w:hAnsi="Arial"/>
          <w:sz w:val="17"/>
          <w:szCs w:val="17"/>
          <w:color w:val="auto"/>
        </w:rPr>
        <w:t>. The Borrower will comply, and will cause each of the Subsidiaries to comply, with the requirements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rules, regulations and orders of any Governmental Authority (including all applicable Environmental Laws and ERISA, but excluding Export Controls and Anti-Money Laundering Laws), noncompliance with which would reasonably be expected to have, individually or in the aggregate, a Material Adverse Effect. The Borrower will comply, and will cause each of the Subsidiaries to comply, in all material respects with the requirements of all Export Controls, Anti-Money Laundering Laws, the FCPA, and other applicable Anti-Corruption Laws.</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5.8 Anti-Money Laundering Laws and Anti-Corruption Laws</w:t>
      </w:r>
      <w:r>
        <w:rPr>
          <w:rFonts w:ascii="Arial" w:cs="Arial" w:eastAsia="Arial" w:hAnsi="Arial"/>
          <w:sz w:val="18"/>
          <w:szCs w:val="18"/>
          <w:color w:val="auto"/>
        </w:rPr>
        <w:t>. The Borrower will maintain in effect and enforce, and will procure that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Subsidiaries maintains in effect and enforces, policies, procedures and internal controls reasonably designed to promote and achieve continued compliance by the Borrower, the Subsidiaries and their respective directors, officers, and employees with Anti-Money Laundering Laws and Anti-Corruption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left="660"/>
        <w:spacing w:after="0"/>
        <w:tabs>
          <w:tab w:leader="none" w:pos="10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Additional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311" w:lineRule="auto"/>
        <w:tabs>
          <w:tab w:leader="none" w:pos="160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the event that any Person becomes a Subsidiary (which, for purposes of the foregoing reference to “Subsidiary” only, will be deemed to include an Unrestricted Subsidiary) of the Borrower (including pursuant to a Delaware LLC Division), such Person will be deemed to be a Subsidiary hereunder until such time as the Borrower has designated such Subsidiary as an Unrestricted Subsidiary in accordance with the terms hereof.</w:t>
      </w:r>
    </w:p>
    <w:p>
      <w:pPr>
        <w:spacing w:after="0" w:line="148" w:lineRule="exact"/>
        <w:rPr>
          <w:rFonts w:ascii="Arial" w:cs="Arial" w:eastAsia="Arial" w:hAnsi="Arial"/>
          <w:sz w:val="16"/>
          <w:szCs w:val="16"/>
          <w:color w:val="auto"/>
        </w:rPr>
      </w:pPr>
    </w:p>
    <w:p>
      <w:pPr>
        <w:ind w:firstLine="1142"/>
        <w:spacing w:after="0" w:line="308" w:lineRule="auto"/>
        <w:tabs>
          <w:tab w:leader="none" w:pos="156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the event that any Person becomes (including pursuant to a Delaware LLC Division) a Subsidiary of the Borrower (other than an Excluded Subsidiary), the Borrower will, within sixty 60 days (or such longer time as the Administrative Agent may agree in its sole discretion):</w:t>
      </w:r>
    </w:p>
    <w:p>
      <w:pPr>
        <w:spacing w:after="0" w:line="146" w:lineRule="exact"/>
        <w:rPr>
          <w:rFonts w:ascii="Arial" w:cs="Arial" w:eastAsia="Arial" w:hAnsi="Arial"/>
          <w:sz w:val="17"/>
          <w:szCs w:val="17"/>
          <w:color w:val="auto"/>
        </w:rPr>
      </w:pPr>
    </w:p>
    <w:p>
      <w:pPr>
        <w:jc w:val="both"/>
        <w:ind w:left="1140" w:firstLine="488"/>
        <w:spacing w:after="0" w:line="293" w:lineRule="auto"/>
        <w:tabs>
          <w:tab w:leader="none" w:pos="200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cause such Subsidiary to become a Guarantor hereunder and a Grantor under the Pledge and Security Agreement by executing and delivering to the Administrative Agent and the Collateral Agent a Counterpart Agreement and such other Collateral Documents (including the deliverables set forth in Section 5.11 below) and an acknowledgement to any Pari Passu Lien Intercreditor Agreement or Junior Lien Intercreditor Agreement then applicable, in each case as may be reasonably requested by the Collateral Agent and take and cause such Subsidiary to take such actions (including the actions set forth in Section 5.11 below) as are required by the Collateral Documents or are reasonably requested by the Collateral Agent to perfect the security interests created by the Collateral Documents;</w:t>
      </w:r>
    </w:p>
    <w:p>
      <w:pPr>
        <w:spacing w:after="0" w:line="164" w:lineRule="exact"/>
        <w:rPr>
          <w:rFonts w:ascii="Arial" w:cs="Arial" w:eastAsia="Arial" w:hAnsi="Arial"/>
          <w:sz w:val="16"/>
          <w:szCs w:val="16"/>
          <w:color w:val="auto"/>
        </w:rPr>
      </w:pPr>
    </w:p>
    <w:p>
      <w:pPr>
        <w:jc w:val="both"/>
        <w:ind w:left="1140" w:firstLine="488"/>
        <w:spacing w:after="0" w:line="263" w:lineRule="auto"/>
        <w:tabs>
          <w:tab w:leader="none" w:pos="203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upon reasonable request by the Administrative Agent, take all such actions and execute and deliver, or cause to be executed and delivered, all appropriate resolutions, secretary certificates, certified Organizational Documents and customary legal opinions relating to the matters described in this Section 5.10(b); and</w:t>
      </w:r>
    </w:p>
    <w:p>
      <w:pPr>
        <w:spacing w:after="0" w:line="183" w:lineRule="exact"/>
        <w:rPr>
          <w:rFonts w:ascii="Arial" w:cs="Arial" w:eastAsia="Arial" w:hAnsi="Arial"/>
          <w:sz w:val="18"/>
          <w:szCs w:val="18"/>
          <w:color w:val="auto"/>
        </w:rPr>
      </w:pPr>
    </w:p>
    <w:p>
      <w:pPr>
        <w:ind w:left="1140" w:firstLine="488"/>
        <w:spacing w:after="0" w:line="277" w:lineRule="auto"/>
        <w:tabs>
          <w:tab w:leader="none" w:pos="217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to the extent any applicable information is required to be disclosed, deliver to the Administrative Agent a supplement to </w:t>
      </w:r>
      <w:r>
        <w:rPr>
          <w:rFonts w:ascii="Arial" w:cs="Arial" w:eastAsia="Arial" w:hAnsi="Arial"/>
          <w:sz w:val="18"/>
          <w:szCs w:val="18"/>
          <w:u w:val="single" w:color="auto"/>
          <w:color w:val="auto"/>
        </w:rPr>
        <w:t>Schedule 4.10(b)</w:t>
      </w:r>
      <w:r>
        <w:rPr>
          <w:rFonts w:ascii="Arial" w:cs="Arial" w:eastAsia="Arial" w:hAnsi="Arial"/>
          <w:sz w:val="18"/>
          <w:szCs w:val="18"/>
          <w:color w:val="auto"/>
        </w:rPr>
        <w:t xml:space="preserve">, which will be deemed to supplement </w:t>
      </w:r>
      <w:r>
        <w:rPr>
          <w:rFonts w:ascii="Arial" w:cs="Arial" w:eastAsia="Arial" w:hAnsi="Arial"/>
          <w:sz w:val="18"/>
          <w:szCs w:val="18"/>
          <w:u w:val="single" w:color="auto"/>
          <w:color w:val="auto"/>
        </w:rPr>
        <w:t>Schedule 4.10(b)</w:t>
      </w:r>
      <w:r>
        <w:rPr>
          <w:rFonts w:ascii="Arial" w:cs="Arial" w:eastAsia="Arial" w:hAnsi="Arial"/>
          <w:sz w:val="18"/>
          <w:szCs w:val="18"/>
          <w:color w:val="auto"/>
        </w:rPr>
        <w:t xml:space="preserve"> for all purposes hereof.</w:t>
      </w:r>
    </w:p>
    <w:p>
      <w:pPr>
        <w:spacing w:after="0" w:line="170" w:lineRule="exact"/>
        <w:rPr>
          <w:rFonts w:ascii="Arial" w:cs="Arial" w:eastAsia="Arial" w:hAnsi="Arial"/>
          <w:sz w:val="18"/>
          <w:szCs w:val="18"/>
          <w:color w:val="auto"/>
        </w:rPr>
      </w:pPr>
    </w:p>
    <w:p>
      <w:pPr>
        <w:jc w:val="both"/>
        <w:ind w:firstLine="1142"/>
        <w:spacing w:after="0" w:line="288" w:lineRule="auto"/>
        <w:tabs>
          <w:tab w:leader="none" w:pos="153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In the event that any Person becomes an Excluded Foreign Subsidiary of the Borrower, and the ownership interests of such Excluded Foreign Subsidiary are owned directly by the Borrower or by any Guarantor Subsidiary, the Borrower will, or will cause such Guarantor Subsidiary to (in the absence of any other applicable limitation hereunder), within sixty (60) days (or such longer time as the Administrative Agent may agree in its sole discretion), deliver all such applicable documents, instruments and agreements necessary in the reasonable determination of the Administrative Agent to grant to the Collateral Agent a perfected Lien in such ownership interests in favor of the Collateral Agent, for the benefit of the Secured Parties, under the Pledge and Security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will more than 65.0% of the Voting Capital Stock of any such Excluded Foreign Subsidiary be required to be delivered or granted or perfected as a Lien for the benefit of the Secured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no event will the Borrower or any Subsidiary be required to execute any document, instrument or agreement, complete any filing or take any other action (i) with respect to the creation or perfection of the Collateral Agent’s security interest in such ownership interests in any jurisdiction outside of the United States or any State thereof, (ii) that would violate applicable Law or (iii) that would provide any Lien in respect of Excluded Assets (as defined in the Pledge and Security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648"/>
        <w:spacing w:after="0" w:line="284" w:lineRule="auto"/>
        <w:rPr>
          <w:sz w:val="20"/>
          <w:szCs w:val="20"/>
          <w:color w:val="auto"/>
        </w:rPr>
      </w:pPr>
      <w:r>
        <w:rPr>
          <w:rFonts w:ascii="Arial" w:cs="Arial" w:eastAsia="Arial" w:hAnsi="Arial"/>
          <w:sz w:val="16"/>
          <w:szCs w:val="16"/>
          <w:b w:val="1"/>
          <w:bCs w:val="1"/>
          <w:color w:val="auto"/>
        </w:rPr>
        <w:t>5.11 Material Real Estate Assets</w:t>
      </w:r>
      <w:r>
        <w:rPr>
          <w:rFonts w:ascii="Arial" w:cs="Arial" w:eastAsia="Arial" w:hAnsi="Arial"/>
          <w:sz w:val="16"/>
          <w:szCs w:val="16"/>
          <w:color w:val="auto"/>
        </w:rPr>
        <w:t>. In the event that any Credit Party acquires a Material Real Estate Asset or an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discovers that a Real Estate Asset (other than Excluded Real Estate Assets) owned on the Closing Date becomes a Material Real Estate Asset and such interest has not otherwise been made subject to the Lien of the Collateral Documents in favor of the Collateral Agent, for the benefit of the Secured Parties, then such Credit Party, no later than ninety (90) days (or such later date agreed to by the Administrative Agent) following the acquisition of such Material Real Estate Asset or such discovery, will take all such actions and execute and deliver, or cause to be executed and delivered, all such applicable Mortgages covering, among other things, such interest in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property that is to be subject to a Mortgage is located in a jurisdiction which imposes mortgage recording taxes, intangibles tax, documentary tax or similar tax, if such tax will be owed on the entire amount of the indebtedness evidenced hereby, the Collateral Agent will, to the extent permitted by applicable law, limit the amount secured by the Mortgage to the fair market value of the Material Real Estate Asset at the time the Mortgage is entered into if such limitation results in such tax being calculated based upon such fair market value as reasonably determined by Borrower in good faith and without requirement of delivery of an appraisal or other third-party valuation), title insurance policies and endorsements thereto reasonably requested by the Collateral Agent and to the extent available in the applicable jurisdiction at reasonable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title insurance amounts shall not exceed the reasonably ascertainable fair market value of the applicable Material Real Estate Asset) based on readily available information, appraisals (solely to the extent required under the FIRREA), Phase I environmental assessments (to the extent reasonably requested by the Collateral Agent), A.L.T.A. survey plans (provided that new or updated surveys will not be required if an existing survey, ExpressMap or other similar documentation is available and together with customary affidavits from the applicable Credit Party is sufficient for the title insurer to remove the general survey exception and issue customary survey-based endorsements attached to the title insurance policies without the need for such new or updated surveys), “Life-of Loan” Federal Emergency Management Agency Standard Flood Hazard Determinations under Regulation H of the Federal Reserve Board (together with evidence of flood insurance for any improved Material Real Estate Asset located in a flood hazard area to the extent required by the Flood Insurance Laws, and in accordance with Section 5.5(b) hereof), customary legal opinions regarding the security interest created by the applicable Mortgage, certificates and documentation that the Administrative Agent reasonably requires to create in favor of the Collateral Agent, for the benefit of the Secured Parties, a valid and perfected lien and security interest in such Material Real Estate Assets, with each of the foregoing documents in form and substance reasonably satisfactory to the Collateral Agent.</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5.12 Further Assurances</w:t>
      </w:r>
      <w:r>
        <w:rPr>
          <w:rFonts w:ascii="Arial" w:cs="Arial" w:eastAsia="Arial" w:hAnsi="Arial"/>
          <w:sz w:val="18"/>
          <w:szCs w:val="18"/>
          <w:color w:val="auto"/>
        </w:rPr>
        <w:t>. At any time or from time to time upon the request of the Administrative Agent, each Credit Party will, at its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execute, acknowledge and deliver such further documents and do such other acts and things as the Administrative Agent or the Collateral Agent may reasonably request in order to effect fully the purposes of the Credit Documents. In furtherance and not in limitation of the foregoing, each Credit Party will take such actions as the Administrative Agent or the Collateral Agent may reasonably request from time to time to ensure that the Obligations are guaranteed by the Guarantors and are secured by the Collateral, including all of the outstanding Capital Stock of the Borrower and each of the Subsidiaries to the extent constituting Collateral.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5.13 Designation of Subsidiaries and Unrestricted Subsidiaries</w:t>
      </w:r>
      <w:r>
        <w:rPr>
          <w:rFonts w:ascii="Arial" w:cs="Arial" w:eastAsia="Arial" w:hAnsi="Arial"/>
          <w:sz w:val="18"/>
          <w:szCs w:val="18"/>
          <w:color w:val="auto"/>
        </w:rPr>
        <w:t>. The Borrower may designate any Subsidiary as an Unrestricted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re-designate any Unrestricted Subsidiary as a Subsidiary, in each case, so long as immediately before and after giving effect to such designation or re-designation, (a) no Default or Event of Default will have occurred and be continuing or would immediately result therefrom and (b) the Borrower and its Subsidiaries are in compliance on a Pro Forma Basis with a Total Net Leverage Ratio not to exceed 1.82:1.00;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Subsidiary may be designated as an Unrestricted Subsidiary if such Subsidiary or any of its Subsidiaries owns any equity interests of, or owns or holds any Lien on any property of, the Borrower or any other Subsidiary of the Borrower that is not a Subsidiary of the Subsidiary to be so designated and (ii) the Investment resulting from the designation of such Subsidiary as an Unrestricted Subsidiary as described in the definition of “Unrestricted Subsidiary” shall be permitted by Section 6.6.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648"/>
        <w:spacing w:after="0" w:line="277" w:lineRule="auto"/>
        <w:rPr>
          <w:sz w:val="20"/>
          <w:szCs w:val="20"/>
          <w:color w:val="auto"/>
        </w:rPr>
      </w:pPr>
      <w:r>
        <w:rPr>
          <w:rFonts w:ascii="Arial" w:cs="Arial" w:eastAsia="Arial" w:hAnsi="Arial"/>
          <w:sz w:val="17"/>
          <w:szCs w:val="17"/>
          <w:b w:val="1"/>
          <w:bCs w:val="1"/>
          <w:color w:val="auto"/>
        </w:rPr>
        <w:t>5.14 Annual Lender Calls</w:t>
      </w:r>
      <w:r>
        <w:rPr>
          <w:rFonts w:ascii="Arial" w:cs="Arial" w:eastAsia="Arial" w:hAnsi="Arial"/>
          <w:sz w:val="17"/>
          <w:szCs w:val="17"/>
          <w:color w:val="auto"/>
        </w:rPr>
        <w:t>. Annually, at a time to be mutually agreed with, and at the written request of, the Administrative Agent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after the delivery of the information required pursuant to Section 5.1(a) above, the Borrower will participate in a conference call for Lenders to discuss the financial condition and results of operations of the Borrower and the Subsidiaries for the most recently-ended Fiscal Year for which financial statements have been delivered, which requirement shall be satisfied by the Borrower’s routine earnings call in connection with the filing by the Borrower of a Form 10-K (or any successor or comparable forms) with the Securities and Exchange Commission (or any successor thereto).</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5.15 Maintenance of Ratings</w:t>
      </w:r>
      <w:r>
        <w:rPr>
          <w:rFonts w:ascii="Arial" w:cs="Arial" w:eastAsia="Arial" w:hAnsi="Arial"/>
          <w:sz w:val="18"/>
          <w:szCs w:val="18"/>
          <w:color w:val="auto"/>
        </w:rPr>
        <w:t>. The Borrower will use commercially reasonable efforts to maintain (a) a public corporate credit rating (but not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rating) from S&amp;P and a public corporate family rating (but not a specific rating) from Moody’s, in each case in respect of the Borrower, and (b) a public rating (but not a specific rating) in respect of the credit facilities (other than the Term C Loans) provided to the Borrower under this Agreement from each of S&amp;P and Moody’s.</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5.16 Use of Proceeds</w:t>
      </w:r>
      <w:r>
        <w:rPr>
          <w:rFonts w:ascii="Arial" w:cs="Arial" w:eastAsia="Arial" w:hAnsi="Arial"/>
          <w:sz w:val="17"/>
          <w:szCs w:val="17"/>
          <w:color w:val="auto"/>
        </w:rPr>
        <w:t>. All proceeds of the Loans will be used in accordance with Section 2.6 (including that no part of the proceeds of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used, whether directly or indirectly, for any purpose that would entail a violation of Regulation T, Regulation U or Regulation X).</w:t>
      </w:r>
    </w:p>
    <w:p>
      <w:pPr>
        <w:spacing w:after="0" w:line="14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5.17 Post-Closing Matters</w:t>
      </w:r>
      <w:r>
        <w:rPr>
          <w:rFonts w:ascii="Arial" w:cs="Arial" w:eastAsia="Arial" w:hAnsi="Arial"/>
          <w:sz w:val="17"/>
          <w:szCs w:val="17"/>
          <w:color w:val="auto"/>
        </w:rPr>
        <w:t>. The Borrower will, and will cause each of the Subsidiaries to, take each of the actions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5.17</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time period prescribed therefor on such schedule (as such time period may be extended by the Administrative Agent).</w:t>
      </w:r>
    </w:p>
    <w:p>
      <w:pPr>
        <w:spacing w:after="0" w:line="14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6.</w:t>
        <w:tab/>
        <w:t>NEGATIVE 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Borrower and each Guarantor Subsidiary covenants and agrees that so long as the Commitments have not been terminated and until the principal of and interest on each Loan, all fees and all other expenses or amounts payable under any Credit Document (other than amounts in respect of indemnification, expense reimbursement, yield protection or tax gross-up and contingent obligations, in each case that are not then owing or with respect to which no claim has been made) have been paid in full and the Borrower will cause each Subsidiary to perform (to the extent applicable to such Subsidiary), all covenants in this Section 6.</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6.1 Indebtedness</w:t>
      </w:r>
      <w:r>
        <w:rPr>
          <w:rFonts w:ascii="Arial" w:cs="Arial" w:eastAsia="Arial" w:hAnsi="Arial"/>
          <w:sz w:val="18"/>
          <w:szCs w:val="18"/>
          <w:color w:val="auto"/>
        </w:rPr>
        <w:t>. The Borrower will not, nor will it permit any Subsidiary to, directly or indirectly, create, incur, assume or guaranty,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become directly or indirectly liable with respect to any Indebtedness, except:</w:t>
      </w:r>
    </w:p>
    <w:p>
      <w:pPr>
        <w:spacing w:after="0" w:line="166" w:lineRule="exact"/>
        <w:rPr>
          <w:sz w:val="20"/>
          <w:szCs w:val="20"/>
          <w:color w:val="auto"/>
        </w:rPr>
      </w:pPr>
    </w:p>
    <w:p>
      <w:pPr>
        <w:ind w:firstLine="1142"/>
        <w:spacing w:after="0" w:line="277" w:lineRule="auto"/>
        <w:tabs>
          <w:tab w:leader="none" w:pos="15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Obligations (including Incremental Facilities, Refinancing Term Loans, Extended Term Loans, all obligations arising under any Secured Rate Contract and all Bank Product Obligations, in each case to the extent constituting Obligations);</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5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Subsidiary in existence on the Closing Date and, to the extent that any such item of Indebtedness has an aggregate outstanding principal amount in excess of $5,000,000 (other than intercompany Indebtedness), such Indebtedness shall be described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ind w:firstLine="1142"/>
        <w:spacing w:after="0" w:line="254" w:lineRule="auto"/>
        <w:tabs>
          <w:tab w:leader="none" w:pos="159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Subsidiary with respect to Capital Leases and Purchase Money Indebtedness in an aggregate amount at any time outstanding not to exceed the greater of (1) $30,000,000 and (2) an amount equal to 15% of LTM Consolidated Adjusted EBITDA, in each case determined at the time of incurrence (but not any refinancings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issued and any Liens securing such Indebtedness are created within 270 days after the acquisition, construction, lease or improvement of the asset financed and (ii) any such Indebtedness is secured only by the asset acquired, constructed, leased or improved in connection with the incurrence of such Indebtedness or proceeds thereof and related property (and any improvements, accessions, proceeds, dividends or distributions in respect thereof and assets fixed or appurtenant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individual financings provided by a lender or group of lenders may be cross collateralized to other financings provided by such lender or</w:t>
      </w:r>
      <w:r>
        <w:rPr>
          <w:rFonts w:ascii="Arial" w:cs="Arial" w:eastAsia="Arial" w:hAnsi="Arial"/>
          <w:sz w:val="18"/>
          <w:szCs w:val="18"/>
          <w:i w:val="1"/>
          <w:iCs w:val="1"/>
          <w:color w:val="auto"/>
        </w:rPr>
        <w:t xml:space="preserve"> </w:t>
      </w:r>
      <w:r>
        <w:rPr>
          <w:rFonts w:ascii="Arial" w:cs="Arial" w:eastAsia="Arial" w:hAnsi="Arial"/>
          <w:sz w:val="18"/>
          <w:szCs w:val="18"/>
          <w:color w:val="auto"/>
        </w:rPr>
        <w:t>group;</w:t>
      </w:r>
    </w:p>
    <w:p>
      <w:pPr>
        <w:spacing w:after="0" w:line="191" w:lineRule="exact"/>
        <w:rPr>
          <w:rFonts w:ascii="Arial" w:cs="Arial" w:eastAsia="Arial" w:hAnsi="Arial"/>
          <w:sz w:val="18"/>
          <w:szCs w:val="18"/>
          <w:color w:val="auto"/>
        </w:rPr>
      </w:pPr>
    </w:p>
    <w:p>
      <w:pPr>
        <w:ind w:left="1520" w:hanging="378"/>
        <w:spacing w:after="0"/>
        <w:tabs>
          <w:tab w:leader="none" w:pos="15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Indebtedness in respect of Rate Contracts entered into for non-speculative purposes;</w:t>
      </w:r>
    </w:p>
    <w:p>
      <w:pPr>
        <w:spacing w:after="0" w:line="225" w:lineRule="exact"/>
        <w:rPr>
          <w:rFonts w:ascii="Arial" w:cs="Arial" w:eastAsia="Arial" w:hAnsi="Arial"/>
          <w:sz w:val="18"/>
          <w:szCs w:val="18"/>
          <w:color w:val="auto"/>
        </w:rPr>
      </w:pPr>
    </w:p>
    <w:p>
      <w:pPr>
        <w:jc w:val="both"/>
        <w:ind w:firstLine="1142"/>
        <w:spacing w:after="0" w:line="257" w:lineRule="auto"/>
        <w:tabs>
          <w:tab w:leader="none" w:pos="159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Indebtedness of any Subsidiary owing to the Borrower or to any other Subsidiary, or of the Borrower owing to any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all such Indebtedness owed by a Credit Party to a Subsidiary that is not a Guarantor Subsidiary is subordinated in right of payment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on terms no less favorable than the subordination provisions contained in the Global Intercompany Note attached as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and (ii) in the case of any Indebtedness of any such Subsidiary that is not a Guarantor Subsidiary owing to the Borrower or any Guarantor Subsidiary, such Indebtedness is permitted under Section 6.6;</w:t>
      </w:r>
    </w:p>
    <w:p>
      <w:pPr>
        <w:spacing w:after="0" w:line="187" w:lineRule="exact"/>
        <w:rPr>
          <w:rFonts w:ascii="Arial" w:cs="Arial" w:eastAsia="Arial" w:hAnsi="Arial"/>
          <w:sz w:val="18"/>
          <w:szCs w:val="18"/>
          <w:color w:val="auto"/>
        </w:rPr>
      </w:pPr>
    </w:p>
    <w:p>
      <w:pPr>
        <w:ind w:left="1540" w:hanging="398"/>
        <w:spacing w:after="0"/>
        <w:tabs>
          <w:tab w:leader="none" w:pos="1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Incremental Equivalent Debt;</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Credit Agreement Refinancing Indebtedness that does not constitute Obligations;</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Permitted Ratio Debt;</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57" w:lineRule="auto"/>
        <w:tabs>
          <w:tab w:leader="none" w:pos="157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Indebtedness of a Person or Indebtedness attaching to assets of a Person that, in either case, becomes a Subsidiary, or Indebtedness attaching solely to assets that are acquired by the Borrower or any Subsidiary, in each case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existed at the time such Person became a Subsidiary or at the time such assets were acquired and, in each case, was not created in anticipation or contemplation thereof and (ii) such Indebtedness is not guaranteed by the Borrower or any of its Subsidiaries (other than by any Person that becomes a Subsidiary in connection with the foregoing and its Subsidiaries);</w:t>
      </w:r>
    </w:p>
    <w:p>
      <w:pPr>
        <w:spacing w:after="0" w:line="187" w:lineRule="exact"/>
        <w:rPr>
          <w:rFonts w:ascii="Arial" w:cs="Arial" w:eastAsia="Arial" w:hAnsi="Arial"/>
          <w:sz w:val="18"/>
          <w:szCs w:val="18"/>
          <w:color w:val="auto"/>
        </w:rPr>
      </w:pPr>
    </w:p>
    <w:p>
      <w:pPr>
        <w:jc w:val="both"/>
        <w:ind w:firstLine="1142"/>
        <w:spacing w:after="0" w:line="275" w:lineRule="auto"/>
        <w:tabs>
          <w:tab w:leader="none" w:pos="163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Indebtedness incurred by the Borrower or any Subsidiary in the form of indemnification, incentive, non-compete, consulting, adjustment of purchase price or similar obligations (including “earn-outs” or similar obligations in connection with acquisitions) and other contingent obligations (other than in respect of Indebtedness for borrowed money of another Person), or guaranty securing the performance of the Borrower or any Subsidiary (both before and after liability associated therewith becomes fixed), in each case, pursuant to any agreement entered into in connection with dispositions or acquisitions (including Permitted Acquisitions and other permitted Investments) of any business, assets or Subsidiary;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2" w:name="page123"/>
    <w:bookmarkEnd w:id="122"/>
    <w:p>
      <w:pPr>
        <w:jc w:val="both"/>
        <w:ind w:firstLine="1142"/>
        <w:spacing w:after="0" w:line="257" w:lineRule="auto"/>
        <w:tabs>
          <w:tab w:leader="none" w:pos="170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pursuant to any guaranties, performance, surety, statutory, appeal or similar bonds or obligations incurred in the ordinary course of business or any bankers’ acceptance, bank guarantees, letter of credit, warehouse receipt or similar facilities (including in respect of workers compensation claims, health, disability or other employee benefits or property, casualty or liability insurance or self-insurance or other Indebtedness with respect to reimbursement-type obligations regarding workers compensation claims) or tenant improvement loans incurred in the ordinary course of business;</w:t>
      </w:r>
    </w:p>
    <w:p>
      <w:pPr>
        <w:spacing w:after="0" w:line="187" w:lineRule="exact"/>
        <w:rPr>
          <w:rFonts w:ascii="Arial" w:cs="Arial" w:eastAsia="Arial" w:hAnsi="Arial"/>
          <w:sz w:val="18"/>
          <w:szCs w:val="18"/>
          <w:color w:val="auto"/>
        </w:rPr>
      </w:pPr>
    </w:p>
    <w:p>
      <w:pPr>
        <w:ind w:firstLine="1142"/>
        <w:spacing w:after="0" w:line="277" w:lineRule="auto"/>
        <w:tabs>
          <w:tab w:leader="none" w:pos="154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guaranties of the obligations of suppliers, customers, franchisees, lessors and licensees of the Borrower or any Subsidiary incurred in the ordinary course of business;</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Indebtedness of the Borrower or any Subsidiary in connection with Bank Products incurred in the ordinary course of business;</w:t>
      </w:r>
    </w:p>
    <w:p>
      <w:pPr>
        <w:spacing w:after="0" w:line="236" w:lineRule="exact"/>
        <w:rPr>
          <w:rFonts w:ascii="Arial" w:cs="Arial" w:eastAsia="Arial" w:hAnsi="Arial"/>
          <w:sz w:val="17"/>
          <w:szCs w:val="17"/>
          <w:color w:val="auto"/>
        </w:rPr>
      </w:pPr>
    </w:p>
    <w:p>
      <w:pPr>
        <w:ind w:left="1620" w:hanging="478"/>
        <w:spacing w:after="0"/>
        <w:tabs>
          <w:tab w:leader="none" w:pos="16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Indebtedness owing to any unaffiliated insurance company or a financing company in connection with the financing of insurance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premiums;</w:t>
      </w:r>
    </w:p>
    <w:p>
      <w:pPr>
        <w:spacing w:after="0" w:line="210" w:lineRule="exact"/>
        <w:rPr>
          <w:rFonts w:ascii="Arial" w:cs="Arial" w:eastAsia="Arial" w:hAnsi="Arial"/>
          <w:sz w:val="17"/>
          <w:szCs w:val="17"/>
          <w:color w:val="auto"/>
        </w:rPr>
      </w:pPr>
    </w:p>
    <w:p>
      <w:pPr>
        <w:jc w:val="both"/>
        <w:ind w:firstLine="1142"/>
        <w:spacing w:after="0" w:line="286" w:lineRule="auto"/>
        <w:tabs>
          <w:tab w:leader="none" w:pos="152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Indebtedness incurred or assumed by the Borrower or any Subsidiary in connection with a Permitted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 the case of such Indebtedness that is assumed, such Indebtedness was not created in anticipation or contemplation of such Permitted Acquisition and (ii) in the case of any such Indebtedness that is incurred, such Indebtedness would qualify as Permitted Ratio Debt;</w:t>
      </w:r>
    </w:p>
    <w:p>
      <w:pPr>
        <w:spacing w:after="0" w:line="165" w:lineRule="exact"/>
        <w:rPr>
          <w:rFonts w:ascii="Arial" w:cs="Arial" w:eastAsia="Arial" w:hAnsi="Arial"/>
          <w:sz w:val="17"/>
          <w:szCs w:val="17"/>
          <w:color w:val="auto"/>
        </w:rPr>
      </w:pPr>
    </w:p>
    <w:p>
      <w:pPr>
        <w:ind w:left="1560" w:hanging="418"/>
        <w:spacing w:after="0"/>
        <w:tabs>
          <w:tab w:leader="none" w:pos="15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the extent constituting Indebtedness, Investments permitted under Section 6.6 (other than under Section 6.6(n) or 6.6(q));</w:t>
      </w:r>
    </w:p>
    <w:p>
      <w:pPr>
        <w:spacing w:after="0" w:line="236" w:lineRule="exact"/>
        <w:rPr>
          <w:rFonts w:ascii="Arial" w:cs="Arial" w:eastAsia="Arial" w:hAnsi="Arial"/>
          <w:sz w:val="17"/>
          <w:szCs w:val="17"/>
          <w:color w:val="auto"/>
        </w:rPr>
      </w:pPr>
    </w:p>
    <w:p>
      <w:pPr>
        <w:ind w:firstLine="1142"/>
        <w:spacing w:after="0" w:line="342" w:lineRule="auto"/>
        <w:tabs>
          <w:tab w:leader="none" w:pos="152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Indebtedness of Foreign Subsidiaries owed to a third party (other than a Credit Party or a Subsidiary) in an aggregate principal amount at any time outstanding not to exceed the greater of (1) $30,000,000 and (2) an amount equal to 17.5% of LTM Consolidated Adjusted EBITDA;</w:t>
      </w:r>
    </w:p>
    <w:p>
      <w:pPr>
        <w:spacing w:after="0" w:line="123" w:lineRule="exact"/>
        <w:rPr>
          <w:rFonts w:ascii="Arial" w:cs="Arial" w:eastAsia="Arial" w:hAnsi="Arial"/>
          <w:sz w:val="16"/>
          <w:szCs w:val="16"/>
          <w:color w:val="auto"/>
        </w:rPr>
      </w:pPr>
    </w:p>
    <w:p>
      <w:pPr>
        <w:ind w:left="1540" w:hanging="398"/>
        <w:spacing w:after="0"/>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Indebtedness incurred in connection with deferred compensation or stock-based compensation;</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5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incurrence by the Borrower or any Subsidiary of Indebtedness constituting a Permitted Refinancing in exchange for, or the net proceeds of which are used to renew, refund, refinance, replace, defease or discharge any Indebtedness (other than intercompany Indebtedness) that was permitted to be incurred under clause (c), (d), (g), (h), (i), (k), (r), (u) or (z) of this Section 6.1;</w:t>
      </w:r>
    </w:p>
    <w:p>
      <w:pPr>
        <w:spacing w:after="0" w:line="183" w:lineRule="exact"/>
        <w:rPr>
          <w:rFonts w:ascii="Arial" w:cs="Arial" w:eastAsia="Arial" w:hAnsi="Arial"/>
          <w:sz w:val="18"/>
          <w:szCs w:val="18"/>
          <w:color w:val="auto"/>
        </w:rPr>
      </w:pPr>
    </w:p>
    <w:p>
      <w:pPr>
        <w:jc w:val="both"/>
        <w:ind w:firstLine="1142"/>
        <w:spacing w:after="0" w:line="271" w:lineRule="auto"/>
        <w:tabs>
          <w:tab w:leader="none" w:pos="158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 guaranties by the Borrower of Indebtedness of a Guarantor Subsidiary, (ii) guaranties by any Subsidiary of Indebtedness of the Borrower or a Guarantor Subsidiary, or (iii) guaranties by the Borrower or a Guarantor Subsidiary of Indebtedness of any Non-Credit Party and that, in the case of this clause (iii), would have been permitted as an Investment by the Borrower or a Guarantor Subsidiary in such Non-Credit Party pursuant to Section 6.6, with respect, in each case, to Indebtedness otherwise permitted to be incurred pursuant to this Section 6.1;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Indebtedness that is being guarantied is unsecured and/or Subordinated Debt, the guaranty will also be unsecured and/or be expressly subordinated in right of payment to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foregoing clause (ii) shall not be construed to allow a Non-Credit Party to guarantee the obligations of a Credit Party in cases where such guarantee is otherwise restricted or limited hereunder by the definition of Incremental Equivalent Debt, Credit Agreement Refinancing Indebtedness, Permitted Ratio Debt or otherwise;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jc w:val="both"/>
        <w:ind w:firstLine="1142"/>
        <w:spacing w:after="0" w:line="263" w:lineRule="auto"/>
        <w:tabs>
          <w:tab w:leader="none" w:pos="15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additional Indebtedness of the Borrower or any Subsidiary in an aggregate principal amount that, when taken together with all other Indebtedness incurred pursuant to this clause (z) and then outstanding, does not exceed the greater of (1) $60,000,000 and (2) an amount equal to 35% of LTM Consolidated Adjusted EBITDA; and</w:t>
      </w:r>
    </w:p>
    <w:p>
      <w:pPr>
        <w:spacing w:after="0" w:line="184" w:lineRule="exact"/>
        <w:rPr>
          <w:sz w:val="20"/>
          <w:szCs w:val="20"/>
          <w:color w:val="auto"/>
        </w:rPr>
      </w:pPr>
    </w:p>
    <w:p>
      <w:pPr>
        <w:jc w:val="both"/>
        <w:ind w:firstLine="1142"/>
        <w:spacing w:after="0" w:line="296" w:lineRule="auto"/>
        <w:tabs>
          <w:tab w:leader="none" w:pos="17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Indebtedness (a) arising from intercompany cash management arrangements, tax and accounting operations or related activities arising in the ordinary course of business by and among the Borrower and its Subsidiaries or (b) consisting of intercompany loans and advances by and among the Borrower and its Subsidiaries having a term not exceeding 364 days and made in the ordinary course of business (inclusive of any rollover or extensions of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Indebtedness owed by a Credit Party to a Non-Credit Party is subordinated in right of payment to the Obligations on terms no less favorable than the subordination provisions contained in the Global Intercompany Note attached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hereto;</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aggregate principal amount of Indebtedness of Non-Credit Parties incurred in reliance on clause (i) or (r) of this Section 6.1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exceed, at any one time outstanding, the greater of (1) $20,000,000 and (2) an amount equal to 12% of LTM Consolidated Adjusted EBITDA, and Permitted Refinancings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compliance with this Section 6.1:</w:t>
      </w:r>
    </w:p>
    <w:p>
      <w:pPr>
        <w:spacing w:after="0" w:line="225" w:lineRule="exact"/>
        <w:rPr>
          <w:sz w:val="20"/>
          <w:szCs w:val="20"/>
          <w:color w:val="auto"/>
        </w:rPr>
      </w:pPr>
    </w:p>
    <w:p>
      <w:pPr>
        <w:ind w:firstLine="656"/>
        <w:spacing w:after="0" w:line="277" w:lineRule="auto"/>
        <w:tabs>
          <w:tab w:leader="none" w:pos="10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principal amount in Indebtedness outstanding under any clause of this Section 6.1 will be determined after giving effect to the application of proceeds of any such Indebtedness to refinance any such other Indebtedness;</w:t>
      </w:r>
    </w:p>
    <w:p>
      <w:pPr>
        <w:spacing w:after="0" w:line="170" w:lineRule="exact"/>
        <w:rPr>
          <w:rFonts w:ascii="Arial" w:cs="Arial" w:eastAsia="Arial" w:hAnsi="Arial"/>
          <w:sz w:val="18"/>
          <w:szCs w:val="18"/>
          <w:color w:val="auto"/>
        </w:rPr>
      </w:pPr>
    </w:p>
    <w:p>
      <w:pPr>
        <w:ind w:firstLine="656"/>
        <w:spacing w:after="0" w:line="277" w:lineRule="auto"/>
        <w:tabs>
          <w:tab w:leader="none" w:pos="111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guarantees of, or obligations in respect of letters of credit relating to, Indebtedness that are otherwise included in the determination of a particular amount of Indebtedness will not be included in the determination of such amount of Indebtedness;</w:t>
      </w:r>
    </w:p>
    <w:p>
      <w:pPr>
        <w:spacing w:after="0" w:line="170" w:lineRule="exact"/>
        <w:rPr>
          <w:rFonts w:ascii="Arial" w:cs="Arial" w:eastAsia="Arial" w:hAnsi="Arial"/>
          <w:sz w:val="18"/>
          <w:szCs w:val="18"/>
          <w:color w:val="auto"/>
        </w:rPr>
      </w:pPr>
    </w:p>
    <w:p>
      <w:pPr>
        <w:ind w:firstLine="656"/>
        <w:spacing w:after="0" w:line="342" w:lineRule="auto"/>
        <w:tabs>
          <w:tab w:leader="none" w:pos="114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the accrual of interest, (ii) the payment of premiums, fees, expenses and charges and (iii) increases in the amount of Indebtedness outstanding solely as a result of fluctuations in the exchange rate of currencies, in each case, will not be deemed to be an incurrence of Indebtedness;</w:t>
      </w:r>
    </w:p>
    <w:p>
      <w:pPr>
        <w:spacing w:after="0" w:line="123" w:lineRule="exact"/>
        <w:rPr>
          <w:rFonts w:ascii="Arial" w:cs="Arial" w:eastAsia="Arial" w:hAnsi="Arial"/>
          <w:sz w:val="16"/>
          <w:szCs w:val="16"/>
          <w:color w:val="auto"/>
        </w:rPr>
      </w:pPr>
    </w:p>
    <w:p>
      <w:pPr>
        <w:jc w:val="both"/>
        <w:ind w:firstLine="656"/>
        <w:spacing w:after="0" w:line="270" w:lineRule="auto"/>
        <w:tabs>
          <w:tab w:leader="none" w:pos="117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Cap on the incurrence of Indebtedness, the Dollar equivalent principal amount of Indebtedness denominated in a foreign currency will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such Indebtedness is issued to refinance other Indebtedness denominated in a foreign currency, and such refinancing would 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Dollar denominated Cap to be exceeded if calculated at the relevant currency exchange rate in effect on the date of such refinancing, such Dollar denominated Cap will be deemed not to have been exceeded so long as the principal amount of such refinancing Indebtedness does not exceed (i) the principal amount of such Indebtedness being refinanced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(ii) the aggregate amount of accrued but unpaid interest, fees, underwriting discounts, defeasance costs, premiums (including tender premiums) and other costs and expenses (including original issue discount, upfront fees or similar fees) incurred in connection with such refinancing;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jc w:val="both"/>
        <w:ind w:firstLine="656"/>
        <w:spacing w:after="0" w:line="257" w:lineRule="auto"/>
        <w:tabs>
          <w:tab w:leader="none" w:pos="106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will be calculated based on the currency exchange rate applicable to the currencies in which such respective Indebtedness is denominated that is in effect on the date of such refinancing; the principal amount of any non-interest bearing Indebtedness or other discount security constituting Indebtedness at any date will be the principal amount thereof that would be shown on a balance sheet of the Borrower dated such date prepared in accordance with GAAP;</w:t>
      </w:r>
    </w:p>
    <w:p>
      <w:pPr>
        <w:spacing w:after="0" w:line="187" w:lineRule="exact"/>
        <w:rPr>
          <w:rFonts w:ascii="Arial" w:cs="Arial" w:eastAsia="Arial" w:hAnsi="Arial"/>
          <w:sz w:val="18"/>
          <w:szCs w:val="18"/>
          <w:color w:val="auto"/>
        </w:rPr>
      </w:pPr>
    </w:p>
    <w:p>
      <w:pPr>
        <w:jc w:val="both"/>
        <w:ind w:firstLine="656"/>
        <w:spacing w:after="0" w:line="293" w:lineRule="auto"/>
        <w:tabs>
          <w:tab w:leader="none" w:pos="107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in the event that an item of Indebtedness (or any portion thereof) meets the criteria of more than one of the clauses of this Section 6.1, the Borrower may, in its sole discretion, at the time of incurrence, divide, classify or reclassify, or at any later time divide, classify or reclassify, such item of Indebtedness (or any portion thereof) in any manner that complies with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Indebtedness created pursuant to the Credit Documents will be deemed to have been incurred in reliance on the exception in clause (a) above, and shall not be permitted to be reclassified pursuant to this paragraph (other than in connection with a refinancing thereof pursuant to a separate exception to this covenant);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Indebtedness incurred under a Dollar-based Cap may not be reclassified as Indebtedness incurred in reliance on a financial ratio-based exception;</w:t>
      </w:r>
    </w:p>
    <w:p>
      <w:pPr>
        <w:spacing w:after="0" w:line="164" w:lineRule="exact"/>
        <w:rPr>
          <w:rFonts w:ascii="Arial" w:cs="Arial" w:eastAsia="Arial" w:hAnsi="Arial"/>
          <w:sz w:val="16"/>
          <w:szCs w:val="16"/>
          <w:color w:val="auto"/>
        </w:rPr>
      </w:pPr>
    </w:p>
    <w:p>
      <w:pPr>
        <w:jc w:val="both"/>
        <w:ind w:firstLine="656"/>
        <w:spacing w:after="0" w:line="263" w:lineRule="auto"/>
        <w:tabs>
          <w:tab w:leader="none" w:pos="11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the avoidance of doubt, if the Borrower or any Subsidiary incurs Indebtedness using a ratio-based test on the same date that it incurs Indebtedness under any Dollar-based Cap, then the ratio-based test will be calculated with respect to such incurrence under the ratio-based test without regard to any incurrence of Indebtedness under the Dollar-based Cap; and</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0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any Permitted Refinancing of Indebtedness, (x) the original amount of Refinanced Indebtedness (including with respect to successive Permitted Refinancings) will continue to be considered to have been incurred under the clause of this Section 6.1 in reliance on which such Refinanced Indebtedness was initially incurred (or to which such Refinanced Indebtedness at such time has been classified, as applicable), and (y) if Refinanced Indebtedness was initially incurred in reliance on (or at such time has been classified to, as applicable) a clause of this Section 6.1 that is subject to a Cap, and such Permitted Refinancing would cause such Cap to be exceeded, then such Cap will be deemed not to be exceeded to the extent that the aggregate principal amount of the Refinancing Indebtedness incurred to replace the Refinanced Indebtedness does not exceed the Maximum Refinancing Amount.</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6.2 Liens</w:t>
      </w:r>
      <w:r>
        <w:rPr>
          <w:rFonts w:ascii="Arial" w:cs="Arial" w:eastAsia="Arial" w:hAnsi="Arial"/>
          <w:sz w:val="18"/>
          <w:szCs w:val="18"/>
          <w:color w:val="auto"/>
        </w:rPr>
        <w:t>. The Borrower will not, nor will the Borrower permit any Subsidiary to, directly or indirectly, create, incur, assume or permit to exist</w:t>
      </w:r>
      <w:r>
        <w:rPr>
          <w:rFonts w:ascii="Arial" w:cs="Arial" w:eastAsia="Arial" w:hAnsi="Arial"/>
          <w:sz w:val="18"/>
          <w:szCs w:val="18"/>
          <w:b w:val="1"/>
          <w:bCs w:val="1"/>
          <w:color w:val="auto"/>
        </w:rPr>
        <w:t xml:space="preserve"> </w:t>
      </w:r>
      <w:r>
        <w:rPr>
          <w:rFonts w:ascii="Arial" w:cs="Arial" w:eastAsia="Arial" w:hAnsi="Arial"/>
          <w:sz w:val="18"/>
          <w:szCs w:val="18"/>
          <w:color w:val="auto"/>
        </w:rPr>
        <w:t>any Lien on or with respect to any of its property or assets (including any document or instrument in respect of goods or accounts receivable) of the Borrower or any Subsidiary, whether now owned or hereafter acquired, or any income or profits therefrom, except the following (collectively,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Liens</w:t>
      </w:r>
      <w:r>
        <w:rPr>
          <w:rFonts w:ascii="Arial" w:cs="Arial" w:eastAsia="Arial" w:hAnsi="Arial"/>
          <w:sz w:val="18"/>
          <w:szCs w:val="18"/>
          <w:color w:val="auto"/>
        </w:rPr>
        <w:t>”):</w:t>
      </w:r>
    </w:p>
    <w:p>
      <w:pPr>
        <w:spacing w:after="0" w:line="184" w:lineRule="exact"/>
        <w:rPr>
          <w:sz w:val="20"/>
          <w:szCs w:val="20"/>
          <w:color w:val="auto"/>
        </w:rPr>
      </w:pPr>
    </w:p>
    <w:p>
      <w:pPr>
        <w:jc w:val="both"/>
        <w:ind w:firstLine="1142"/>
        <w:spacing w:after="0" w:line="263"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Liens securing the Obligations (including Incremental Facilities, Refinancing Term Commitments, Refinancing Term Loans, Extended Term Loans, and all obligations arising under any Secured Rate Contract and all Bank Product Obligations, in each case to the extent constituting Obligations);</w:t>
      </w:r>
    </w:p>
    <w:p>
      <w:pPr>
        <w:spacing w:after="0" w:line="183" w:lineRule="exact"/>
        <w:rPr>
          <w:rFonts w:ascii="Arial" w:cs="Arial" w:eastAsia="Arial" w:hAnsi="Arial"/>
          <w:sz w:val="18"/>
          <w:szCs w:val="18"/>
          <w:color w:val="auto"/>
        </w:rPr>
      </w:pPr>
    </w:p>
    <w:p>
      <w:pPr>
        <w:ind w:left="1540" w:hanging="398"/>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57" w:lineRule="auto"/>
        <w:tabs>
          <w:tab w:leader="none" w:pos="152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to the extent securing Indebtedness in excess of $5,000,000, such Liens shall be described on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including any modification, replacement, extension or renewal of any such Lien upon or in the same property subject thereto and the modification, replacement, extension, renewal or refinancing of the obligations secured or benefited by such Liens (including, if such Lien secures Indebtedness in existence on the Closing Date (and to the extent required, as described on </w:t>
      </w:r>
      <w:r>
        <w:rPr>
          <w:rFonts w:ascii="Arial" w:cs="Arial" w:eastAsia="Arial" w:hAnsi="Arial"/>
          <w:sz w:val="18"/>
          <w:szCs w:val="18"/>
          <w:u w:val="single" w:color="auto"/>
          <w:color w:val="auto"/>
        </w:rPr>
        <w:t>Schedule 6.2</w:t>
      </w:r>
      <w:r>
        <w:rPr>
          <w:rFonts w:ascii="Arial" w:cs="Arial" w:eastAsia="Arial" w:hAnsi="Arial"/>
          <w:sz w:val="18"/>
          <w:szCs w:val="18"/>
          <w:color w:val="auto"/>
        </w:rPr>
        <w:t>), Liens securing any Permitted Refinancing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5" w:name="page126"/>
    <w:bookmarkEnd w:id="125"/>
    <w:p>
      <w:pPr>
        <w:ind w:firstLine="1142"/>
        <w:spacing w:after="0" w:line="277" w:lineRule="auto"/>
        <w:tabs>
          <w:tab w:leader="none" w:pos="162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securing Indebtedness in respect of Capital Leases and Purchase Money Indebtedness, in each case permitted pursuant to Section 6.1(d), and Permitted Refinancings thereof;</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53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Liens granted to (and in favor of) a Credit Party to secure intercompany Indebtedness permitted by Section 6.1;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Liens encumber Collateral, such Liens shall rank junior in priority to the Liens securing the Obligations pursuant to intercreditor and/or subordination terms that are reasonably acceptable to the Administrative Agent;</w:t>
      </w:r>
    </w:p>
    <w:p>
      <w:pPr>
        <w:spacing w:after="0" w:line="183" w:lineRule="exact"/>
        <w:rPr>
          <w:rFonts w:ascii="Arial" w:cs="Arial" w:eastAsia="Arial" w:hAnsi="Arial"/>
          <w:sz w:val="18"/>
          <w:szCs w:val="18"/>
          <w:color w:val="auto"/>
        </w:rPr>
      </w:pPr>
    </w:p>
    <w:p>
      <w:pPr>
        <w:ind w:firstLine="1142"/>
        <w:spacing w:after="0" w:line="277" w:lineRule="auto"/>
        <w:tabs>
          <w:tab w:leader="none" w:pos="15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securing (i) Incremental Equivalent Debt or (ii) Credit Agreement Refinancing Indebtedness permitted under Sections 6.1(g) or (h), respectively, and Permitted Refinancings thereof;</w:t>
      </w:r>
    </w:p>
    <w:p>
      <w:pPr>
        <w:spacing w:after="0" w:line="170" w:lineRule="exact"/>
        <w:rPr>
          <w:rFonts w:ascii="Arial" w:cs="Arial" w:eastAsia="Arial" w:hAnsi="Arial"/>
          <w:sz w:val="18"/>
          <w:szCs w:val="18"/>
          <w:color w:val="auto"/>
        </w:rPr>
      </w:pPr>
    </w:p>
    <w:p>
      <w:pPr>
        <w:jc w:val="both"/>
        <w:ind w:firstLine="1142"/>
        <w:spacing w:after="0" w:line="279" w:lineRule="auto"/>
        <w:tabs>
          <w:tab w:leader="none" w:pos="152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Liens on assets acquired, or on assets of a Person that is acquired, securing Indebtedness permitted pursuant to Sections 6.1(k) or (r)(i)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 Liens were existing at the time of such acquisition and were not created in anticipation or contemplation of such acquisition and (ii) do not extend to property not subject to such Liens at the time of such acquisition (other than improvements, accessions, proceeds or dividends or distributions in respect thereof and after-acquired property)) and Permitted Refinancings thereof;</w:t>
      </w:r>
    </w:p>
    <w:p>
      <w:pPr>
        <w:spacing w:after="0" w:line="171" w:lineRule="exact"/>
        <w:rPr>
          <w:rFonts w:ascii="Arial" w:cs="Arial" w:eastAsia="Arial" w:hAnsi="Arial"/>
          <w:sz w:val="17"/>
          <w:szCs w:val="17"/>
          <w:color w:val="auto"/>
        </w:rPr>
      </w:pPr>
    </w:p>
    <w:p>
      <w:pPr>
        <w:ind w:firstLine="1142"/>
        <w:spacing w:after="0" w:line="277" w:lineRule="auto"/>
        <w:tabs>
          <w:tab w:leader="none" w:pos="15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Subsidiary in connection with any letter of intent or purchase agreement permitted hereunder;</w:t>
      </w:r>
    </w:p>
    <w:p>
      <w:pPr>
        <w:spacing w:after="0" w:line="170" w:lineRule="exact"/>
        <w:rPr>
          <w:rFonts w:ascii="Arial" w:cs="Arial" w:eastAsia="Arial" w:hAnsi="Arial"/>
          <w:sz w:val="18"/>
          <w:szCs w:val="18"/>
          <w:color w:val="auto"/>
        </w:rPr>
      </w:pPr>
    </w:p>
    <w:p>
      <w:pPr>
        <w:jc w:val="both"/>
        <w:ind w:firstLine="1142"/>
        <w:spacing w:after="0" w:line="257" w:lineRule="auto"/>
        <w:tabs>
          <w:tab w:leader="none" w:pos="15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of landlords, carriers, warehousemen, mechanics, repairmen, lessors, workmen and materialmen, and other Liens imposed by law (other than any such Lien imposed pursuant to Section 430(k) of the Internal Revenue Code or by ERISA), in each case incurred in the ordinary course of business and not overdue for a period of more than sixty (60) days or, if more than sixty (60)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7" w:lineRule="exact"/>
        <w:rPr>
          <w:rFonts w:ascii="Arial" w:cs="Arial" w:eastAsia="Arial" w:hAnsi="Arial"/>
          <w:sz w:val="18"/>
          <w:szCs w:val="18"/>
          <w:color w:val="auto"/>
        </w:rPr>
      </w:pPr>
    </w:p>
    <w:p>
      <w:pPr>
        <w:ind w:left="1520" w:hanging="378"/>
        <w:spacing w:after="0"/>
        <w:tabs>
          <w:tab w:leader="none" w:pos="15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Liens for Taxes not more than 30 days past due or to the extent the Borrower and the Subsidiaries are in compliance with Section 5.3</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respect thereto;</w:t>
      </w:r>
    </w:p>
    <w:p>
      <w:pPr>
        <w:spacing w:after="0" w:line="210" w:lineRule="exact"/>
        <w:rPr>
          <w:rFonts w:ascii="Arial" w:cs="Arial" w:eastAsia="Arial" w:hAnsi="Arial"/>
          <w:sz w:val="16"/>
          <w:szCs w:val="16"/>
          <w:color w:val="auto"/>
        </w:rPr>
      </w:pPr>
    </w:p>
    <w:p>
      <w:pPr>
        <w:jc w:val="both"/>
        <w:ind w:firstLine="1142"/>
        <w:spacing w:after="0" w:line="259"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deposits to secure the performance of (i) tenders, bids, trade contracts, governmental contracts, trade contracts, performance and return-of-money bonds and other similar contracts (other than obligations for the payment of Indebtedness for borrowed money) and (ii) leases, subleases, statutory obligations, surety, stay, judgment and appeal bonds, performance bonds and other obligations of a like nature, in each case incurred in the ordinary course of business;</w:t>
      </w:r>
    </w:p>
    <w:p>
      <w:pPr>
        <w:spacing w:after="0" w:line="186" w:lineRule="exact"/>
        <w:rPr>
          <w:rFonts w:ascii="Arial" w:cs="Arial" w:eastAsia="Arial" w:hAnsi="Arial"/>
          <w:sz w:val="18"/>
          <w:szCs w:val="18"/>
          <w:color w:val="auto"/>
        </w:rPr>
      </w:pPr>
    </w:p>
    <w:p>
      <w:pPr>
        <w:ind w:firstLine="1142"/>
        <w:spacing w:after="0" w:line="277" w:lineRule="auto"/>
        <w:tabs>
          <w:tab w:leader="none" w:pos="15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incurred by the Borrower or any Subsidiary in the ordinary course of business in connection with workers’ compensation, unemployment insurance and other types of social security;</w:t>
      </w:r>
    </w:p>
    <w:p>
      <w:pPr>
        <w:spacing w:after="0" w:line="170" w:lineRule="exact"/>
        <w:rPr>
          <w:rFonts w:ascii="Arial" w:cs="Arial" w:eastAsia="Arial" w:hAnsi="Arial"/>
          <w:sz w:val="18"/>
          <w:szCs w:val="18"/>
          <w:color w:val="auto"/>
        </w:rPr>
      </w:pPr>
    </w:p>
    <w:p>
      <w:pPr>
        <w:ind w:firstLine="1142"/>
        <w:spacing w:after="0" w:line="277" w:lineRule="auto"/>
        <w:tabs>
          <w:tab w:leader="none" w:pos="1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created in the ordinary course of business on deposits to secure liability for premiums to insurance carriers or securing insurance premium financing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6" w:name="page127"/>
    <w:bookmarkEnd w:id="126"/>
    <w:p>
      <w:pPr>
        <w:jc w:val="both"/>
        <w:ind w:firstLine="1142"/>
        <w:spacing w:after="0" w:line="293" w:lineRule="auto"/>
        <w:tabs>
          <w:tab w:leader="none" w:pos="161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Liens that are contractual or common law rights of set-off or rights of pledge relating to (A) the establishment of depository relations in the ordinary course of business with banks or other deposit-taking financial institutions not given in connection with the incurrence of Indebtedness or (B) pooled deposit or sweep accounts of the Borrower or any Subsidiary to permit satisfaction of overdraft or similar obligations incurred in the ordinary course of business of the Borrower and the Subsidiaries, or (C) purchase orders and other agreements entered into with customers of the Borrower or any Subsidiary in the ordinary course of business or consistent with past practice and (ii) Liens securing cash management obligations (that do not constitute Indebtedness) and obligations in respect of Bank Products incurred in the ordinary course of business;</w:t>
      </w:r>
    </w:p>
    <w:p>
      <w:pPr>
        <w:spacing w:after="0" w:line="164" w:lineRule="exact"/>
        <w:rPr>
          <w:rFonts w:ascii="Arial" w:cs="Arial" w:eastAsia="Arial" w:hAnsi="Arial"/>
          <w:sz w:val="16"/>
          <w:szCs w:val="16"/>
          <w:color w:val="auto"/>
        </w:rPr>
      </w:pPr>
    </w:p>
    <w:p>
      <w:pPr>
        <w:jc w:val="both"/>
        <w:ind w:firstLine="1142"/>
        <w:spacing w:after="0" w:line="257" w:lineRule="auto"/>
        <w:tabs>
          <w:tab w:leader="none" w:pos="157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4-208 or 4-210 of the Uniform Commercial Code on the items in the course of collection, (ii) encumbering reasonable customary initial deposits and margin deposits, (iii) attaching to commodity trading accounts or other commodities brokerage accounts incurred in the ordinary course of business or consistent with past practice and not for speculative purposes and (iv)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87" w:lineRule="exact"/>
        <w:rPr>
          <w:rFonts w:ascii="Arial" w:cs="Arial" w:eastAsia="Arial" w:hAnsi="Arial"/>
          <w:sz w:val="18"/>
          <w:szCs w:val="18"/>
          <w:color w:val="auto"/>
        </w:rPr>
      </w:pPr>
    </w:p>
    <w:p>
      <w:pPr>
        <w:jc w:val="both"/>
        <w:ind w:firstLine="1142"/>
        <w:spacing w:after="0" w:line="259" w:lineRule="auto"/>
        <w:tabs>
          <w:tab w:leader="none" w:pos="15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possessory Liens in favor of brokers and dealers arising in connection with the acquisition or disposition of Investments owned as of the Closing Date and in connection with Investments not otherwise prohibited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(i) attach only to such Investments and (ii) secure only obligations incurred in the ordinary course and arising in connection with the acquisition or disposition of such Investments and not any obligation in connection with margin financing or otherwise;</w:t>
      </w:r>
    </w:p>
    <w:p>
      <w:pPr>
        <w:spacing w:after="0" w:line="186" w:lineRule="exact"/>
        <w:rPr>
          <w:rFonts w:ascii="Arial" w:cs="Arial" w:eastAsia="Arial" w:hAnsi="Arial"/>
          <w:sz w:val="18"/>
          <w:szCs w:val="18"/>
          <w:color w:val="auto"/>
        </w:rPr>
      </w:pPr>
    </w:p>
    <w:p>
      <w:pPr>
        <w:jc w:val="both"/>
        <w:ind w:firstLine="1142"/>
        <w:spacing w:after="0" w:line="255" w:lineRule="auto"/>
        <w:tabs>
          <w:tab w:leader="none" w:pos="153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survey exceptions, encumbrances, ground leases, easements, encroachments or reservations of, or rights of others for, licenses, rights-of-way, servitudes, sewers, electric lines, drains, telegraph and telephone, cable television lines and other similar utility lines, gas and oil pipelines and other similar purposes, reservations of rights,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and will not in the aggregate materially adversely interfere with the ordinary conduct of the business of the Borrower or any Subsidiary;</w:t>
      </w:r>
    </w:p>
    <w:p>
      <w:pPr>
        <w:spacing w:after="0" w:line="192" w:lineRule="exact"/>
        <w:rPr>
          <w:rFonts w:ascii="Arial" w:cs="Arial" w:eastAsia="Arial" w:hAnsi="Arial"/>
          <w:sz w:val="18"/>
          <w:szCs w:val="18"/>
          <w:color w:val="auto"/>
        </w:rPr>
      </w:pPr>
    </w:p>
    <w:p>
      <w:pPr>
        <w:ind w:firstLine="1142"/>
        <w:spacing w:after="0" w:line="342" w:lineRule="auto"/>
        <w:tabs>
          <w:tab w:leader="none" w:pos="155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zoning, building or similar land use restrictions or rights reserved to or vested in any governmental office or agency, including without limitation, site plan agreements, development agreements and contractual zoning agreements, to control or regulate the use of any real property;</w:t>
      </w:r>
    </w:p>
    <w:p>
      <w:pPr>
        <w:spacing w:after="0" w:line="123" w:lineRule="exact"/>
        <w:rPr>
          <w:rFonts w:ascii="Arial" w:cs="Arial" w:eastAsia="Arial" w:hAnsi="Arial"/>
          <w:sz w:val="16"/>
          <w:szCs w:val="16"/>
          <w:color w:val="auto"/>
        </w:rPr>
      </w:pPr>
    </w:p>
    <w:p>
      <w:pPr>
        <w:ind w:left="1520" w:hanging="378"/>
        <w:spacing w:after="0"/>
        <w:tabs>
          <w:tab w:leader="none" w:pos="15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leases, subleases, licenses, sublicenses, occupancy agreements or assignments of or in respect of real or personal property;</w:t>
      </w:r>
    </w:p>
    <w:p>
      <w:pPr>
        <w:spacing w:after="0" w:line="236" w:lineRule="exact"/>
        <w:rPr>
          <w:rFonts w:ascii="Arial" w:cs="Arial" w:eastAsia="Arial" w:hAnsi="Arial"/>
          <w:sz w:val="17"/>
          <w:szCs w:val="17"/>
          <w:color w:val="auto"/>
        </w:rPr>
      </w:pPr>
    </w:p>
    <w:p>
      <w:pPr>
        <w:jc w:val="both"/>
        <w:ind w:firstLine="1142"/>
        <w:spacing w:after="0" w:line="257" w:lineRule="auto"/>
        <w:tabs>
          <w:tab w:leader="none" w:pos="15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Liens disclosed by the title insurance policies (and, to the extent such Liens secure obligations to pay money due and payable, approved by the Collateral Agent) delivered on or subsequent to the Closing Date for any Material Real Estate Asset subject to a Mortgage and any replacement, extension or renewal of any such Liens (so long as the Indebtedness and other obligations secured by such replacement, extension or renewal Liens are permitted by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replacement, extension or renewal Liens do not cover any property other than the property that was subject to such Liens prior to such replacement, extension or renewal;</w:t>
      </w:r>
    </w:p>
    <w:p>
      <w:pPr>
        <w:spacing w:after="0" w:line="187" w:lineRule="exact"/>
        <w:rPr>
          <w:rFonts w:ascii="Arial" w:cs="Arial" w:eastAsia="Arial" w:hAnsi="Arial"/>
          <w:sz w:val="18"/>
          <w:szCs w:val="18"/>
          <w:color w:val="auto"/>
        </w:rPr>
      </w:pPr>
    </w:p>
    <w:p>
      <w:pPr>
        <w:ind w:firstLine="1142"/>
        <w:spacing w:after="0" w:line="308" w:lineRule="auto"/>
        <w:tabs>
          <w:tab w:leader="none" w:pos="1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any interest or title of a lessor or sublessor under any lease of real estate permitted (or not prohibited) hereunder or any Liens on such interest or title that do not affect the Borrower’s or applicable Subsidiary’s leasehold or subleasehold estate in any Real Estate Asset;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7" w:name="page128"/>
    <w:bookmarkEnd w:id="127"/>
    <w:p>
      <w:pPr>
        <w:jc w:val="both"/>
        <w:ind w:firstLine="1142"/>
        <w:spacing w:after="0" w:line="259" w:lineRule="auto"/>
        <w:tabs>
          <w:tab w:leader="none" w:pos="15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or consistent with past practice (or other agreement under which the Borrower or any Subsidiary has granted rights to end users to access and use the Borrower or any Subsidiary products, technologies, facilities or services) which do not (x) interfere in any material respect with the business of the Borrower and the Subsidiaries, taken as a whole, or (y) secure any Indebtedness;</w:t>
      </w:r>
    </w:p>
    <w:p>
      <w:pPr>
        <w:spacing w:after="0" w:line="186" w:lineRule="exact"/>
        <w:rPr>
          <w:rFonts w:ascii="Arial" w:cs="Arial" w:eastAsia="Arial" w:hAnsi="Arial"/>
          <w:sz w:val="18"/>
          <w:szCs w:val="18"/>
          <w:color w:val="auto"/>
        </w:rPr>
      </w:pPr>
    </w:p>
    <w:p>
      <w:pPr>
        <w:jc w:val="both"/>
        <w:ind w:firstLine="1142"/>
        <w:spacing w:after="0" w:line="263" w:lineRule="auto"/>
        <w:tabs>
          <w:tab w:leader="none" w:pos="157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outbound licenses or sub-licenses of patents, copyrights, trademarks and other Intellectual Property rights granted by the Borrower or any Subsidiary in the ordinary course of business and any interest or title in connection therewith, which do not interfere in any material respect with the ordinary conduct of business of the Borrower or any Subsidiary;</w:t>
      </w:r>
    </w:p>
    <w:p>
      <w:pPr>
        <w:spacing w:after="0" w:line="183" w:lineRule="exact"/>
        <w:rPr>
          <w:rFonts w:ascii="Arial" w:cs="Arial" w:eastAsia="Arial" w:hAnsi="Arial"/>
          <w:sz w:val="18"/>
          <w:szCs w:val="18"/>
          <w:color w:val="auto"/>
        </w:rPr>
      </w:pPr>
    </w:p>
    <w:p>
      <w:pPr>
        <w:jc w:val="both"/>
        <w:ind w:firstLine="1142"/>
        <w:spacing w:after="0" w:line="263" w:lineRule="auto"/>
        <w:tabs>
          <w:tab w:leader="none" w:pos="157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arising in connection with conditional sale, title retention, consignment or similar arrangements for the sale of goods entered into by the Borrower or any Subsidiary in the ordinary course of business permitted by this Agreement, purchase orders and other agreements entered into with customers of the Borrower or any Subsidiary in the ordinary course of business;</w:t>
      </w:r>
    </w:p>
    <w:p>
      <w:pPr>
        <w:spacing w:after="0" w:line="183" w:lineRule="exact"/>
        <w:rPr>
          <w:rFonts w:ascii="Arial" w:cs="Arial" w:eastAsia="Arial" w:hAnsi="Arial"/>
          <w:sz w:val="18"/>
          <w:szCs w:val="18"/>
          <w:color w:val="auto"/>
        </w:rPr>
      </w:pPr>
    </w:p>
    <w:p>
      <w:pPr>
        <w:jc w:val="both"/>
        <w:ind w:firstLine="1142"/>
        <w:spacing w:after="0" w:line="257" w:lineRule="auto"/>
        <w:tabs>
          <w:tab w:leader="none" w:pos="16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purported Liens (i) evidenced by the filing of precautionary financing statements relating solely to operating leases of personal property entered into in the ordinary course of business or (ii) arising from equipment or other materials which are not owned by the Borrower or any Subsidiary located on the premises of the Borrower or a Subsidiary (but not in connection with, or as part of, the financing thereof) from time to time in the ordinary course of business and consistent with current practices of the Borrower and the Subsidiaries and precautionary financing statement filings in respect thereof;</w:t>
      </w:r>
    </w:p>
    <w:p>
      <w:pPr>
        <w:spacing w:after="0" w:line="187" w:lineRule="exact"/>
        <w:rPr>
          <w:rFonts w:ascii="Arial" w:cs="Arial" w:eastAsia="Arial" w:hAnsi="Arial"/>
          <w:sz w:val="18"/>
          <w:szCs w:val="18"/>
          <w:color w:val="auto"/>
        </w:rPr>
      </w:pPr>
    </w:p>
    <w:p>
      <w:pPr>
        <w:ind w:firstLine="1142"/>
        <w:spacing w:after="0" w:line="277" w:lineRule="auto"/>
        <w:tabs>
          <w:tab w:leader="none" w:pos="1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used to defease or to satisfy and discharge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or satisfaction and discharge is not prohibited hereunder;</w:t>
      </w:r>
    </w:p>
    <w:p>
      <w:pPr>
        <w:spacing w:after="0" w:line="170" w:lineRule="exact"/>
        <w:rPr>
          <w:sz w:val="20"/>
          <w:szCs w:val="20"/>
          <w:color w:val="auto"/>
        </w:rPr>
      </w:pPr>
    </w:p>
    <w:p>
      <w:pPr>
        <w:jc w:val="both"/>
        <w:ind w:firstLine="1142"/>
        <w:spacing w:after="0" w:line="263" w:lineRule="auto"/>
        <w:tabs>
          <w:tab w:leader="none" w:pos="16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trustees’ Liens granted pursuant to any indenture governing any Indebtedness not otherwise prohibited by this Agreement in favor of the trustee under such indenture and securing only obligations to pay compensation to such trustee, to reimburse such trustee of its expenses and to indemnify such trustee under the terms of such indenture;</w:t>
      </w:r>
    </w:p>
    <w:p>
      <w:pPr>
        <w:spacing w:after="0" w:line="183" w:lineRule="exact"/>
        <w:rPr>
          <w:rFonts w:ascii="Arial" w:cs="Arial" w:eastAsia="Arial" w:hAnsi="Arial"/>
          <w:sz w:val="18"/>
          <w:szCs w:val="18"/>
          <w:color w:val="auto"/>
        </w:rPr>
      </w:pPr>
    </w:p>
    <w:p>
      <w:pPr>
        <w:jc w:val="both"/>
        <w:ind w:firstLine="1142"/>
        <w:spacing w:after="0" w:line="279" w:lineRule="auto"/>
        <w:tabs>
          <w:tab w:leader="none" w:pos="163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and Liens on specific items of inventory or other goods and proceeds thereof of any Person securing such Person’s obligations in respect of bankers’ acceptances or letters of credit permitted under Section 6.1 issued or created for the account of such Person to facilitate the purchase, shipment or storage of such inventory or other goods in the ordinary course of business;</w:t>
      </w:r>
    </w:p>
    <w:p>
      <w:pPr>
        <w:spacing w:after="0" w:line="171" w:lineRule="exact"/>
        <w:rPr>
          <w:rFonts w:ascii="Arial" w:cs="Arial" w:eastAsia="Arial" w:hAnsi="Arial"/>
          <w:sz w:val="17"/>
          <w:szCs w:val="17"/>
          <w:color w:val="auto"/>
        </w:rPr>
      </w:pPr>
    </w:p>
    <w:p>
      <w:pPr>
        <w:ind w:firstLine="1142"/>
        <w:spacing w:after="0" w:line="277" w:lineRule="auto"/>
        <w:tabs>
          <w:tab w:leader="none" w:pos="162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Capital Stock in joint ventures securing obligations of such joint venture or customary buy / sell arrangements set forth in joint venture agreements and similar binding agreements;</w:t>
      </w:r>
    </w:p>
    <w:p>
      <w:pPr>
        <w:spacing w:after="0" w:line="170" w:lineRule="exact"/>
        <w:rPr>
          <w:rFonts w:ascii="Arial" w:cs="Arial" w:eastAsia="Arial" w:hAnsi="Arial"/>
          <w:sz w:val="18"/>
          <w:szCs w:val="18"/>
          <w:color w:val="auto"/>
        </w:rPr>
      </w:pPr>
    </w:p>
    <w:p>
      <w:pPr>
        <w:ind w:left="1620" w:hanging="478"/>
        <w:spacing w:after="0"/>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judgment Liens not constituting an Event of Default under Section 8.1(h);</w:t>
      </w:r>
    </w:p>
    <w:p>
      <w:pPr>
        <w:spacing w:after="0" w:line="225" w:lineRule="exact"/>
        <w:rPr>
          <w:rFonts w:ascii="Arial" w:cs="Arial" w:eastAsia="Arial" w:hAnsi="Arial"/>
          <w:sz w:val="18"/>
          <w:szCs w:val="18"/>
          <w:color w:val="auto"/>
        </w:rPr>
      </w:pPr>
    </w:p>
    <w:p>
      <w:pPr>
        <w:ind w:left="1600" w:hanging="458"/>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60" w:hanging="418"/>
        <w:spacing w:after="0"/>
        <w:tabs>
          <w:tab w:leader="none" w:pos="1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620" w:hanging="478"/>
        <w:spacing w:after="0"/>
        <w:tabs>
          <w:tab w:leader="none" w:pos="1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Liens on assets of Non-Credit Parties securing Indebtedness of Non-Credit Parties permitted to be incurred under Section 6.1;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8" w:name="page129"/>
    <w:bookmarkEnd w:id="128"/>
    <w:p>
      <w:pPr>
        <w:ind w:firstLine="1142"/>
        <w:spacing w:after="0" w:line="342" w:lineRule="auto"/>
        <w:tabs>
          <w:tab w:leader="none" w:pos="16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Liens securing Permitted Ratio Debt or Indebtedness incurred in connection with a Permitted Acquisition in reliance on Section 6.1(r)(ii), in any such case to the extent incurred as Pari Passu Lien Indebtedness or Junior Lien Indebtedness, and Permitted Refinancings thereof; and</w:t>
      </w:r>
    </w:p>
    <w:p>
      <w:pPr>
        <w:spacing w:after="0" w:line="123" w:lineRule="exact"/>
        <w:rPr>
          <w:rFonts w:ascii="Arial" w:cs="Arial" w:eastAsia="Arial" w:hAnsi="Arial"/>
          <w:sz w:val="16"/>
          <w:szCs w:val="16"/>
          <w:color w:val="auto"/>
        </w:rPr>
      </w:pPr>
    </w:p>
    <w:p>
      <w:pPr>
        <w:jc w:val="both"/>
        <w:ind w:firstLine="1142"/>
        <w:spacing w:after="0" w:line="286" w:lineRule="auto"/>
        <w:tabs>
          <w:tab w:leader="none" w:pos="16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Liens securing obligations, including Indebtedness, in an aggregate amount that, when taken together with all other obligations secured by Liens incurred pursuant to this clause (ii) and then outstanding, does not to exceed, on the date such Liens are granted, the greater of (1) $30,000,000 and (2) an amount equal to 20% of LTM Consolidated Adjusted EBITDA, and Permitted Refinancings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compliance with this Section 6.2:</w:t>
      </w:r>
    </w:p>
    <w:p>
      <w:pPr>
        <w:spacing w:after="0" w:line="225" w:lineRule="exact"/>
        <w:rPr>
          <w:sz w:val="20"/>
          <w:szCs w:val="20"/>
          <w:color w:val="auto"/>
        </w:rPr>
      </w:pPr>
    </w:p>
    <w:p>
      <w:pPr>
        <w:ind w:firstLine="656"/>
        <w:spacing w:after="0" w:line="277" w:lineRule="auto"/>
        <w:tabs>
          <w:tab w:leader="none" w:pos="111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increase in the amount of any obligation secured by a Lien as a result of fluctuations in the exchange rate of currencies will not be deemed to be an incurrence or existence of additional Liens;</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11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the case of any Permitted Refinancing of Indebtedness or other obligations secured by a Lien, (x) the original amount of Refinanced Indebtedness or other obligations (including with respect to successive Permitted Refinancings) will continue to be considered to have been incurred under the clause of this Section 6.2 in reliance on which such Lien was initially incurred (or to which such Lien at such time has been classified, as applicable), and (y) if any Liens securing obligations are incurred to refinance Liens securing obligations initially incurred in reliance on a clause of this Section 6.2 measured by a Cap, and such refinancing would cause such Cap to be exceeded, then such clause will be deemed not to be exceeded to the extent that the aggregate principal amount of the new obligations incurred to replace such existing obligations does not exceed the Maximum Refinancing Amount;</w:t>
      </w:r>
    </w:p>
    <w:p>
      <w:pPr>
        <w:spacing w:after="0" w:line="164" w:lineRule="exact"/>
        <w:rPr>
          <w:rFonts w:ascii="Arial" w:cs="Arial" w:eastAsia="Arial" w:hAnsi="Arial"/>
          <w:sz w:val="16"/>
          <w:szCs w:val="16"/>
          <w:color w:val="auto"/>
        </w:rPr>
      </w:pPr>
    </w:p>
    <w:p>
      <w:pPr>
        <w:jc w:val="both"/>
        <w:ind w:firstLine="656"/>
        <w:spacing w:after="0" w:line="263" w:lineRule="auto"/>
        <w:tabs>
          <w:tab w:leader="none" w:pos="104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the avoidance of doubt, if the Borrower or any Subsidiary incurs any Lien securing Indebtedness using a ratio-based test on the same date that it incurs any Lien securing Indebtedness under any Dollar-based Cap, then the ratio-based test will be calculated with respect to such incurrence under the ratio-based test without regard to any incurrence of Indebtedness under the Dollar-based Cap; and</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0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 the event that any Lien (or any portion thereof) meets the criteria of more than one of the clauses of this Section 6.2, the Borrower may, in its sole discretion, at the time of incurrence, divide, classify or reclassify, or at any later time divide, classify or reclassify, such Lien (or any portion thereof) in any manner that complies with this covenant;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Liens created pursuant to the Credit Documents will be deemed to have been incurred in reliance on the exception in clause (a) above and shall not be permitted to be reclassified pursuant to this paragraph (other than in connection with a permitted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such Lien incurred under a Dollar-based Cap may not be reclassified as a Lien incurred in reliance on a financial ratio-based exception.</w:t>
      </w:r>
    </w:p>
    <w:p>
      <w:pPr>
        <w:spacing w:after="0" w:line="188"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6.3 No Further Negative Pledges</w:t>
      </w:r>
      <w:r>
        <w:rPr>
          <w:rFonts w:ascii="Arial" w:cs="Arial" w:eastAsia="Arial" w:hAnsi="Arial"/>
          <w:sz w:val="16"/>
          <w:szCs w:val="16"/>
          <w:color w:val="auto"/>
        </w:rPr>
        <w:t>. The Borrower will not, nor will it permit any Subsidiary to, enter into any agreement prohibiting the creation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assumption of any Lien upon any of its properties or assets, whether now owned or hereafter acquired, to secure the Obligations other than:</w:t>
      </w:r>
    </w:p>
    <w:p>
      <w:pPr>
        <w:spacing w:after="0" w:line="120" w:lineRule="exact"/>
        <w:rPr>
          <w:sz w:val="20"/>
          <w:szCs w:val="20"/>
          <w:color w:val="auto"/>
        </w:rPr>
      </w:pPr>
    </w:p>
    <w:p>
      <w:pPr>
        <w:ind w:firstLine="1142"/>
        <w:spacing w:after="0" w:line="277" w:lineRule="auto"/>
        <w:tabs>
          <w:tab w:leader="none" w:pos="159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specific property encumbered to secure payment of particular Indebtedness or to be sold pursuant to an executed agreement with respect to a permitted Asset Sale or other disposition permitted under Section 6.8;</w:t>
      </w:r>
    </w:p>
    <w:p>
      <w:pPr>
        <w:spacing w:after="0" w:line="170" w:lineRule="exact"/>
        <w:rPr>
          <w:rFonts w:ascii="Arial" w:cs="Arial" w:eastAsia="Arial" w:hAnsi="Arial"/>
          <w:sz w:val="18"/>
          <w:szCs w:val="18"/>
          <w:color w:val="auto"/>
        </w:rPr>
      </w:pPr>
    </w:p>
    <w:p>
      <w:pPr>
        <w:jc w:val="both"/>
        <w:ind w:firstLine="1142"/>
        <w:spacing w:after="0" w:line="279" w:lineRule="auto"/>
        <w:tabs>
          <w:tab w:leader="none" w:pos="155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restrictions by reason of customary provisions restricting assignments, subletting or other transfers contained in leases, licenses, joint venture agreements, asset sale agreements, stock sale agreements and similar agreements entered into to the extent permitted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are limited to the property or assets secured by such Liens or the property or assets subject to such leases, licenses, joint venture agreements, asset sale agreements, stock sale agreements or similar agreements, as the case may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9" w:name="page130"/>
    <w:bookmarkEnd w:id="129"/>
    <w:p>
      <w:pPr>
        <w:ind w:left="1520" w:hanging="378"/>
        <w:spacing w:after="0"/>
        <w:tabs>
          <w:tab w:leader="none" w:pos="15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7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set forth in any document governing Incremental Equivalent Debt, Permitted Ratio Debt and Credit Agreement Refinancing Indebtedness, in each case, so long as such restrictions do not restrict or otherwise impair the rights of the Agents, the Lenders or any other Secured Party under this Agreement or any other Credit Document or any refinancing thereof;</w:t>
      </w:r>
    </w:p>
    <w:p>
      <w:pPr>
        <w:spacing w:after="0" w:line="183" w:lineRule="exact"/>
        <w:rPr>
          <w:rFonts w:ascii="Arial" w:cs="Arial" w:eastAsia="Arial" w:hAnsi="Arial"/>
          <w:sz w:val="18"/>
          <w:szCs w:val="18"/>
          <w:color w:val="auto"/>
        </w:rPr>
      </w:pPr>
    </w:p>
    <w:p>
      <w:pPr>
        <w:ind w:firstLine="1142"/>
        <w:spacing w:after="0" w:line="277" w:lineRule="auto"/>
        <w:tabs>
          <w:tab w:leader="none" w:pos="16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under any subordination or intercreditor agreement reasonably acceptable to the Administrative Agent with respect to Indebtedness permitted under Section 6.1;</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on Non-Credit Parties pursuant to Indebtedness permitted under Section 6.1;</w:t>
      </w:r>
    </w:p>
    <w:p>
      <w:pPr>
        <w:spacing w:after="0" w:line="225" w:lineRule="exact"/>
        <w:rPr>
          <w:rFonts w:ascii="Arial" w:cs="Arial" w:eastAsia="Arial" w:hAnsi="Arial"/>
          <w:sz w:val="18"/>
          <w:szCs w:val="18"/>
          <w:color w:val="auto"/>
        </w:rPr>
      </w:pPr>
    </w:p>
    <w:p>
      <w:pPr>
        <w:jc w:val="both"/>
        <w:ind w:firstLine="1142"/>
        <w:spacing w:after="0" w:line="259" w:lineRule="auto"/>
        <w:tabs>
          <w:tab w:leader="none" w:pos="160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restrictions on Persons or property at the time such Person or property is acquired (including under Indebtedness permitted to be incurred pursuant to Section 6.1(k));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restrictions were existing at the time of such acquisition and were not created in anticipation or contemplation thereof and are limited to the Person or property so acquired (and any improvements, accessions, proceeds, dividends or distributions in respect thereof and assets fixed or appurtenant thereto);</w:t>
      </w:r>
    </w:p>
    <w:p>
      <w:pPr>
        <w:spacing w:after="0" w:line="186" w:lineRule="exact"/>
        <w:rPr>
          <w:rFonts w:ascii="Arial" w:cs="Arial" w:eastAsia="Arial" w:hAnsi="Arial"/>
          <w:sz w:val="18"/>
          <w:szCs w:val="18"/>
          <w:color w:val="auto"/>
        </w:rPr>
      </w:pPr>
    </w:p>
    <w:p>
      <w:pPr>
        <w:ind w:firstLine="1142"/>
        <w:spacing w:after="0" w:line="342" w:lineRule="auto"/>
        <w:tabs>
          <w:tab w:leader="none" w:pos="153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restrictions on assets financed or acquired pursuant to Section 6.1(d) (to the extent such restrictions were not created in contemplation of such acquisition of assets and do not extend to any assets other than such assets so acquired except to the extent permitted by Section 6.1(d));</w:t>
      </w:r>
    </w:p>
    <w:p>
      <w:pPr>
        <w:spacing w:after="0" w:line="123" w:lineRule="exact"/>
        <w:rPr>
          <w:rFonts w:ascii="Arial" w:cs="Arial" w:eastAsia="Arial" w:hAnsi="Arial"/>
          <w:sz w:val="16"/>
          <w:szCs w:val="16"/>
          <w:color w:val="auto"/>
        </w:rPr>
      </w:pPr>
    </w:p>
    <w:p>
      <w:pPr>
        <w:jc w:val="both"/>
        <w:ind w:firstLine="1142"/>
        <w:spacing w:after="0" w:line="259" w:lineRule="auto"/>
        <w:tabs>
          <w:tab w:leader="none" w:pos="15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restrictions that exist on the Closing Date and (to the extent not otherwise permitted by this Section 6.3) are listed on </w:t>
      </w:r>
      <w:r>
        <w:rPr>
          <w:rFonts w:ascii="Arial" w:cs="Arial" w:eastAsia="Arial" w:hAnsi="Arial"/>
          <w:sz w:val="18"/>
          <w:szCs w:val="18"/>
          <w:u w:val="single" w:color="auto"/>
          <w:color w:val="auto"/>
        </w:rPr>
        <w:t>Schedule 6.3</w:t>
      </w:r>
      <w:r>
        <w:rPr>
          <w:rFonts w:ascii="Arial" w:cs="Arial" w:eastAsia="Arial" w:hAnsi="Arial"/>
          <w:sz w:val="18"/>
          <w:szCs w:val="18"/>
          <w:color w:val="auto"/>
        </w:rPr>
        <w:t xml:space="preserve"> hereto and to the extent such restrictions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restrictions;</w:t>
      </w:r>
    </w:p>
    <w:p>
      <w:pPr>
        <w:spacing w:after="0" w:line="186" w:lineRule="exact"/>
        <w:rPr>
          <w:rFonts w:ascii="Arial" w:cs="Arial" w:eastAsia="Arial" w:hAnsi="Arial"/>
          <w:sz w:val="18"/>
          <w:szCs w:val="18"/>
          <w:color w:val="auto"/>
        </w:rPr>
      </w:pPr>
    </w:p>
    <w:p>
      <w:pPr>
        <w:ind w:firstLine="1142"/>
        <w:spacing w:after="0" w:line="277" w:lineRule="auto"/>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apply by reason of any applicable Law, rule, regulation or order or are required by any Governmental Authority having jurisdiction over the Borrower or any Subsidiary;</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arising in connection with cash or other deposits permitted under Section 6.2;</w:t>
      </w:r>
    </w:p>
    <w:p>
      <w:pPr>
        <w:spacing w:after="0" w:line="225" w:lineRule="exact"/>
        <w:rPr>
          <w:rFonts w:ascii="Arial" w:cs="Arial" w:eastAsia="Arial" w:hAnsi="Arial"/>
          <w:sz w:val="18"/>
          <w:szCs w:val="18"/>
          <w:color w:val="auto"/>
        </w:rPr>
      </w:pPr>
    </w:p>
    <w:p>
      <w:pPr>
        <w:jc w:val="both"/>
        <w:ind w:firstLine="1142"/>
        <w:spacing w:after="0" w:line="257" w:lineRule="auto"/>
        <w:tabs>
          <w:tab w:leader="none" w:pos="14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imposed by any agreement governing Indebtedness entered into after the Closing Date and permitted under Section 6.1 that are, taken as a whole, in the good faith judgment of the Borrower, not materially more restrictive with respect to the Borrower or any Subsidiary than customary market terms for Indebtedness of such type (and, in the case of any term indebtedness, are no more restrictive than the restrictions contained in this Agreement), so long as the Borrower shall have determined in good faith that such restrictions will not affect its obligation or ability to make any payments required or to provide security hereunder; and</w:t>
      </w:r>
    </w:p>
    <w:p>
      <w:pPr>
        <w:spacing w:after="0" w:line="187" w:lineRule="exact"/>
        <w:rPr>
          <w:rFonts w:ascii="Arial" w:cs="Arial" w:eastAsia="Arial" w:hAnsi="Arial"/>
          <w:sz w:val="18"/>
          <w:szCs w:val="18"/>
          <w:color w:val="auto"/>
        </w:rPr>
      </w:pPr>
    </w:p>
    <w:p>
      <w:pPr>
        <w:jc w:val="both"/>
        <w:ind w:firstLine="1142"/>
        <w:spacing w:after="0" w:line="263"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restrictions imposed by any agreement governing Indebtedness entered into after the Closing Date and permitted under Section 6.1 that limit the right of the obligor to dispose of the assets securing such Indebtedness or that are limited the property or assets intended to secure such Indebtedness.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0" w:name="page131"/>
    <w:bookmarkEnd w:id="130"/>
    <w:p>
      <w:pPr>
        <w:ind w:firstLine="648"/>
        <w:spacing w:after="0" w:line="282" w:lineRule="auto"/>
        <w:rPr>
          <w:sz w:val="20"/>
          <w:szCs w:val="20"/>
          <w:color w:val="auto"/>
        </w:rPr>
      </w:pPr>
      <w:r>
        <w:rPr>
          <w:rFonts w:ascii="Arial" w:cs="Arial" w:eastAsia="Arial" w:hAnsi="Arial"/>
          <w:sz w:val="18"/>
          <w:szCs w:val="18"/>
          <w:b w:val="1"/>
          <w:bCs w:val="1"/>
          <w:color w:val="auto"/>
        </w:rPr>
        <w:t>6.4 Restricted Junior Payments</w:t>
      </w:r>
      <w:r>
        <w:rPr>
          <w:rFonts w:ascii="Arial" w:cs="Arial" w:eastAsia="Arial" w:hAnsi="Arial"/>
          <w:sz w:val="18"/>
          <w:szCs w:val="18"/>
          <w:color w:val="auto"/>
        </w:rPr>
        <w:t>. The Borrower will not, nor will it permit any Subsidiary to, directly or indirectly, pay or make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Junior Payment except:</w:t>
      </w:r>
    </w:p>
    <w:p>
      <w:pPr>
        <w:spacing w:after="0" w:line="166" w:lineRule="exact"/>
        <w:rPr>
          <w:sz w:val="20"/>
          <w:szCs w:val="20"/>
          <w:color w:val="auto"/>
        </w:rPr>
      </w:pPr>
    </w:p>
    <w:p>
      <w:pPr>
        <w:jc w:val="both"/>
        <w:ind w:firstLine="1142"/>
        <w:spacing w:after="0" w:line="268" w:lineRule="auto"/>
        <w:tabs>
          <w:tab w:leader="none" w:pos="157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 so long as no Event of Default has occurred and is continuing or would be caused thereby, redemptions and repurchases by the Borrower of Capital Stock of the Borrower from officers, directors, employees, advisors or consultants or their respective estates, trusts, family members or former spouses of any Credit Party or any Subsidiary (or their Affiliates), upon termination of employment, in connection with the exercise of stock options, stock appreciation rights or other equity incentives or equity based incentives or in connection with the death or disability of such officers, directors, employees, advisors or consultants (or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such cases the aggregate amount of such payments in respect of all such Capital Stock so redeemed or repurchased does not exceed $10,000,000 in any Fiscal Year (with unused amounts in any Fiscal Year rolled over to the immediately succeeding Fiscal Year),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 an amount not to exceed the cash proceeds of key man life insurance policies received by the Borrower or any Guarantor Subsidiary after the Closing Date, (B) the amount of net cash proceeds from the sale of Capital Stock of the Borrower (other than Disqualified Capital Stock) to officers, directors, employees, advisors or consultants, to the extent not otherwise used under this Agreement or applied to the Available Amount and (C) the amount of any cash bonuses or other compensation otherwise payable to any future, present or former director, employee, consultant or distributor of the Borrower or any Subsidiary that are foregone in return for the redemption of Capital Stock of the Borrower; and (ii) cashless repurchases of Capital Stock deemed to occur upon the exercise of stock options, warrants, settlements or vesting if such stock represents a portion of the exercise price thereof;</w:t>
      </w:r>
    </w:p>
    <w:p>
      <w:pPr>
        <w:spacing w:after="0" w:line="186" w:lineRule="exact"/>
        <w:rPr>
          <w:rFonts w:ascii="Arial" w:cs="Arial" w:eastAsia="Arial" w:hAnsi="Arial"/>
          <w:sz w:val="17"/>
          <w:szCs w:val="17"/>
          <w:color w:val="auto"/>
        </w:rPr>
      </w:pPr>
    </w:p>
    <w:p>
      <w:pPr>
        <w:ind w:firstLine="1142"/>
        <w:spacing w:after="0" w:line="277" w:lineRule="auto"/>
        <w:tabs>
          <w:tab w:leader="none" w:pos="1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payments in the form of Capital Stock of the Borrower (other than Disqualified Capital Stock and to the extent not otherwise used under this Agreement or applied to the Available Amount);</w:t>
      </w:r>
    </w:p>
    <w:p>
      <w:pPr>
        <w:spacing w:after="0" w:line="170" w:lineRule="exact"/>
        <w:rPr>
          <w:rFonts w:ascii="Arial" w:cs="Arial" w:eastAsia="Arial" w:hAnsi="Arial"/>
          <w:sz w:val="18"/>
          <w:szCs w:val="18"/>
          <w:color w:val="auto"/>
        </w:rPr>
      </w:pPr>
    </w:p>
    <w:p>
      <w:pPr>
        <w:ind w:firstLine="1142"/>
        <w:spacing w:after="0" w:line="277" w:lineRule="auto"/>
        <w:tabs>
          <w:tab w:leader="none" w:pos="1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payments in lieu of the issuance of fractional shares in connection with the exercise of warrants, options or other securities convertible into or exchangeable for Capital Stock;</w:t>
      </w:r>
    </w:p>
    <w:p>
      <w:pPr>
        <w:spacing w:after="0" w:line="170" w:lineRule="exact"/>
        <w:rPr>
          <w:rFonts w:ascii="Arial" w:cs="Arial" w:eastAsia="Arial" w:hAnsi="Arial"/>
          <w:sz w:val="18"/>
          <w:szCs w:val="18"/>
          <w:color w:val="auto"/>
        </w:rPr>
      </w:pPr>
    </w:p>
    <w:p>
      <w:pPr>
        <w:jc w:val="both"/>
        <w:ind w:firstLine="1142"/>
        <w:spacing w:after="0" w:line="269" w:lineRule="auto"/>
        <w:tabs>
          <w:tab w:leader="none" w:pos="153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subject to the terms of any applicable subordination provisions, the Borrower or any Subsidiary may (A) make all regularly scheduled payments of principal, interest, fees and premiums and all payments of indemnities and expenses in respect of any Junior Financing when due, (B) pay customary closing, consent and similar fees related to any Junior Financing, (C) make mandatory prepayments, mandatory redemptions and mandatory purchases in connection with a “change of control” or “asset sale offer to purchase”, in each case pursuant to the terms governing any Junior Financing as in effect on the date of incurrence or issuance (including in connection with a refinancing thereof) of such Junior Financing, (D) prepay Indebtedness (x) of the Borrower or any Subsidiary owed to the Borrower or any Guarantor Subsidiary, (y) of any Non-Credit Party owed to any Non-Credit Party or (z) so long as no Event of Default has occurred and is continuing or would result therefrom, of the Borrower or any Guarantor Subsidiary to any Non-Credit Party, (E) prepay or refinance any Junior Financing (including the payment of any premium in connection therewith) with the proceeds of any other Junior Financing otherwise permitted by Section 6.1 (including any Permitted Refinancing thereof) and (F) convert any Junior Financing to Capital Stock (other than Disqualified Capital Stock) of the Borrower;</w:t>
      </w:r>
    </w:p>
    <w:p>
      <w:pPr>
        <w:spacing w:after="0" w:line="185" w:lineRule="exact"/>
        <w:rPr>
          <w:rFonts w:ascii="Arial" w:cs="Arial" w:eastAsia="Arial" w:hAnsi="Arial"/>
          <w:sz w:val="17"/>
          <w:szCs w:val="17"/>
          <w:color w:val="auto"/>
        </w:rPr>
      </w:pPr>
    </w:p>
    <w:p>
      <w:pPr>
        <w:ind w:left="1540" w:hanging="398"/>
        <w:spacing w:after="0"/>
        <w:tabs>
          <w:tab w:leader="none" w:pos="1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declaration and payment of any dividend or other Restricted Equity Payment by any Subsidiary of the Borrower on a ratable basis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its equity holders;</w:t>
      </w:r>
    </w:p>
    <w:p>
      <w:pPr>
        <w:spacing w:after="0" w:line="210" w:lineRule="exact"/>
        <w:rPr>
          <w:rFonts w:ascii="Arial" w:cs="Arial" w:eastAsia="Arial" w:hAnsi="Arial"/>
          <w:sz w:val="16"/>
          <w:szCs w:val="16"/>
          <w:color w:val="auto"/>
        </w:rPr>
      </w:pPr>
    </w:p>
    <w:p>
      <w:pPr>
        <w:ind w:left="1500" w:hanging="358"/>
        <w:spacing w:after="0"/>
        <w:tabs>
          <w:tab w:leader="none" w:pos="15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declaration and payment of quarterly cash dividends by the Borrower in the amount of $0.06 per share of common Capital Stock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firstLine="1142"/>
        <w:spacing w:after="0" w:line="263" w:lineRule="auto"/>
        <w:tabs>
          <w:tab w:leader="none" w:pos="165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Restricted Junior Payments in an aggregate amount not to exceed the Available Amount as in effect immediately before such Restricted Junior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Event of Default has occurred and is continuing or would result therefrom and (ii) the Total Net Leverage Ratio on a Pro Forma Basis would be less than or equal to 3.50:1.00;</w:t>
      </w:r>
    </w:p>
    <w:p>
      <w:pPr>
        <w:spacing w:after="0" w:line="183" w:lineRule="exact"/>
        <w:rPr>
          <w:rFonts w:ascii="Arial" w:cs="Arial" w:eastAsia="Arial" w:hAnsi="Arial"/>
          <w:sz w:val="18"/>
          <w:szCs w:val="18"/>
          <w:color w:val="auto"/>
        </w:rPr>
      </w:pPr>
    </w:p>
    <w:p>
      <w:pPr>
        <w:jc w:val="both"/>
        <w:ind w:firstLine="1142"/>
        <w:spacing w:after="0" w:line="263" w:lineRule="auto"/>
        <w:tabs>
          <w:tab w:leader="none" w:pos="155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Restricted Equity Payments and Restricted Debt Payments, so long as (i) no Event of Default has occurred and is continuing at such time or would result from the making of such Restricted Junior Payment, (ii) the Total Net Leverage Ratio on a Pro Forma Basis would be less than or equal to 1.75:1.00;</w:t>
      </w:r>
    </w:p>
    <w:p>
      <w:pPr>
        <w:spacing w:after="0" w:line="183" w:lineRule="exact"/>
        <w:rPr>
          <w:rFonts w:ascii="Arial" w:cs="Arial" w:eastAsia="Arial" w:hAnsi="Arial"/>
          <w:sz w:val="18"/>
          <w:szCs w:val="18"/>
          <w:color w:val="auto"/>
        </w:rPr>
      </w:pPr>
    </w:p>
    <w:p>
      <w:pPr>
        <w:ind w:firstLine="1142"/>
        <w:spacing w:after="0" w:line="277" w:lineRule="auto"/>
        <w:tabs>
          <w:tab w:leader="none" w:pos="14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at such time or would result after giving effect thereto, Restricted Junior Payments in an aggregate amount not to exceed $20,000,000; and</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Restricted Equity Payments in order to effect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compliance with this Section 6.4:</w:t>
      </w:r>
    </w:p>
    <w:p>
      <w:pPr>
        <w:spacing w:after="0" w:line="225" w:lineRule="exact"/>
        <w:rPr>
          <w:sz w:val="20"/>
          <w:szCs w:val="20"/>
          <w:color w:val="auto"/>
        </w:rPr>
      </w:pPr>
    </w:p>
    <w:p>
      <w:pPr>
        <w:ind w:firstLine="656"/>
        <w:spacing w:after="0" w:line="277" w:lineRule="auto"/>
        <w:tabs>
          <w:tab w:leader="none" w:pos="10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amount set forth in Section 6.4(h) (without duplication) may, in lieu of Restricted Junior Payments, be utilized by the Borrower or any Subsidiary to make or hold any Investments without regard to Section 6.6;</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the avoidance of doubt, if the Borrower or any Subsidiary makes any Restricted Junior Payment using a ratio-based test on the same date that it makes any Restricted Junior Payment under any Dollar-based Cap, then the ratio-based test will be calculated with respect to such payment under the ratio-based test without regard to any payment under the Dollar-based Cap;</w:t>
      </w:r>
    </w:p>
    <w:p>
      <w:pPr>
        <w:spacing w:after="0" w:line="183" w:lineRule="exact"/>
        <w:rPr>
          <w:rFonts w:ascii="Arial" w:cs="Arial" w:eastAsia="Arial" w:hAnsi="Arial"/>
          <w:sz w:val="18"/>
          <w:szCs w:val="18"/>
          <w:color w:val="auto"/>
        </w:rPr>
      </w:pPr>
    </w:p>
    <w:p>
      <w:pPr>
        <w:ind w:firstLine="656"/>
        <w:spacing w:after="0" w:line="277" w:lineRule="auto"/>
        <w:tabs>
          <w:tab w:leader="none" w:pos="106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payment of any Restricted Equity Payment within sixty (60) days after the date of declaration thereof shall be permitted if at the date of declaration such payment would have complied with the provisions of this Agreement; and</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04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in the event that any Restricted Junior Payment (or any portion thereof) meets the criteria of more than one of the clauses of this Section 6.4, the Borrower may, in its sole discretion, at the time of making such payment, divide, classify or reclassify, or at any later time divide, classify or reclassify, such Restricted Junior Payment (or any portion thereof) in any manner that complies with this covenant;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Restricted Junior Payment incurred under a Dollar-based Cap may not be reclassified as a Restricted Junior Payment using a ratio-based test.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6.5 Restrictions on Subsidiary Distributions</w:t>
      </w:r>
      <w:r>
        <w:rPr>
          <w:rFonts w:ascii="Arial" w:cs="Arial" w:eastAsia="Arial" w:hAnsi="Arial"/>
          <w:sz w:val="18"/>
          <w:szCs w:val="18"/>
          <w:color w:val="auto"/>
        </w:rPr>
        <w:t>. Except as provided herein, the Borrower will not, nor will it permit any Subsidiary to, create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cause or suffer to exist or become effective any consensual encumbrance or restriction of any kind on the ability of any Subsidiary of the Borrower to (i) pay dividends or make any other distributions on any of such Subsidiary’s Capital Stock owned by the Borrower or any other Subsidiary of the Borrower; (ii) repay or prepay any Indebtedness owed by such Subsidiary to the Borrower or any other Subsidiary of the Borrower; (iii) make loans or advances to the Borrower or any other Subsidiary of the Borrower; or (iv) transfer any of its property or assets to the Borrower or any other Subsidiary of the Borrower, in each case, other than restrictions:</w:t>
      </w:r>
    </w:p>
    <w:p>
      <w:pPr>
        <w:spacing w:after="0" w:line="191" w:lineRule="exact"/>
        <w:rPr>
          <w:sz w:val="20"/>
          <w:szCs w:val="20"/>
          <w:color w:val="auto"/>
        </w:rPr>
      </w:pPr>
    </w:p>
    <w:p>
      <w:pPr>
        <w:jc w:val="both"/>
        <w:ind w:firstLine="1142"/>
        <w:spacing w:after="0" w:line="263" w:lineRule="auto"/>
        <w:tabs>
          <w:tab w:leader="none" w:pos="15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agreements evidencing Indebtedness permitted in accordance with Section 6.1(a), (c), (d) (that impose restrictions on the property so acquired, constructed, leased or improved and any improvements, accessions, proceeds, dividends or distributions in respect thereof and assets fixed or appurtenant thereto), (g), (h), (i), (k) (limited to such acquired Person or asset), (p), (r), (u) and (z);</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2" w:name="page133"/>
    <w:bookmarkEnd w:id="132"/>
    <w:p>
      <w:pPr>
        <w:jc w:val="both"/>
        <w:ind w:firstLine="1142"/>
        <w:spacing w:after="0" w:line="257" w:lineRule="auto"/>
        <w:tabs>
          <w:tab w:leader="none" w:pos="157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in agreements evidencing Permitted Refinancing of Indebtedness permitted in accordance with Section 6.1(x) or other Indebtedness issued or incurred (including by means of the extension or renewal of existing Indebtedness) to refinance, refund, extend, defease, discharge, renew or replace other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encumbrances, restrictions and conditions of a type described in this Section 6.5 under any such refinancing are not materially more restrictive, taken as a whole, than those contained in the documentation governing the Indebtedness being refinanced (as determined by the Borrower in good faith);</w:t>
      </w:r>
    </w:p>
    <w:p>
      <w:pPr>
        <w:spacing w:after="0" w:line="187" w:lineRule="exact"/>
        <w:rPr>
          <w:rFonts w:ascii="Arial" w:cs="Arial" w:eastAsia="Arial" w:hAnsi="Arial"/>
          <w:sz w:val="18"/>
          <w:szCs w:val="18"/>
          <w:color w:val="auto"/>
        </w:rPr>
      </w:pPr>
    </w:p>
    <w:p>
      <w:pPr>
        <w:ind w:firstLine="1142"/>
        <w:spacing w:after="0" w:line="277" w:lineRule="auto"/>
        <w:tabs>
          <w:tab w:leader="none" w:pos="15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by reason of customary provisions restricting assignments, subletting, or other transfers contained in leases, licenses, joint venture agreements and similar agreements entered into in the ordinary course of business;</w:t>
      </w:r>
    </w:p>
    <w:p>
      <w:pPr>
        <w:spacing w:after="0" w:line="170" w:lineRule="exact"/>
        <w:rPr>
          <w:rFonts w:ascii="Arial" w:cs="Arial" w:eastAsia="Arial" w:hAnsi="Arial"/>
          <w:sz w:val="18"/>
          <w:szCs w:val="18"/>
          <w:color w:val="auto"/>
        </w:rPr>
      </w:pPr>
    </w:p>
    <w:p>
      <w:pPr>
        <w:ind w:firstLine="1142"/>
        <w:spacing w:after="0" w:line="277" w:lineRule="auto"/>
        <w:tabs>
          <w:tab w:leader="none" w:pos="157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that are or were created by virtue of any transfer of, agreement to transfer or option or right with respect to any property, assets or Capital Stock not otherwise prohibited under this Agreement;</w:t>
      </w:r>
    </w:p>
    <w:p>
      <w:pPr>
        <w:spacing w:after="0" w:line="170" w:lineRule="exact"/>
        <w:rPr>
          <w:rFonts w:ascii="Arial" w:cs="Arial" w:eastAsia="Arial" w:hAnsi="Arial"/>
          <w:sz w:val="18"/>
          <w:szCs w:val="18"/>
          <w:color w:val="auto"/>
        </w:rPr>
      </w:pPr>
    </w:p>
    <w:p>
      <w:pPr>
        <w:ind w:firstLine="1142"/>
        <w:spacing w:after="0" w:line="277" w:lineRule="auto"/>
        <w:tabs>
          <w:tab w:leader="none" w:pos="15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apply by reason of any applicable Law, rule, regulation or order or are required by any Governmental Authority having jurisdiction over the Borrower or any Subsidiary;</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54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restrictions applicable to Non-Credit Parties or the assets of Non-Credit Parties (including Capital Stock held by non-Credit Parties) pursuant to Indebtedness permitted under Section 6.1 and pursuant to restrictions in agreements related to Investments and acquisitions permitted by Section 6.6;</w:t>
      </w:r>
    </w:p>
    <w:p>
      <w:pPr>
        <w:spacing w:after="0" w:line="183" w:lineRule="exact"/>
        <w:rPr>
          <w:rFonts w:ascii="Arial" w:cs="Arial" w:eastAsia="Arial" w:hAnsi="Arial"/>
          <w:sz w:val="18"/>
          <w:szCs w:val="18"/>
          <w:color w:val="auto"/>
        </w:rPr>
      </w:pPr>
    </w:p>
    <w:p>
      <w:pPr>
        <w:ind w:firstLine="1142"/>
        <w:spacing w:after="0" w:line="277" w:lineRule="auto"/>
        <w:tabs>
          <w:tab w:leader="none" w:pos="15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restrictions on Persons or property at the time such Person or property is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restrictions were existing at the time of such acquisition and were not created in anticipation or contemplation thereof;</w:t>
      </w:r>
    </w:p>
    <w:p>
      <w:pPr>
        <w:spacing w:after="0" w:line="170" w:lineRule="exact"/>
        <w:rPr>
          <w:rFonts w:ascii="Arial" w:cs="Arial" w:eastAsia="Arial" w:hAnsi="Arial"/>
          <w:sz w:val="18"/>
          <w:szCs w:val="18"/>
          <w:color w:val="auto"/>
        </w:rPr>
      </w:pPr>
    </w:p>
    <w:p>
      <w:pPr>
        <w:jc w:val="both"/>
        <w:ind w:firstLine="1142"/>
        <w:spacing w:after="0" w:line="263" w:lineRule="auto"/>
        <w:tabs>
          <w:tab w:leader="none" w:pos="15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under licensing, sub-licensing, leasing or sub-leasing agreements entered into by the Borrower or any Subsidiary, in each case entered into in the ordinary course of business, and provisions restricting assignment of any such agreement entered into by the Borrower or any Subsidiary in the ordinary course of business;</w:t>
      </w:r>
    </w:p>
    <w:p>
      <w:pPr>
        <w:spacing w:after="0" w:line="183" w:lineRule="exact"/>
        <w:rPr>
          <w:rFonts w:ascii="Arial" w:cs="Arial" w:eastAsia="Arial" w:hAnsi="Arial"/>
          <w:sz w:val="18"/>
          <w:szCs w:val="18"/>
          <w:color w:val="auto"/>
        </w:rPr>
      </w:pPr>
    </w:p>
    <w:p>
      <w:pPr>
        <w:ind w:left="1500" w:hanging="358"/>
        <w:spacing w:after="0"/>
        <w:tabs>
          <w:tab w:leader="none" w:pos="15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restrictions that exist on the Closing Date;</w:t>
      </w:r>
    </w:p>
    <w:p>
      <w:pPr>
        <w:spacing w:after="0" w:line="225" w:lineRule="exact"/>
        <w:rPr>
          <w:rFonts w:ascii="Arial" w:cs="Arial" w:eastAsia="Arial" w:hAnsi="Arial"/>
          <w:sz w:val="18"/>
          <w:szCs w:val="18"/>
          <w:color w:val="auto"/>
        </w:rPr>
      </w:pPr>
    </w:p>
    <w:p>
      <w:pPr>
        <w:jc w:val="both"/>
        <w:ind w:firstLine="1142"/>
        <w:spacing w:after="0" w:line="301" w:lineRule="auto"/>
        <w:tabs>
          <w:tab w:leader="none" w:pos="148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restrictions imposed by any agreement governing Indebtedness entered into after the Closing Date and permitted under Section 6.1 that are, taken as a whole, in the good faith judgment of the Borrower, no more restrictive with respect to the Borrower or any Subsidiary than customary market terms for Indebtedness of such type (and, in any event, are no more restrictive than the restrictions contained in this Agreement), so long as the Borrower shall have determined in good faith that such restrictions will not affect its obligation or ability to make any payments required hereunder;</w:t>
      </w:r>
    </w:p>
    <w:p>
      <w:pPr>
        <w:spacing w:after="0" w:line="157" w:lineRule="exact"/>
        <w:rPr>
          <w:rFonts w:ascii="Arial" w:cs="Arial" w:eastAsia="Arial" w:hAnsi="Arial"/>
          <w:sz w:val="16"/>
          <w:szCs w:val="16"/>
          <w:color w:val="auto"/>
        </w:rPr>
      </w:pPr>
    </w:p>
    <w:p>
      <w:pPr>
        <w:ind w:left="1540" w:hanging="398"/>
        <w:spacing w:after="0"/>
        <w:tabs>
          <w:tab w:leader="none" w:pos="1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negative pledges that are permitted pursuant to Section 6.3;</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customary provisions restricting assignment of any agreement of the type not covered by Section 6.5(h); and</w:t>
      </w:r>
    </w:p>
    <w:p>
      <w:pPr>
        <w:spacing w:after="0" w:line="225" w:lineRule="exact"/>
        <w:rPr>
          <w:rFonts w:ascii="Arial" w:cs="Arial" w:eastAsia="Arial" w:hAnsi="Arial"/>
          <w:sz w:val="18"/>
          <w:szCs w:val="18"/>
          <w:color w:val="auto"/>
        </w:rPr>
      </w:pPr>
    </w:p>
    <w:p>
      <w:pPr>
        <w:ind w:firstLine="1142"/>
        <w:spacing w:after="0" w:line="277" w:lineRule="auto"/>
        <w:tabs>
          <w:tab w:leader="none" w:pos="166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restrictions on cash or other deposits imposed by customers under contracts entered into in the ordinary course of business and restrictions that arise in connection with cash or other deposits permitted 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ind w:firstLine="648"/>
        <w:spacing w:after="0" w:line="282" w:lineRule="auto"/>
        <w:rPr>
          <w:sz w:val="20"/>
          <w:szCs w:val="20"/>
          <w:color w:val="auto"/>
        </w:rPr>
      </w:pPr>
      <w:r>
        <w:rPr>
          <w:rFonts w:ascii="Arial" w:cs="Arial" w:eastAsia="Arial" w:hAnsi="Arial"/>
          <w:sz w:val="18"/>
          <w:szCs w:val="18"/>
          <w:b w:val="1"/>
          <w:bCs w:val="1"/>
          <w:color w:val="auto"/>
        </w:rPr>
        <w:t>6.6 Investments</w:t>
      </w:r>
      <w:r>
        <w:rPr>
          <w:rFonts w:ascii="Arial" w:cs="Arial" w:eastAsia="Arial" w:hAnsi="Arial"/>
          <w:sz w:val="18"/>
          <w:szCs w:val="18"/>
          <w:color w:val="auto"/>
        </w:rPr>
        <w:t>. The Borrower will not, nor will it permit any Subsidiary to, directly or indirectly, make or own any Investment in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Joint Venture, except:</w:t>
      </w:r>
    </w:p>
    <w:p>
      <w:pPr>
        <w:spacing w:after="0" w:line="166" w:lineRule="exact"/>
        <w:rPr>
          <w:sz w:val="20"/>
          <w:szCs w:val="20"/>
          <w:color w:val="auto"/>
        </w:rPr>
      </w:pPr>
    </w:p>
    <w:p>
      <w:pPr>
        <w:ind w:firstLine="1142"/>
        <w:spacing w:after="0" w:line="308" w:lineRule="auto"/>
        <w:tabs>
          <w:tab w:leader="none" w:pos="15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cash and Cash Equivalents;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Investment which when made complies with the requirements of the definition of “Cash Equivalents” may continue to be held notwithstanding that such Investment if made thereafter would not comply with such requirements;</w:t>
      </w:r>
    </w:p>
    <w:p>
      <w:pPr>
        <w:spacing w:after="0" w:line="146" w:lineRule="exact"/>
        <w:rPr>
          <w:rFonts w:ascii="Arial" w:cs="Arial" w:eastAsia="Arial" w:hAnsi="Arial"/>
          <w:sz w:val="17"/>
          <w:szCs w:val="17"/>
          <w:color w:val="auto"/>
        </w:rPr>
      </w:pPr>
    </w:p>
    <w:p>
      <w:pPr>
        <w:jc w:val="both"/>
        <w:ind w:firstLine="1142"/>
        <w:spacing w:after="0" w:line="255" w:lineRule="auto"/>
        <w:tabs>
          <w:tab w:leader="none" w:pos="15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Investments by the Borrower in any Subsidiary and by any Subsidiary in the Borrower or any other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Investment is made by any Credit Party in any Non-Credit Party, the aggregate amount of all such Investments made after the Closing Date after giving effect to the Transactions and in reliance on this Section 6.6(b) shall not exceed, together with any Investments made in reliance on the proviso in clause (c) of the definition of “Permitted Acquisition” (in each case determined on a Pro Forma Basis giving effect to the making any such Investment, and after giving effect to clause (1) in the last paragraph of this Section 6.6), the greater of (x) $50,000,000 and (y) an amount equal to 30% of LTM Consolidated Adjusted EBITDA;</w:t>
      </w:r>
    </w:p>
    <w:p>
      <w:pPr>
        <w:spacing w:after="0" w:line="192" w:lineRule="exact"/>
        <w:rPr>
          <w:rFonts w:ascii="Arial" w:cs="Arial" w:eastAsia="Arial" w:hAnsi="Arial"/>
          <w:sz w:val="18"/>
          <w:szCs w:val="18"/>
          <w:color w:val="auto"/>
        </w:rPr>
      </w:pPr>
    </w:p>
    <w:p>
      <w:pPr>
        <w:ind w:left="1520" w:hanging="378"/>
        <w:spacing w:after="0"/>
        <w:tabs>
          <w:tab w:leader="none" w:pos="1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accounts receivable arising and trade credit granted in the ordinary course of business or consistent with past practice;</w:t>
      </w:r>
    </w:p>
    <w:p>
      <w:pPr>
        <w:spacing w:after="0" w:line="225" w:lineRule="exact"/>
        <w:rPr>
          <w:rFonts w:ascii="Arial" w:cs="Arial" w:eastAsia="Arial" w:hAnsi="Arial"/>
          <w:sz w:val="18"/>
          <w:szCs w:val="18"/>
          <w:color w:val="auto"/>
        </w:rPr>
      </w:pPr>
    </w:p>
    <w:p>
      <w:pPr>
        <w:ind w:firstLine="1142"/>
        <w:spacing w:after="0" w:line="277" w:lineRule="auto"/>
        <w:tabs>
          <w:tab w:leader="none" w:pos="153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received in satisfaction or partial satisfaction thereof from financially troubled account debtors or pursuant to any plan of reorganization or similar arrangement upon the bankruptcy or insolvency of such account debtors;</w:t>
      </w:r>
    </w:p>
    <w:p>
      <w:pPr>
        <w:spacing w:after="0" w:line="170" w:lineRule="exact"/>
        <w:rPr>
          <w:rFonts w:ascii="Arial" w:cs="Arial" w:eastAsia="Arial" w:hAnsi="Arial"/>
          <w:sz w:val="18"/>
          <w:szCs w:val="18"/>
          <w:color w:val="auto"/>
        </w:rPr>
      </w:pPr>
    </w:p>
    <w:p>
      <w:pPr>
        <w:ind w:left="1520" w:hanging="378"/>
        <w:spacing w:after="0"/>
        <w:tabs>
          <w:tab w:leader="none" w:pos="1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deposits, prepayments and other credits to suppliers made in the ordinary course of business;</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60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capital expenditures in respect of the Borrower and the Subsidiaries in accordance with GAAP (other than any expenditure that involves the acquisition, whether by purchase, merger or otherwise, of all or a material portion of the assets of, all of the Capital Stock of, or a business line or unit or a division of, any Person);</w:t>
      </w:r>
    </w:p>
    <w:p>
      <w:pPr>
        <w:spacing w:after="0" w:line="183" w:lineRule="exact"/>
        <w:rPr>
          <w:rFonts w:ascii="Arial" w:cs="Arial" w:eastAsia="Arial" w:hAnsi="Arial"/>
          <w:sz w:val="18"/>
          <w:szCs w:val="18"/>
          <w:color w:val="auto"/>
        </w:rPr>
      </w:pPr>
    </w:p>
    <w:p>
      <w:pPr>
        <w:jc w:val="both"/>
        <w:ind w:firstLine="1142"/>
        <w:spacing w:after="0" w:line="273" w:lineRule="auto"/>
        <w:tabs>
          <w:tab w:leader="none" w:pos="153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 advances, loans or extensions of credit by the Borrower or any Subsidiary in compliance with applicable laws to officers, directors, and employees of the Borrower or any Subsidiary for reasonable and customary travel, entertainment or relocation, out-of-pocket or other business-related expenses, (ii) loans by the Borrower or any Subsidiary in compliance with applicable laws to officers, directors, and employees of the Borrower or any Subsidiary the proceeds of which are used to pay taxes owed in connection with the vesting of Capital Stock of the Borrower or any Subsidiary, and (iii) advances, loans or extensions of credit by the Borrower or any Subsidiary to officers, directors, and employees of the Borrower or any Subsidiary for any other purpose in an aggregate amount at any date of determination not to exceed $1,000,000;</w:t>
      </w:r>
    </w:p>
    <w:p>
      <w:pPr>
        <w:spacing w:after="0" w:line="177" w:lineRule="exact"/>
        <w:rPr>
          <w:rFonts w:ascii="Arial" w:cs="Arial" w:eastAsia="Arial" w:hAnsi="Arial"/>
          <w:sz w:val="17"/>
          <w:szCs w:val="17"/>
          <w:color w:val="auto"/>
        </w:rPr>
      </w:pPr>
    </w:p>
    <w:p>
      <w:pPr>
        <w:jc w:val="both"/>
        <w:ind w:firstLine="1142"/>
        <w:spacing w:after="0" w:line="273" w:lineRule="auto"/>
        <w:tabs>
          <w:tab w:leader="none" w:pos="155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Investments in the form of Indebtedness and/or loans and advances (a) arising from intercompany cash management or cash pooling arrangements, tax and accounting operations or related activities arising in the ordinary course of business by and among the Borrower and its Subsidiaries or (b) consisting of intercompany loans and advances by and among the Borrower and its Subsidiaries having a term not exceeding 364 days and made in the ordinary course of business (inclusive of any rollover or extensions of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Indebtedness and/or other obligations owed by a Credit Party to a Non-Credit Party is subordinated in right of payment to the Obligations on terms no less favorable than the subordination provisions contained in the Global Intercompany Note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177" w:lineRule="exact"/>
        <w:rPr>
          <w:rFonts w:ascii="Arial" w:cs="Arial" w:eastAsia="Arial" w:hAnsi="Arial"/>
          <w:sz w:val="17"/>
          <w:szCs w:val="17"/>
          <w:color w:val="auto"/>
        </w:rPr>
      </w:pPr>
    </w:p>
    <w:p>
      <w:pPr>
        <w:ind w:left="1500" w:hanging="358"/>
        <w:spacing w:after="0"/>
        <w:tabs>
          <w:tab w:leader="none" w:pos="1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firstLine="1142"/>
        <w:spacing w:after="0" w:line="279" w:lineRule="auto"/>
        <w:tabs>
          <w:tab w:leader="none" w:pos="154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Investments in existence on the Closing Date in the Subsidiaries and other Investments in existence on the Closing Date as described on </w:t>
      </w:r>
      <w:r>
        <w:rPr>
          <w:rFonts w:ascii="Arial" w:cs="Arial" w:eastAsia="Arial" w:hAnsi="Arial"/>
          <w:sz w:val="17"/>
          <w:szCs w:val="17"/>
          <w:u w:val="single" w:color="auto"/>
          <w:color w:val="auto"/>
        </w:rPr>
        <w:t>Schedule 6.6(k)(i)</w:t>
      </w:r>
      <w:r>
        <w:rPr>
          <w:rFonts w:ascii="Arial" w:cs="Arial" w:eastAsia="Arial" w:hAnsi="Arial"/>
          <w:sz w:val="17"/>
          <w:szCs w:val="17"/>
          <w:color w:val="auto"/>
        </w:rPr>
        <w:t xml:space="preserve"> and any modification, replacement, renewal, reinvestment or extension of any of such Investments;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any Investment permitted pursuant to this Section 6.6(k) is not increased from the amount of such Investment on the Closing Date except pursuant to the terms of such Investment as of the Closing Date or as otherwise permitted by another clause of this Section 6.6;</w:t>
      </w:r>
    </w:p>
    <w:p>
      <w:pPr>
        <w:spacing w:after="0" w:line="171" w:lineRule="exact"/>
        <w:rPr>
          <w:rFonts w:ascii="Arial" w:cs="Arial" w:eastAsia="Arial" w:hAnsi="Arial"/>
          <w:sz w:val="17"/>
          <w:szCs w:val="17"/>
          <w:color w:val="auto"/>
        </w:rPr>
      </w:pPr>
    </w:p>
    <w:p>
      <w:pPr>
        <w:jc w:val="both"/>
        <w:ind w:firstLine="1142"/>
        <w:spacing w:after="0" w:line="263" w:lineRule="auto"/>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Investments in an aggregate amount not to exceed the Available Amount as in effect immediately before such Investment;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Event of Default has occurred and is continuing or would result therefrom and (ii) the Total Net Leverage Ratio on a Pro Forma Basis would be less than or equal to 3.50:1.00;</w:t>
      </w:r>
    </w:p>
    <w:p>
      <w:pPr>
        <w:spacing w:after="0" w:line="183" w:lineRule="exact"/>
        <w:rPr>
          <w:rFonts w:ascii="Arial" w:cs="Arial" w:eastAsia="Arial" w:hAnsi="Arial"/>
          <w:sz w:val="18"/>
          <w:szCs w:val="18"/>
          <w:color w:val="auto"/>
        </w:rPr>
      </w:pPr>
    </w:p>
    <w:p>
      <w:pPr>
        <w:jc w:val="both"/>
        <w:ind w:firstLine="1142"/>
        <w:spacing w:after="0" w:line="255" w:lineRule="auto"/>
        <w:tabs>
          <w:tab w:leader="none" w:pos="1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Investments of any Person that becomes a Subsidiary on or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Investments exist at the time such Person is acquired and (ii) such Investments are not made in anticipation or contemplation of such Person becoming a Subsidiary (it being understood and agreed that any consideration paid by a Credit Party in connection with a Permitted Acquisition that may be allocable directly or indirectly to Investments in Persons that are not Credit Parties (as determined in good faith by the Borrower at the time of closing such Investment (or at the time an LCA Election is made with respect thereto, if applicable) and without taking into account purchase accounting adjustments) must be permitted by clause (c) of the proviso appearing in the definition of “Permitted Acquisition”);</w:t>
      </w:r>
    </w:p>
    <w:p>
      <w:pPr>
        <w:spacing w:after="0" w:line="192" w:lineRule="exact"/>
        <w:rPr>
          <w:rFonts w:ascii="Arial" w:cs="Arial" w:eastAsia="Arial" w:hAnsi="Arial"/>
          <w:sz w:val="18"/>
          <w:szCs w:val="18"/>
          <w:color w:val="auto"/>
        </w:rPr>
      </w:pPr>
    </w:p>
    <w:p>
      <w:pPr>
        <w:ind w:left="1540" w:hanging="398"/>
        <w:spacing w:after="0"/>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permitted by Section 6.1 (other than Indebtedness permitted by Section 6.1(f)(ii), 6.1(t) or 6.1(y)(iii));</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bank deposits in the ordinary course of business;</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Investments made as a result of the receipt of non-cash consideration from a disposition made in compliance with Section 6.8;</w:t>
      </w:r>
    </w:p>
    <w:p>
      <w:pPr>
        <w:spacing w:after="0" w:line="236" w:lineRule="exact"/>
        <w:rPr>
          <w:rFonts w:ascii="Arial" w:cs="Arial" w:eastAsia="Arial" w:hAnsi="Arial"/>
          <w:sz w:val="17"/>
          <w:szCs w:val="17"/>
          <w:color w:val="auto"/>
        </w:rPr>
      </w:pPr>
    </w:p>
    <w:p>
      <w:pPr>
        <w:ind w:left="1540" w:hanging="398"/>
        <w:spacing w:after="0"/>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142"/>
        <w:spacing w:after="0" w:line="263" w:lineRule="auto"/>
        <w:tabs>
          <w:tab w:leader="none" w:pos="149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Investments made by the Borrower or any Subsidiary in exchange for Capital Stock (other than Disqualified Capital Stock) of the Borrower, in each case to the extent not otherwise used under this Agreement or applied to the Available Amount;</w:t>
      </w:r>
    </w:p>
    <w:p>
      <w:pPr>
        <w:spacing w:after="0" w:line="183" w:lineRule="exact"/>
        <w:rPr>
          <w:rFonts w:ascii="Arial" w:cs="Arial" w:eastAsia="Arial" w:hAnsi="Arial"/>
          <w:sz w:val="18"/>
          <w:szCs w:val="18"/>
          <w:color w:val="auto"/>
        </w:rPr>
      </w:pPr>
    </w:p>
    <w:p>
      <w:pPr>
        <w:ind w:left="1520" w:hanging="378"/>
        <w:spacing w:after="0"/>
        <w:tabs>
          <w:tab w:leader="none" w:pos="1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142"/>
        <w:spacing w:after="0" w:line="277" w:lineRule="auto"/>
        <w:tabs>
          <w:tab w:leader="none" w:pos="153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Guarantees by (i) the Borrower of obligations of any Subsidiary and (ii) any Subsidiary of obligations of the Borrower or any other Subsidiary, in each case which obligations do not constitute Indebtedness;</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in Rate Contracts, so long as the same are entered into for non-speculative purposes;</w:t>
      </w:r>
    </w:p>
    <w:p>
      <w:pPr>
        <w:spacing w:after="0" w:line="225" w:lineRule="exact"/>
        <w:rPr>
          <w:rFonts w:ascii="Arial" w:cs="Arial" w:eastAsia="Arial" w:hAnsi="Arial"/>
          <w:sz w:val="18"/>
          <w:szCs w:val="18"/>
          <w:color w:val="auto"/>
        </w:rPr>
      </w:pPr>
    </w:p>
    <w:p>
      <w:pPr>
        <w:ind w:left="1720" w:hanging="578"/>
        <w:spacing w:after="0"/>
        <w:tabs>
          <w:tab w:leader="none" w:pos="17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Investments made to effect the Transactions or in connection with the Transactions, including any Permitted Restructuring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w:t>
      </w:r>
    </w:p>
    <w:p>
      <w:pPr>
        <w:spacing w:after="0" w:line="210" w:lineRule="exact"/>
        <w:rPr>
          <w:rFonts w:ascii="Arial" w:cs="Arial" w:eastAsia="Arial" w:hAnsi="Arial"/>
          <w:sz w:val="17"/>
          <w:szCs w:val="17"/>
          <w:color w:val="auto"/>
        </w:rPr>
      </w:pPr>
    </w:p>
    <w:p>
      <w:pPr>
        <w:jc w:val="both"/>
        <w:ind w:firstLine="1142"/>
        <w:spacing w:after="0" w:line="257" w:lineRule="auto"/>
        <w:tabs>
          <w:tab w:leader="none" w:pos="160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(including debt obligations and Capital Stock) (i) received in connection with the bankruptcy, workout, recapitalization or reorganization of, or in settlement of delinquent obligations of, or other disputes with, the issuer of such Investment or an Affiliate thereof, (ii) arising in the ordinary course of business or consistent with past practice or upon the foreclosure with respect to any secured Investment, (iii) received in satisfaction of judgments against any other Person or (iv) received as a result of the settlement, compromise or resolutions of litigation, arbitration or other disputes of the Borrower or any Subsidiary with Persons who are not Affiliates;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ind w:firstLine="1142"/>
        <w:spacing w:after="0" w:line="277" w:lineRule="auto"/>
        <w:tabs>
          <w:tab w:leader="none" w:pos="15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auto"/>
        </w:rPr>
      </w:pPr>
    </w:p>
    <w:p>
      <w:pPr>
        <w:ind w:firstLine="1142"/>
        <w:spacing w:after="0" w:line="277" w:lineRule="auto"/>
        <w:tabs>
          <w:tab w:leader="none" w:pos="16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70" w:lineRule="exact"/>
        <w:rPr>
          <w:rFonts w:ascii="Arial" w:cs="Arial" w:eastAsia="Arial" w:hAnsi="Arial"/>
          <w:sz w:val="18"/>
          <w:szCs w:val="18"/>
          <w:color w:val="auto"/>
        </w:rPr>
      </w:pPr>
    </w:p>
    <w:p>
      <w:pPr>
        <w:ind w:left="1520" w:hanging="378"/>
        <w:spacing w:after="0"/>
        <w:tabs>
          <w:tab w:leader="none" w:pos="1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made in reliance on clause (1) of the last paragraph of Section 6.4.</w:t>
      </w:r>
    </w:p>
    <w:p>
      <w:pPr>
        <w:spacing w:after="0" w:line="225" w:lineRule="exact"/>
        <w:rPr>
          <w:sz w:val="20"/>
          <w:szCs w:val="20"/>
          <w:color w:val="auto"/>
        </w:rPr>
      </w:pPr>
    </w:p>
    <w:p>
      <w:pPr>
        <w:ind w:firstLine="1142"/>
        <w:spacing w:after="0" w:line="277" w:lineRule="auto"/>
        <w:tabs>
          <w:tab w:leader="none" w:pos="160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so long as (i) no Event of Default has occurred and is continuing at such time or would result after giving effect to such Investment and (ii) the Total Net Leverage Ratio on a Pro Forma Basis is less than or equal 2.00:1.00; and</w:t>
      </w:r>
    </w:p>
    <w:p>
      <w:pPr>
        <w:spacing w:after="0" w:line="170" w:lineRule="exact"/>
        <w:rPr>
          <w:rFonts w:ascii="Arial" w:cs="Arial" w:eastAsia="Arial" w:hAnsi="Arial"/>
          <w:sz w:val="18"/>
          <w:szCs w:val="18"/>
          <w:color w:val="auto"/>
        </w:rPr>
      </w:pPr>
    </w:p>
    <w:p>
      <w:pPr>
        <w:jc w:val="both"/>
        <w:ind w:firstLine="1142"/>
        <w:spacing w:after="0" w:line="291" w:lineRule="auto"/>
        <w:tabs>
          <w:tab w:leader="none" w:pos="172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Investments that do not exceed, when taken together with all other Investments made pursuant to this clause (bb) at any time outstanding, in the aggregate at any date of determination, the greater of (i) $50,000,000 and (ii) an amount equal to 30% of LTM Consolidated Adjusted</w:t>
      </w:r>
    </w:p>
    <w:p>
      <w:pPr>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compliance with this Section 6.6:</w:t>
      </w:r>
    </w:p>
    <w:p>
      <w:pPr>
        <w:spacing w:after="0" w:line="225" w:lineRule="exact"/>
        <w:rPr>
          <w:sz w:val="20"/>
          <w:szCs w:val="20"/>
          <w:color w:val="auto"/>
        </w:rPr>
      </w:pPr>
    </w:p>
    <w:p>
      <w:pPr>
        <w:jc w:val="both"/>
        <w:ind w:firstLine="656"/>
        <w:spacing w:after="0" w:line="296" w:lineRule="auto"/>
        <w:tabs>
          <w:tab w:leader="none" w:pos="105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except to the extent an Investment was made using the Available Amount, to the extent any Investment in any Person is made in compliance with this Section 6.6 in reliance on a clause above that is subject to a Cap and, subsequently, such Person returns to the Borrower, any other Credit Party or, to the extent applicable, any Subsidiary all or any portion of such Investment (in the form of a dividend, distribution, liquidation or otherwise but excluding intercompany Indebtedness), such return shall be deemed to be credited to the clause of this Section 6.6 against which the Investment is then charged, but in any event not in an amount that would result in the aggregate dollar amount able to be invested in reliance on such category to exceed such Cap;</w:t>
      </w:r>
    </w:p>
    <w:p>
      <w:pPr>
        <w:spacing w:after="0" w:line="161" w:lineRule="exact"/>
        <w:rPr>
          <w:rFonts w:ascii="Arial" w:cs="Arial" w:eastAsia="Arial" w:hAnsi="Arial"/>
          <w:sz w:val="16"/>
          <w:szCs w:val="16"/>
          <w:color w:val="auto"/>
        </w:rPr>
      </w:pPr>
    </w:p>
    <w:p>
      <w:pPr>
        <w:ind w:firstLine="656"/>
        <w:spacing w:after="0" w:line="308" w:lineRule="auto"/>
        <w:tabs>
          <w:tab w:leader="none" w:pos="114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for purposes of determining compliance with any Cap on the making of Investments, the Dollar equivalent amount of the Investment denominated in a foreign currency shall be calculated based on the relevant currency exchange rate in effect on the date such Investment was made;</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06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avoidance of doubt, if the Borrower or any Subsidiary makes any Investment using a ratio-based test on the same date that it makes any Investment under any Dollar-based Cap, then the ratio-based test will be calculated with respect to such Investment under the ratio-based test without regard to any payment under the Dollar-based Cap;</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 the event that any Investment (or any portion thereof) meets the criteria of more than one of the clauses of this Section 6.6, the Borrower may, in its sole discretion, at the time of making such Investment, divide, classify or reclassify, or at any later time divide, classify or reclassify, such Investment (or any portion thereof) in any manner that complies with this covenant;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Investment made under a Dollar-based Cap may not be reclassified as an Investment using a financial ratio-based test;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6" w:name="page137"/>
    <w:bookmarkEnd w:id="136"/>
    <w:p>
      <w:pPr>
        <w:jc w:val="both"/>
        <w:ind w:firstLine="656"/>
        <w:spacing w:after="0" w:line="273" w:lineRule="auto"/>
        <w:tabs>
          <w:tab w:leader="none" w:pos="10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the extent an Investment is permitted to be made by a Credit Party directly in any Subsidiary or any other Person who is not a Credit Party (each such Subsidiary or other Person, a “</w:t>
      </w:r>
      <w:r>
        <w:rPr>
          <w:rFonts w:ascii="Arial" w:cs="Arial" w:eastAsia="Arial" w:hAnsi="Arial"/>
          <w:sz w:val="17"/>
          <w:szCs w:val="17"/>
          <w:b w:val="1"/>
          <w:bCs w:val="1"/>
          <w:u w:val="single" w:color="auto"/>
          <w:color w:val="auto"/>
        </w:rPr>
        <w:t>Target Person</w:t>
      </w:r>
      <w:r>
        <w:rPr>
          <w:rFonts w:ascii="Arial" w:cs="Arial" w:eastAsia="Arial" w:hAnsi="Arial"/>
          <w:sz w:val="17"/>
          <w:szCs w:val="17"/>
          <w:color w:val="auto"/>
        </w:rPr>
        <w:t xml:space="preserve">”) under any provision of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such Investment may be made by advance, contribution or distribution by a Credit Party to a Subsidiary (and further advanced, contributed or distributed to another Subsidiary) for purposes of making the relevant Investment in (or effecting an acquisition of) the Target Person without constituting an Investment for purposes of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(it being understood that such Investment in the Target Person must satisfy the requirements of, and shall count towards any thresholds in, a provision of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as if made by the applicable Credit Party directly in the Target Person).</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color w:val="auto"/>
        </w:rPr>
        <w:t>Fundamental Changes; Disposition of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Borrower will not, nor will it permit any Subsidiary to, (i) consummate any transaction of merger or consolidation, or liquidate, wind-up or dissolve itself (or suffer any liquidation or dissolution), (ii) convey, sell, lease, exchange, transfer or otherwise dispose of, in one transaction or a series of transactions, all or any part of its business, assets or property of any kind whatsoever, whether real, personal or mixed and whether tangible or intangible, whether now owned or hereafter acquired or leased or (iii) sell, assign or otherwise dispose of any Capital Stock of any Subsidiary (including, in each case in clauses (i) through (iii), pursuant to a Delaware LLC Division), except:</w:t>
      </w:r>
    </w:p>
    <w:p>
      <w:pPr>
        <w:spacing w:after="0" w:line="188" w:lineRule="exact"/>
        <w:rPr>
          <w:sz w:val="20"/>
          <w:szCs w:val="20"/>
          <w:color w:val="auto"/>
        </w:rPr>
      </w:pPr>
    </w:p>
    <w:p>
      <w:pPr>
        <w:jc w:val="both"/>
        <w:ind w:firstLine="1142"/>
        <w:spacing w:after="0" w:line="259" w:lineRule="auto"/>
        <w:tabs>
          <w:tab w:leader="none" w:pos="164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any Subsidiary of the Borrower may merge or consolidate with the Borrower (including a merger, the purpose of which is to reorganize the Borrower into a new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the Borrower shall be the continuing or surviving Person and (y) such merger or consolidation does not result in the Borrower ceasing to be organized under the Laws of the United States, any State or Commonwealth thereof or the District of Columbia;</w:t>
      </w:r>
    </w:p>
    <w:p>
      <w:pPr>
        <w:spacing w:after="0" w:line="186" w:lineRule="exact"/>
        <w:rPr>
          <w:rFonts w:ascii="Arial" w:cs="Arial" w:eastAsia="Arial" w:hAnsi="Arial"/>
          <w:sz w:val="18"/>
          <w:szCs w:val="18"/>
          <w:color w:val="auto"/>
        </w:rPr>
      </w:pPr>
    </w:p>
    <w:p>
      <w:pPr>
        <w:jc w:val="both"/>
        <w:ind w:firstLine="1142"/>
        <w:spacing w:after="0" w:line="254" w:lineRule="auto"/>
        <w:tabs>
          <w:tab w:leader="none" w:pos="16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 any Non-Credit Party may merge or consolidate with or into any other Non-Credit Party, (ii) any Subsidiary may merge or consolidate with or into any other Subsidiary that is a Credit Party, (iii) any merger or consolidation the sole purpose of which is to reincorporate or reorganize (x) a Credit Party in another jurisdiction in the United States or (y) a Non-Credit Party in another jurisdiction shall be permitted, (iv) any Subsidiary may liquidate or dissolve or change its legal form if the Borrower determines in good faith that such action is in the best interests of the Borrower and the Subsidiaries and is not materially disadvantageous to the Lenders, </w:t>
      </w:r>
      <w:r>
        <w:rPr>
          <w:rFonts w:ascii="Arial" w:cs="Arial" w:eastAsia="Arial" w:hAnsi="Arial"/>
          <w:sz w:val="18"/>
          <w:szCs w:val="18"/>
          <w:i w:val="1"/>
          <w:iCs w:val="1"/>
          <w:color w:val="auto"/>
        </w:rPr>
        <w:t>provided</w:t>
      </w:r>
      <w:r>
        <w:rPr>
          <w:rFonts w:ascii="Arial" w:cs="Arial" w:eastAsia="Arial" w:hAnsi="Arial"/>
          <w:sz w:val="18"/>
          <w:szCs w:val="18"/>
          <w:color w:val="auto"/>
        </w:rPr>
        <w:t>, in the case of clauses (ii) through (iv), that (A) no Change of Control shall result therefrom and (B) the surviving Person (or, with respect to clause (iv), the Person who receives the assets of such dissolving or liquidated Subsidiary that is a Guarantor) shall be a Credit Party;</w:t>
      </w:r>
    </w:p>
    <w:p>
      <w:pPr>
        <w:spacing w:after="0" w:line="194" w:lineRule="exact"/>
        <w:rPr>
          <w:rFonts w:ascii="Arial" w:cs="Arial" w:eastAsia="Arial" w:hAnsi="Arial"/>
          <w:sz w:val="18"/>
          <w:szCs w:val="18"/>
          <w:color w:val="auto"/>
        </w:rPr>
      </w:pPr>
    </w:p>
    <w:p>
      <w:pPr>
        <w:ind w:firstLine="1142"/>
        <w:spacing w:after="0" w:line="342" w:lineRule="auto"/>
        <w:tabs>
          <w:tab w:leader="none" w:pos="154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any Subsidiary may dispose of all or substantially all of its assets to the Borrower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Guarantor Subsidiary may not dispose of all or substantially all of its assets to a Non-Credit Party unless treated as an Investment that is permitted by Section 6.6.</w:t>
      </w:r>
    </w:p>
    <w:p>
      <w:pPr>
        <w:spacing w:after="0" w:line="123" w:lineRule="exact"/>
        <w:rPr>
          <w:rFonts w:ascii="Arial" w:cs="Arial" w:eastAsia="Arial" w:hAnsi="Arial"/>
          <w:sz w:val="16"/>
          <w:szCs w:val="16"/>
          <w:color w:val="auto"/>
        </w:rPr>
      </w:pPr>
    </w:p>
    <w:p>
      <w:pPr>
        <w:ind w:left="1540" w:hanging="398"/>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conveyances, sales, leases, licenses, exchanges, transfers or other dispositions that do not constitute Asset Sales;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7" w:name="page138"/>
    <w:bookmarkEnd w:id="137"/>
    <w:p>
      <w:pPr>
        <w:jc w:val="both"/>
        <w:ind w:firstLine="1142"/>
        <w:spacing w:after="0" w:line="287" w:lineRule="auto"/>
        <w:tabs>
          <w:tab w:leader="none" w:pos="154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Asset Sales;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consideration received for such assets is in an amount at least equal to the fair market value thereof (determined in good faith by the Borrower), (ii) no less than 75% of which will paid in cash or Cash Equivalents, and (iii) the Net Cash Proceeds thereof are applied as and to the extent required by Section 2.14(a);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for the purposes of clause (ii), (A) any liabilities (as shown on the Borrower’s most recent balance sheet provided hereunder or in the footnotes thereto) of the Borrower and its Subsidiaries, other than liabilities that are by their terms subordinated to the payment in cash of the Obligations, that are assumed by the transferee with respect to the applicable Asset Sale and for which the Borrower and all of the Subsidiaries shall have been validly released by all applicable creditors in writing and (B) any Designated Non-Cash Consideration received in respect of such Asset Sale having an aggregate fair market value as reasonably determined by the Borrower in good faith, taken together with all other Designated Non-Cash Consideration received pursuant to this clause (B) that is at that time outstanding, not in excess of the greater of (x) $10,000,000 and (y) an amount equal to 5.0% of LTM Consolidated Adjusted EBITDA at the time of the receipt of such Designated Non-Cash Consideration, with the fair market value of each item of Designated Non-Cash Consideration being measured at the time received and without giving effect to subsequent changes in value, shall be deemed to be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Borrower and the Subsidiaries may not sell or otherwise dispose of all or substantially all of their assets, taken as a whole, to any Person in reliance on this clause (e);</w:t>
      </w:r>
    </w:p>
    <w:p>
      <w:pPr>
        <w:spacing w:after="0" w:line="167" w:lineRule="exact"/>
        <w:rPr>
          <w:rFonts w:ascii="Arial" w:cs="Arial" w:eastAsia="Arial" w:hAnsi="Arial"/>
          <w:sz w:val="16"/>
          <w:szCs w:val="16"/>
          <w:color w:val="auto"/>
        </w:rPr>
      </w:pPr>
    </w:p>
    <w:p>
      <w:pPr>
        <w:ind w:firstLine="1142"/>
        <w:spacing w:after="0" w:line="277" w:lineRule="auto"/>
        <w:tabs>
          <w:tab w:leader="none" w:pos="152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Borrower and the Subsidiaries may lease (as lessee) or license (as licensee) real or personal property so long as any such lease or license does not create a Capital Lease except to the extent permitted by Section 6.1(d);</w:t>
      </w:r>
    </w:p>
    <w:p>
      <w:pPr>
        <w:spacing w:after="0" w:line="170" w:lineRule="exact"/>
        <w:rPr>
          <w:rFonts w:ascii="Arial" w:cs="Arial" w:eastAsia="Arial" w:hAnsi="Arial"/>
          <w:sz w:val="18"/>
          <w:szCs w:val="18"/>
          <w:color w:val="auto"/>
        </w:rPr>
      </w:pPr>
    </w:p>
    <w:p>
      <w:pPr>
        <w:jc w:val="both"/>
        <w:ind w:firstLine="1142"/>
        <w:spacing w:after="0" w:line="259" w:lineRule="auto"/>
        <w:tabs>
          <w:tab w:leader="none" w:pos="15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any transaction (other than an Asset Sale (determined without regard to the exceptions thereto in the definition thereof)) in connection with a Permitted Acquisition or other Investment permitted by Section 6.6;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the merging or consolidating Subsidiary is a Guarantor Subsidiary, the surviving entity is or becomes a Guarantor Subsidiary or (ii) if the merging or consolidating Credit Party is the Borrower, the surviving entity is the Borrower;</w:t>
      </w:r>
    </w:p>
    <w:p>
      <w:pPr>
        <w:spacing w:after="0" w:line="186" w:lineRule="exact"/>
        <w:rPr>
          <w:rFonts w:ascii="Arial" w:cs="Arial" w:eastAsia="Arial" w:hAnsi="Arial"/>
          <w:sz w:val="18"/>
          <w:szCs w:val="18"/>
          <w:color w:val="auto"/>
        </w:rPr>
      </w:pPr>
    </w:p>
    <w:p>
      <w:pPr>
        <w:ind w:left="1540" w:hanging="398"/>
        <w:spacing w:after="0"/>
        <w:tabs>
          <w:tab w:leader="none" w:pos="1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142"/>
        <w:spacing w:after="0" w:line="277" w:lineRule="auto"/>
        <w:tabs>
          <w:tab w:leader="none" w:pos="160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dispositions of Investments in Joint Ventures or Joint Venture Subsidiaries to the extent required by, or pursuant to, customary agreements between the joint venture parties set forth in binding agreements between such parties; and</w:t>
      </w:r>
    </w:p>
    <w:p>
      <w:pPr>
        <w:spacing w:after="0" w:line="170" w:lineRule="exact"/>
        <w:rPr>
          <w:rFonts w:ascii="Arial" w:cs="Arial" w:eastAsia="Arial" w:hAnsi="Arial"/>
          <w:sz w:val="18"/>
          <w:szCs w:val="18"/>
          <w:color w:val="auto"/>
        </w:rPr>
      </w:pPr>
    </w:p>
    <w:p>
      <w:pPr>
        <w:ind w:left="1500" w:hanging="358"/>
        <w:spacing w:after="0"/>
        <w:tabs>
          <w:tab w:leader="none" w:pos="15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Acquisition may be consummated on the Closing Date and any Permitted Restructuring Transactions.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any Collateral is disposed of as permitted by this Section 6.8 to any Person that is not a Credit Party, such Collateral shall be sold free and clear of the Liens created by the Credit Documents, and the Administrative Agent or the Collateral Agent, as applicable, shall, and shall be authorized to, take any actions deemed appropriate in order to effectuate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6.9 Transactions with Affiliates</w:t>
      </w:r>
      <w:r>
        <w:rPr>
          <w:rFonts w:ascii="Arial" w:cs="Arial" w:eastAsia="Arial" w:hAnsi="Arial"/>
          <w:sz w:val="18"/>
          <w:szCs w:val="18"/>
          <w:color w:val="auto"/>
        </w:rPr>
        <w:t>. The Borrower will not, nor will it permit any Subsidiary to, directly or indirectly, enter into or permit to exist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transaction (including the purchase, sale, lease or exchange of any property or the rendering of any service) with any Affiliate of the Borrower, on terms that are less favorable to the Borrower or that Subsidiary, as the case may be, than those that might be obtained at the time from a Person who is not such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restriction will not apply to:</w:t>
      </w:r>
    </w:p>
    <w:p>
      <w:pPr>
        <w:spacing w:after="0" w:line="184" w:lineRule="exact"/>
        <w:rPr>
          <w:sz w:val="20"/>
          <w:szCs w:val="20"/>
          <w:color w:val="auto"/>
        </w:rPr>
      </w:pPr>
    </w:p>
    <w:p>
      <w:pPr>
        <w:ind w:firstLine="1142"/>
        <w:spacing w:after="0" w:line="277" w:lineRule="auto"/>
        <w:tabs>
          <w:tab w:leader="none" w:pos="153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transaction between or among any of the Credit Parties and/or any of their Subsidiaries (or any Person that becomes a Subsidiary as a result of such transaction) to the extent not otherwise prohibited by this Agreement;</w:t>
      </w:r>
    </w:p>
    <w:p>
      <w:pPr>
        <w:spacing w:after="0" w:line="170" w:lineRule="exact"/>
        <w:rPr>
          <w:rFonts w:ascii="Arial" w:cs="Arial" w:eastAsia="Arial" w:hAnsi="Arial"/>
          <w:sz w:val="18"/>
          <w:szCs w:val="18"/>
          <w:color w:val="auto"/>
        </w:rPr>
      </w:pPr>
    </w:p>
    <w:p>
      <w:pPr>
        <w:ind w:firstLine="1142"/>
        <w:spacing w:after="0" w:line="277" w:lineRule="auto"/>
        <w:tabs>
          <w:tab w:leader="none" w:pos="15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indemnity provided to and reasonable and customary fees and expense reimbursement paid to members of the board of directors (or similar governing body) of the Borrower or any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jc w:val="both"/>
        <w:ind w:firstLine="1142"/>
        <w:spacing w:after="0" w:line="271" w:lineRule="auto"/>
        <w:tabs>
          <w:tab w:leader="none" w:pos="153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 compensation, benefits and indemnification arrangements (including the payment of bonuses and other deferred compensation) for directors, officers and other employees of the Borrower or any Subsidiary entered into in the ordinary course of business or approved by the board of directors of the Borrower or the applicable Subsidiary, (ii) employment and severance agreements between the Borrower or any Subsidiary and their employees, officers or directors, entered in the ordinary course of business, (iii) any issuance of securities, or other payments, awards or grants in cash, securities or otherwise pursuant to, or the funding of, employment arrangements, stock options, stock ownership plans, including restricted stock plans, stock grants, directed share programs and other equity based plans and the granting and stockholder rights of registration rights approved by the Borrower’s board of directors; and (iv) payments or loans (or cancellation of loans) to officers, directors and employees that are approved by a majority of the Borrower’s board of directors, subject to the limitations set forth in Section 6.6;</w:t>
      </w:r>
    </w:p>
    <w:p>
      <w:pPr>
        <w:spacing w:after="0" w:line="178" w:lineRule="exact"/>
        <w:rPr>
          <w:rFonts w:ascii="Arial" w:cs="Arial" w:eastAsia="Arial" w:hAnsi="Arial"/>
          <w:sz w:val="17"/>
          <w:szCs w:val="17"/>
          <w:color w:val="auto"/>
        </w:rPr>
      </w:pPr>
    </w:p>
    <w:p>
      <w:pPr>
        <w:ind w:left="1540" w:hanging="398"/>
        <w:spacing w:after="0"/>
        <w:tabs>
          <w:tab w:leader="none" w:pos="1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transactions described in </w:t>
      </w:r>
      <w:r>
        <w:rPr>
          <w:rFonts w:ascii="Arial" w:cs="Arial" w:eastAsia="Arial" w:hAnsi="Arial"/>
          <w:sz w:val="18"/>
          <w:szCs w:val="18"/>
          <w:u w:val="single" w:color="auto"/>
          <w:color w:val="auto"/>
        </w:rPr>
        <w:t>Schedule 6.9</w:t>
      </w:r>
      <w:r>
        <w:rPr>
          <w:rFonts w:ascii="Arial" w:cs="Arial" w:eastAsia="Arial" w:hAnsi="Arial"/>
          <w:sz w:val="18"/>
          <w:szCs w:val="18"/>
          <w:color w:val="auto"/>
        </w:rPr>
        <w:t xml:space="preserve"> in existence on the Closing Date;</w:t>
      </w:r>
    </w:p>
    <w:p>
      <w:pPr>
        <w:spacing w:after="0" w:line="225" w:lineRule="exact"/>
        <w:rPr>
          <w:rFonts w:ascii="Arial" w:cs="Arial" w:eastAsia="Arial" w:hAnsi="Arial"/>
          <w:sz w:val="18"/>
          <w:szCs w:val="18"/>
          <w:color w:val="auto"/>
        </w:rPr>
      </w:pPr>
    </w:p>
    <w:p>
      <w:pPr>
        <w:ind w:firstLine="1142"/>
        <w:spacing w:after="0" w:line="308" w:lineRule="auto"/>
        <w:tabs>
          <w:tab w:leader="none" w:pos="152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existence of, or the performance of obligations under the terms of, agreements entered into in connection with the Acquisition or a Permitted Acquisition or other Investment permitted by Section 6.6 (including payments of earnouts and other similar payments);</w:t>
      </w:r>
    </w:p>
    <w:p>
      <w:pPr>
        <w:spacing w:after="0" w:line="146" w:lineRule="exact"/>
        <w:rPr>
          <w:rFonts w:ascii="Arial" w:cs="Arial" w:eastAsia="Arial" w:hAnsi="Arial"/>
          <w:sz w:val="17"/>
          <w:szCs w:val="17"/>
          <w:color w:val="auto"/>
        </w:rPr>
      </w:pPr>
    </w:p>
    <w:p>
      <w:pPr>
        <w:ind w:firstLine="1142"/>
        <w:spacing w:after="0" w:line="277" w:lineRule="auto"/>
        <w:tabs>
          <w:tab w:leader="none" w:pos="1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Restricted Junior Payments permitted by Section 6.4, Investments permitted by Section 6.6, Indebtedness permitted by Section 6.1 and transactions permitted by Section 6.8 (including as a result of exceptions to the definition of “Asset Sale”); and</w:t>
      </w:r>
    </w:p>
    <w:p>
      <w:pPr>
        <w:spacing w:after="0" w:line="170" w:lineRule="exact"/>
        <w:rPr>
          <w:rFonts w:ascii="Arial" w:cs="Arial" w:eastAsia="Arial" w:hAnsi="Arial"/>
          <w:sz w:val="18"/>
          <w:szCs w:val="18"/>
          <w:color w:val="auto"/>
        </w:rPr>
      </w:pPr>
    </w:p>
    <w:p>
      <w:pPr>
        <w:ind w:left="1540" w:hanging="398"/>
        <w:spacing w:after="0"/>
        <w:tabs>
          <w:tab w:leader="none" w:pos="1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transactions involving aggregate payments or consideration of less than $5,000,000.</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Conduct of Business</w:t>
      </w:r>
      <w:r>
        <w:rPr>
          <w:rFonts w:ascii="Arial" w:cs="Arial" w:eastAsia="Arial" w:hAnsi="Arial"/>
          <w:sz w:val="16"/>
          <w:szCs w:val="16"/>
          <w:color w:val="auto"/>
        </w:rPr>
        <w:t>. The Borrower will not, nor will it permit any Subsidiary to, engage in any material business other than the Business.</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6.12 Certain Amendments or Waivers</w:t>
      </w:r>
      <w:r>
        <w:rPr>
          <w:rFonts w:ascii="Arial" w:cs="Arial" w:eastAsia="Arial" w:hAnsi="Arial"/>
          <w:sz w:val="18"/>
          <w:szCs w:val="18"/>
          <w:color w:val="auto"/>
        </w:rPr>
        <w:t>. The Borrower will not, nor will it permit any Subsidiary to, (a) amend, supplement, waive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modify any provision of its Organizational Documents in a manner that would be materially adverse to the interests of the Lenders or (b) change or amend the terms of the documentation with regard to any Material Indebtedness that is Junior Financing in a manner that would be materially adverse to the interests of the Lenders (except to the extent such changes or amendments are otherwise permitted by any applicable intercreditor or subordination provisions applicable to such Junior Financing).</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6.13 Fiscal Year</w:t>
      </w:r>
      <w:r>
        <w:rPr>
          <w:rFonts w:ascii="Arial" w:cs="Arial" w:eastAsia="Arial" w:hAnsi="Arial"/>
          <w:sz w:val="17"/>
          <w:szCs w:val="17"/>
          <w:color w:val="auto"/>
        </w:rPr>
        <w:t>. The Borrower will not make any change in fiscal year;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 may, upon prior written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change its fiscal year to another fiscal year, in which case, the Borrower and the Administrative Agent will, and are hereby authorized by the Lenders to, make any amendments, adjustments or other modifications to this Agreement that are necessary to reflect such change in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for purposes of this Agreement until such adjustments have been made).</w:t>
      </w:r>
    </w:p>
    <w:p>
      <w:pPr>
        <w:spacing w:after="0" w:line="1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tab/>
        <w:t>GUARANTY</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7.1 Guaranty of the Obligations</w:t>
      </w:r>
      <w:r>
        <w:rPr>
          <w:rFonts w:ascii="Arial" w:cs="Arial" w:eastAsia="Arial" w:hAnsi="Arial"/>
          <w:sz w:val="16"/>
          <w:szCs w:val="16"/>
          <w:color w:val="auto"/>
        </w:rPr>
        <w:t>. Subject to the provisions of Section 7.2, Guarantors jointly and severally hereby irrevocably and</w:t>
      </w:r>
      <w:r>
        <w:rPr>
          <w:rFonts w:ascii="Arial" w:cs="Arial" w:eastAsia="Arial" w:hAnsi="Arial"/>
          <w:sz w:val="16"/>
          <w:szCs w:val="16"/>
          <w:b w:val="1"/>
          <w:bCs w:val="1"/>
          <w:color w:val="auto"/>
        </w:rPr>
        <w:t xml:space="preserve"> </w:t>
      </w:r>
      <w:r>
        <w:rPr>
          <w:rFonts w:ascii="Arial" w:cs="Arial" w:eastAsia="Arial" w:hAnsi="Arial"/>
          <w:sz w:val="16"/>
          <w:szCs w:val="16"/>
          <w:color w:val="auto"/>
        </w:rPr>
        <w:t>unconditionally guaranty to the Administrative Agent for the ratable benefit of the Secured Parties the due and punctual payment in full of all Guaranteed Obligations when the same will become due, whether at stated maturity, by required prepayment, declaration, acceleration, demand or otherwise (including amounts that would become due but for the operation of the automatic stay under Section 362(a) of the Bankruptcy Code, 11 U.S.C. § 362(a)).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ind w:firstLine="648"/>
        <w:spacing w:after="0" w:line="285" w:lineRule="auto"/>
        <w:rPr>
          <w:sz w:val="20"/>
          <w:szCs w:val="20"/>
          <w:color w:val="auto"/>
        </w:rPr>
      </w:pPr>
      <w:r>
        <w:rPr>
          <w:rFonts w:ascii="Arial" w:cs="Arial" w:eastAsia="Arial" w:hAnsi="Arial"/>
          <w:sz w:val="16"/>
          <w:szCs w:val="16"/>
          <w:b w:val="1"/>
          <w:bCs w:val="1"/>
          <w:color w:val="auto"/>
        </w:rPr>
        <w:t>7.2 Contribution by Guarantors</w:t>
      </w:r>
      <w:r>
        <w:rPr>
          <w:rFonts w:ascii="Arial" w:cs="Arial" w:eastAsia="Arial" w:hAnsi="Arial"/>
          <w:sz w:val="16"/>
          <w:szCs w:val="16"/>
          <w:color w:val="auto"/>
        </w:rPr>
        <w:t>. All Guarantors desire to allocate among themselves (collectively, the “</w:t>
      </w:r>
      <w:r>
        <w:rPr>
          <w:rFonts w:ascii="Arial" w:cs="Arial" w:eastAsia="Arial" w:hAnsi="Arial"/>
          <w:sz w:val="16"/>
          <w:szCs w:val="16"/>
          <w:b w:val="1"/>
          <w:bCs w:val="1"/>
          <w:color w:val="auto"/>
        </w:rPr>
        <w:t>Contributing Guarantors</w:t>
      </w:r>
      <w:r>
        <w:rPr>
          <w:rFonts w:ascii="Arial" w:cs="Arial" w:eastAsia="Arial" w:hAnsi="Arial"/>
          <w:sz w:val="16"/>
          <w:szCs w:val="16"/>
          <w:color w:val="auto"/>
        </w:rPr>
        <w:t>”), in a fair</w:t>
      </w:r>
      <w:r>
        <w:rPr>
          <w:rFonts w:ascii="Arial" w:cs="Arial" w:eastAsia="Arial" w:hAnsi="Arial"/>
          <w:sz w:val="16"/>
          <w:szCs w:val="16"/>
          <w:b w:val="1"/>
          <w:bCs w:val="1"/>
          <w:color w:val="auto"/>
        </w:rPr>
        <w:t xml:space="preserve"> </w:t>
      </w:r>
      <w:r>
        <w:rPr>
          <w:rFonts w:ascii="Arial" w:cs="Arial" w:eastAsia="Arial" w:hAnsi="Arial"/>
          <w:sz w:val="16"/>
          <w:szCs w:val="16"/>
          <w:color w:val="auto"/>
        </w:rPr>
        <w:t>and equitable manner, their obligations arising under this Guaranty. Accordingly, in the event any payment or distribution is made on any date by a Guarantor (a “</w:t>
      </w:r>
      <w:r>
        <w:rPr>
          <w:rFonts w:ascii="Arial" w:cs="Arial" w:eastAsia="Arial" w:hAnsi="Arial"/>
          <w:sz w:val="16"/>
          <w:szCs w:val="16"/>
          <w:b w:val="1"/>
          <w:bCs w:val="1"/>
          <w:color w:val="auto"/>
        </w:rPr>
        <w:t>Funding Guarantor</w:t>
      </w:r>
      <w:r>
        <w:rPr>
          <w:rFonts w:ascii="Arial" w:cs="Arial" w:eastAsia="Arial" w:hAnsi="Arial"/>
          <w:sz w:val="16"/>
          <w:szCs w:val="16"/>
          <w:color w:val="auto"/>
        </w:rPr>
        <w:t>”) under this Guaranty such that its Aggregate Payments exceeds its Fair Share as of such date, such Funding Guarantor will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6"/>
          <w:szCs w:val="16"/>
          <w:b w:val="1"/>
          <w:bCs w:val="1"/>
          <w:color w:val="auto"/>
        </w:rPr>
        <w:t>Fair Share</w:t>
      </w:r>
      <w:r>
        <w:rPr>
          <w:rFonts w:ascii="Arial" w:cs="Arial" w:eastAsia="Arial" w:hAnsi="Arial"/>
          <w:sz w:val="16"/>
          <w:szCs w:val="16"/>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6"/>
          <w:szCs w:val="16"/>
          <w:b w:val="1"/>
          <w:bCs w:val="1"/>
          <w:color w:val="auto"/>
        </w:rPr>
        <w:t>Fair Share Contribution Amount</w:t>
      </w:r>
      <w:r>
        <w:rPr>
          <w:rFonts w:ascii="Arial" w:cs="Arial" w:eastAsia="Arial" w:hAnsi="Arial"/>
          <w:sz w:val="16"/>
          <w:szCs w:val="16"/>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 applicable provisions of state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calculating the Fair Share Contribution Amount with respect to any Contributing Guarantor for purposes of this Section 7.2, any assets or liabilities of such Contributing Guarantor arising by virtue of any rights to subrogation, reimbursement or indemnification or any rights to or obligations of contribution hereunder will not be considered as assets or liabilities of such Contributing Guarantor. “</w:t>
      </w:r>
      <w:r>
        <w:rPr>
          <w:rFonts w:ascii="Arial" w:cs="Arial" w:eastAsia="Arial" w:hAnsi="Arial"/>
          <w:sz w:val="16"/>
          <w:szCs w:val="16"/>
          <w:b w:val="1"/>
          <w:bCs w:val="1"/>
          <w:color w:val="auto"/>
        </w:rPr>
        <w:t>Aggregate Payments</w:t>
      </w:r>
      <w:r>
        <w:rPr>
          <w:rFonts w:ascii="Arial" w:cs="Arial" w:eastAsia="Arial" w:hAnsi="Arial"/>
          <w:sz w:val="16"/>
          <w:szCs w:val="16"/>
          <w:color w:val="auto"/>
        </w:rPr>
        <w:t xml:space="preserve">” means, with respect to a Contributing Guarantor as of any date of determination, an amount equal to the sum of (1) the aggregate amount of all payments and distributions made on or before such date by such Contributing Guarantor in respect of this Guaranty (including in respect of this Section 7.2),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(2) the aggregate amount of all payments received on or before such date by such Contributing Guarantor from the other Contributing Guarantors as contributions under this Section 7.2. The amounts payable as contributions hereunder will be determined as of the date on which the related payment or distribution is made by the applicable Funding Guarantor. The allocation among Contributing Guarantors of their obligations as set forth in this Section 7.2 will not be construed in any way to limit the liability of any Contributing Guarantor hereunder. Each Guarantor is a third party beneficiary to the contribution agreement set forth in this Section 7.2.</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7.3 Liability of Guarantors Absolute</w:t>
      </w:r>
      <w:r>
        <w:rPr>
          <w:rFonts w:ascii="Arial" w:cs="Arial" w:eastAsia="Arial" w:hAnsi="Arial"/>
          <w:sz w:val="16"/>
          <w:szCs w:val="16"/>
          <w:color w:val="auto"/>
        </w:rPr>
        <w:t>. Each Guarantor agrees that its obligations hereunder are irrevocable, absolute, independent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unconditional and will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46" w:lineRule="exact"/>
        <w:rPr>
          <w:sz w:val="20"/>
          <w:szCs w:val="20"/>
          <w:color w:val="auto"/>
        </w:rPr>
      </w:pPr>
    </w:p>
    <w:p>
      <w:pPr>
        <w:ind w:left="1520" w:hanging="378"/>
        <w:spacing w:after="0"/>
        <w:tabs>
          <w:tab w:leader="none" w:pos="1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142"/>
        <w:spacing w:after="0" w:line="308" w:lineRule="auto"/>
        <w:tabs>
          <w:tab w:leader="none" w:pos="153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Administrative Agent may enforce this Guaranty upon the occurrence of an Event of Default notwithstanding the existence of any dispute between the Borrower and any Secured Party with respect to whether such Event of Default has occurred and is continuing;</w:t>
      </w:r>
    </w:p>
    <w:p>
      <w:pPr>
        <w:spacing w:after="0" w:line="146" w:lineRule="exact"/>
        <w:rPr>
          <w:rFonts w:ascii="Arial" w:cs="Arial" w:eastAsia="Arial" w:hAnsi="Arial"/>
          <w:sz w:val="17"/>
          <w:szCs w:val="17"/>
          <w:color w:val="auto"/>
        </w:rPr>
      </w:pPr>
    </w:p>
    <w:p>
      <w:pPr>
        <w:jc w:val="both"/>
        <w:ind w:firstLine="1142"/>
        <w:spacing w:after="0" w:line="259" w:lineRule="auto"/>
        <w:tabs>
          <w:tab w:leader="none" w:pos="161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ind w:firstLine="1142"/>
        <w:spacing w:after="0" w:line="255" w:lineRule="auto"/>
        <w:tabs>
          <w:tab w:leader="none" w:pos="153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will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will not be deemed to release such Guarantor from its covenant to pay the portion of the Guaranteed Obligations that is not the subject of such suit, and such judgment will not, except to the extent satisfied by such Guarantor, limit, affect, modify or abridge any other Guarantor’s liability hereunder in respect of the Guaranteed Obligations;</w:t>
      </w:r>
    </w:p>
    <w:p>
      <w:pPr>
        <w:spacing w:after="0" w:line="192" w:lineRule="exact"/>
        <w:rPr>
          <w:rFonts w:ascii="Arial" w:cs="Arial" w:eastAsia="Arial" w:hAnsi="Arial"/>
          <w:sz w:val="18"/>
          <w:szCs w:val="18"/>
          <w:color w:val="auto"/>
        </w:rPr>
      </w:pPr>
    </w:p>
    <w:p>
      <w:pPr>
        <w:jc w:val="both"/>
        <w:ind w:firstLine="1142"/>
        <w:spacing w:after="0" w:line="268" w:lineRule="auto"/>
        <w:tabs>
          <w:tab w:leader="none" w:pos="154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Administrative Agent, on behalf of the Secured Parties,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the Secured Parties in respect hereof or the Guaranteed Obligations and direct the order or manner of sale thereof, or exercise any other right or remedy that the Administrative Agent may have against any such security, in each case as the Administrative Agent in its discretion may determine consistent herewith or the applicable Secured Rate Contract or Bank Product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the Borrower or any security for the Guaranteed Obligations; and (vi) exercise any other rights available to it under the Credit Documents, the Secured Rate Contracts or the Bank Product Agreements; and</w:t>
      </w:r>
    </w:p>
    <w:p>
      <w:pPr>
        <w:spacing w:after="0" w:line="179" w:lineRule="exact"/>
        <w:rPr>
          <w:rFonts w:ascii="Arial" w:cs="Arial" w:eastAsia="Arial" w:hAnsi="Arial"/>
          <w:sz w:val="17"/>
          <w:szCs w:val="17"/>
          <w:color w:val="auto"/>
        </w:rPr>
      </w:pPr>
    </w:p>
    <w:p>
      <w:pPr>
        <w:jc w:val="both"/>
        <w:ind w:firstLine="1142"/>
        <w:spacing w:after="0" w:line="284" w:lineRule="auto"/>
        <w:tabs>
          <w:tab w:leader="none" w:pos="159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will be valid and enforceable and will not be subject to any reduction, limitation, impairment, discharge or termination for any reason (other than payment in full of the Guaranteed Obligations), including the occurrence of any of the following, whether or not any Guarantor will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the Secured Rate Contracts or the Bank Product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Credit Documents, any of the Secured Rate Contracts, the Bank Product Agreements or any agreement or instrument executed pursuant thereto, or of any other guaranty or security for the Guaranteed Obligations, in each case whether or not in accordance with the terms hereof or such Credit Document, such Secured Rate Contract, such Bank Product Agreements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Credit Documents, any of the Secured Rate Contracts, any Bank Product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 any Secured Party’s consent to the change, reorganization or termination of the corporate structure or existence of the Borrower or any Subsidiary and to any corresponding restructuring of the Guaranteed Obligations; (vi) any failure to perfect or continue perfection of a security interest in any collateral which secures any of the Guaranteed Obligations; (vii) any defenses, set-offs or counterclaims which the Borrower may allege or assert against any Secured Party in respect of the Guaranteed Obligations, including failure of consideration, breach of warranty, payment, statute of frauds,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jc w:val="both"/>
        <w:ind w:firstLine="648"/>
        <w:spacing w:after="0" w:line="285" w:lineRule="auto"/>
        <w:rPr>
          <w:sz w:val="20"/>
          <w:szCs w:val="20"/>
          <w:color w:val="auto"/>
        </w:rPr>
      </w:pPr>
      <w:r>
        <w:rPr>
          <w:rFonts w:ascii="Arial" w:cs="Arial" w:eastAsia="Arial" w:hAnsi="Arial"/>
          <w:sz w:val="16"/>
          <w:szCs w:val="16"/>
          <w:b w:val="1"/>
          <w:bCs w:val="1"/>
          <w:color w:val="auto"/>
        </w:rPr>
        <w:t>7.4 Waivers by Guarantors</w:t>
      </w:r>
      <w:r>
        <w:rPr>
          <w:rFonts w:ascii="Arial" w:cs="Arial" w:eastAsia="Arial" w:hAnsi="Arial"/>
          <w:sz w:val="16"/>
          <w:szCs w:val="16"/>
          <w:color w:val="auto"/>
        </w:rPr>
        <w:t>. To the fullest extent permitted by law, each Guarantor hereby waives, for the benefit of the Secured Parties: (a)</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to require any Secured Party,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credit on the books of any Secured Party in favor of the Borrower or any other Person, or (iv) pursue any other remedy in the power of any Secured Party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(e) (i) any rights to set-offs, recoupments and counterclaims, and (ii) promptness, diligence and any requirement that any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the Secured Rate Contracts, the Bank Product Agreements or any agreement or instrument related thereto, notices of any renewal, extension or modification of the Guaranteed Obligations or any agreement related thereto, notices of any extension of credit to the Borrower and notices of any of the matters referred to in Section 7.3 and any right to consent to any thereof; and (g) any defenses or benefits that may be derived from or afforded by law which limit the liability of or exonerate guarantors or sureties, or which may conflict with the terms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648"/>
        <w:spacing w:after="0" w:line="285" w:lineRule="auto"/>
        <w:rPr>
          <w:sz w:val="20"/>
          <w:szCs w:val="20"/>
          <w:color w:val="auto"/>
        </w:rPr>
      </w:pPr>
      <w:r>
        <w:rPr>
          <w:rFonts w:ascii="Arial" w:cs="Arial" w:eastAsia="Arial" w:hAnsi="Arial"/>
          <w:sz w:val="16"/>
          <w:szCs w:val="16"/>
          <w:b w:val="1"/>
          <w:bCs w:val="1"/>
          <w:color w:val="auto"/>
        </w:rPr>
        <w:t>7.5 Guarantors</w:t>
      </w:r>
      <w:r>
        <w:rPr>
          <w:rFonts w:ascii="Arial" w:cs="Arial" w:eastAsia="Arial" w:hAnsi="Arial"/>
          <w:sz w:val="16"/>
          <w:szCs w:val="16"/>
          <w:color w:val="auto"/>
        </w:rPr>
        <w:t>’</w:t>
      </w:r>
      <w:r>
        <w:rPr>
          <w:rFonts w:ascii="Arial" w:cs="Arial" w:eastAsia="Arial" w:hAnsi="Arial"/>
          <w:sz w:val="16"/>
          <w:szCs w:val="16"/>
          <w:b w:val="1"/>
          <w:bCs w:val="1"/>
          <w:color w:val="auto"/>
        </w:rPr>
        <w:t xml:space="preserve"> Rights of Subrogation, Contribution, etc</w:t>
      </w:r>
      <w:r>
        <w:rPr>
          <w:rFonts w:ascii="Arial" w:cs="Arial" w:eastAsia="Arial" w:hAnsi="Arial"/>
          <w:sz w:val="16"/>
          <w:szCs w:val="16"/>
          <w:color w:val="auto"/>
        </w:rPr>
        <w:t>. Until the Guaranteed Obligations will have been indefeasibly paid in full in cash,</w:t>
      </w:r>
      <w:r>
        <w:rPr>
          <w:rFonts w:ascii="Arial" w:cs="Arial" w:eastAsia="Arial" w:hAnsi="Arial"/>
          <w:sz w:val="16"/>
          <w:szCs w:val="16"/>
          <w:b w:val="1"/>
          <w:bCs w:val="1"/>
          <w:color w:val="auto"/>
        </w:rPr>
        <w:t xml:space="preserve"> </w:t>
      </w:r>
      <w:r>
        <w:rPr>
          <w:rFonts w:ascii="Arial" w:cs="Arial" w:eastAsia="Arial" w:hAnsi="Arial"/>
          <w:sz w:val="16"/>
          <w:szCs w:val="16"/>
          <w:color w:val="auto"/>
        </w:rPr>
        <w:t>each Guarantor hereby waives any claim, 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the Borrower with respect to the Guaranteed Obligations, (b) any right to enforce, or to participate in, any claim, right or remedy that any Secured Party now has or may hereafter have against the Borrower, and (c) any benefit of, and any right to participate in, any collateral or security now or hereafter held by any Secured Party. In addition, until the Guaranteed Obligations will have been indefeasibly paid in full in cash, each Guarantor will withhold exercise of any right of contribution such Guarantor may have against any other guarantor (including any other Guarantor) of the Guaranteed Obligations, including any such right of contribution as contemplated by Section 7.2.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will be junior and subordinate to any rights any Secured Party may have against the Borrower, to all right, title and interest any Secured Party may have in any such collateral or security, and to any right any Secured Party may have against such other guarantor. If any amount will be paid to any Guarantor on account of any such subrogation, reimbursement, indemnification or contribution rights at any time when all Guaranteed Obligations will not have been finally and indefeasibly paid in full, such amount will be held in trust for the Administrative Agent on behalf of Secured Parties and will forthwith be paid over to the Administrative Agent for the benefit of Secured Parties to be credited and applied against the Guaranteed Obligations, whether matured or unmatured, in accordance with the terms hereof. Further, in accordance with Section 2856 of the California Civil Code, to the extent applicable, each Guarantor waives any and all rights and defenses available to it by reason of Sections 2787 to 2855, inclusive, of the California Civil Code (this sentence is included solely out of an abundance of caution, and shall not be construed to mean that any of the above-referenced provisions of California law are in any way applicable to this Guaranty or to any of the Guaranteed Obligations).</w:t>
      </w:r>
    </w:p>
    <w:p>
      <w:pPr>
        <w:spacing w:after="0" w:line="1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7.6 Subordination of Other Obligations</w:t>
      </w:r>
      <w:r>
        <w:rPr>
          <w:rFonts w:ascii="Arial" w:cs="Arial" w:eastAsia="Arial" w:hAnsi="Arial"/>
          <w:sz w:val="16"/>
          <w:szCs w:val="16"/>
          <w:color w:val="auto"/>
        </w:rPr>
        <w:t>. Any Indebtedness of the Borrower or any Guarantor now or hereafter held by any Guarantor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Obligee Guarantor</w:t>
      </w:r>
      <w:r>
        <w:rPr>
          <w:rFonts w:ascii="Arial" w:cs="Arial" w:eastAsia="Arial" w:hAnsi="Arial"/>
          <w:sz w:val="16"/>
          <w:szCs w:val="16"/>
          <w:color w:val="auto"/>
        </w:rPr>
        <w:t>”) is hereby subordinated in right of payment to the Guaranteed Obligations, and any such Indebtedness collected or received by the Obligee Guarantor after an Event of Default has occurred and is continuing will be held in trust for the Administrative Agent on behalf of Secured Parties and will forthwith be paid over to the Administrative Agent for the benefit of Secured Parties to be credited and applied against the Guaranteed Obligations but without affecting, impairing or limiting in any manner the liability of the Obligee Guarantor under any other provision hereof.</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7.7 Continuing Guaranty</w:t>
      </w:r>
      <w:r>
        <w:rPr>
          <w:rFonts w:ascii="Arial" w:cs="Arial" w:eastAsia="Arial" w:hAnsi="Arial"/>
          <w:sz w:val="18"/>
          <w:szCs w:val="18"/>
          <w:color w:val="auto"/>
        </w:rPr>
        <w:t>. This Guaranty is a continuing guaranty and will remain in effect until all of the Guaranteed Obligations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any Secured Rate Contract or Bank Product Obligation) will have been paid in full.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7.8 Authority of Guarantors or the Borrower</w:t>
      </w:r>
      <w:r>
        <w:rPr>
          <w:rFonts w:ascii="Arial" w:cs="Arial" w:eastAsia="Arial" w:hAnsi="Arial"/>
          <w:sz w:val="18"/>
          <w:szCs w:val="18"/>
          <w:color w:val="auto"/>
        </w:rPr>
        <w:t>. It is not necessary for any Secured Party to inquire into the capacity or powers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or the Borrower or the officers, directors or any agents acting or purporting to act on behalf of any of them.</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7.9 Financial Condition of the Borrower</w:t>
      </w:r>
      <w:r>
        <w:rPr>
          <w:rFonts w:ascii="Arial" w:cs="Arial" w:eastAsia="Arial" w:hAnsi="Arial"/>
          <w:sz w:val="16"/>
          <w:szCs w:val="16"/>
          <w:color w:val="auto"/>
        </w:rPr>
        <w:t>. Any Credit Extension may be made to the Borrower or continued from time to time, and any 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may be entered into from time to time, in each case without notice to or authorization from any Guarantor regardless of the financial or other condition of the Borrower at the time of any such grant or continuation or at the time such Rate Contracts is entered into, as the case may be. No Secured Party will have any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their ability to perform their obligations under the Credit Documents and the Rate Contracts,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any Secured Party to disclose any matter, fact or thing relating to the business, operations or conditions of the Borrower now known or hereafter known by any Secured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left="660"/>
        <w:spacing w:after="0"/>
        <w:tabs>
          <w:tab w:leader="none" w:pos="114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Bankruptcy, etc</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9" w:lineRule="auto"/>
        <w:tabs>
          <w:tab w:leader="none" w:pos="1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obligations of the Guarantors hereunder will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86" w:lineRule="exact"/>
        <w:rPr>
          <w:rFonts w:ascii="Arial" w:cs="Arial" w:eastAsia="Arial" w:hAnsi="Arial"/>
          <w:sz w:val="18"/>
          <w:szCs w:val="18"/>
          <w:color w:val="auto"/>
        </w:rPr>
      </w:pPr>
    </w:p>
    <w:p>
      <w:pPr>
        <w:jc w:val="both"/>
        <w:ind w:firstLine="1142"/>
        <w:spacing w:after="0" w:line="290" w:lineRule="auto"/>
        <w:tabs>
          <w:tab w:leader="none" w:pos="161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will be included in the Guaranteed Obligations because it is the intention of the Guarantors and Secured Parties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65" w:lineRule="exact"/>
        <w:rPr>
          <w:rFonts w:ascii="Arial" w:cs="Arial" w:eastAsia="Arial" w:hAnsi="Arial"/>
          <w:sz w:val="16"/>
          <w:szCs w:val="16"/>
          <w:color w:val="auto"/>
        </w:rPr>
      </w:pPr>
    </w:p>
    <w:p>
      <w:pPr>
        <w:jc w:val="both"/>
        <w:ind w:firstLine="1142"/>
        <w:spacing w:after="0" w:line="259" w:lineRule="auto"/>
        <w:tabs>
          <w:tab w:leader="none" w:pos="155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event that all or any portion of the Guaranteed Obligations are paid by the Borrower, the obligations of Guarantors hereunder will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will constitute Guaranteed Obligations for all purposes hereunder.</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7.11 Discharge of Guaranty upon Sale of Guarantor</w:t>
      </w:r>
      <w:r>
        <w:rPr>
          <w:rFonts w:ascii="Arial" w:cs="Arial" w:eastAsia="Arial" w:hAnsi="Arial"/>
          <w:sz w:val="17"/>
          <w:szCs w:val="17"/>
          <w:color w:val="auto"/>
        </w:rPr>
        <w:t>. If, in compliance with the terms and provisions of the Credit Documents, (a)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Stock of any Guarantor or any of its successors in interest hereunder or (b) all or substantially all of the property of any Guarantor is sold, disposed of or otherwise transferred (such Guarantor, a “</w:t>
      </w:r>
      <w:r>
        <w:rPr>
          <w:rFonts w:ascii="Arial" w:cs="Arial" w:eastAsia="Arial" w:hAnsi="Arial"/>
          <w:sz w:val="17"/>
          <w:szCs w:val="17"/>
          <w:b w:val="1"/>
          <w:bCs w:val="1"/>
          <w:color w:val="auto"/>
        </w:rPr>
        <w:t>Transferred Guarantor</w:t>
      </w:r>
      <w:r>
        <w:rPr>
          <w:rFonts w:ascii="Arial" w:cs="Arial" w:eastAsia="Arial" w:hAnsi="Arial"/>
          <w:sz w:val="17"/>
          <w:szCs w:val="17"/>
          <w:color w:val="auto"/>
        </w:rPr>
        <w:t>”) to any Person (other than any other Credit Party), such Transferred Guarantor will, upon the consummation of such sale, disposition or other transfer (including by merger or consolidation), automatically be discharged and released, without any further action by any Secured Party or any other Person, effective as of the time of such sale, disposition or other transfer, from its obligations under this Agreement (including under Sections 10.2 and 10.3) and the other Credit Documents, including its obligations to pledge and grant any Collateral owned by it pursuant to any Collateral Document and, in the case of the sale of all of the Capital Stock of such Transferred Guarantor, the pledge of such Capital Stock to the Collateral Agent pursuant to the Collateral Documents will be released, and the Collateral Agent will take, and the Secured Parties hereby irrevocably authorize the Collateral Agent to take, such actions as are necessary or desirable to effect each discharge and release described in this Section 7.11 in accordance with the relevant provisions of the Collateral Documents.</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ind w:firstLine="648"/>
        <w:spacing w:after="0" w:line="273" w:lineRule="auto"/>
        <w:rPr>
          <w:sz w:val="20"/>
          <w:szCs w:val="20"/>
          <w:color w:val="auto"/>
        </w:rPr>
      </w:pPr>
      <w:r>
        <w:rPr>
          <w:rFonts w:ascii="Arial" w:cs="Arial" w:eastAsia="Arial" w:hAnsi="Arial"/>
          <w:sz w:val="17"/>
          <w:szCs w:val="17"/>
          <w:b w:val="1"/>
          <w:bCs w:val="1"/>
          <w:color w:val="auto"/>
        </w:rPr>
        <w:t>7.13 General Limitation on Guarantee Obligations</w:t>
      </w:r>
      <w:r>
        <w:rPr>
          <w:rFonts w:ascii="Arial" w:cs="Arial" w:eastAsia="Arial" w:hAnsi="Arial"/>
          <w:sz w:val="17"/>
          <w:szCs w:val="17"/>
          <w:color w:val="auto"/>
        </w:rPr>
        <w:t>. In any action or proceeding involving any state corporate limited partnership or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company law, or any applicable state, federal or foreign bankruptcy, insolvency, reorganization or other Law affecting the rights of creditors generally, if the obligations of any Guarantor under Section 7.1 would otherwise be held or determined to be void, voidable, invalid or unenforceable, or subordinated to the claims of any other creditors, on account of the amount of its liability under Section 7.1, then, notwithstanding any other provision to the contrary, the amount of such liability will, without any further action by such Guarantor, any Credit Party or any other Person, be automatically limited and reduced to the highest amount (after giving effect to the rights of subrogation and contribution established in Section 7.5) that is valid and enforceable, not void or voidable and not subordinated to the claims of other creditors as determined in such action or proceeding.</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7.14 Keepwell</w:t>
      </w:r>
      <w:r>
        <w:rPr>
          <w:rFonts w:ascii="Arial" w:cs="Arial" w:eastAsia="Arial" w:hAnsi="Arial"/>
          <w:sz w:val="17"/>
          <w:szCs w:val="17"/>
          <w:color w:val="auto"/>
        </w:rPr>
        <w:t>. Each Qualified ECP Guarantor hereby jointly and severally absolutely, unconditionally and irrevocably undertakes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such funds or other support as may be needed from time to time by each other Credit Party to honor all of its obligations under this Guaranty in respect of Swap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Qualified ECP Guarantor will only be liable under this Section 7.14 for the maximum amount of such liability that can be hereby incurred without rendering its obligations under this Section 7.14, or otherwise under this Guaranty, voidable under applicable Law relating to fraudulent conveyance or fraudulent transfer, and not for any greater amount). The obligations of each Qualified ECP Guarantor under this Section 7.14 will remain in full force and effect until the Guaranteed Obligations have been paid in full. Each Qualified ECP Guarantor intends that this Section 7.14 constitute, and this Section 7.14 will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EVENTS OF DEFAULT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Each of the events referred to in clauses (a) through (m) of this Section 8.1 shall constitute an “</w:t>
      </w:r>
      <w:r>
        <w:rPr>
          <w:rFonts w:ascii="Arial" w:cs="Arial" w:eastAsia="Arial" w:hAnsi="Arial"/>
          <w:sz w:val="16"/>
          <w:szCs w:val="16"/>
          <w:b w:val="1"/>
          <w:bCs w:val="1"/>
          <w:color w:val="auto"/>
        </w:rPr>
        <w:t>Event of Default</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5" w:lineRule="auto"/>
        <w:tabs>
          <w:tab w:leader="none" w:pos="1533"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xml:space="preserve">. Failure by the Borrower to pay (i) when due any installment of principal of any Loan, whether at stated maturity, by acceleration, by mandatory prepayment or otherwise; or (ii) any interest on any Loan or any fee or any other amount due hereunder within five (5) Business Days after the date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Term C Loan Payment Event of Default shall not constitute an Event of Default with respect to Term Lenders (in their capacities as such) which do not hold Term C Loan Exposure or Term Loans or Term Loan Exposure (other than Term C Loans and Term C Loan Exposure, respectively) unless and until the date occurring 90 days after the occurrence of such Term C Loan Payment Event of Default (a “</w:t>
      </w:r>
      <w:r>
        <w:rPr>
          <w:rFonts w:ascii="Arial" w:cs="Arial" w:eastAsia="Arial" w:hAnsi="Arial"/>
          <w:sz w:val="18"/>
          <w:szCs w:val="18"/>
          <w:b w:val="1"/>
          <w:bCs w:val="1"/>
          <w:color w:val="auto"/>
        </w:rPr>
        <w:t>Term C Loan Payment Cross Default</w:t>
      </w:r>
      <w:r>
        <w:rPr>
          <w:rFonts w:ascii="Arial" w:cs="Arial" w:eastAsia="Arial" w:hAnsi="Arial"/>
          <w:sz w:val="18"/>
          <w:szCs w:val="18"/>
          <w:color w:val="auto"/>
        </w:rPr>
        <w:t>”); or</w:t>
      </w:r>
    </w:p>
    <w:p>
      <w:pPr>
        <w:spacing w:after="0" w:line="192" w:lineRule="exact"/>
        <w:rPr>
          <w:rFonts w:ascii="Arial" w:cs="Arial" w:eastAsia="Arial" w:hAnsi="Arial"/>
          <w:sz w:val="18"/>
          <w:szCs w:val="18"/>
          <w:color w:val="auto"/>
        </w:rPr>
      </w:pPr>
    </w:p>
    <w:p>
      <w:pPr>
        <w:ind w:left="1540" w:hanging="398"/>
        <w:spacing w:after="0"/>
        <w:tabs>
          <w:tab w:leader="none" w:pos="15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140" w:firstLine="488"/>
        <w:spacing w:after="0" w:line="263" w:lineRule="auto"/>
        <w:tabs>
          <w:tab w:leader="none" w:pos="1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Failure of the Borrower or any other Credit Party to pay when due any principal of or interest on or any other amount payable in respect of one or more items of Indebtedness (other than Indebtedness referred to in Section 8.1(a)) constituting Material Indebtedness, in each case beyond the grace period, if any, provided therefor; or</w:t>
      </w:r>
    </w:p>
    <w:p>
      <w:pPr>
        <w:spacing w:after="0" w:line="183" w:lineRule="exact"/>
        <w:rPr>
          <w:rFonts w:ascii="Arial" w:cs="Arial" w:eastAsia="Arial" w:hAnsi="Arial"/>
          <w:sz w:val="18"/>
          <w:szCs w:val="18"/>
          <w:color w:val="auto"/>
        </w:rPr>
      </w:pPr>
    </w:p>
    <w:p>
      <w:pPr>
        <w:jc w:val="both"/>
        <w:ind w:left="1140" w:firstLine="488"/>
        <w:spacing w:after="0" w:line="257" w:lineRule="auto"/>
        <w:tabs>
          <w:tab w:leader="none" w:pos="211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breach or default by any Credit Party with respect to any other material term of (1) one or more items of Indebtedness constituting Material Indebtedness or (2) any loan agreement, mortgage, indenture or other agreement relating to Material Indebtedness, in each case beyond the grace period, if any, provided therefor, if the effect of such breach or default is to cause, or to permit the holder or holders of that Indebtedness (or a trustee or agent on behalf of such holder or holders), to cause, that Indebtedness to become or be declared due and payable (or redeemable) prior to its stated maturity;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(x) Section 8.1(b)(ii) will not apply to secured Indebtedness that becomes due as a result of the voluntary sale or transfer of the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such Indebtedness and (y) such failure is unremedied or is not duly waived or cured prior to any termination of commitments or acceleration hereunder;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left="1520" w:hanging="378"/>
        <w:spacing w:after="0"/>
        <w:tabs>
          <w:tab w:leader="none" w:pos="152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Breach of Negative Covenants</w:t>
      </w:r>
      <w:r>
        <w:rPr>
          <w:rFonts w:ascii="Arial" w:cs="Arial" w:eastAsia="Arial" w:hAnsi="Arial"/>
          <w:sz w:val="16"/>
          <w:szCs w:val="16"/>
          <w:color w:val="auto"/>
        </w:rPr>
        <w:t>. Failure of any Credit Party to perform or comply with any term or condition contained in Section 6; or</w:t>
      </w:r>
    </w:p>
    <w:p>
      <w:pPr>
        <w:spacing w:after="0" w:line="248" w:lineRule="exact"/>
        <w:rPr>
          <w:rFonts w:ascii="Arial" w:cs="Arial" w:eastAsia="Arial" w:hAnsi="Arial"/>
          <w:sz w:val="16"/>
          <w:szCs w:val="16"/>
          <w:color w:val="auto"/>
        </w:rPr>
      </w:pPr>
    </w:p>
    <w:p>
      <w:pPr>
        <w:ind w:left="1540" w:hanging="398"/>
        <w:spacing w:after="0"/>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p>
    <w:p>
      <w:pPr>
        <w:spacing w:after="0" w:line="225" w:lineRule="exact"/>
        <w:rPr>
          <w:rFonts w:ascii="Arial" w:cs="Arial" w:eastAsia="Arial" w:hAnsi="Arial"/>
          <w:sz w:val="18"/>
          <w:szCs w:val="18"/>
          <w:color w:val="auto"/>
        </w:rPr>
      </w:pPr>
    </w:p>
    <w:p>
      <w:pPr>
        <w:jc w:val="both"/>
        <w:ind w:left="1140" w:firstLine="488"/>
        <w:spacing w:after="0" w:line="263" w:lineRule="auto"/>
        <w:tabs>
          <w:tab w:leader="none" w:pos="210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Specified Representation was false in any material respect (except for those representations and warranties that are conditioned by materiality, which will proved to be false in any respect) or any Merger Agreement Representation was false as of the Closing Date; or</w:t>
      </w:r>
    </w:p>
    <w:p>
      <w:pPr>
        <w:spacing w:after="0" w:line="183" w:lineRule="exact"/>
        <w:rPr>
          <w:rFonts w:ascii="Arial" w:cs="Arial" w:eastAsia="Arial" w:hAnsi="Arial"/>
          <w:sz w:val="18"/>
          <w:szCs w:val="18"/>
          <w:color w:val="auto"/>
        </w:rPr>
      </w:pPr>
    </w:p>
    <w:p>
      <w:pPr>
        <w:jc w:val="both"/>
        <w:ind w:left="1140" w:firstLine="488"/>
        <w:spacing w:after="0" w:line="257" w:lineRule="auto"/>
        <w:tabs>
          <w:tab w:leader="none" w:pos="216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representation, warranty, certification or other statement made or deemed made by any Credit Party in any Credit Document or in any certificate at any time given by any Credit Party or any Subsidiary in writing pursuant to the terms of the Credit Documents (other than a Specified Representation or an Merger Agreement Representation) was false in any material respect (or, to the extent such representation and warranty contains qualifications as to materiality, it was false in any respect) as of the date made or deemed made; or</w:t>
      </w:r>
    </w:p>
    <w:p>
      <w:pPr>
        <w:spacing w:after="0" w:line="187" w:lineRule="exact"/>
        <w:rPr>
          <w:rFonts w:ascii="Arial" w:cs="Arial" w:eastAsia="Arial" w:hAnsi="Arial"/>
          <w:sz w:val="18"/>
          <w:szCs w:val="18"/>
          <w:color w:val="auto"/>
        </w:rPr>
      </w:pPr>
    </w:p>
    <w:p>
      <w:pPr>
        <w:jc w:val="both"/>
        <w:ind w:firstLine="1142"/>
        <w:spacing w:after="0" w:line="275" w:lineRule="auto"/>
        <w:tabs>
          <w:tab w:leader="none" w:pos="1526"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Breach of Other Covenants</w:t>
      </w:r>
      <w:r>
        <w:rPr>
          <w:rFonts w:ascii="Arial" w:cs="Arial" w:eastAsia="Arial" w:hAnsi="Arial"/>
          <w:sz w:val="17"/>
          <w:szCs w:val="17"/>
          <w:color w:val="auto"/>
        </w:rPr>
        <w:t>. Any Credit Party defaults in the performance of or compliance with (i) any covenant contained in Section 5.1(h) or Section 5.2 (as applicable only to the existence of the Borrower), or (ii) any other covenant in this Agreement or in any of the other Credit Documents, other than any such covenant referred to in subclause (i) above or any other provision of this Section 8.1, and such default is not remedied, cured or waived within thirty (30) days after the earlier to occur of the date on which a Responsible Officer has knowledge of such default and the date of receipt by the Borrower of notice from the Administrative Agent of such default; or</w:t>
      </w:r>
    </w:p>
    <w:p>
      <w:pPr>
        <w:spacing w:after="0" w:line="176" w:lineRule="exact"/>
        <w:rPr>
          <w:rFonts w:ascii="Arial" w:cs="Arial" w:eastAsia="Arial" w:hAnsi="Arial"/>
          <w:sz w:val="17"/>
          <w:szCs w:val="17"/>
          <w:color w:val="auto"/>
        </w:rPr>
      </w:pPr>
    </w:p>
    <w:p>
      <w:pPr>
        <w:jc w:val="both"/>
        <w:ind w:firstLine="1142"/>
        <w:spacing w:after="0" w:line="269" w:lineRule="auto"/>
        <w:tabs>
          <w:tab w:leader="none" w:pos="15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xml:space="preserve"> (i) A court of competent jurisdiction enters a decree or order for relief in respect of the Borrower or any Subsidiary (other than an Immaterial Subsidiary) in an involuntary case under the Bankruptcy Code or under any other applicable bankruptcy, insolvency or similar law now or hereafter in effect, which decree or order is not stayed; or any other similar relief is granted under any applicable law; or (ii) an involuntary case is commenced against the Borrower or any Subsidiary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the Borrower or any Subsidiary (other than an Immaterial Subsidiary), or over all or a substantial part of its property, is entered; or there occurs the involuntary appointment of an interim receiver, trustee or other custodian of the Borrower or any Subsidiary (other than an Immaterial Subsidiary) for all or a substantial part of its property; or a warrant of attachment, execution or similar process is issued against any substantial part of the property of the Borrower or any Subsidiary (other than an Immaterial Subsidiary), and any such event described in this clause (ii) continues for sixty (60) days without having been dismissed, bonded or discharged;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p>
      <w:pPr>
        <w:jc w:val="both"/>
        <w:ind w:firstLine="1142"/>
        <w:spacing w:after="0" w:line="253" w:lineRule="auto"/>
        <w:tabs>
          <w:tab w:leader="none" w:pos="1564"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Voluntary Bankruptcy; Appointment of Receiver, Etc.</w:t>
      </w:r>
      <w:r>
        <w:rPr>
          <w:rFonts w:ascii="Arial" w:cs="Arial" w:eastAsia="Arial" w:hAnsi="Arial"/>
          <w:sz w:val="18"/>
          <w:szCs w:val="18"/>
          <w:color w:val="auto"/>
        </w:rPr>
        <w:t xml:space="preserve"> (i) The Borrower or any Subsidiary (other than an Immaterial Subsidiary) has an order for relief entered with respect to it or commences a voluntary case under the Bankruptcy Code or under any other applicable bankruptcy, insolvency or similar law now or hereafter in effect, or consents to the entry of an order for relief in an involuntary case, or to the conversion of an involuntary case to a voluntary case, under any such law, or consents to the appointment of or taking possession by a receiver, trustee or other custodian for all or a substantial part of its property; or the Borrower or any Subsidiary (other than an Immaterial Subsidiary) makes any assignment for the benefit of creditors; or (ii) the Borrower or any Subsidiary (other than an Immaterial Subsidiary) becomes unable, or fails generally, or admits in writing its inability, to pay its debts as such debts become due; or the board of directors (or similar governing body) the Borrower or any Subsidiary (other than an Immaterial Subsidiary) (or any committee thereof) adopts any resolution or otherwise authorizes any action to approve any of the actions referred to herein or in Section 8.1(f); or</w:t>
      </w:r>
    </w:p>
    <w:p>
      <w:pPr>
        <w:spacing w:after="0" w:line="196" w:lineRule="exact"/>
        <w:rPr>
          <w:rFonts w:ascii="Arial" w:cs="Arial" w:eastAsia="Arial" w:hAnsi="Arial"/>
          <w:sz w:val="18"/>
          <w:szCs w:val="18"/>
          <w:color w:val="auto"/>
        </w:rPr>
      </w:pPr>
    </w:p>
    <w:p>
      <w:pPr>
        <w:jc w:val="both"/>
        <w:ind w:firstLine="1142"/>
        <w:spacing w:after="0" w:line="279" w:lineRule="auto"/>
        <w:tabs>
          <w:tab w:leader="none" w:pos="1554"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Judgments and Attachments</w:t>
      </w:r>
      <w:r>
        <w:rPr>
          <w:rFonts w:ascii="Arial" w:cs="Arial" w:eastAsia="Arial" w:hAnsi="Arial"/>
          <w:sz w:val="17"/>
          <w:szCs w:val="17"/>
          <w:color w:val="auto"/>
        </w:rPr>
        <w:t>. Any money judgment, writ or warrant of attachment or similar process involving in any individual case in an amount in excess of $30,000,000 (to the extent not covered by insurance (as to which a solvent and unaffiliated insurance company has acknowledged and not denied coverage)) is entered or filed against the Borrower or any Subsidiary (other than an Immaterial Subsidiary) or any of their respective assets and remains undischarged, unvacated, unbonded or unstayed for a period of sixty (60) consecutive days; or</w:t>
      </w:r>
    </w:p>
    <w:p>
      <w:pPr>
        <w:spacing w:after="0" w:line="171" w:lineRule="exact"/>
        <w:rPr>
          <w:rFonts w:ascii="Arial" w:cs="Arial" w:eastAsia="Arial" w:hAnsi="Arial"/>
          <w:sz w:val="17"/>
          <w:szCs w:val="17"/>
          <w:color w:val="auto"/>
        </w:rPr>
      </w:pPr>
    </w:p>
    <w:p>
      <w:pPr>
        <w:jc w:val="both"/>
        <w:ind w:firstLine="1142"/>
        <w:spacing w:after="0" w:line="263" w:lineRule="auto"/>
        <w:tabs>
          <w:tab w:leader="none" w:pos="1533"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Any order, judgment or decree is entered against the Borrower or any Subsidiary (other than an Immaterial Subsidiary) decreeing the involuntary dissolution or split up of such Credit Party and such order remains undischarged or unstayed for a period in excess of sixty (60) consecutive days; or</w:t>
      </w:r>
    </w:p>
    <w:p>
      <w:pPr>
        <w:spacing w:after="0" w:line="183" w:lineRule="exact"/>
        <w:rPr>
          <w:rFonts w:ascii="Arial" w:cs="Arial" w:eastAsia="Arial" w:hAnsi="Arial"/>
          <w:sz w:val="18"/>
          <w:szCs w:val="18"/>
          <w:color w:val="auto"/>
        </w:rPr>
      </w:pPr>
    </w:p>
    <w:p>
      <w:pPr>
        <w:jc w:val="both"/>
        <w:ind w:firstLine="1142"/>
        <w:spacing w:after="0" w:line="263" w:lineRule="auto"/>
        <w:tabs>
          <w:tab w:leader="none" w:pos="154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There occurs one or more ERISA Events, or, with respect to a Foreign Plan, a termination, withdrawal or noncompliance with applicable Law or plan terms, that individually or in the aggregate results in or could reasonably be expected to result in a Material Adverse Effect; or</w:t>
      </w:r>
    </w:p>
    <w:p>
      <w:pPr>
        <w:spacing w:after="0" w:line="183" w:lineRule="exact"/>
        <w:rPr>
          <w:rFonts w:ascii="Arial" w:cs="Arial" w:eastAsia="Arial" w:hAnsi="Arial"/>
          <w:sz w:val="18"/>
          <w:szCs w:val="18"/>
          <w:color w:val="auto"/>
        </w:rPr>
      </w:pPr>
    </w:p>
    <w:p>
      <w:pPr>
        <w:ind w:left="1540" w:hanging="398"/>
        <w:spacing w:after="0"/>
        <w:tabs>
          <w:tab w:leader="none" w:pos="15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Guaranties, Collateral Documents and other Credit Documents</w:t>
      </w:r>
      <w:r>
        <w:rPr>
          <w:rFonts w:ascii="Arial" w:cs="Arial" w:eastAsia="Arial" w:hAnsi="Arial"/>
          <w:sz w:val="18"/>
          <w:szCs w:val="18"/>
          <w:color w:val="auto"/>
        </w:rPr>
        <w:t>. At any time after the execution and delivery thereof:</w:t>
      </w:r>
    </w:p>
    <w:p>
      <w:pPr>
        <w:spacing w:after="0" w:line="225" w:lineRule="exact"/>
        <w:rPr>
          <w:rFonts w:ascii="Arial" w:cs="Arial" w:eastAsia="Arial" w:hAnsi="Arial"/>
          <w:sz w:val="18"/>
          <w:szCs w:val="18"/>
          <w:color w:val="auto"/>
        </w:rPr>
      </w:pPr>
    </w:p>
    <w:p>
      <w:pPr>
        <w:ind w:left="1140" w:firstLine="488"/>
        <w:spacing w:after="0" w:line="342" w:lineRule="auto"/>
        <w:tabs>
          <w:tab w:leader="none" w:pos="198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Guaranty for any reason, other than the satisfaction in full of all Guaranteed Obligations, ceases to be in full force and effect (other than in accordance with its terms) or is declared to be null and void or any Guarantor repudiates its obligations thereunder;</w:t>
      </w:r>
    </w:p>
    <w:p>
      <w:pPr>
        <w:spacing w:after="0" w:line="123" w:lineRule="exact"/>
        <w:rPr>
          <w:rFonts w:ascii="Arial" w:cs="Arial" w:eastAsia="Arial" w:hAnsi="Arial"/>
          <w:sz w:val="16"/>
          <w:szCs w:val="16"/>
          <w:color w:val="auto"/>
        </w:rPr>
      </w:pPr>
    </w:p>
    <w:p>
      <w:pPr>
        <w:jc w:val="both"/>
        <w:ind w:left="1140" w:firstLine="488"/>
        <w:spacing w:after="0" w:line="254" w:lineRule="auto"/>
        <w:tabs>
          <w:tab w:leader="none" w:pos="2046"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this Agreement or any Collateral Document ceases to be in full force and effect (other than by reason of a release of Collateral in accordance with the terms hereof or thereof or the satisfaction in full of the Obligations in accordance with the terms hereof) or is declared null and void, or the Collateral Agent does not have or ceases to have a valid and perfected Lien in a material portion of the Collateral purported to be covered by the Collateral Documents (except to the extent not required to be valid or perfected by the Credit Documents) with the priority required by the relevant Collateral Document, in each case, for any reason other than actions taken by or on behalf of the Collateral Agent or any Secured Party or the failure of the Collateral Agent or any Secured Party to take any action within its control and except as to Collateral consisting of real property to the extent that such losses are covered by a lender’s title insurance policy; or</w:t>
      </w:r>
    </w:p>
    <w:p>
      <w:pPr>
        <w:spacing w:after="0" w:line="191" w:lineRule="exact"/>
        <w:rPr>
          <w:rFonts w:ascii="Arial" w:cs="Arial" w:eastAsia="Arial" w:hAnsi="Arial"/>
          <w:sz w:val="18"/>
          <w:szCs w:val="18"/>
          <w:color w:val="auto"/>
        </w:rPr>
      </w:pPr>
    </w:p>
    <w:p>
      <w:pPr>
        <w:ind w:left="1140" w:firstLine="488"/>
        <w:spacing w:after="0" w:line="308" w:lineRule="auto"/>
        <w:tabs>
          <w:tab w:leader="none" w:pos="211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any Credit Party contests the validity or enforceability of any Credit Document in writing or denies in writing that it has any further liability, including with respect to future advances by the Lenders, under any Credit Document to which it is a party;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7" w:name="page148"/>
    <w:bookmarkEnd w:id="147"/>
    <w:p>
      <w:pPr>
        <w:ind w:left="1500" w:hanging="358"/>
        <w:spacing w:after="0"/>
        <w:tabs>
          <w:tab w:leader="none" w:pos="15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occurs.</w:t>
      </w:r>
    </w:p>
    <w:p>
      <w:pPr>
        <w:spacing w:after="0" w:line="22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Remedies upon an Event of Default</w:t>
      </w:r>
      <w:r>
        <w:rPr>
          <w:rFonts w:ascii="Arial" w:cs="Arial" w:eastAsia="Arial" w:hAnsi="Arial"/>
          <w:sz w:val="16"/>
          <w:szCs w:val="16"/>
          <w:color w:val="auto"/>
        </w:rPr>
        <w:t>.</w:t>
      </w:r>
    </w:p>
    <w:p>
      <w:pPr>
        <w:spacing w:after="0" w:line="229" w:lineRule="exact"/>
        <w:rPr>
          <w:sz w:val="20"/>
          <w:szCs w:val="20"/>
          <w:color w:val="auto"/>
        </w:rPr>
      </w:pPr>
    </w:p>
    <w:p>
      <w:pPr>
        <w:ind w:firstLine="1142"/>
        <w:spacing w:after="0" w:line="342" w:lineRule="auto"/>
        <w:tabs>
          <w:tab w:leader="none" w:pos="151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Upon the occurrence of any Event of Default (other than pursuant to Section 8.1(f), 8.1(g) or a Term C Loan Payment Event of Default or, solely with respect to the Borrower, Section 8.1(i)), at the request of the Required Lenders, upon notice to the Borrower by the Administrative Agent:</w:t>
      </w:r>
    </w:p>
    <w:p>
      <w:pPr>
        <w:spacing w:after="0" w:line="123" w:lineRule="exact"/>
        <w:rPr>
          <w:rFonts w:ascii="Arial" w:cs="Arial" w:eastAsia="Arial" w:hAnsi="Arial"/>
          <w:sz w:val="16"/>
          <w:szCs w:val="16"/>
          <w:color w:val="auto"/>
        </w:rPr>
      </w:pPr>
    </w:p>
    <w:p>
      <w:pPr>
        <w:ind w:left="1980" w:hanging="352"/>
        <w:spacing w:after="0"/>
        <w:tabs>
          <w:tab w:leader="none" w:pos="19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applicable Commitments will immediately terminate or be reduced (as specified by the Administrative Agent);</w:t>
      </w:r>
    </w:p>
    <w:p>
      <w:pPr>
        <w:spacing w:after="0" w:line="225" w:lineRule="exact"/>
        <w:rPr>
          <w:rFonts w:ascii="Arial" w:cs="Arial" w:eastAsia="Arial" w:hAnsi="Arial"/>
          <w:sz w:val="18"/>
          <w:szCs w:val="18"/>
          <w:color w:val="auto"/>
        </w:rPr>
      </w:pPr>
    </w:p>
    <w:p>
      <w:pPr>
        <w:jc w:val="both"/>
        <w:ind w:left="1140" w:firstLine="488"/>
        <w:spacing w:after="0" w:line="263" w:lineRule="auto"/>
        <w:tabs>
          <w:tab w:leader="none" w:pos="2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aggregate principal of all applicable Loans, all accrued and unpaid interest thereon and all fees and all other Obligations under this Agreement and the other Credit Documents will become due and payable immediately, without presentment, demand, protest or further notice of any kind, all of which are hereby expressly waived by each Credit Party; and</w:t>
      </w:r>
    </w:p>
    <w:p>
      <w:pPr>
        <w:spacing w:after="0" w:line="183" w:lineRule="exact"/>
        <w:rPr>
          <w:rFonts w:ascii="Arial" w:cs="Arial" w:eastAsia="Arial" w:hAnsi="Arial"/>
          <w:sz w:val="18"/>
          <w:szCs w:val="18"/>
          <w:color w:val="auto"/>
        </w:rPr>
      </w:pPr>
    </w:p>
    <w:p>
      <w:pPr>
        <w:ind w:left="1140" w:firstLine="488"/>
        <w:spacing w:after="0" w:line="277" w:lineRule="auto"/>
        <w:tabs>
          <w:tab w:leader="none" w:pos="214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Administrative Agent may, and may cause the Collateral Agent to, exercise any and all of its other rights and remedies under applicable law (including any applicable UCC) or at equity, hereunder and under the other Credit Documents.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upon an Event of Default pursuant Section 8.1(f), 8.1(g) or, solely with respect to the Borrower, 8.1(i), the Commitments of each Lender shall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terminate and the unpaid principal amount of all outstanding Loans and all interest and other amounts as aforesaid shall automatically become due and payable, in each case without further act of the Administrative Agent, the Collateral Agent or any Lender.</w:t>
      </w:r>
    </w:p>
    <w:p>
      <w:pPr>
        <w:spacing w:after="0" w:line="165" w:lineRule="exact"/>
        <w:rPr>
          <w:sz w:val="20"/>
          <w:szCs w:val="20"/>
          <w:color w:val="auto"/>
        </w:rPr>
      </w:pPr>
    </w:p>
    <w:p>
      <w:pPr>
        <w:jc w:val="both"/>
        <w:ind w:firstLine="1142"/>
        <w:spacing w:after="0" w:line="257" w:lineRule="auto"/>
        <w:tabs>
          <w:tab w:leader="none" w:pos="153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8.1(a) solely with respect to the repayment of the Term C Loans (if any) on the applicable Term Loan Maturity Date (a “</w:t>
      </w:r>
      <w:r>
        <w:rPr>
          <w:rFonts w:ascii="Arial" w:cs="Arial" w:eastAsia="Arial" w:hAnsi="Arial"/>
          <w:sz w:val="18"/>
          <w:szCs w:val="18"/>
          <w:b w:val="1"/>
          <w:bCs w:val="1"/>
          <w:color w:val="auto"/>
        </w:rPr>
        <w:t>Term C Loan Payment Event of Default</w:t>
      </w:r>
      <w:r>
        <w:rPr>
          <w:rFonts w:ascii="Arial" w:cs="Arial" w:eastAsia="Arial" w:hAnsi="Arial"/>
          <w:sz w:val="18"/>
          <w:szCs w:val="18"/>
          <w:color w:val="auto"/>
        </w:rPr>
        <w:t>”), (i) the Required Term C Loan Lenders may take any of the actions specified in Section 8.2(a) in respect of the Term C Loans and Term C Loan Commitments and (ii) the Required Lenders may take any of the actions specified in Section 8.2(a) in respect of any Term C Loan Payment Event of Default that has occurred and is continuing upon the occurrence of a Term C Loan Payment Cross Default.</w:t>
      </w:r>
    </w:p>
    <w:p>
      <w:pPr>
        <w:spacing w:after="0" w:line="184"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8.3 Application of Proceeds</w:t>
      </w:r>
      <w:r>
        <w:rPr>
          <w:rFonts w:ascii="Arial" w:cs="Arial" w:eastAsia="Arial" w:hAnsi="Arial"/>
          <w:sz w:val="17"/>
          <w:szCs w:val="17"/>
          <w:color w:val="auto"/>
        </w:rPr>
        <w:t>. Notwithstanding anything to the contrary contained in this Agreement or any other Credit Document,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occurrence and during the continuance of an Event of Default and after the acceleration of the principal amount of any of the Loans hereunder:</w:t>
      </w:r>
    </w:p>
    <w:p>
      <w:pPr>
        <w:spacing w:after="0" w:line="144" w:lineRule="exact"/>
        <w:rPr>
          <w:sz w:val="20"/>
          <w:szCs w:val="20"/>
          <w:color w:val="auto"/>
        </w:rPr>
      </w:pPr>
    </w:p>
    <w:p>
      <w:pPr>
        <w:jc w:val="both"/>
        <w:ind w:firstLine="1142"/>
        <w:spacing w:after="0" w:line="275" w:lineRule="auto"/>
        <w:tabs>
          <w:tab w:leader="none" w:pos="151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Credit Party irrevocably waives the right to direct the application of any and all payments at any time or times thereafter received by the Administrative Agent or the Collateral Agent from or on behalf of any Credit Party, and, as between each Credit Party on the one hand and the Administrative Agent, the Collateral Agent and the Lenders on the other, the Administrative Agent will have the continuing and exclusive right to apply and to reapply any and all payments received against the Obligations in such manner as the Administrative Agent may deem advisable and consistent with this Agreement notwithstanding any previous application by Administrative Agent; and</w:t>
      </w:r>
    </w:p>
    <w:p>
      <w:pPr>
        <w:spacing w:after="0" w:line="176" w:lineRule="exact"/>
        <w:rPr>
          <w:rFonts w:ascii="Arial" w:cs="Arial" w:eastAsia="Arial" w:hAnsi="Arial"/>
          <w:sz w:val="17"/>
          <w:szCs w:val="17"/>
          <w:color w:val="auto"/>
        </w:rPr>
      </w:pPr>
    </w:p>
    <w:p>
      <w:pPr>
        <w:ind w:firstLine="1142"/>
        <w:spacing w:after="0" w:line="277" w:lineRule="auto"/>
        <w:tabs>
          <w:tab w:leader="none" w:pos="16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subject to Section 2.15(d), any and all payments received by any Secured Party (other than through the Administrative Agent), including proceeds of Collateral, will be applied:</w:t>
      </w:r>
    </w:p>
    <w:p>
      <w:pPr>
        <w:spacing w:after="0" w:line="170" w:lineRule="exact"/>
        <w:rPr>
          <w:rFonts w:ascii="Arial" w:cs="Arial" w:eastAsia="Arial" w:hAnsi="Arial"/>
          <w:sz w:val="18"/>
          <w:szCs w:val="18"/>
          <w:color w:val="auto"/>
        </w:rPr>
      </w:pPr>
    </w:p>
    <w:p>
      <w:pPr>
        <w:ind w:left="1140" w:firstLine="488"/>
        <w:spacing w:after="0" w:line="277" w:lineRule="auto"/>
        <w:tabs>
          <w:tab w:leader="none" w:pos="1993"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all fees, costs, indemnities, liabilities, obligations and expenses incurred by or owing to the Administrative Agent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Agent with respect to this Agreement, the other Credit Documents or the Collateral;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ind w:left="1140" w:firstLine="488"/>
        <w:spacing w:after="0" w:line="277" w:lineRule="auto"/>
        <w:tabs>
          <w:tab w:leader="none" w:pos="2059"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all fees, costs, indemnities, liabilities, obligations and expenses incurred by or owing to any Lender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the other Credit Documents or the Collateral;</w:t>
      </w:r>
    </w:p>
    <w:p>
      <w:pPr>
        <w:spacing w:after="0" w:line="170" w:lineRule="exact"/>
        <w:rPr>
          <w:rFonts w:ascii="Arial" w:cs="Arial" w:eastAsia="Arial" w:hAnsi="Arial"/>
          <w:sz w:val="18"/>
          <w:szCs w:val="18"/>
          <w:color w:val="auto"/>
        </w:rPr>
      </w:pPr>
    </w:p>
    <w:p>
      <w:pPr>
        <w:ind w:left="1140" w:firstLine="488"/>
        <w:spacing w:after="0" w:line="277" w:lineRule="auto"/>
        <w:tabs>
          <w:tab w:leader="none" w:pos="2088"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accrued and unpaid interest on the Obligations (including any interest which, but for the provisions of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Code, would have accrued on such amounts);</w:t>
      </w:r>
    </w:p>
    <w:p>
      <w:pPr>
        <w:spacing w:after="0" w:line="170" w:lineRule="exact"/>
        <w:rPr>
          <w:rFonts w:ascii="Arial" w:cs="Arial" w:eastAsia="Arial" w:hAnsi="Arial"/>
          <w:sz w:val="18"/>
          <w:szCs w:val="18"/>
          <w:color w:val="auto"/>
        </w:rPr>
      </w:pPr>
    </w:p>
    <w:p>
      <w:pPr>
        <w:jc w:val="both"/>
        <w:ind w:left="1140" w:firstLine="488"/>
        <w:spacing w:after="0" w:line="263" w:lineRule="auto"/>
        <w:tabs>
          <w:tab w:leader="none" w:pos="2085"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(A) to the principal amount of the Obligations, (B) to any Obligations under any Secured Rate Contract and (C) to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any Bank Product Agreement for which the Administrative Agent has received written notice of such Obligations as being outstanding;</w:t>
      </w:r>
    </w:p>
    <w:p>
      <w:pPr>
        <w:spacing w:after="0" w:line="183" w:lineRule="exact"/>
        <w:rPr>
          <w:rFonts w:ascii="Arial" w:cs="Arial" w:eastAsia="Arial" w:hAnsi="Arial"/>
          <w:sz w:val="18"/>
          <w:szCs w:val="18"/>
          <w:color w:val="auto"/>
        </w:rPr>
      </w:pPr>
    </w:p>
    <w:p>
      <w:pPr>
        <w:jc w:val="both"/>
        <w:ind w:left="1140" w:firstLine="488"/>
        <w:spacing w:after="0" w:line="286" w:lineRule="auto"/>
        <w:tabs>
          <w:tab w:leader="none" w:pos="2036"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fifth</w:t>
      </w:r>
      <w:r>
        <w:rPr>
          <w:rFonts w:ascii="Arial" w:cs="Arial" w:eastAsia="Arial" w:hAnsi="Arial"/>
          <w:sz w:val="17"/>
          <w:szCs w:val="17"/>
          <w:color w:val="auto"/>
        </w:rPr>
        <w:t>, to any other Indebtedness or obligations of any Credit Party owing to the Administrative Agent, the Collateral Agent, any</w:t>
      </w:r>
      <w:r>
        <w:rPr>
          <w:rFonts w:ascii="Arial" w:cs="Arial" w:eastAsia="Arial" w:hAnsi="Arial"/>
          <w:sz w:val="17"/>
          <w:szCs w:val="17"/>
          <w:i w:val="1"/>
          <w:iCs w:val="1"/>
          <w:color w:val="auto"/>
        </w:rPr>
        <w:t xml:space="preserve"> </w:t>
      </w:r>
      <w:r>
        <w:rPr>
          <w:rFonts w:ascii="Arial" w:cs="Arial" w:eastAsia="Arial" w:hAnsi="Arial"/>
          <w:sz w:val="17"/>
          <w:szCs w:val="17"/>
          <w:color w:val="auto"/>
        </w:rPr>
        <w:t>Lender or any other Secured Party under the Credit Documents or any Bank Product Agreement for which the Administrative Agent has received written notice of such Obligations as being outstanding under such Bank Product Agreement; and</w:t>
      </w:r>
    </w:p>
    <w:p>
      <w:pPr>
        <w:spacing w:after="0" w:line="165" w:lineRule="exact"/>
        <w:rPr>
          <w:rFonts w:ascii="Arial" w:cs="Arial" w:eastAsia="Arial" w:hAnsi="Arial"/>
          <w:sz w:val="17"/>
          <w:szCs w:val="17"/>
          <w:color w:val="auto"/>
        </w:rPr>
      </w:pPr>
    </w:p>
    <w:p>
      <w:pPr>
        <w:ind w:left="2080" w:hanging="452"/>
        <w:spacing w:after="0"/>
        <w:tabs>
          <w:tab w:leader="none" w:pos="208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sixth</w:t>
      </w:r>
      <w:r>
        <w:rPr>
          <w:rFonts w:ascii="Arial" w:cs="Arial" w:eastAsia="Arial" w:hAnsi="Arial"/>
          <w:sz w:val="16"/>
          <w:szCs w:val="16"/>
          <w:color w:val="auto"/>
        </w:rPr>
        <w:t>, to the Borrower or to whomever may be lawfully entitled to receive such balance or as a court of competent jurisdiction</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may direct.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carrying out the foregoing, (a) amounts received will be applied in the numerical order provided until exhausted prior to the application to the next succeeding category and (b) each of the Persons entitled to receive a payment in any particular category will receive an amount equal 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amounts available to be applied pursuant thereto for such category.</w:t>
      </w:r>
    </w:p>
    <w:p>
      <w:pPr>
        <w:spacing w:after="0" w:line="18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AGENTS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Appointment and Duties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6" w:lineRule="auto"/>
        <w:tabs>
          <w:tab w:leader="none" w:pos="1616"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Appointment of Agent</w:t>
      </w:r>
      <w:r>
        <w:rPr>
          <w:rFonts w:ascii="Arial" w:cs="Arial" w:eastAsia="Arial" w:hAnsi="Arial"/>
          <w:sz w:val="16"/>
          <w:szCs w:val="16"/>
          <w:color w:val="auto"/>
        </w:rPr>
        <w:t>. Each Lender hereby appoints DBNY (together with any successor Agent pursuant to Section 9.9) as the Administrative Agent and the Collateral Agent hereunder and authorizes each such Agent to (i) execute and deliver the Credit Documents and accept delivery thereof on its behalf from any Credit Party, (ii) take such action on its behalf and to exercise all rights, powers and remedies and perform the duties as are expressly delegated to such Agent under such Credit Documents and (iii) exercise such powers as are reasonably incidental thereto. In furtherance of the foregoing, each of the Lenders (including in its capacity as a potential Secured Swap Provider or a Bank Product Provider) hereby irrevocably appoints and authorizes the Collateral Agent to act as the agent of (and to hold any security interest created by the Collateral Documents for and on behalf of or in trust for) such Lender for purposes of acquiring, holding and enforcing any and all Liens on Collateral granted by any of the Credit Parties to secure any of the Obligations, together with such powers and discretion as are reasonably incidental thereto. In this connection, the Collateral Agent (and any co-agents, sub-agents and attorneys-in-fact appointed by the Collateral Agent pursuant to Section 9.4 for purposes of holding or enforcing any Lien on the Collateral (or any portion thereof) granted under the Collateral Documents, or for exercising any rights and remedies thereunder at the direction of the Collateral Agent), will be entitled to the benefits of all provisions of this Section 9 (including Section 9.8(b), as though such co-agents, sub-agents and attorneys-in-fact were the “collateral agent” under the Credit Documents) as if set forth in full herein with respect thereto. The provisions of this Section 9 are solely for the benefit of the Agents and the Lenders and no Credit Party will have any rights as a third party beneficiary of any of the provisions thereof. In performing its functions and duties hereunder, each Agent will act solely as an agent of the Lenders and does not assume and will not be deemed to have assumed any obligation towards or relationship of agency or trust with or for the Borrower or any Subsidiary.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9" w:name="page150"/>
    <w:bookmarkEnd w:id="149"/>
    <w:p>
      <w:pPr>
        <w:jc w:val="both"/>
        <w:ind w:firstLine="1142"/>
        <w:spacing w:after="0" w:line="285" w:lineRule="auto"/>
        <w:tabs>
          <w:tab w:leader="none" w:pos="155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Duties as Collateral and Disbursing Agent</w:t>
      </w:r>
      <w:r>
        <w:rPr>
          <w:rFonts w:ascii="Arial" w:cs="Arial" w:eastAsia="Arial" w:hAnsi="Arial"/>
          <w:sz w:val="16"/>
          <w:szCs w:val="16"/>
          <w:color w:val="auto"/>
        </w:rPr>
        <w:t xml:space="preserve">. Without limiting the generality of clause (a) above, each of the Administrative Agent and the Collateral Agent, as applicable, will each have the right and authority (to the exclusion of the Lenders), and is hereby authorized, to (i) act as the disbursing and collecting agent for the Lenders with respect to all payments and collections arising in connection with the Credit Documents (including in any proceeding described in Section 8.1(f), (g) or (i) or any other bankruptcy, insolvency or similar proceeding), and each Person making any payment in connection with any Credit Document to any Secured Party is hereby authorized to make such payment to such Agent, (ii) file and prove claims and file other documents necessary or desirable to allow the claims of the Secured Parties with respect to any Obligation in any proceeding described in Section 8.1(f), (g) or (i) or any other bankruptcy, insolvency or similar proceeding (but not to vote, consent or otherwise act on behalf of such Person), (iii) act as collateral agent for each Secured Party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Credit Documents, (vi) except as may be otherwise specified in any Credit Document, exercise all remedies given to such Agent and the other Secured Parties with respect to the Credit Parties and/or the Collateral, whether under the Credit Documents, applicable Law or otherwise and (vii) execute any amendment, consent or waiver under the Credit Documents on behalf of any Lender that has consented in writing to such amendment, consent or waiver;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such Agent hereby appoints, authorizes and directs each Lender to act as collateral sub-agent for such Agent and the Lenders for purposes of the perfection of all Liens with respect to the Collateral, including any deposit account maintained by a Credit Party with, and cash and Cash Equivalents held by, such Lender, and may further authorize and direct the Lenders to take further actions as collateral sub-agents for purposes of enforcing such Liens or otherwise to transfer the Collateral subject thereto to such Agent, and each Lender hereby agrees to take such further actions to the extent, and only to the extent, so authorized and directed.</w:t>
      </w:r>
    </w:p>
    <w:p>
      <w:pPr>
        <w:spacing w:after="0" w:line="173" w:lineRule="exact"/>
        <w:rPr>
          <w:rFonts w:ascii="Arial" w:cs="Arial" w:eastAsia="Arial" w:hAnsi="Arial"/>
          <w:sz w:val="16"/>
          <w:szCs w:val="16"/>
          <w:color w:val="auto"/>
        </w:rPr>
      </w:pPr>
    </w:p>
    <w:p>
      <w:pPr>
        <w:jc w:val="both"/>
        <w:ind w:firstLine="1142"/>
        <w:spacing w:after="0" w:line="269" w:lineRule="auto"/>
        <w:tabs>
          <w:tab w:leader="none" w:pos="1538"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Limited Duties</w:t>
      </w:r>
      <w:r>
        <w:rPr>
          <w:rFonts w:ascii="Arial" w:cs="Arial" w:eastAsia="Arial" w:hAnsi="Arial"/>
          <w:sz w:val="17"/>
          <w:szCs w:val="17"/>
          <w:color w:val="auto"/>
        </w:rPr>
        <w:t>. Under the Credit Documents, each of the Administrative Agent and the Collateral Agent (i) is acting solely on behalf of the Secured Parties (except to the limited extent provided in Section 2.7(b) with respect to the Register), with duties that are entirely administrative in nature, notwithstanding the use of the defined terms “Administrative Agent,” “Collateral Agent,” “Agent,” the terms “agent” and “collateral agent” and similar terms in any Credit Document to refer to such Agent, which terms are used for title purposes only, (ii) is not assuming any obligation under any Credit Document other than as expressly set forth therein or any role as agent, fiduciary or trustee of or for any Lender or other Person and (iii) will have no implied functions, responsibilities, duties, obligations or other liabilities under any Credit Document, and each Secured Party, by accepting the benefits of the Credit Documents, hereby waives and agrees not to assert any claim against such Agent based on the roles, duties and legal relationships expressly disclaimed in clauses (i) through (iii) above. Without limiting the generality of the foregoing, the use of the term “agent” in this Agreement with reference to the Administrative Agent or the Collateral Agent is not intended to connote any fiduciary duty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0" w:name="page151"/>
    <w:bookmarkEnd w:id="150"/>
    <w:p>
      <w:pPr>
        <w:jc w:val="both"/>
        <w:ind w:firstLine="648"/>
        <w:spacing w:after="0" w:line="255" w:lineRule="auto"/>
        <w:rPr>
          <w:sz w:val="20"/>
          <w:szCs w:val="20"/>
          <w:color w:val="auto"/>
        </w:rPr>
      </w:pPr>
      <w:r>
        <w:rPr>
          <w:rFonts w:ascii="Arial" w:cs="Arial" w:eastAsia="Arial" w:hAnsi="Arial"/>
          <w:sz w:val="18"/>
          <w:szCs w:val="18"/>
          <w:b w:val="1"/>
          <w:bCs w:val="1"/>
          <w:color w:val="auto"/>
        </w:rPr>
        <w:t>9.2 Binding Effect</w:t>
      </w:r>
      <w:r>
        <w:rPr>
          <w:rFonts w:ascii="Arial" w:cs="Arial" w:eastAsia="Arial" w:hAnsi="Arial"/>
          <w:sz w:val="18"/>
          <w:szCs w:val="18"/>
          <w:color w:val="auto"/>
        </w:rPr>
        <w:t>. Each Secured Party, by accepting the benefits of the Credit Documents, agrees that (a) any action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the Collateral Agent, the Required Lenders, or the Required Term C Loan Lenders (or, if expressly required hereby, a greater proportion of the Lenders) in accordance with the provisions of the Credit Documents, (b) any action taken by the Administrative Agent or the Collateral Agent in reliance upon the instructions of Required Lenders, of Required Term C Loan Lenders (or, where so required, such greater proportion) and (c) the exercise by the Administrative Agent, the Collateral Agent, the Required Lenders or the Required Term C Loan Lenders (or, where so required, such greater proportion) of the powers set forth herein or therein, together with such other powers as are reasonably incidental thereto, will be authorized and binding upon all of the Secured Parties.</w:t>
      </w:r>
    </w:p>
    <w:p>
      <w:pPr>
        <w:spacing w:after="0" w:line="1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Use of Discretion</w:t>
      </w:r>
      <w:r>
        <w:rPr>
          <w:rFonts w:ascii="Arial" w:cs="Arial" w:eastAsia="Arial" w:hAnsi="Arial"/>
          <w:sz w:val="15"/>
          <w:szCs w:val="15"/>
          <w:color w:val="auto"/>
        </w:rPr>
        <w:t>.</w:t>
      </w:r>
    </w:p>
    <w:p>
      <w:pPr>
        <w:spacing w:after="0" w:line="229" w:lineRule="exact"/>
        <w:rPr>
          <w:sz w:val="20"/>
          <w:szCs w:val="20"/>
          <w:color w:val="auto"/>
        </w:rPr>
      </w:pPr>
    </w:p>
    <w:p>
      <w:pPr>
        <w:jc w:val="both"/>
        <w:ind w:firstLine="1142"/>
        <w:spacing w:after="0" w:line="289" w:lineRule="auto"/>
        <w:tabs>
          <w:tab w:leader="none" w:pos="1543"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 Action without Instructions</w:t>
      </w:r>
      <w:r>
        <w:rPr>
          <w:rFonts w:ascii="Arial" w:cs="Arial" w:eastAsia="Arial" w:hAnsi="Arial"/>
          <w:sz w:val="16"/>
          <w:szCs w:val="16"/>
          <w:color w:val="auto"/>
        </w:rPr>
        <w:t>. Neither the Administrative Agent nor the Collateral Agent will be required to exercise any discretion or take, or to omit to take, any action, including with respect to enforcement or collection, except any action it is required to take or omit to take (i) under any Credit Document or (ii) pursuant to instructions from the Required Lenders or the Required Term C Loan Lenders (or, where expressly required by the terms of this Agreement, a greater proportion of the Lenders).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Borrower and the Subsidiaries), accountants, experts and other professional advisors selected by it. No Lender shall have any right of action whatsoever against any Agent as a result of such Agent acting or (where so instructed) refraining from acting hereunder or any of the other Credit Documents in accordance with the instructions of the Required Lenders or the Required Term C Loan Lenders (or, where expressly required by the terms of this Agreement, a greater proportion of the Lenders).</w:t>
      </w:r>
    </w:p>
    <w:p>
      <w:pPr>
        <w:spacing w:after="0" w:line="166" w:lineRule="exact"/>
        <w:rPr>
          <w:rFonts w:ascii="Arial" w:cs="Arial" w:eastAsia="Arial" w:hAnsi="Arial"/>
          <w:sz w:val="16"/>
          <w:szCs w:val="16"/>
          <w:color w:val="auto"/>
        </w:rPr>
      </w:pPr>
    </w:p>
    <w:p>
      <w:pPr>
        <w:jc w:val="both"/>
        <w:ind w:firstLine="1142"/>
        <w:spacing w:after="0" w:line="270" w:lineRule="auto"/>
        <w:tabs>
          <w:tab w:leader="none" w:pos="1535"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Right Not to Follow Certain Instructions</w:t>
      </w:r>
      <w:r>
        <w:rPr>
          <w:rFonts w:ascii="Arial" w:cs="Arial" w:eastAsia="Arial" w:hAnsi="Arial"/>
          <w:sz w:val="17"/>
          <w:szCs w:val="17"/>
          <w:color w:val="auto"/>
        </w:rPr>
        <w:t>. Notwithstanding clause (a) above, neither the Administrative Agent nor the Collateral Agent will be required to take, or to omit to take, any action in connection herewith or any of the other Credit Documents or from the exercise of any power, discretion or authority vested in it hereunder or thereunder (i) unless, upon demand, such Agent receives an indemnification satisfactory to it from the Lenders (or, to the extent applicable and acceptable to such Agent, any other Person) against all Liabilities that, by reason of such action or omission, may be imposed on, incurred by or asserted against such Agent or any Related Person thereof or (ii) that is, in the opinion of such Agent or its counsel, may expose such Agent to liability or that is contrary to any Credit Document or applicable Law including, for the avoidance of doubt any action that may be in violation of the automatic stay under any Bankruptcy Proceeding or under the Bankruptcy Code, and no Agent will have any duty to disclose or will be liable for the failure to disclose, any information relating to any Credit Party or any of its Affiliates that is communicated to or obtained by the Person serving as such Agent or any of its Affiliates in any capacity.</w:t>
      </w:r>
    </w:p>
    <w:p>
      <w:pPr>
        <w:spacing w:after="0" w:line="180" w:lineRule="exact"/>
        <w:rPr>
          <w:rFonts w:ascii="Arial" w:cs="Arial" w:eastAsia="Arial" w:hAnsi="Arial"/>
          <w:sz w:val="17"/>
          <w:szCs w:val="17"/>
          <w:color w:val="auto"/>
        </w:rPr>
      </w:pPr>
    </w:p>
    <w:p>
      <w:pPr>
        <w:jc w:val="both"/>
        <w:ind w:firstLine="1142"/>
        <w:spacing w:after="0" w:line="286" w:lineRule="auto"/>
        <w:tabs>
          <w:tab w:leader="none" w:pos="1568"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Exclusive Right to Enforce Rights and Remedies</w:t>
      </w:r>
      <w:r>
        <w:rPr>
          <w:rFonts w:ascii="Arial" w:cs="Arial" w:eastAsia="Arial" w:hAnsi="Arial"/>
          <w:sz w:val="16"/>
          <w:szCs w:val="16"/>
          <w:color w:val="auto"/>
        </w:rPr>
        <w:t xml:space="preserve">. Notwithstanding anything to the contrary contained herein or in any other Credit Document, the authority to enforce rights and remedies hereunder and under the other Credit Documents against the Credit Parties or any of them will be vested exclusively in, and all actions and proceedings in equity or at law in connection with such enforcement will be instituted and maintained exclusively by, the Administrative Agent and the Collateral Agent in accordance with the Credit Documents for the benefit of all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will not prohibit (i) each of the Administrative Agent and the Collateral Agent from exercising on its own behalf the rights and remedies that inure to its benefit (solely in its capacity as such Agent) hereunder and under the other Credit Documents, (ii) any Lender from exercising setoff rights in accordance with Section 10.4 or (iii) any Lender from filing proofs of claim or appearing and filing pleadings on its own behalf during the pendency of a proceeding relative to any Credit Party under any bankruptcy or other debtor relief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is no Person acting as the Administrative Agent hereunder and under the other Credit Documents, then (A) the Required Lenders will have the rights otherwise ascribed to the Administrative Agent pursuant to Section 9.1, (B) in addition to the matters set forth in clauses (ii) and (iii) of the preceding proviso and subject to Section 10.4, any Lender may, with the consent of the Required Lenders, enforce any rights and remedies available to it and as authorized by the Required Lenders, and (C) notwithstanding the foregoing clauses (A) and (B), only the Required Term C Loan Lenders may take any action with respect to a Term C Loan Payment Event of Default pursuant to Section 8.2(b) until a Term C Loan Payment Cross Default has occurred.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firstLine="648"/>
        <w:spacing w:after="0" w:line="261" w:lineRule="auto"/>
        <w:rPr>
          <w:sz w:val="20"/>
          <w:szCs w:val="20"/>
          <w:color w:val="auto"/>
        </w:rPr>
      </w:pPr>
      <w:r>
        <w:rPr>
          <w:rFonts w:ascii="Arial" w:cs="Arial" w:eastAsia="Arial" w:hAnsi="Arial"/>
          <w:sz w:val="18"/>
          <w:szCs w:val="18"/>
          <w:b w:val="1"/>
          <w:bCs w:val="1"/>
          <w:color w:val="auto"/>
        </w:rPr>
        <w:t>9.4 Delegation of Rights and Duties</w:t>
      </w:r>
      <w:r>
        <w:rPr>
          <w:rFonts w:ascii="Arial" w:cs="Arial" w:eastAsia="Arial" w:hAnsi="Arial"/>
          <w:sz w:val="18"/>
          <w:szCs w:val="18"/>
          <w:color w:val="auto"/>
        </w:rPr>
        <w:t>. Each of the Administrative Agent and the Collateral Agent may, upon any term or condition it specifies,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 or exercise any of its rights, powers and remedies under, and delegate or perform any of its duties or any other action with respect to, any Credit Document by or through any trustee, co-agent, employee, attorney-in-fact and any other Person (including any Secured Party). Any such Person will benefit from this Section 9 to the extent provided by such Agent.</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Reliance and Liability</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55" w:lineRule="auto"/>
        <w:tabs>
          <w:tab w:leader="none" w:pos="15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the Administrative Agent and the Collateral Agent may, without incurring any liability hereunder, (i) treat the payee of any Term Loan Note as its holder until such Term Loan Note has been assigned in accordance with Section 10.6, (ii) rely on the Register to the extent set forth in Section 10.6, (iii) consult with any of its Related Persons and, whether or not selected by it, any other advisors, accountants and other experts (including advisors to, and accountants and experts engaged by, any Credit Party) and (iv) rely and act upon any document and information (including those transmitted by Electronic Transmission) and any telephone message or conversation, in each case believed by it to be genuine and transmitted, signed or otherwise authenticated by the appropriate parties.</w:t>
      </w:r>
    </w:p>
    <w:p>
      <w:pPr>
        <w:spacing w:after="0" w:line="192" w:lineRule="exact"/>
        <w:rPr>
          <w:rFonts w:ascii="Arial" w:cs="Arial" w:eastAsia="Arial" w:hAnsi="Arial"/>
          <w:sz w:val="18"/>
          <w:szCs w:val="18"/>
          <w:color w:val="auto"/>
        </w:rPr>
      </w:pPr>
    </w:p>
    <w:p>
      <w:pPr>
        <w:jc w:val="both"/>
        <w:ind w:firstLine="1142"/>
        <w:spacing w:after="0" w:line="273" w:lineRule="auto"/>
        <w:tabs>
          <w:tab w:leader="none" w:pos="159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None of the Administrative Agent, the Collateral Agent and their respective Related Persons will be liable for any action taken or omitted to be taken by any of them under or in connection with any Credit Document, and each Secured Party, the Borrower and each other Credit Party hereby waive and will not assert (and the Borrower will cause each other Credit Party to waive and agree not to assert) any right, claim or cause of action based thereon, except to the extent of liabilities resulting primarily from the gross negligence or willful misconduct of such Agent or, as the case may be, such Related Person (each as determined in a final, non-appealable judgment by a court of competent jurisdiction) in connection with the duties expressly set forth herein. Without limiting the foregoing, neither the Administrative Agent nor the Collateral Agent:</w:t>
      </w:r>
    </w:p>
    <w:p>
      <w:pPr>
        <w:spacing w:after="0" w:line="177" w:lineRule="exact"/>
        <w:rPr>
          <w:rFonts w:ascii="Arial" w:cs="Arial" w:eastAsia="Arial" w:hAnsi="Arial"/>
          <w:sz w:val="17"/>
          <w:szCs w:val="17"/>
          <w:color w:val="auto"/>
        </w:rPr>
      </w:pPr>
    </w:p>
    <w:p>
      <w:pPr>
        <w:jc w:val="both"/>
        <w:ind w:left="1140" w:firstLine="488"/>
        <w:spacing w:after="0" w:line="263" w:lineRule="auto"/>
        <w:tabs>
          <w:tab w:leader="none" w:pos="198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will be responsible or otherwise incur liability for any action or omission taken in reliance upon the instructions of the Required Lenders or the Required Term C Loan Lenders or for the actions or omissions of any of its Related Persons selected with reasonable care (other than employees, officers and directors of such Agent, when acting on behalf of such Agent);</w:t>
      </w:r>
    </w:p>
    <w:p>
      <w:pPr>
        <w:spacing w:after="0" w:line="183" w:lineRule="exact"/>
        <w:rPr>
          <w:rFonts w:ascii="Arial" w:cs="Arial" w:eastAsia="Arial" w:hAnsi="Arial"/>
          <w:sz w:val="18"/>
          <w:szCs w:val="18"/>
          <w:color w:val="auto"/>
        </w:rPr>
      </w:pPr>
    </w:p>
    <w:p>
      <w:pPr>
        <w:jc w:val="both"/>
        <w:ind w:left="1140" w:firstLine="488"/>
        <w:spacing w:after="0" w:line="263" w:lineRule="auto"/>
        <w:tabs>
          <w:tab w:leader="none" w:pos="216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will be responsible to any Lender or other Person for the due execution, legality, validity, enforceability, effectiveness, genuineness, sufficiency or value of, or the attachment, perfection or priority of any Lien created or purported to be created under or in connection with, any Credit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jc w:val="both"/>
        <w:ind w:left="1140" w:firstLine="488"/>
        <w:spacing w:after="0" w:line="286" w:lineRule="auto"/>
        <w:tabs>
          <w:tab w:leader="none" w:pos="210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makes any warranty or representation, or will be responsible, to any Lender or other Person for (A) any statement, document, information, including any written or oral statements or in any financial or other statements, instruments, reports or certificates or any other documents furnished or made by any Agent to Lenders or by or on behalf of any Credit Party to any Agent or any Lender in connection with the Credit Documents and the transactions contemplated thereby or for the financial condition or business affairs of any Credit Party or any other Person liable for the payment of any Obligations, (B) any representation or warranty made or furnished by or on behalf of any Credit Party or any Related Person of any Credit Party in connection herewith or with any Credit Document or any transaction contemplated herein or therein or any other document, certificate or information with respect to any Credit Party, whether or not transmitted or (except for documents expressly required under any Credit Document to be transmitted to the Lenders by such party) omitted to be transmitted by such Agent, including as to completeness, accuracy, scope or adequacy thereof, or for the scope, nature or results of any due diligence performed by such Agent in connection with the Credit Documents, (C) the performance or observance of any of the covenants, agreements or other terms or conditions set forth in any Credit Document or the occurrence of any Default, (D) the execution, effectiveness, genuineness, validity, enforceability, collectability, sufficiency or genuineness hereof or of any Credit Document or any other agreement, instrument or document or (E) the satisfaction of any condition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elsewhere in any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each of the items set forth in clauses (A) through (E) hereof, each Lender hereby waives and agrees not to assert any right, claim or cause of action it might have against the Administrative Agent or the Collateral Agent based thereon; and</w:t>
      </w:r>
    </w:p>
    <w:p>
      <w:pPr>
        <w:spacing w:after="0" w:line="167" w:lineRule="exact"/>
        <w:rPr>
          <w:rFonts w:ascii="Arial" w:cs="Arial" w:eastAsia="Arial" w:hAnsi="Arial"/>
          <w:sz w:val="16"/>
          <w:szCs w:val="16"/>
          <w:color w:val="auto"/>
        </w:rPr>
      </w:pPr>
    </w:p>
    <w:p>
      <w:pPr>
        <w:jc w:val="both"/>
        <w:ind w:left="1140" w:firstLine="488"/>
        <w:spacing w:after="0" w:line="296" w:lineRule="auto"/>
        <w:tabs>
          <w:tab w:leader="none" w:pos="211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will have any duty to ascertain or to inquire as to the performance or observance of any provision of any Credit Document, whether any condition set forth in any Credit Document is satisfied or waived, as to the financial condition of any Credit Party or as to the occurrence or continuation or possible occurrence or continuation of any Default or Event of Default or will be deemed to have notice or knowledge of such occurrence or continuation unless it has received a notice from the Borrower or any Lender describing such Default or Event of Default clearly labeled “notice of default” (in which case such Agent will promptly give notice of such receipt to all Lenders).</w:t>
      </w:r>
    </w:p>
    <w:p>
      <w:pPr>
        <w:spacing w:after="0" w:line="161" w:lineRule="exact"/>
        <w:rPr>
          <w:rFonts w:ascii="Arial" w:cs="Arial" w:eastAsia="Arial" w:hAnsi="Arial"/>
          <w:sz w:val="16"/>
          <w:szCs w:val="16"/>
          <w:color w:val="auto"/>
        </w:rPr>
      </w:pPr>
    </w:p>
    <w:p>
      <w:pPr>
        <w:jc w:val="both"/>
        <w:ind w:firstLine="1142"/>
        <w:spacing w:after="0" w:line="279" w:lineRule="auto"/>
        <w:tabs>
          <w:tab w:leader="none" w:pos="153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party to this Agreement acknowledges and agrees that the Administrative Agent may from time to time use one or more outside service providers for the tracking of all Uniform Commercial Code financing statements (and/or other collateral related filings and registrations from time to time) required to be filed or recorded pursuant to the Credit Documents and the notification to the Administrative Agent, of, among other things, the upcoming lapse or expiration thereof. No Agent will be liable for any action taken or not taken by any such service provider.</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9.6 Agent Individually</w:t>
      </w:r>
      <w:r>
        <w:rPr>
          <w:rFonts w:ascii="Arial" w:cs="Arial" w:eastAsia="Arial" w:hAnsi="Arial"/>
          <w:sz w:val="18"/>
          <w:szCs w:val="18"/>
          <w:color w:val="auto"/>
        </w:rPr>
        <w:t>. Each of the Administrative Agent and the Collateral Agent and their Affiliates may make loans and other extensions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to, acquire Capital Stock of, engage in any kind of business, including but not limited to any type of financial advisory business, with any Credit Party or Affiliate thereof as though it were not acting as an Agent and may receive separate fees and other payments therefor. To the extent the Administrative Agent, the Collateral Agent or any of their respective Affiliates makes any Loan or otherwise becomes a Lender hereunder, it will have and may exercise the same rights and powers hereunder and will be subject to the same obligations and liabilities as any other Lender and the terms “Lender,” “Required Lenders,” “Required Term C Loan Lenders” and any similar terms will, except where otherwise expressly provided in any Credit Document, include such Agent or such Affiliate, as the case may be, in its individual capacity as Lender or as one of the Required Lenders or Required Term C Loan Lenders,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3" w:name="page154"/>
    <w:bookmarkEnd w:id="153"/>
    <w:p>
      <w:pPr>
        <w:ind w:left="660"/>
        <w:spacing w:after="0"/>
        <w:tabs>
          <w:tab w:leader="none" w:pos="10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Lender Credit Decision</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69" w:lineRule="auto"/>
        <w:tabs>
          <w:tab w:leader="none" w:pos="154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Lender acknowledges that it will, independently and without reliance upon the Administrative Agent, the Collateral Agent, any Lender or any of their Related Persons or upon any document (including any offering and disclosure materials in connection with the syndication of the Loans) solely or in part because such document was transmitted by such Agent or any of its Related Persons, conduct its own independent investigation of the financial condition and affairs of each Credit Party and make and continue to make its own credit decisions in connection with entering into, and taking or not taking any action under, any Credit Document or with respect to any transaction contemplated in any Credit Document, in each case based on such documents and information as it will deem appropriate. Each Lender further represents and warrants that it has reviewed the confidential information memorandum and each other document made available to it on the Platform in connection with this Agreement and has acknowledged and accepted the terms and conditions applicable to the recipients thereof (including any such terms and conditions set forth, or otherwise maintained, on the Platform with respect thereto). Except for documents expressly required by any Credit Document to be transmitted by the Administrative Agent or the Collateral Agent to the Lenders, no such Agent will have any duty or responsibility to provide any Lender with any credit or other information concerning the business, prospects, operations, property, financial and other condition or creditworthiness of any Credit Party or any Affiliate of any Credit Party that may come in to the possession of such Agent or any of its Related Persons.</w:t>
      </w:r>
    </w:p>
    <w:p>
      <w:pPr>
        <w:spacing w:after="0" w:line="178" w:lineRule="exact"/>
        <w:rPr>
          <w:rFonts w:ascii="Arial" w:cs="Arial" w:eastAsia="Arial" w:hAnsi="Arial"/>
          <w:sz w:val="17"/>
          <w:szCs w:val="17"/>
          <w:color w:val="auto"/>
        </w:rPr>
      </w:pPr>
    </w:p>
    <w:p>
      <w:pPr>
        <w:jc w:val="both"/>
        <w:ind w:firstLine="1142"/>
        <w:spacing w:after="0" w:line="268" w:lineRule="auto"/>
        <w:tabs>
          <w:tab w:leader="none" w:pos="161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If any Lender has elected to abstain from receiving Nonpublic Information concerning the Credit Parties or their Affiliates, such Lender acknowledges that, notwithstanding such election, the Administrative Agent and/or the Credit Parties will, from time to time, make available syndicate-information (which may contain Nonpublic Information) as required by the terms of, or in the course of administering the Loans to the credit contact(s) identified for receipt of such information on the Lender’s administrative questionnaire who are able to receive and use all syndicate-level information (which may contain Nonpublic Information) in accordance with such Lender’s compliance policies and contractual obligations and applicable Law, including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contact is not so identified in such questionnaire, the relevant Lender hereby agrees to promptly (and in any event within one (1) Business Day) provide such a contact to the Administrative Agent and the Credit Parties upon request therefor by the Administrative Agent or the Credit Parties. Notwithstanding such Lender’s election to abstain from receiving material non-public information, such Lender acknowledges that if such Lender chooses to communicate with the Administrative Agent, it assumes the risk of receiving Nonpublic Information concerning the Credit Parties or their Affiliates. In the event that any Lender has determined for itself to not access any information disclosed through the Platform or otherwise, such Lender acknowledges that (i) other Lenders may have availed themselves of such information and (ii) neither the Borrower nor the Administrative Agent has any responsibility for such Lender’s decision to limit the scope of the information it has obtained in connection with this Agreement and the other Credit Documents.</w:t>
      </w:r>
    </w:p>
    <w:p>
      <w:pPr>
        <w:spacing w:after="0" w:line="186" w:lineRule="exact"/>
        <w:rPr>
          <w:rFonts w:ascii="Arial" w:cs="Arial" w:eastAsia="Arial" w:hAnsi="Arial"/>
          <w:sz w:val="17"/>
          <w:szCs w:val="17"/>
          <w:color w:val="auto"/>
        </w:rPr>
      </w:pPr>
    </w:p>
    <w:p>
      <w:pPr>
        <w:jc w:val="both"/>
        <w:ind w:firstLine="1142"/>
        <w:spacing w:after="0" w:line="263" w:lineRule="auto"/>
        <w:tabs>
          <w:tab w:leader="none" w:pos="15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or an Assignment Agreement and funding its Initial Term B Loan or Term C Loan, will be deemed to have acknowledged receipt of, and consented to and approved, each Credit Document and each other document required to be approved by any Agent, the Required Lenders or the Lenders, as applicable, on the Closing Date.</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Expenses; Indemnities; Withholding</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91" w:lineRule="auto"/>
        <w:tabs>
          <w:tab w:leader="none" w:pos="155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Lender agrees to reimburse the Administrative Agent, the Collateral Agent and each of their respective Related Persons (to the extent not reimbursed by any Credit Party) promptly upon demand, severally (but not jointly) and in accordance with its Pro Rata Share, for any costs and expenses (including fees, charges and disbursements of financial, legal and other advisors and Other Taxes paid in the name of, or on behalf of, any Credit Party) that may be incurred by such Agent or any of its Related Persons in connection with the preparation, syndication, execution, delivery, administration, modification, consent, waiver or enforcement of, or the taking of any other action (whether through negotiations, through any work-out, bankruptcy, restructuring or other legal or other proceeding (including preparation for and/or response to any subpoena or request for document production relating thereto) or otherwise) in respect of, or legal advice with respect to, its rights or responsibilities under, any Credit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firstLine="1142"/>
        <w:spacing w:after="0" w:line="268" w:lineRule="auto"/>
        <w:tabs>
          <w:tab w:leader="none" w:pos="155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Lender further agrees to indemnify the Administrative Agent, the Collateral Agent and each of their respective Related Persons (to the extent not reimbursed by any Credit Party), severally and ratably, in proportion to its Pro Rata Share, from and against Liabilities (including, to the extent not indemnified pursuant to Section 9.8(c), taxes, interests and penalties imposed for not properly withholding or backup withholding on payments made to or for the account of any Lender) that may be imposed on, incurred by or asserted against such Agent or any of its Related Persons in any matter relating to or arising out of, in connection with or as a result of any Credit Document or any other act, event or transaction related, contemplated in or attendant to any such document, or, in each case, any action taken or omitted to be taken by such Agent or any of its Related Persons under or with respect to any of the foregoing (</w:t>
      </w:r>
      <w:r>
        <w:rPr>
          <w:rFonts w:ascii="Arial" w:cs="Arial" w:eastAsia="Arial" w:hAnsi="Arial"/>
          <w:sz w:val="17"/>
          <w:szCs w:val="17"/>
          <w:b w:val="1"/>
          <w:bCs w:val="1"/>
          <w:color w:val="auto"/>
        </w:rPr>
        <w:t>IN ALL CASES, WHETHER OR NOT CAUSED OR ARISING, IN WHOLE OR IN PART, OUT OF THE</w:t>
      </w:r>
      <w:r>
        <w:rPr>
          <w:rFonts w:ascii="Arial" w:cs="Arial" w:eastAsia="Arial" w:hAnsi="Arial"/>
          <w:sz w:val="17"/>
          <w:szCs w:val="17"/>
          <w:color w:val="auto"/>
        </w:rPr>
        <w:t xml:space="preserve"> </w:t>
      </w:r>
      <w:r>
        <w:rPr>
          <w:rFonts w:ascii="Arial" w:cs="Arial" w:eastAsia="Arial" w:hAnsi="Arial"/>
          <w:sz w:val="17"/>
          <w:szCs w:val="17"/>
          <w:b w:val="1"/>
          <w:bCs w:val="1"/>
          <w:color w:val="auto"/>
        </w:rPr>
        <w:t>COMPARATIVE, CONTRIBUTORY OR SOLE NEGLIGENCE OF ANY AGENT OR RELATED PERSON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Lender</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liable to the Administrative Agent, the Collateral Agent or any of their respective Related Persons to the extent such liability has resulted solely and directly for the payment of any portion of such liabilities, obligations, losses, damages, penalties, actions, claims, suits, judgments, litigations, investigations, inquiries or proceedings, costs, expenses or disbursements which have resulted from the gross negligence or willful misconduct of such Agent or, as the case may be, such Related Person, as determined by a court of competent jurisdiction in a final non-appealable judgment or order. No Lender shall be liable under this Section or otherwise for any failure of another Lender to satisfy such other Lender’s obligations under the Credit Documents.</w:t>
      </w:r>
    </w:p>
    <w:p>
      <w:pPr>
        <w:spacing w:after="0" w:line="184" w:lineRule="exact"/>
        <w:rPr>
          <w:rFonts w:ascii="Arial" w:cs="Arial" w:eastAsia="Arial" w:hAnsi="Arial"/>
          <w:sz w:val="17"/>
          <w:szCs w:val="17"/>
          <w:color w:val="auto"/>
        </w:rPr>
      </w:pPr>
    </w:p>
    <w:p>
      <w:pPr>
        <w:jc w:val="both"/>
        <w:ind w:firstLine="1142"/>
        <w:spacing w:after="0" w:line="287" w:lineRule="auto"/>
        <w:tabs>
          <w:tab w:leader="none" w:pos="155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the extent required by any applicable law, the Administrative Agent and the Collateral Agent may withhold from any payment to any Lender under a Credit Document an amount equal to any applicable withholding tax. If the Internal Revenue Service or any other Governmental Authority asserts a claim that such Agent did not properly withhold tax from amounts paid to or for the account of any Lender (because the appropriate certification form was not delivered, was not properly executed, or fails to establish an exemption from, or reduction of, withholding tax with respect to a particular type of payment, or because such Lender failed to notify such Agent or any other Person of a change in circumstances which rendered the exemption from, or reduction of, withholding tax ineffective, or for any other reason), or such Agent reasonably determines that it was required to withhold taxes from a prior payment but failed to do so, such Lender will promptly indemnify such Agent fully for all amounts paid, directly or indirectly, by such Agent as tax or otherwise, including penalties and interest, and together with all expenses incurred by such Agent, including legal expenses, allocated internal costs and out-of-pocket expenses. Each of the Administrative Agent and the Collateral Agent may offset against any payment to any Lender under a Credit Document, any applicable withholding tax that was required to be withheld from any prior payment to such Lender but which was not so withheld, as well as any other amounts for which such Agent is entitled to indemnification from such Lender under this Section 9.8(c).</w:t>
      </w:r>
    </w:p>
    <w:p>
      <w:pPr>
        <w:spacing w:after="0" w:line="16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Resignation of Administrative Agent or Collateral Agent</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68" w:lineRule="auto"/>
        <w:tabs>
          <w:tab w:leader="none" w:pos="159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of the Administrative Agent and the Collateral Agent may resign at any time by delivering notice of such resignation to the Lenders and the Borrower, effective on the date set forth in such notice or, if no such date is set forth therein, upon the date such notice will be effective, in accordance with the terms of this Section 9.9. If such Agent delivers any such notice, the Required Lenders will have the right, subject to the consent of the Borrower (such consent not to be unreasonably withheld, conditioned or delayed), at all times other than during the continuation of an Event of Default, to appoint a successor Administrative Agent or Collateral Agent, as applicable. The Administrative Agent’s resignation shall become effective on the earliest of (i) 30 days after delivery of the notice of resignation (regardless of whether a successor has been appointed or not), (ii) the appointment of a successor Administrative Agent by the Required Lenders or (iii) such other date, if any, agreed to by the Required Lenders. If, after 30 days after the date of such retiring Agent’s notice of resignation, no successor Administrative Agent or Collateral Agent, as applicable, has been appointed by the Required Lenders that has accepted such appointment, then such retiring Agent may, on behalf of the Lenders, appoint a successor Administrative Agent or Collateral Agent, as applicable, from among the Lenders or a commercial banking institution organized under the laws of the United States (or any State thereof) or a United States branch or agency of a commercial banking institution, in each case, having combined capital and surplus of at least $500,000,000. Each appointment under this clause (a) will be subject to the prior consent of the Borrower, which will not be unreasonably withheld but will not be required during the continuance of an Event of Default.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5" w:name="page156"/>
    <w:bookmarkEnd w:id="155"/>
    <w:p>
      <w:pPr>
        <w:jc w:val="both"/>
        <w:ind w:firstLine="1142"/>
        <w:spacing w:after="0" w:line="267" w:lineRule="auto"/>
        <w:tabs>
          <w:tab w:leader="none" w:pos="153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Effective immediately upon its resignation, (i) any retiring Administrative Agent or Collateral Agent will be discharged from its duties and obligations under the Credit Documents, (ii) the Lenders will assume and perform all of the duties of such Agent until a successor Administrative Agent or Collateral Agent, as applicable, will have accepted a valid appointment hereunder, (iii) such retiring Agent and its Related Persons will no longer have the benefit of any provision of any Credit Document as Administrative Agent or Collateral Agent, as applicable, other than with respect to any actions taken or omitted to be taken while such retiring Agent was, or because such Agent had been, validly acting as Administrative Agent or Collateral Agent, as applicable, under the Credit Documents and (iv) subject to its rights under Section 9.3, such retiring Agent will take such action as may be reasonably necessary to assign to the applicable successor Administrative Agent or Collateral Agent its rights as Administrative Agent or Collateral Agent, as applicable, under the Credit Documents. After any retiring Administrative Agent’s or Collateral Agent’s resignation hereunder as the Administrative Agent, the provisions of this Section 9 and Sections 10.2, 10.3, 10.4, 10.10, 10.14, 10.15, and 10.16 will inure to its benefit, its sub-agents and their respective affiliates benefit as to any actions taken or omitted to be taken by any of them while it was Administrative Agent or Collateral Agent hereunder. Effective immediately upon the acceptance of a valid appointment as Administrative Agent or Collateral Agent by a successor Administrative Agent or Collateral Agent, such successor Administrative Agent or Collateral Agent will succeed to, and become vested with, all the rights, powers, privileges and duties of such retiring Agent under the Credit Documents and the retiring Administrative Agent or Collateral Agent will promptly (A) transfer to its successor all sums, Securities and other items of Collateral held under the Collateral Documents, together with all records and other documents necessary or appropriate in connection with the performance of the duties of the successor Administrative Agent or Collateral Agent under the Credit Documents, and (B) execute and deliver to such successor Administrative Agent or Collateral Agent such amendments to financing statements, and take such other actions, as may be necessary or appropriate in connection with the assignment to such successor Administrative Agent or Collateral Agent of the security interests created under the Collateral Documents.</w:t>
      </w:r>
    </w:p>
    <w:p>
      <w:pPr>
        <w:spacing w:after="0" w:line="18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Release of Collateral or Guarantors</w:t>
      </w:r>
    </w:p>
    <w:p>
      <w:pPr>
        <w:spacing w:after="0" w:line="229" w:lineRule="exact"/>
        <w:rPr>
          <w:sz w:val="20"/>
          <w:szCs w:val="20"/>
          <w:color w:val="auto"/>
        </w:rPr>
      </w:pPr>
    </w:p>
    <w:p>
      <w:pPr>
        <w:ind w:firstLine="1142"/>
        <w:spacing w:after="0" w:line="277" w:lineRule="auto"/>
        <w:tabs>
          <w:tab w:leader="none" w:pos="18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Lender hereby consents to the automatic release and hereby directs the Administrative Agent and the Collateral Agent to release automatically, without further action(or, in the case of clause (b)(ii) below, release or subordinate) the following:</w:t>
      </w:r>
    </w:p>
    <w:p>
      <w:pPr>
        <w:spacing w:after="0" w:line="170" w:lineRule="exact"/>
        <w:rPr>
          <w:rFonts w:ascii="Arial" w:cs="Arial" w:eastAsia="Arial" w:hAnsi="Arial"/>
          <w:sz w:val="18"/>
          <w:szCs w:val="18"/>
          <w:color w:val="auto"/>
        </w:rPr>
      </w:pPr>
    </w:p>
    <w:p>
      <w:pPr>
        <w:jc w:val="both"/>
        <w:ind w:left="1300" w:firstLine="490"/>
        <w:spacing w:after="0" w:line="273" w:lineRule="auto"/>
        <w:tabs>
          <w:tab w:leader="none" w:pos="2144"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any Guarantor Subsidiary from its guaranty of any Obligation pursuant to Section 7.11 or if such Guarantor Subsidiary ceases to be a Subsidiary (including as a result of its designation as an Unrestricted Subsidiary in accordance with the terms of this Agreement), and such Guarantor Subsidiary will be automatically released from its Obligations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release shall occur if such Guarantor Subsidiary continues to be a guarantor in respect of any Incremental Equivalent Debt, any Permitted Ratio Debt, any Credit Agreement Refinancing Indebtedness, any Material Indebtedness of the Borrower or any Subsidiary that is Junior Financing or any Permitted Refinancing in respect of any of the foregoing;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6" w:name="page157"/>
    <w:bookmarkEnd w:id="156"/>
    <w:p>
      <w:pPr>
        <w:jc w:val="both"/>
        <w:ind w:left="1300" w:firstLine="490"/>
        <w:spacing w:after="0" w:line="257" w:lineRule="auto"/>
        <w:tabs>
          <w:tab w:leader="none" w:pos="224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Guarantor from its guaranty upon payment and satisfaction in full of all Loans, all other Obligations under the Credit Documents (excluding amounts in respect of indemnification, expense reimbursement, yield protection or tax gross-up and contingent obligations, in each case that are not then owing or as to which no claim has been asserted) and all Obligations arising under Secured Rate Contracts and Bank Product Agreements that the Administrative Agent has theretofore been notified in writing by the holder of such Obligations are then due and payable;</w:t>
      </w:r>
    </w:p>
    <w:p>
      <w:pPr>
        <w:spacing w:after="0" w:line="187" w:lineRule="exact"/>
        <w:rPr>
          <w:rFonts w:ascii="Arial" w:cs="Arial" w:eastAsia="Arial" w:hAnsi="Arial"/>
          <w:sz w:val="18"/>
          <w:szCs w:val="18"/>
          <w:color w:val="auto"/>
        </w:rPr>
      </w:pPr>
    </w:p>
    <w:p>
      <w:pPr>
        <w:ind w:left="1300" w:firstLine="490"/>
        <w:spacing w:after="0" w:line="277" w:lineRule="auto"/>
        <w:tabs>
          <w:tab w:leader="none" w:pos="232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Lien held by the Collateral Agent for the benefit of the Secured Parties against any Guarantor Subsidiary upon the release of such Guarantor Subsidiary from its guaranty pursuant to clause (i) above; and</w:t>
      </w:r>
    </w:p>
    <w:p>
      <w:pPr>
        <w:spacing w:after="0" w:line="170" w:lineRule="exact"/>
        <w:rPr>
          <w:rFonts w:ascii="Arial" w:cs="Arial" w:eastAsia="Arial" w:hAnsi="Arial"/>
          <w:sz w:val="18"/>
          <w:szCs w:val="18"/>
          <w:color w:val="auto"/>
        </w:rPr>
      </w:pPr>
    </w:p>
    <w:p>
      <w:pPr>
        <w:jc w:val="both"/>
        <w:ind w:left="1300" w:firstLine="490"/>
        <w:spacing w:after="0" w:line="269" w:lineRule="auto"/>
        <w:tabs>
          <w:tab w:leader="none" w:pos="222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any Lien held by the Collateral Agent for the benefit of the Secured Parties against (1) any Collateral that is sold, transferred, conveyed or otherwise disposed of by a Credit Party in a transaction permitted by the Credit Documents (including pursuant to a valid waiver or consent), (2) any property subject to a Lien permitted hereunder in reliance upon Section 6.1(d) and (3) all of the Collateral and all Credit Parties, upon (A) termination of all Incremental Revolving Credit Commitments (if any), (B) payment and satisfaction in full of all Loans, all other Obligations under the Credit Documents (excluding amounts in respect of indemnification, expense reimbursement, yield protection or tax gross-up and contingent obligations, in each case that are not then owing or as to which no claim has been asserted) and all Obligations arising under Secured Rate Contracts and Bank Product Agreements that the Administrative Agent has theretofore been notified in writing by the holder of such Obligations are then due and payable and (C) to the extent requested by the Administrative Agent, receipt by the Administrative Agent and the Secured Parties of liability releases from the Credit Parties each in form and substance acceptable to the Administrative Agent.</w:t>
      </w:r>
    </w:p>
    <w:p>
      <w:pPr>
        <w:spacing w:after="0" w:line="185" w:lineRule="exact"/>
        <w:rPr>
          <w:rFonts w:ascii="Arial" w:cs="Arial" w:eastAsia="Arial" w:hAnsi="Arial"/>
          <w:sz w:val="17"/>
          <w:szCs w:val="17"/>
          <w:color w:val="auto"/>
        </w:rPr>
      </w:pPr>
    </w:p>
    <w:p>
      <w:pPr>
        <w:jc w:val="both"/>
        <w:ind w:firstLine="1142"/>
        <w:spacing w:after="0" w:line="293" w:lineRule="auto"/>
        <w:tabs>
          <w:tab w:leader="none" w:pos="16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Each Lender hereby directs the Administrative Agent and the Collateral Agent, and each of the Administrative Agent and the Collateral Agent hereby agrees, upon receipt of reasonable notice from the Borrower, to execute and deliver or file such documents and to perform other actions reasonably necessary to release the guaranties and Liens when and as directed in this Section 9.10, subject to receipt by the Administrative Agent of a certification of the Borrower as to such matters as are reasonably required by the Administrative Agent. To the extent any Collateral is disposed of as permitted by this Section to any Person other than a Credit Party, such Collateral will be sold or disposed of free and clear of Liens created by the Credit Documents and the Administrative Agent will be authorized to take any actions deemed appropriate in order to effect the foregoing.</w:t>
      </w:r>
    </w:p>
    <w:p>
      <w:pPr>
        <w:spacing w:after="0" w:line="164" w:lineRule="exact"/>
        <w:rPr>
          <w:rFonts w:ascii="Arial" w:cs="Arial" w:eastAsia="Arial" w:hAnsi="Arial"/>
          <w:sz w:val="16"/>
          <w:szCs w:val="16"/>
          <w:color w:val="auto"/>
        </w:rPr>
      </w:pPr>
    </w:p>
    <w:p>
      <w:pPr>
        <w:jc w:val="both"/>
        <w:ind w:firstLine="1142"/>
        <w:spacing w:after="0" w:line="286" w:lineRule="auto"/>
        <w:tabs>
          <w:tab w:leader="none" w:pos="154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the event of a foreclosure by the Collateral Agent on any of the Collateral pursuant to a public or private sale or other disposition, the Collateral Agent (at the direction of the Required Lenders) or any Lender may be the purchaser or licensor of any or all of such Collateral at any such sale or other disposition and the Collateral Agent, as agent for and representative of Secured Parties (but not any Lender or Lenders in its or their respective individual capacities unless Required Lenders will otherwise agree in writing), at the direction of the Required Lenders, will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(including pursuant to Section 363(k), Section 1129(b)(2)(a)(ii) or otherwise of the Bankruptcy Code), the Collateral Agent (or any Lender, except with respect to a “credit bid” pursuant to Section 363(k), Section 1129(b)(2)(a)(ii) or otherwise of the Bankruptcy Code). Any release of guarantee obligations will be deemed subject to the provision that such guarantee obligations will be reinstated if after such release any portion of any payment in respect of the Obligations guaranteed thereby will be rescinded or must otherwise be restored or returned upon the insolvency, bankruptcy, dissolution, liquidation or reorganization of the Borrower or Guarantor, or upon or as a result of the appointment of a receiver, intervenor or conservator of, or trustee or similar officer for, the Borrower or Guarantor or any substantial part of its property, or otherwise, all as though such payment had not been made. The Collateral Agent will not be responsible for or have a duty to ascertain or inquire into any representation or warranty regarding the existence, value or collectability of the Collateral, the existence, priority or perfection of the Collateral Agent’s Lien thereon, or any certificate prepared by any Credit Party in connection therewith, nor will the Collateral Agent be responsible or liable to the Lenders for any failure to monitor or maintain any portion of the Collateral.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ind w:left="660"/>
        <w:spacing w:after="0"/>
        <w:tabs>
          <w:tab w:leader="none" w:pos="11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9.12 Lead Arranger and Bookrunner</w:t>
      </w:r>
      <w:r>
        <w:rPr>
          <w:rFonts w:ascii="Arial" w:cs="Arial" w:eastAsia="Arial" w:hAnsi="Arial"/>
          <w:sz w:val="16"/>
          <w:szCs w:val="16"/>
          <w:color w:val="auto"/>
        </w:rPr>
        <w:t>. Notwithstanding any provision to the contrary contained elsewhere in this Agreement or in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Document, neither the Lead Arranger nor the Bookrunner will have any duties or responsibilities, nor will any of such Agents have or be deemed to have any fiduciary relationship with any Lender, and no implied covenants, functions, responsibilities, duties, obligations or liabilities will be read into this Agreement or any other Credit Document or otherwise exist against any of such Agents. At any time that any Lender serving (or whose Affiliate is serving) as Lead Arranger or Bookrunner will have transferred to any other Person (other than any Affiliates) all of its interests in the Loans, such Lender (or an Affiliate of such Lender acting as Lead Arranger or Bookrunner) will be deemed to have concurrently resigned as such Lead Arranger or Bookrunner.</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9.13 Administrative Agent May File Bankruptcy Disclosure and Proofs of Claim</w:t>
      </w:r>
      <w:r>
        <w:rPr>
          <w:rFonts w:ascii="Arial" w:cs="Arial" w:eastAsia="Arial" w:hAnsi="Arial"/>
          <w:sz w:val="18"/>
          <w:szCs w:val="18"/>
          <w:color w:val="auto"/>
        </w:rPr>
        <w:t>. In the case of pendency of any proceeding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Proceeding relative to any Credit Party, the Administrative Agent (irrespective of whether the principal of any Loan will then be due and payable as herein expressed or by declaration or otherwise and irrespective of whether the Administrative Agent will have made any demand on the Borrower) will be entitled and empowered (but not obligated) by intervention in such proceeding or otherwise:</w:t>
      </w:r>
    </w:p>
    <w:p>
      <w:pPr>
        <w:spacing w:after="0" w:line="184" w:lineRule="exact"/>
        <w:rPr>
          <w:sz w:val="20"/>
          <w:szCs w:val="20"/>
          <w:color w:val="auto"/>
        </w:rPr>
      </w:pPr>
    </w:p>
    <w:p>
      <w:pPr>
        <w:ind w:firstLine="1142"/>
        <w:spacing w:after="0" w:line="277" w:lineRule="auto"/>
        <w:tabs>
          <w:tab w:leader="none" w:pos="15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file a verified statement pursuant to the Federal Rules of Bankruptcy Procedure that, in its sole opinion, complies with such rule’s disclosure requirements for entities representing more than one creditor;</w:t>
      </w:r>
    </w:p>
    <w:p>
      <w:pPr>
        <w:spacing w:after="0" w:line="170" w:lineRule="exact"/>
        <w:rPr>
          <w:rFonts w:ascii="Arial" w:cs="Arial" w:eastAsia="Arial" w:hAnsi="Arial"/>
          <w:sz w:val="18"/>
          <w:szCs w:val="18"/>
          <w:color w:val="auto"/>
        </w:rPr>
      </w:pPr>
    </w:p>
    <w:p>
      <w:pPr>
        <w:jc w:val="both"/>
        <w:ind w:firstLine="1142"/>
        <w:spacing w:after="0" w:line="257" w:lineRule="auto"/>
        <w:tabs>
          <w:tab w:leader="none" w:pos="157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Administrative Agent and its respective agents and counsel and all other amounts due the Administrative Agent under Section 2, Section 10.2 and Section 10.3) allowed in such judicial proceeding; and</w:t>
      </w:r>
    </w:p>
    <w:p>
      <w:pPr>
        <w:spacing w:after="0" w:line="187" w:lineRule="exact"/>
        <w:rPr>
          <w:rFonts w:ascii="Arial" w:cs="Arial" w:eastAsia="Arial" w:hAnsi="Arial"/>
          <w:sz w:val="18"/>
          <w:szCs w:val="18"/>
          <w:color w:val="auto"/>
        </w:rPr>
      </w:pPr>
    </w:p>
    <w:p>
      <w:pPr>
        <w:ind w:left="1520" w:hanging="378"/>
        <w:spacing w:after="0"/>
        <w:tabs>
          <w:tab w:leader="none" w:pos="15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spacing w:after="0" w:line="290"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will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To the extent that the payment of any such compensation, expenses, disbursements and advances of the Administrative Agent, its agents and counsel, and any other amounts due the Administrative Agent under this Agreement out of the estate in any such proceeding, will be denied for any reason, payment of the same will be secured by a Lien on, and will be paid out of, any and all distributions, dividends, money, securities and other properties that the Lenders may be entitled to receive in such proceeding whether in liquidation or under any plan of reorganization or arrangement or otherwise.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herein will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7"/>
          <w:szCs w:val="17"/>
          <w:b w:val="1"/>
          <w:bCs w:val="1"/>
          <w:color w:val="auto"/>
        </w:rPr>
        <w:t>Certain ERISA Matters</w:t>
      </w:r>
    </w:p>
    <w:p>
      <w:pPr>
        <w:spacing w:after="0" w:line="229" w:lineRule="exact"/>
        <w:rPr>
          <w:sz w:val="20"/>
          <w:szCs w:val="20"/>
          <w:color w:val="auto"/>
        </w:rPr>
      </w:pPr>
    </w:p>
    <w:p>
      <w:pPr>
        <w:jc w:val="both"/>
        <w:ind w:firstLine="1142"/>
        <w:spacing w:after="0" w:line="259" w:lineRule="auto"/>
        <w:tabs>
          <w:tab w:leader="none" w:pos="15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its Affiliates, and not, for the avoidance of doubt, to or for the benefit of the Borrower or any other Credit Party, that at least one of the following is and will be true:</w:t>
      </w:r>
    </w:p>
    <w:p>
      <w:pPr>
        <w:spacing w:after="0" w:line="186" w:lineRule="exact"/>
        <w:rPr>
          <w:rFonts w:ascii="Arial" w:cs="Arial" w:eastAsia="Arial" w:hAnsi="Arial"/>
          <w:sz w:val="18"/>
          <w:szCs w:val="18"/>
          <w:color w:val="auto"/>
        </w:rPr>
      </w:pPr>
    </w:p>
    <w:p>
      <w:pPr>
        <w:ind w:left="1300" w:firstLine="652"/>
        <w:spacing w:after="0" w:line="277" w:lineRule="auto"/>
        <w:tabs>
          <w:tab w:leader="none" w:pos="240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Employee Benefit Plans in connection with the Loans, or the Commitments,</w:t>
      </w:r>
    </w:p>
    <w:p>
      <w:pPr>
        <w:spacing w:after="0" w:line="170" w:lineRule="exact"/>
        <w:rPr>
          <w:rFonts w:ascii="Arial" w:cs="Arial" w:eastAsia="Arial" w:hAnsi="Arial"/>
          <w:sz w:val="18"/>
          <w:szCs w:val="18"/>
          <w:color w:val="auto"/>
        </w:rPr>
      </w:pPr>
    </w:p>
    <w:p>
      <w:pPr>
        <w:jc w:val="both"/>
        <w:ind w:left="1300" w:firstLine="652"/>
        <w:spacing w:after="0" w:line="273" w:lineRule="auto"/>
        <w:tabs>
          <w:tab w:leader="none" w:pos="2457"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7" w:lineRule="exact"/>
        <w:rPr>
          <w:rFonts w:ascii="Arial" w:cs="Arial" w:eastAsia="Arial" w:hAnsi="Arial"/>
          <w:sz w:val="17"/>
          <w:szCs w:val="17"/>
          <w:color w:val="auto"/>
        </w:rPr>
      </w:pPr>
    </w:p>
    <w:p>
      <w:pPr>
        <w:jc w:val="both"/>
        <w:ind w:left="1300" w:firstLine="652"/>
        <w:spacing w:after="0" w:line="254" w:lineRule="auto"/>
        <w:tabs>
          <w:tab w:leader="none" w:pos="240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94" w:lineRule="exact"/>
        <w:rPr>
          <w:rFonts w:ascii="Arial" w:cs="Arial" w:eastAsia="Arial" w:hAnsi="Arial"/>
          <w:sz w:val="18"/>
          <w:szCs w:val="18"/>
          <w:color w:val="auto"/>
        </w:rPr>
      </w:pPr>
    </w:p>
    <w:p>
      <w:pPr>
        <w:ind w:left="1300" w:firstLine="652"/>
        <w:spacing w:after="0" w:line="277" w:lineRule="auto"/>
        <w:tabs>
          <w:tab w:leader="none" w:pos="245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9" w:name="page160"/>
    <w:bookmarkEnd w:id="159"/>
    <w:p>
      <w:pPr>
        <w:jc w:val="both"/>
        <w:ind w:firstLine="1142"/>
        <w:spacing w:after="0" w:line="254" w:lineRule="auto"/>
        <w:tabs>
          <w:tab w:leader="none" w:pos="153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its Affiliates, and not, for the avoidance of doubt, to or for the benefit of the Borrower or any other Credit Party, that none of the Administrative Agent, or the Lead Arranger or any of its Affiliates is a fiduciary with respect to the assets of such Lender involved in the Loans, the Commitments and this Agreement (including in connection with the reservation or exercise of any rights by the Administrative Agent under this Agreement, any Credit Document or any documents related to hereto or thereto).</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10.</w:t>
        <w:tab/>
        <w:t>MISCELLANEOUS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1142"/>
        <w:spacing w:after="0" w:line="270" w:lineRule="auto"/>
        <w:tabs>
          <w:tab w:leader="none" w:pos="1588"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Addresses</w:t>
      </w:r>
      <w:r>
        <w:rPr>
          <w:rFonts w:ascii="Arial" w:cs="Arial" w:eastAsia="Arial" w:hAnsi="Arial"/>
          <w:sz w:val="17"/>
          <w:szCs w:val="17"/>
          <w:color w:val="auto"/>
        </w:rPr>
        <w:t>. All notices and other communications required or expressly authorized to be made by this Agreement will be given in writing, unless otherwise expressly specified herein, and (i) addressed to the address set forth on Appendix B or otherwise indicated to the Borrower and the Administrative Agent in writing, (ii) posted to the Platform (to the extent such system is available and set up by or at the direction of the Administrative Agent prior to posting), (iii) posted to any other E-System approved by or set up by or at the direction of the Administrative Agent or (iv) addressed to such other address as will be notified in writing (A) in the case of the Borrower, the Administrative Agent and the Collateral Agent, to the other parties hereto and (B) in the case of all other parties, to the Borrower, the Administrative Agent and the Collateral Agent. Transmissions made by electronic mail or E-Fax to the Administrative Agent will be effective only (x) for notices where such transmission is specifically authorized by this Agreement, (y) if such transmission is delivered in compliance with procedures of the Administrative Agent applicable at the time and previously communicated to the Borrower, and (z) if receipt of such transmission is acknowledged by the Administrative Agent.</w:t>
      </w:r>
    </w:p>
    <w:p>
      <w:pPr>
        <w:spacing w:after="0" w:line="180" w:lineRule="exact"/>
        <w:rPr>
          <w:rFonts w:ascii="Arial" w:cs="Arial" w:eastAsia="Arial" w:hAnsi="Arial"/>
          <w:sz w:val="17"/>
          <w:szCs w:val="17"/>
          <w:color w:val="auto"/>
        </w:rPr>
      </w:pPr>
    </w:p>
    <w:p>
      <w:pPr>
        <w:jc w:val="both"/>
        <w:ind w:firstLine="1142"/>
        <w:spacing w:after="0" w:line="254" w:lineRule="auto"/>
        <w:tabs>
          <w:tab w:leader="none" w:pos="1768"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(i) All communications described in clause (a) above and all other notices, demands, requests and other communications made in connection with this Agreement will be effective and be deemed to have been received (i) if delivered by hand, upon personal delivery, (ii) if delivered by overnight courier service, one (1) Business Day after delivery to such courier service, (iii) if delivered by mail, three (3) Business Days after deposit in the mail, (iv) if delivered by facsimile (other than to post to an E-System pursuant to clause (a)(ii) or (a)(iii) above), upon sender’s receipt of confirmation of proper transmission, and (v) if delivered by posting to any E-System, on the later of the Business Day of such posting and the Business Day access to such posting is given to the recipient thereof in accordance with the standard procedures applicable to such E-System;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communications to the Administrative Agent pursuant to this Section 10.1 will be effective until received by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w:t>
      </w:r>
    </w:p>
    <w:p>
      <w:pPr>
        <w:spacing w:after="0" w:line="191" w:lineRule="exact"/>
        <w:rPr>
          <w:rFonts w:ascii="Arial" w:cs="Arial" w:eastAsia="Arial" w:hAnsi="Arial"/>
          <w:sz w:val="18"/>
          <w:szCs w:val="18"/>
          <w:color w:val="auto"/>
        </w:rPr>
      </w:pPr>
    </w:p>
    <w:p>
      <w:pPr>
        <w:jc w:val="both"/>
        <w:ind w:left="1300" w:firstLine="652"/>
        <w:spacing w:after="0" w:line="220" w:lineRule="exact"/>
        <w:tabs>
          <w:tab w:leader="none" w:pos="245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posting, completion and/or submission by any Credit Party of any communication pursuant to an E-System will constitute a representation and warranty by the Credit Parties that any representation, warranty, certification or other similar statement required by the Credit Documents to be provided, given or made by a Credit Party in connection with any such communication is true, correct and complete except as expressly noted in such communication or E</w:t>
      </w:r>
      <w:r>
        <w:rPr>
          <w:rFonts w:ascii="MS PGothic" w:cs="MS PGothic" w:eastAsia="MS PGothic" w:hAnsi="MS PGothic"/>
          <w:sz w:val="18"/>
          <w:szCs w:val="18"/>
          <w:color w:val="auto"/>
        </w:rPr>
        <w:t>‑</w:t>
      </w:r>
      <w:r>
        <w:rPr>
          <w:rFonts w:ascii="Arial" w:cs="Arial" w:eastAsia="Arial" w:hAnsi="Arial"/>
          <w:sz w:val="18"/>
          <w:szCs w:val="18"/>
          <w:color w:val="auto"/>
        </w:rPr>
        <w:t>System.</w:t>
      </w:r>
    </w:p>
    <w:p>
      <w:pPr>
        <w:spacing w:after="0" w:line="203" w:lineRule="exact"/>
        <w:rPr>
          <w:rFonts w:ascii="Arial" w:cs="Arial" w:eastAsia="Arial" w:hAnsi="Arial"/>
          <w:sz w:val="18"/>
          <w:szCs w:val="18"/>
          <w:color w:val="auto"/>
        </w:rPr>
      </w:pPr>
    </w:p>
    <w:p>
      <w:pPr>
        <w:jc w:val="both"/>
        <w:ind w:firstLine="1142"/>
        <w:spacing w:after="0" w:line="263" w:lineRule="auto"/>
        <w:tabs>
          <w:tab w:leader="none" w:pos="15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Lender will notify the Administrative Agent and the Collateral Agent in writing of any changes in the address to which notices to such Lender should be directed, of addresses of its Lending Office, of payment instructions in respect of all payments to be made to it hereunder and of such other administrative information as the Administrative Agent will reasonably request.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0" w:name="page161"/>
    <w:bookmarkEnd w:id="160"/>
    <w:p>
      <w:pPr>
        <w:ind w:left="420" w:hanging="398"/>
        <w:spacing w:after="0"/>
        <w:tabs>
          <w:tab w:leader="none" w:pos="4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Electronic Transmissions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652"/>
        <w:spacing w:after="0" w:line="293" w:lineRule="auto"/>
        <w:tabs>
          <w:tab w:leader="none" w:pos="126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Subject to the provisions of Section 10.1(a), each of the Administrative Agent, the Collateral Agent, the Lenders, each Credit Party and each of their Related Persons, is authorized (but not required) to transmit, post or otherwise make or communicate, in its sole discretion, Electronic Transmissions in connection with any Credit Document and the transactions contemplated therein. Each Credit Party and each Secured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64" w:lineRule="exact"/>
        <w:rPr>
          <w:rFonts w:ascii="Arial" w:cs="Arial" w:eastAsia="Arial" w:hAnsi="Arial"/>
          <w:sz w:val="16"/>
          <w:szCs w:val="16"/>
          <w:color w:val="auto"/>
        </w:rPr>
      </w:pPr>
    </w:p>
    <w:p>
      <w:pPr>
        <w:jc w:val="both"/>
        <w:ind w:left="180" w:firstLine="652"/>
        <w:spacing w:after="0" w:line="268" w:lineRule="auto"/>
        <w:tabs>
          <w:tab w:leader="none" w:pos="1312"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Signatures</w:t>
      </w:r>
      <w:r>
        <w:rPr>
          <w:rFonts w:ascii="Arial" w:cs="Arial" w:eastAsia="Arial" w:hAnsi="Arial"/>
          <w:sz w:val="17"/>
          <w:szCs w:val="17"/>
          <w:color w:val="auto"/>
        </w:rPr>
        <w:t xml:space="preserve">. Subject to the provisions of Section 10.1(a), (i)(A) no posting to any E-System will be denied legal effect merely because it is made electronically, (B) each E Signature on any such posting will be deemed sufficient to satisfy any requirement for a “signature” and (C) each such posting will be deemed sufficient to satisfy any requirement for a “writing,” in each case including pursuant to any Credit Document, any applicable provision of any applicable UCC, the federal Uniform Electronic Transactions Act, the Electronic Signatures in Global and National Commerce Act and any substantive or procedural Law governing such subject matter, (ii) each such posting that is not readily capable of bearing either a signature or a reproduction of a signature may be signed, and will be deemed signed, by attaching to, or logically associating with such posting, an E-Signature, upon which the Administrative Agent, the Collateral Agent, each other Secured Party and each Credit Party may rely and assume the authenticity thereof, (iii) each such posting containing a signature, a reproduction of a signature or an E-Signature will, for all intents and purposes, have the same effect and weight as a signed paper original and (iv) each party hereto or beneficiary hereto agrees not to contest the validity or enforceability of any posting on any E-System or E-Signature on any such posting under the provisions of any applicable Law requiring certain documents to be in writing or signed;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herein will limit such party’s or beneficiary’s right to contest whether any posting to any E-System or E-Signature has been altered after transmission.</w:t>
      </w:r>
    </w:p>
    <w:p>
      <w:pPr>
        <w:spacing w:after="0" w:line="186" w:lineRule="exact"/>
        <w:rPr>
          <w:rFonts w:ascii="Arial" w:cs="Arial" w:eastAsia="Arial" w:hAnsi="Arial"/>
          <w:sz w:val="17"/>
          <w:szCs w:val="17"/>
          <w:color w:val="auto"/>
        </w:rPr>
      </w:pPr>
    </w:p>
    <w:p>
      <w:pPr>
        <w:jc w:val="both"/>
        <w:ind w:left="180" w:firstLine="652"/>
        <w:spacing w:after="0" w:line="259" w:lineRule="auto"/>
        <w:tabs>
          <w:tab w:leader="none" w:pos="1283"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Separate Agreements</w:t>
      </w:r>
      <w:r>
        <w:rPr>
          <w:rFonts w:ascii="Arial" w:cs="Arial" w:eastAsia="Arial" w:hAnsi="Arial"/>
          <w:sz w:val="18"/>
          <w:szCs w:val="18"/>
          <w:color w:val="auto"/>
        </w:rPr>
        <w:t>. All uses of an E-System will be governed by and subject to, in addition to Section 10.1, the separate terms, conditions and privacy policy posted or referenced in such E-System (or such terms, conditions and privacy policy as may be updated from time to time, including on such E-System) and related Contractual Obligations executed by the Administrative Agent and Credit Parties in connection with the use of such E-System.</w:t>
      </w:r>
    </w:p>
    <w:p>
      <w:pPr>
        <w:spacing w:after="0" w:line="186" w:lineRule="exact"/>
        <w:rPr>
          <w:rFonts w:ascii="Arial" w:cs="Arial" w:eastAsia="Arial" w:hAnsi="Arial"/>
          <w:sz w:val="18"/>
          <w:szCs w:val="18"/>
          <w:color w:val="auto"/>
        </w:rPr>
      </w:pPr>
    </w:p>
    <w:p>
      <w:pPr>
        <w:jc w:val="both"/>
        <w:ind w:left="180" w:firstLine="652"/>
        <w:spacing w:after="0" w:line="252" w:lineRule="auto"/>
        <w:tabs>
          <w:tab w:leader="none" w:pos="1284"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ALL E-SYSTEMS AND ELECTRONIC TRANSMISSIONS WILL BE PROVIDED “AS IS” AND “AS AVAILABLE.” NONE OF THE ADMINISTRATIVE AGENT, THE COLLATERAL AGENT, ANY LENDER OR ANY OF THEIR RELATED PERSONS WARRANTS THE ACCURACY, ADEQUACY OR COMPLETENESS OF ANY E-SYSTEMS OR ELECTRONIC TRANSMISSION AND DISCLAIMS ALL LIABILITY (WHETHER OR NOT BASED ON STRICT LIABILITY AND INCLUDING DIRECT OR INDIRECT, SPECIAL, INCIDENTAL OR CONSEQUENTIAL DAMAGES, LOSSES OR EXPENSES (WHETHER IN CONTRACT, TORT OR OTHERWISE)) FOR ERRORS OR OMISSIONS THEREIN. NO WARRANTY OF ANY KIND IS MADE BY THE ADMINISTRATIVE AGENT, THE COLLATERAL AGENT ANY LENDER OR ANY OF THEIR RELATED PERSONS IN CONNECTION WITH ANY E SYSTEMS OR ELECTRONIC COMMUNICATION, INCLUDING ANY WARRANTY OF MERCHANTABILITY, FITNESS FOR A PARTICULAR PURPOSE, NON-INFRINGEMENT OF THIRD-PARTY RIGHTS OR FREEDOM FROM VIRUSES OR OTHER CODE DEFECTS. The Borrower, each other Credit Party executing this Agreement and each Secured Party agrees that the Administrative Agent has no responsibility for maintaining or providing any equipment, software, services or any testing required in connection with any Electronic Transmission or otherwise required for any E-System.</w:t>
      </w:r>
    </w:p>
    <w:p>
      <w:pPr>
        <w:spacing w:after="0" w:line="1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61" w:name="page162"/>
    <w:bookmarkEnd w:id="161"/>
    <w:p>
      <w:pPr>
        <w:ind w:firstLine="1142"/>
        <w:spacing w:after="0" w:line="277" w:lineRule="auto"/>
        <w:tabs>
          <w:tab w:leader="none" w:pos="15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Credit Party agrees that the Administrative Agent may make the communications described in clause (a) above available to the other Agents or the Lenders by posting such communications on any Platform.</w:t>
      </w:r>
    </w:p>
    <w:p>
      <w:pPr>
        <w:spacing w:after="0" w:line="170" w:lineRule="exact"/>
        <w:rPr>
          <w:rFonts w:ascii="Arial" w:cs="Arial" w:eastAsia="Arial" w:hAnsi="Arial"/>
          <w:sz w:val="18"/>
          <w:szCs w:val="18"/>
          <w:color w:val="auto"/>
        </w:rPr>
      </w:pPr>
    </w:p>
    <w:p>
      <w:pPr>
        <w:jc w:val="both"/>
        <w:ind w:firstLine="1142"/>
        <w:spacing w:after="0" w:line="253" w:lineRule="auto"/>
        <w:tabs>
          <w:tab w:leader="none" w:pos="157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the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any responsibility for such Public Lender’s decision to limit the scope of the information it has obtained in connection with this Agreement and the other Credit Documents.</w:t>
      </w:r>
    </w:p>
    <w:p>
      <w:pPr>
        <w:spacing w:after="0" w:line="19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10.2 Expenses</w:t>
      </w:r>
      <w:r>
        <w:rPr>
          <w:rFonts w:ascii="Arial" w:cs="Arial" w:eastAsia="Arial" w:hAnsi="Arial"/>
          <w:sz w:val="16"/>
          <w:szCs w:val="16"/>
          <w:color w:val="auto"/>
        </w:rPr>
        <w:t>. The Borrower agrees to pay promptly, in each case for which an invoice has been delivered to the Borrower, (a) all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documented out-of-pocket fees and expenses of the Administrative Agent, the Collateral Agent and DBSI in the preparation, negotiation, execution, delivery and enforcement of the Credit Documents and any consents, amendments, waivers or other modifications thereto (limited, in the case of legal fees and expenses, to the fees, expenses and disbursements of one primary counsel to such Persons taken as a whole and one local counsel in each relevant jurisdiction (which may be a single local counsel acting in multiple jurisdictions) as may be necessary or advisable in the judgment of such Persons); (b) all the costs of furnishing all opinions by counsel for the Borrower and the other Credit Parties; (c) the reasonable and documented out-of-pocket fees, expenses and disbursements of counsel to the Administrative Agent, the Collateral Agent and the Lead Arranger in connection with the negotiation, preparation, execution, administration and enforcement of the Credit Documents and any consents, amendments, waivers or other modifications thereto and any other documents or matters requested by the Borrower, limited to fees, expenses and disbursements of one primary counsel to such Persons taken as a whole and one local counsel in each relevant jurisdiction (which may be a single local counsel acting in multiple jurisdictions) as may be necessary or advisable in the judgment of such Persons; (d) all the reasonable and documented out-of-pocket fees and expenses of creating, perfecting and recording Liens in favor of the Collateral Agent, for the benefit of the Secured Parties, including filing and recording fees, expenses and taxes, stamp or documentary taxes, search fees, title insurance premiums and actual, reasonable documented out-of-pocket fees, expenses and disbursements of counsel to each of the Administrative Agent and the Collateral Agent and of counsel providing any opinions that the Administrative Agent and the Collateral Agent or the Required Lenders may reasonably request in respect of the Collateral or the Liens created pursuant to the Collateral Documents; (e) all the reasonable and documented out-of-pocket fees and expenses and disbursements of any auditors, accountants, consultants or appraisers reasonably engaged by the Administrative Agent and the Collateral Agent; (f) all the reasonable and documented out-of-pocket fees and expenses (including the reasonable fees, expenses and disbursements of any appraisers, consultants, advisors and agents employed or retained by the Collateral Agent and its counsel) in connection with the custody or preservation of any of the Collateral; (g) all other reasonable and documented out-of-pocket fees and expenses incurred by the Administrative Agent and the Lead Arranger in connection with its due diligence efforts and the syndication of the Loans and Commitments and the transactions contemplated by the Credit Documents and any consents, amendments, waivers or other modifications thereto; (h) without duplication of payments described in Section 2.20(c), all Other Taxes; and (i) after the occurrence and during the continuance of an Event of Default, all reasonable and documented out-of-pocket fees and expenses, including reasonable attorneys’ fees and costs of settlement, incurred by any Agent and the Lenders in enforcing any Obligations of or in collecting any payments due from any Credit Party hereunder or under the other Credit Documents by reason of such Event of Default (including in connection with the sale of, collection from, or other realization upon any of the Collateral or the enforcement of the Guaranty) or preservation of any right or remedy under any Credit Document or in connection with any refinancing or restructuring of the credit arrangements provided hereunder in the nature of a “work-out” or pursuant to any insolvency or bankruptcy cases or proceedings, limited, in the case of legal fees and expenses, to fees, disbursements and expenses of one counsel to the Agents and the Lenders taken as a whole (and one local counsel in each relevant jurisdiction (which may be a single local counsel acting in multiple jurisdictions) as may be necessary or advisable in the judgment of such Persons) and, solely in the event of an actual or potential conflict of interest between any Agent and the Lenders, where the Person or Persons affected by such conflict of interest inform the Borrower in writing of such conflict of interest, one additional counsel in each relevant jurisdiction to each group of affected Persons similarly situated taken as a whole. For the avoidance of doubt, no payment or expense reimbursement shall be made pursuant to this Section 10.2 in respect of Excluded Taxes.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2" w:name="page163"/>
    <w:bookmarkEnd w:id="162"/>
    <w:p>
      <w:pPr>
        <w:ind w:left="660"/>
        <w:spacing w:after="0"/>
        <w:tabs>
          <w:tab w:leader="none" w:pos="11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Indemnity; Certain Waivers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4" w:lineRule="auto"/>
        <w:tabs>
          <w:tab w:leader="none" w:pos="159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In addition to the payment of expenses pursuant to Section 10.2, each Credit Party agrees to indemnify, pay and hold harmless, each Agent, each Lender and each of their respective Related Persons (each,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from and against any and all Indemnified Liabilities;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Credit Party will have any obligation to any Indemnitee hereunder with respect to any Indemnified Liabilities to the extent such Indemnified Liabilities (i) arise from (A) the bad faith, gross negligence or willful misconduct of that Indemnitee or its Related Persons as determined by a court of competent jurisdiction in a final non-appealable judgment or (B) any material breach of the obligations of that Indemnitee or its Related Persons under this Agreement or any other Credit Document as determined by a court of competent jurisdiction in a final non-appealable judgment or (ii) relate to any dispute solely among Indemnitees other than (A) claims against an Agent, in its capacity as such or in fulfilling its role as an Agent, and (B) claims arising out of any act or omission on the part of any Credit Party or any Subsidiary or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subject to paragraph (c) below, no Indemnitee or any Credit Party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for which such Indemnitee is otherwise entitled to indemnification pursuant to this Section 10.3);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Credit Parties, taken as a whole, shall be responsible hereunder for the fees and expenses of only one counsel for each similarly situated group of affected Indemnitees in connection with Indemnified Liabilities arising out of the same facts or circumstances and, if reasonably necessary or advisable in the judgment of the Agents, a single local or foreign counsel to the Indemnitees taken as a whole in each relevant jurisdiction and, solely in the case of an actual or perceived conflict of interest, one additional primary counsel and one additional local or foreign counsel in each applicable jurisdiction, in each case, to each similarly situated group of affected Indemnitees. To the extent that the undertakings to defend, indemnify, pay and hold harmless set forth in this Section 10.3 may be unenforceable in whole or in part because they are violative of any law or public policy, the applicable Credit Party will contribute the maximum portion that it is permitted to pay and satisfy under applicable law to the payment and satisfaction of all Indemnified Liabilities incurred by Indemnitees or any of them. Notwithstanding anything to the contrary herein, the Credit Parties shall not be liable for any settlement of a claim in respect of which indemnification could have been sought by an Indemnitee under this Section 10.3(a) if such settlement is effected without the written consent of the Credit Parties (which consent shall not be unreasonably withheld or delayed), but if settled with the written consent of the Credit Parties or if there is a final and non-appealable judgment by a court of competent jurisdiction with respect to any such claim, the Credit Parties agree to indemnify and hold harmless each Indemnitee from and against any and all losses and reasonable and documented or invoiced legal or other out-of-pocket expenses by reason of such settlement or judgment in accordance with and to the extent provided in the other provisions of this Section 10.3. If the Credit Parties have reimbursed any Indemnitee for any legal or other expenses in accordance with such request and there is a final and non-appealable judicial determination that the Indemnitee was not entitled to indemnification or contribution rights with respect to such payment pursuant to this Section 10.3, then the Indemnitee shall promptly refund such amount. This Section 10.3 will not apply with respect to Taxes other than any Taxes that represent losses, claims, damages, etc. arising from any non-Tax claim.</w:t>
      </w:r>
    </w:p>
    <w:p>
      <w:pPr>
        <w:spacing w:after="0" w:line="167" w:lineRule="exact"/>
        <w:rPr>
          <w:rFonts w:ascii="Arial" w:cs="Arial" w:eastAsia="Arial" w:hAnsi="Arial"/>
          <w:sz w:val="16"/>
          <w:szCs w:val="16"/>
          <w:color w:val="auto"/>
        </w:rPr>
      </w:pPr>
    </w:p>
    <w:p>
      <w:pPr>
        <w:jc w:val="both"/>
        <w:ind w:firstLine="1142"/>
        <w:spacing w:after="0" w:line="257" w:lineRule="auto"/>
        <w:tabs>
          <w:tab w:leader="none" w:pos="158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To the extent that the Credit Parties fail to indefeasibly pay any amount required to be paid by them to the Agents under Sections 10.3(a) in accordance with Section 9.8(b), each Lender severally agrees to pay to the applicable Agent such Lender’s Pro Rata Share (determined as of the time that the applicable unreimbursed expense or indemnity payment is sought) of such unpaid amount (such indemnity will be effective whether or not the related losses, claims, damages, liabilities and related expenses are incurred or asserted by any party hereto or any third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claim was incurred by or asserted against any of the Agents.</w:t>
      </w:r>
    </w:p>
    <w:p>
      <w:pPr>
        <w:spacing w:after="0" w:line="187" w:lineRule="exact"/>
        <w:rPr>
          <w:rFonts w:ascii="Arial" w:cs="Arial" w:eastAsia="Arial" w:hAnsi="Arial"/>
          <w:sz w:val="18"/>
          <w:szCs w:val="18"/>
          <w:color w:val="auto"/>
        </w:rPr>
      </w:pPr>
    </w:p>
    <w:p>
      <w:pPr>
        <w:jc w:val="both"/>
        <w:ind w:firstLine="1142"/>
        <w:spacing w:after="0" w:line="272" w:lineRule="auto"/>
        <w:tabs>
          <w:tab w:leader="none" w:pos="160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No Indemnitee will be liable for any damages arising from the use by others of information or other materials obtained through electronic, telecommunications or other information transmission systems (including the Platform) and neither any Indemnitee nor any Credit Party (or any of their respective directors, officers, employees, controlling Persons, controlled affiliates or agents) will be liable for any indirect, special, punitive or consequential damages in connection with the Transactions, this Agreement or any other Credit Document (including the Facilities and the use of proceeds hereunder), or with respect to any activities or other transactions related to the Facilities;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in this sentence limits the Credit Parties’ indemnity and reimbursement obligations to the extent such special, indirect, punitive or consequential damages are included in any third party claim in connection with which such Indemnitee is entitled to indemnification hereunder.</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10.4 Set-Off</w:t>
      </w:r>
      <w:r>
        <w:rPr>
          <w:rFonts w:ascii="Arial" w:cs="Arial" w:eastAsia="Arial" w:hAnsi="Arial"/>
          <w:sz w:val="16"/>
          <w:szCs w:val="16"/>
          <w:color w:val="auto"/>
        </w:rPr>
        <w:t>. In addition to any rights now or hereafter granted under applicable law and not by way of limitation of any such rights,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any Event of Default each Lender is hereby authorized by each Credit Party at any time or from time to time subject to the consent of the Administrative Agent (such consent not to be unreasonably withheld or delayed), without notice to any Credit Party or to any other Person (other than the Administrative Agent),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or with any other Credit Document, irrespective of whether or not (a) such Lender will have made any demand hereunder or (b) the principal of or the interest on the Loans or any other amounts due hereunder will have become due and payable pursuant to Section 2 and although such obligations and liabilities, or any of them, may be contingent or unmatured. Notwithstanding the foregoing, nothing contained in this Section 10.4 shall provide any Lender with any recourse against Excluded Assets (as defined in the Pledge and Security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ind w:left="660"/>
        <w:spacing w:after="0"/>
        <w:tabs>
          <w:tab w:leader="none" w:pos="11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Amendments and Waivers</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5" w:lineRule="auto"/>
        <w:tabs>
          <w:tab w:leader="none" w:pos="153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amendment, modification, termination or waiver of any provision of the Credit Documents, or consent to any departure by any Credit Party therefrom, will in any event be effective without the written concurrence of the Required Lenders (or, solely in the case of the proviso in Section 8.1(a), Section 8.2(b) and the related rights and remedies upon the occurrence of a Term C Loan Payment Event of Default, the Required Term C Loan Lenders), except that (i) this Agreement and the other Credit Documents may be amended, modified or supplemented with the consent of the Borrower and the Administrative Agent to cure any ambiguity, omission, obvious error, defect or inconsistency, so long as such amendment, modification or supplement does not adversely affect the rights of any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will become effective until the fifth Business Day after it has been posted to the Lenders, and then only if the Required Lenders (or, solely in the case of the proviso in Section 8.1(a), Section 8.2(b) and the related rights and remedies upon the occurrence of a Term C Loan Payment Event of Default, the Required Term C Loan Lenders) have not objected in writing within such five (5) Business Day period, (ii) the Borrower and the Administrative Agent may enter into additional or supplemental Collateral Documents, (iii) the Administrative Agent may release Collateral or Guarantors in accordance with Section 9 of this Agreement and the Collateral Documents, (iv) this Agreement and the other Credit Documents may be amended, modified or supplemented with the consent of the Borrower (and any Lenders providing any such financing) to implement any Incremental Amendment in accordance with Section 2.24, any Refinancing Amendment in accordance with Section 2.26 or any Extension Amendment in accordance with Section 10.5(g)(iii), or any amendment entered into in connection with any Replacement Term Loans in accordance with Section 10.5(f)(ii), (v) this Agreement may be amended with the consent of the Borrower and the Administrative Agent to implement any amendment to the definition of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rPr>
        <w:t>Term SOFR</w:t>
      </w:r>
      <w:r>
        <w:rPr>
          <w:rFonts w:ascii="Arial" w:cs="Arial" w:eastAsia="Arial" w:hAnsi="Arial"/>
          <w:sz w:val="16"/>
          <w:szCs w:val="16"/>
          <w:color w:val="auto"/>
        </w:rPr>
        <w:t>” and related provisions pursuant to, and in accordance with requirements of, Section 2.18(b)(ii), (vi) this Agreement may be amended with the consent of the Borrower and the Administrative Agent to implement any amendment, adjustments or other modifications to reflect a change in fiscal year pursuant to Section 6.13 and (vii) the Agency Fee Letter may be amended by the parties thereto without the consent of any other Person.</w:t>
      </w:r>
    </w:p>
    <w:p>
      <w:pPr>
        <w:spacing w:after="0" w:line="389" w:lineRule="exact"/>
        <w:rPr>
          <w:rFonts w:ascii="Arial" w:cs="Arial" w:eastAsia="Arial" w:hAnsi="Arial"/>
          <w:sz w:val="16"/>
          <w:szCs w:val="16"/>
          <w:color w:val="auto"/>
        </w:rPr>
      </w:pPr>
    </w:p>
    <w:p>
      <w:pPr>
        <w:ind w:firstLine="1142"/>
        <w:spacing w:after="0" w:line="277" w:lineRule="auto"/>
        <w:tabs>
          <w:tab w:leader="none" w:pos="1569"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Affected Lenders’ Consent</w:t>
      </w:r>
      <w:r>
        <w:rPr>
          <w:rFonts w:ascii="Arial" w:cs="Arial" w:eastAsia="Arial" w:hAnsi="Arial"/>
          <w:sz w:val="18"/>
          <w:szCs w:val="18"/>
          <w:color w:val="auto"/>
        </w:rPr>
        <w:t>. No amendment, modification, termination, or consent of any provision of the Credit Documents will be effective if the effect thereof would:</w:t>
      </w:r>
    </w:p>
    <w:p>
      <w:pPr>
        <w:spacing w:after="0" w:line="170" w:lineRule="exact"/>
        <w:rPr>
          <w:rFonts w:ascii="Arial" w:cs="Arial" w:eastAsia="Arial" w:hAnsi="Arial"/>
          <w:sz w:val="18"/>
          <w:szCs w:val="18"/>
          <w:color w:val="auto"/>
        </w:rPr>
      </w:pPr>
    </w:p>
    <w:p>
      <w:pPr>
        <w:jc w:val="both"/>
        <w:ind w:left="1300" w:firstLine="652"/>
        <w:spacing w:after="0" w:line="311" w:lineRule="auto"/>
        <w:tabs>
          <w:tab w:leader="none" w:pos="233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extend the scheduled final maturity date of any Loan of any Lender without the written consent of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amendment, modification or waiver of any condition precedent, covenant, Default or Event of Default (other than a Default or Event of Default resulting from non-payment on the scheduled final maturity date) will constitute an extension of a final maturity date;</w:t>
      </w:r>
    </w:p>
    <w:p>
      <w:pPr>
        <w:spacing w:after="0" w:line="148" w:lineRule="exact"/>
        <w:rPr>
          <w:rFonts w:ascii="Arial" w:cs="Arial" w:eastAsia="Arial" w:hAnsi="Arial"/>
          <w:sz w:val="16"/>
          <w:szCs w:val="16"/>
          <w:color w:val="auto"/>
        </w:rPr>
      </w:pPr>
    </w:p>
    <w:p>
      <w:pPr>
        <w:jc w:val="both"/>
        <w:ind w:left="1300" w:firstLine="652"/>
        <w:spacing w:after="0" w:line="263" w:lineRule="auto"/>
        <w:tabs>
          <w:tab w:leader="none" w:pos="240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waive, reduce or postpone any scheduled repayment (but not prepayment or mandatory prepayment pursuant to Section 2.14, which will be governed by Section 10.5(a)) of any Term Loan held by any Lender pursuant to Section 2.12 without the written consent of such Lender;</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4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reduce the rate of interest on any Loan held by any Lender (other than (x) any waiver of any increase in the interest rate applicable to any Loan pursuant to Section 2.10 and (y) any amendment to the definition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and related provisions pursuant to Section 2.18(b)</w:t>
      </w:r>
      <w:r>
        <w:rPr>
          <w:rFonts w:ascii="Arial" w:cs="Arial" w:eastAsia="Arial" w:hAnsi="Arial"/>
          <w:sz w:val="18"/>
          <w:szCs w:val="18"/>
          <w:u w:val="single" w:color="auto"/>
          <w:color w:val="0000FF"/>
        </w:rPr>
        <w:t>(ii)</w:t>
      </w:r>
      <w:r>
        <w:rPr>
          <w:rFonts w:ascii="Arial" w:cs="Arial" w:eastAsia="Arial" w:hAnsi="Arial"/>
          <w:sz w:val="18"/>
          <w:szCs w:val="18"/>
          <w:color w:val="auto"/>
        </w:rPr>
        <w:t>) or any fee payable to a Lender under this Agreement without the written consent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-292100</wp:posOffset>
            </wp:positionV>
            <wp:extent cx="5657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-154940</wp:posOffset>
            </wp:positionV>
            <wp:extent cx="1460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left="1300" w:firstLine="652"/>
        <w:spacing w:after="0" w:line="259" w:lineRule="auto"/>
        <w:tabs>
          <w:tab w:leader="none" w:pos="245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waive or postpone any date scheduled for the payment of interest on any Loan held by any Lender or any fee or other amount (excluding the principal amount of any Loan held by a Lender) payable to a Lender under this Agreement (it being understood that the waiver of any mandatory prepayment pursuant to Section 2.14 will not constitute a waiver or postponement for the payment of interest);</w:t>
      </w:r>
    </w:p>
    <w:p>
      <w:pPr>
        <w:spacing w:after="0" w:line="186" w:lineRule="exact"/>
        <w:rPr>
          <w:rFonts w:ascii="Arial" w:cs="Arial" w:eastAsia="Arial" w:hAnsi="Arial"/>
          <w:sz w:val="18"/>
          <w:szCs w:val="18"/>
          <w:color w:val="auto"/>
        </w:rPr>
      </w:pPr>
    </w:p>
    <w:p>
      <w:pPr>
        <w:ind w:left="2340" w:hanging="388"/>
        <w:spacing w:after="0"/>
        <w:tabs>
          <w:tab w:leader="none" w:pos="2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reduce the principal amount of any Loan held by a Lender without the written consent of such Lender;</w:t>
      </w:r>
    </w:p>
    <w:p>
      <w:pPr>
        <w:spacing w:after="0" w:line="225" w:lineRule="exact"/>
        <w:rPr>
          <w:rFonts w:ascii="Arial" w:cs="Arial" w:eastAsia="Arial" w:hAnsi="Arial"/>
          <w:sz w:val="18"/>
          <w:szCs w:val="18"/>
          <w:color w:val="auto"/>
        </w:rPr>
      </w:pPr>
    </w:p>
    <w:p>
      <w:pPr>
        <w:ind w:left="1300" w:firstLine="652"/>
        <w:spacing w:after="0" w:line="277" w:lineRule="auto"/>
        <w:tabs>
          <w:tab w:leader="none" w:pos="243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amend, modify, terminate or waive any provision of Section 10.5(a), this Section 10.5(b) or Section 10.5(c) without the written consent of all Lenders;</w:t>
      </w:r>
    </w:p>
    <w:p>
      <w:pPr>
        <w:spacing w:after="0" w:line="170" w:lineRule="exact"/>
        <w:rPr>
          <w:rFonts w:ascii="Arial" w:cs="Arial" w:eastAsia="Arial" w:hAnsi="Arial"/>
          <w:sz w:val="18"/>
          <w:szCs w:val="18"/>
          <w:color w:val="auto"/>
        </w:rPr>
      </w:pPr>
    </w:p>
    <w:p>
      <w:pPr>
        <w:jc w:val="both"/>
        <w:ind w:left="1300" w:firstLine="652"/>
        <w:spacing w:after="0" w:line="271" w:lineRule="auto"/>
        <w:tabs>
          <w:tab w:leader="none" w:pos="244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amend the definition of “Required Lenders” or “Pro Rata Share” without the written consent of all Lenders, or amend the definition of “Required Term C Loan Lenders” without the written consent of all Lenders with Term C Loan Exposure;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the consent of the Required Lenders, additional extensions of credit pursuant hereto may be included in the determination of “Required Lenders” or “Pro Rata Share” on substantially the same basis as the Initial Term B Loan Commitments, the Initial Term B Loans, the Term C Loan Commitments and the Term C Loans are included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such definitions may also be amended in furtherance of any amendment permitted by another subsection of this Section 10.5(b) with the consent of such Persons as are required by such subsection (it being understood, however, that nothing in this clause (vii) shall be construed to limit changes to such definitions otherwise permitted by Section 10.5(a)(iv));</w:t>
      </w:r>
    </w:p>
    <w:p>
      <w:pPr>
        <w:spacing w:after="0" w:line="178" w:lineRule="exact"/>
        <w:rPr>
          <w:rFonts w:ascii="Arial" w:cs="Arial" w:eastAsia="Arial" w:hAnsi="Arial"/>
          <w:sz w:val="17"/>
          <w:szCs w:val="17"/>
          <w:color w:val="auto"/>
        </w:rPr>
      </w:pPr>
    </w:p>
    <w:p>
      <w:pPr>
        <w:ind w:left="2500" w:hanging="548"/>
        <w:spacing w:after="0"/>
        <w:tabs>
          <w:tab w:leader="none" w:pos="2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amend, modify, terminate or waive any provision of Section 10.6(j) without the written consent of all Lenders;</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55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release, or subordinate the Collateral Agent’s Liens on, all or substantially all of the Collateral or release all or substantially all of the Guarantors from the Guaranty, except as expressly provided in this Agreement or any of the Collateral Documents, or in connection with securing additional secured obligations equally and ratably with the other Obligations in accordance with the Credit Documents, without the written consent of all Lenders;</w:t>
      </w:r>
    </w:p>
    <w:p>
      <w:pPr>
        <w:spacing w:after="0" w:line="186" w:lineRule="exact"/>
        <w:rPr>
          <w:rFonts w:ascii="Arial" w:cs="Arial" w:eastAsia="Arial" w:hAnsi="Arial"/>
          <w:sz w:val="18"/>
          <w:szCs w:val="18"/>
          <w:color w:val="auto"/>
        </w:rPr>
      </w:pPr>
    </w:p>
    <w:p>
      <w:pPr>
        <w:ind w:left="1300" w:firstLine="652"/>
        <w:spacing w:after="0" w:line="277" w:lineRule="auto"/>
        <w:tabs>
          <w:tab w:leader="none" w:pos="237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consent to the assignment or transfer by any Credit Party of any of its rights and obligations under any Credit Document without the written consent of all Lenders;</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subordinate the Obligations under the Credit Documents to any other Indebtedness without the written consent of all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Lenders; or</w:t>
      </w:r>
    </w:p>
    <w:p>
      <w:pPr>
        <w:spacing w:after="0" w:line="210" w:lineRule="exact"/>
        <w:rPr>
          <w:rFonts w:ascii="Arial" w:cs="Arial" w:eastAsia="Arial" w:hAnsi="Arial"/>
          <w:sz w:val="16"/>
          <w:szCs w:val="16"/>
          <w:color w:val="auto"/>
        </w:rPr>
      </w:pPr>
    </w:p>
    <w:p>
      <w:pPr>
        <w:jc w:val="both"/>
        <w:ind w:left="1300" w:firstLine="652"/>
        <w:spacing w:after="0" w:line="259" w:lineRule="auto"/>
        <w:tabs>
          <w:tab w:leader="none" w:pos="25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amend or modify the definition of “Secured Swap Provider”, “Obligations”, “Secured Rate Contracts”, “Bank Products” and “Bank Product Provider”, in each case, in a manner materially adverse to any Secured Swap Provider or Bank Product Provider (as applicable) holding outstanding Obligations under Secured Rate Contracts or Bank Products (as applicable) at such time without the written consent of such Person;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Required Lenders may waive any increase in the interest rate applicable to any Loan or other Obligation pursuant to Section 2.10.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5" w:name="page166"/>
    <w:bookmarkEnd w:id="165"/>
    <w:p>
      <w:pPr>
        <w:jc w:val="both"/>
        <w:ind w:firstLine="1142"/>
        <w:spacing w:after="0" w:line="255" w:lineRule="auto"/>
        <w:tabs>
          <w:tab w:leader="none" w:pos="1568"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Other Consents</w:t>
      </w:r>
      <w:r>
        <w:rPr>
          <w:rFonts w:ascii="Arial" w:cs="Arial" w:eastAsia="Arial" w:hAnsi="Arial"/>
          <w:sz w:val="18"/>
          <w:szCs w:val="18"/>
          <w:color w:val="auto"/>
        </w:rPr>
        <w:t>. No amendment, waiver or consent will, unless in writing and signed by the Administrative Agent or the Collateral Agent, as applicable, in addition to the Required Lenders, the Required Term C Loan Lenders or all Lenders directly affected thereby, as the case may be (or by Administrative Agent with the consent of the Required Lenders, the Required Term C Loan Lenders or all the Lenders directly affected thereby, as the case may be), affect the rights or duties of the Administrative Agent or the Collateral Agent, as applicable, in its capacity as such, under this Agreement or any other Credit Document. Further, no amendment, modification, termination or waiver of any provision of the Credit Documents, or consent to any departure by any Credit Party therefrom, will:</w:t>
      </w:r>
    </w:p>
    <w:p>
      <w:pPr>
        <w:spacing w:after="0" w:line="192" w:lineRule="exact"/>
        <w:rPr>
          <w:rFonts w:ascii="Arial" w:cs="Arial" w:eastAsia="Arial" w:hAnsi="Arial"/>
          <w:sz w:val="18"/>
          <w:szCs w:val="18"/>
          <w:color w:val="auto"/>
        </w:rPr>
      </w:pPr>
    </w:p>
    <w:p>
      <w:pPr>
        <w:jc w:val="both"/>
        <w:ind w:left="1300" w:firstLine="652"/>
        <w:spacing w:after="0" w:line="311" w:lineRule="auto"/>
        <w:tabs>
          <w:tab w:leader="none" w:pos="238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increase or extend any Term Loan Commitment or Incremental Revolving Credit Commitment of any Lender over the amount thereof then in effect without the consent of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amendment, modification or waiver of any condition precedent, covenant, Default or Event of Default will constitute an increase in or extension of any Commitment of any Lender;</w:t>
      </w:r>
    </w:p>
    <w:p>
      <w:pPr>
        <w:spacing w:after="0" w:line="148" w:lineRule="exact"/>
        <w:rPr>
          <w:rFonts w:ascii="Arial" w:cs="Arial" w:eastAsia="Arial" w:hAnsi="Arial"/>
          <w:sz w:val="16"/>
          <w:szCs w:val="16"/>
          <w:color w:val="auto"/>
        </w:rPr>
      </w:pPr>
    </w:p>
    <w:p>
      <w:pPr>
        <w:ind w:left="2360" w:hanging="408"/>
        <w:spacing w:after="0"/>
        <w:tabs>
          <w:tab w:leader="none" w:pos="23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300" w:firstLine="652"/>
        <w:spacing w:after="0" w:line="296" w:lineRule="auto"/>
        <w:tabs>
          <w:tab w:leader="none" w:pos="243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 xml:space="preserve">alter the required application of any repayments or prepayments (including payments made from proceeds of Collateral) as between Classes pursuant to Section 2.15 or Section 8.3 or modify Section 2.17 without the consent of all Lenders, Bank Product Providers and Secured Swap Providers of each class which is being allocated a lesser repayment or prepayment (including payments made from proceeds of Collateral) as a result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Required Lenders may waive, in whole or in part, any prepayment so long as the application, as between Classes, of any portion of such prepayment which is still required to be made is not altered; or</w:t>
      </w:r>
    </w:p>
    <w:p>
      <w:pPr>
        <w:spacing w:after="0" w:line="161" w:lineRule="exact"/>
        <w:rPr>
          <w:rFonts w:ascii="Arial" w:cs="Arial" w:eastAsia="Arial" w:hAnsi="Arial"/>
          <w:sz w:val="16"/>
          <w:szCs w:val="16"/>
          <w:color w:val="auto"/>
        </w:rPr>
      </w:pPr>
    </w:p>
    <w:p>
      <w:pPr>
        <w:ind w:left="1300" w:firstLine="652"/>
        <w:spacing w:after="0" w:line="308" w:lineRule="auto"/>
        <w:tabs>
          <w:tab w:leader="none" w:pos="243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amend, modify, terminate or waive any provision of Section 9 as the same applies to any Agent, or any other provision hereof as the same applies to the rights or obligations of any Agent, in each case without the consent of such Agent.</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the foregoing, unless and until a Term C Loan Payment Cross Default has occurred and remains continuing, only the consent of the Required Term C Loan Lenders shall be necessary to, and upon the occurrence of a Term C Loan Payment Cross Default, the consent of the Required Lenders shall be necessary to (i) exercise any rights or remedies or take any action specified in Section 8.2(a) in respect of any Term C Loan Payment Event of Default and (ii) amend or modify this sentence, the proviso appearing in Section 8.1(a), Section 8.2(b) or the related provisions in Sections 9.3(c), 10.7 and 10.12(b) (including the related definitions as used in such Sections, but not as used in other Sections of this Agreement) and no such exercise, action, amendment or modification shall be permitted (x) without the consent of the Required Term C Loan Lenders (unless and until a Term C Loan Payment Cross Default has occurred) and (y) without the consent of the Required Lenders (upon the occurrence and during the continuance of a Term C Loan Payment Cross Default). For the avoidance of doubt, no amendment, modification, waiver or consent to any Term C Loan Payment Event of Default shall be permitted without the consent of each Lender with Term C Loan Exposure.</w:t>
      </w:r>
    </w:p>
    <w:p>
      <w:pPr>
        <w:spacing w:after="0" w:line="181" w:lineRule="exact"/>
        <w:rPr>
          <w:sz w:val="20"/>
          <w:szCs w:val="20"/>
          <w:color w:val="auto"/>
        </w:rPr>
      </w:pPr>
    </w:p>
    <w:p>
      <w:pPr>
        <w:jc w:val="both"/>
        <w:ind w:firstLine="1142"/>
        <w:spacing w:after="0" w:line="290" w:lineRule="auto"/>
        <w:tabs>
          <w:tab w:leader="none" w:pos="157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Execution of Amendments, etc</w:t>
      </w:r>
      <w:r>
        <w:rPr>
          <w:rFonts w:ascii="Arial" w:cs="Arial" w:eastAsia="Arial" w:hAnsi="Arial"/>
          <w:sz w:val="16"/>
          <w:szCs w:val="16"/>
          <w:color w:val="auto"/>
        </w:rPr>
        <w:t>. The Administrative Agent may, but will have no obligation to, with the concurrence of any Lender, execute amendments, modifications, waivers or consents on behalf of such Lender. Any waiver or consent will be effective only in the specific instance and for the specific purpose for which it was given. No notice to or demand on any Credit Party in any case will entitle any Credit Party to any other or further notice or demand in similar or other circumstances. Any amendment, modification, termination, waiver or consent effected in accordance with this Section 10.5 will be binding upon each Lender at the time outstanding, each future Lender and, if signed by a Credit Party, on such Credit Party. Without limiting the generality of the foregoing, the making of a Loan will not be construed as a waiver of any Default, regardless of whether any Agent or any Lender may have had notice or knowledge of such Default at the time. No notice or demand on the Borrower or any other Credit Party in any case will entitle the Borrower or any other Credit Party to any other or further notice or demand in similar or other circumstances.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6" w:name="page167"/>
    <w:bookmarkEnd w:id="166"/>
    <w:p>
      <w:pPr>
        <w:jc w:val="both"/>
        <w:ind w:firstLine="1142"/>
        <w:spacing w:after="0" w:line="269" w:lineRule="auto"/>
        <w:tabs>
          <w:tab w:leader="none" w:pos="161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Intercreditor Agreements and Subordination Agreements</w:t>
      </w:r>
      <w:r>
        <w:rPr>
          <w:rFonts w:ascii="Arial" w:cs="Arial" w:eastAsia="Arial" w:hAnsi="Arial"/>
          <w:sz w:val="17"/>
          <w:szCs w:val="17"/>
          <w:color w:val="auto"/>
        </w:rPr>
        <w:t xml:space="preserve">. Notwithstanding anything to the contrary in this Agreement, no Lender consent is required to enter into, amend or supplement any Pari Passu Lien Intercreditor Agreement, any Junior Lien Intercreditor Agreement or any Subordination Agreement, in any such case that is (i) for the purpose of adding the holders of Pari Passu Lien Indebtedness, Junior Lien Indebtedness or Subordinated Debt (or a Debt Representative with respect thereto), as applicable, permitted hereunder as parties thereto (regardless of whether also constituting Incremental Equivalent Debt, Credit Agreement Refinancing Indebtedness, Permitted Ratio Debt or other category of Indebtedness hereunder), as expressly contemplated by the terms of such Pari Passu Lien Intercreditor Agreement, such Junior Lien Intercreditor Agreement or such Subordination Agreement (it being understood that any such amendment or supplement may make such other changes to the applicable intercreditor or subordination agreement as determined by the Administrative Agent, are required to effectuate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other changes are not adverse, in any material respect, to the interests of the Lenders) or (ii) expressly contemplated by any Pari Passu Lien Intercreditor Agreement, any Junior Lien Intercreditor Agreement or any Subordination Agreement.</w:t>
      </w:r>
    </w:p>
    <w:p>
      <w:pPr>
        <w:spacing w:after="0" w:line="185" w:lineRule="exact"/>
        <w:rPr>
          <w:rFonts w:ascii="Arial" w:cs="Arial" w:eastAsia="Arial" w:hAnsi="Arial"/>
          <w:sz w:val="17"/>
          <w:szCs w:val="17"/>
          <w:color w:val="auto"/>
        </w:rPr>
      </w:pPr>
    </w:p>
    <w:p>
      <w:pPr>
        <w:ind w:left="1500" w:hanging="358"/>
        <w:spacing w:after="0"/>
        <w:tabs>
          <w:tab w:leader="none" w:pos="15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Additional Amendments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71" w:lineRule="auto"/>
        <w:tabs>
          <w:tab w:leader="none" w:pos="2327" w:val="left"/>
        </w:tabs>
        <w:numPr>
          <w:ilvl w:val="1"/>
          <w:numId w:val="207"/>
        </w:numPr>
        <w:rPr>
          <w:rFonts w:ascii="Arial" w:cs="Arial" w:eastAsia="Arial" w:hAnsi="Arial"/>
          <w:sz w:val="17"/>
          <w:szCs w:val="17"/>
          <w:color w:val="auto"/>
        </w:rPr>
      </w:pPr>
      <w:r>
        <w:rPr>
          <w:rFonts w:ascii="Arial" w:cs="Arial" w:eastAsia="Arial" w:hAnsi="Arial"/>
          <w:sz w:val="17"/>
          <w:szCs w:val="17"/>
          <w:color w:val="auto"/>
        </w:rPr>
        <w:t>Nothing herein will be deemed to prohibit an amendment and/or amendment and restatement of this Agreement consented to by the Required Lenders, the Borrower and the Administrative Agent (A) to add one or more additional credit facilities to this Agreement (it being understood that no Lender will have any obligation to provide or to commit to provide all or any portion of any such additional credit facility) and to permit the extensions of credit from time to time outstanding thereunder and the accrued interest and fees in respect thereof to share ratably in the benefits of this Agreement and the other Credit Documents with the Term Loans and the accrued interest and fees in respect thereof and (B) to effect the amendments contemplated by the proviso in Section 10.5(b)(vii) and to make such other amendments to this Agreement and the other Credit Documents as may be necessary or appropriate, in the opinion of the Administrative Agent to provide for such additional credit facility.</w:t>
      </w:r>
    </w:p>
    <w:p>
      <w:pPr>
        <w:spacing w:after="0" w:line="178" w:lineRule="exact"/>
        <w:rPr>
          <w:rFonts w:ascii="Arial" w:cs="Arial" w:eastAsia="Arial" w:hAnsi="Arial"/>
          <w:sz w:val="17"/>
          <w:szCs w:val="17"/>
          <w:color w:val="auto"/>
        </w:rPr>
      </w:pPr>
    </w:p>
    <w:p>
      <w:pPr>
        <w:jc w:val="both"/>
        <w:ind w:left="1300" w:firstLine="652"/>
        <w:spacing w:after="0" w:line="285" w:lineRule="auto"/>
        <w:tabs>
          <w:tab w:leader="none" w:pos="235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In addition, notwithstanding the foregoing, this Agreement may be amended with the written consent of the Administrative Agent, the Borrower and the Lenders providing the relevant Replacement Term Loans (as defined below) to permit the refinancing or exchange of all outstanding Term Loans (other than Term C Loans) of any tranche (“</w:t>
      </w:r>
      <w:r>
        <w:rPr>
          <w:rFonts w:ascii="Arial" w:cs="Arial" w:eastAsia="Arial" w:hAnsi="Arial"/>
          <w:sz w:val="16"/>
          <w:szCs w:val="16"/>
          <w:b w:val="1"/>
          <w:bCs w:val="1"/>
          <w:color w:val="auto"/>
        </w:rPr>
        <w:t>Refinanced Term Loans</w:t>
      </w:r>
      <w:r>
        <w:rPr>
          <w:rFonts w:ascii="Arial" w:cs="Arial" w:eastAsia="Arial" w:hAnsi="Arial"/>
          <w:sz w:val="16"/>
          <w:szCs w:val="16"/>
          <w:color w:val="auto"/>
        </w:rPr>
        <w:t>”) with a replacement term loan tranche hereunder (“</w:t>
      </w:r>
      <w:r>
        <w:rPr>
          <w:rFonts w:ascii="Arial" w:cs="Arial" w:eastAsia="Arial" w:hAnsi="Arial"/>
          <w:sz w:val="16"/>
          <w:szCs w:val="16"/>
          <w:b w:val="1"/>
          <w:bCs w:val="1"/>
          <w:color w:val="auto"/>
        </w:rPr>
        <w:t>Replacement Term Loans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aggregate principal amount of such Replacement Term Loans will not exceed the aggregate principal amount of such Refinanced Term Loans plus any interest, premium or other amounts due with respect to such Refinanced Term Loans, (B) the scheduled final maturity of such Replacement Term Loans will not be sooner than the scheduled final maturity of such Refinanced Term Loans at the time of such refinancing, (C) the Weighted Average Life to Maturity of such Replacement Term Loans will not be shorter than the Weighted Average Life to Maturity of such Refinanced Term Loans at the time of such refinancing, and (D) the other terms applicable to such Indebtedness are substantially identical to, or (taken as a whole as determined by the Borrower in good faith) are no more favorable to the lenders providing such Replacement Term Loans than, those applicable to the Refinanced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(D) will not apply to (1) interest rate, fees, funding discounts and other pricing terms, (2) redemption, prepayment or other premiums, (3) optional prepayment terms, and (4) covenants and other terms that are (i) applied to the Term Loans existing at the time of incurrence of such Replacement Term Loans (so that existing Lenders also receive the benefit of such provisions) and/or (ii) applicable only to periods after the Latest Term Loan Maturity Date at the time of incurrence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a certificate of the Borrower delivered to the Administrative Agent stating that the Borrower has reasonably determined in good faith that such terms and conditions satisfy the foregoing requirement shall be conclusive evidence that the terms and conditions satisfy the foregoing requirement.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7" w:name="page168"/>
    <w:bookmarkEnd w:id="167"/>
    <w:p>
      <w:pPr>
        <w:ind w:left="420" w:hanging="398"/>
        <w:spacing w:after="0"/>
        <w:tabs>
          <w:tab w:leader="none" w:pos="42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180" w:firstLine="490"/>
        <w:spacing w:after="0" w:line="270" w:lineRule="auto"/>
        <w:tabs>
          <w:tab w:leader="none" w:pos="1083" w:val="left"/>
        </w:tabs>
        <w:numPr>
          <w:ilvl w:val="1"/>
          <w:numId w:val="20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pursuant to one or more offers (each, an “</w:t>
      </w:r>
      <w:r>
        <w:rPr>
          <w:rFonts w:ascii="Arial" w:cs="Arial" w:eastAsia="Arial" w:hAnsi="Arial"/>
          <w:sz w:val="17"/>
          <w:szCs w:val="17"/>
          <w:b w:val="1"/>
          <w:bCs w:val="1"/>
          <w:color w:val="auto"/>
        </w:rPr>
        <w:t>Extension Offer</w:t>
      </w:r>
      <w:r>
        <w:rPr>
          <w:rFonts w:ascii="Arial" w:cs="Arial" w:eastAsia="Arial" w:hAnsi="Arial"/>
          <w:sz w:val="17"/>
          <w:szCs w:val="17"/>
          <w:color w:val="auto"/>
        </w:rPr>
        <w:t xml:space="preserve">”) made from time to time by the Borrower to all Lenders holding Term Loans (other than Term C Loans) with a like maturity date, in each case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aggregate outstanding principal amount of such respective Term Loans) and on the same terms to each such Lender, the Borrower is hereby permitted to consummate from time to time transactions with individual Lenders that accept the terms contained in such Extension Offers to extend the maturity date and/or commitment termination of each such Lender’s Term Loans of such class, and, subject to the terms hereof, otherwise modify the terms of such Term Loans pursuant to the terms of the relevant Extension Offer (including by increasing the interest rate and/or fees payable in respect of such Term Loans (and related outstandings) and/or modifying the amortization schedule in respect of such Lender’s Term Loans) (each, an “</w:t>
      </w:r>
      <w:r>
        <w:rPr>
          <w:rFonts w:ascii="Arial" w:cs="Arial" w:eastAsia="Arial" w:hAnsi="Arial"/>
          <w:sz w:val="17"/>
          <w:szCs w:val="17"/>
          <w:b w:val="1"/>
          <w:bCs w:val="1"/>
          <w:color w:val="auto"/>
        </w:rPr>
        <w:t>Extension</w:t>
      </w:r>
      <w:r>
        <w:rPr>
          <w:rFonts w:ascii="Arial" w:cs="Arial" w:eastAsia="Arial" w:hAnsi="Arial"/>
          <w:sz w:val="17"/>
          <w:szCs w:val="17"/>
          <w:color w:val="auto"/>
        </w:rPr>
        <w:t>” and each group of Term Loans, in each case as so extended, as well as the original Term Loans, being a separate “</w:t>
      </w:r>
      <w:r>
        <w:rPr>
          <w:rFonts w:ascii="Arial" w:cs="Arial" w:eastAsia="Arial" w:hAnsi="Arial"/>
          <w:sz w:val="17"/>
          <w:szCs w:val="17"/>
          <w:b w:val="1"/>
          <w:bCs w:val="1"/>
          <w:color w:val="auto"/>
        </w:rPr>
        <w:t>tranche</w:t>
      </w:r>
      <w:r>
        <w:rPr>
          <w:rFonts w:ascii="Arial" w:cs="Arial" w:eastAsia="Arial" w:hAnsi="Arial"/>
          <w:sz w:val="17"/>
          <w:szCs w:val="17"/>
          <w:color w:val="auto"/>
        </w:rPr>
        <w:t>”), so long as the following terms are satisfied:</w:t>
      </w:r>
    </w:p>
    <w:p>
      <w:pPr>
        <w:spacing w:after="0" w:line="180" w:lineRule="exact"/>
        <w:rPr>
          <w:rFonts w:ascii="Arial" w:cs="Arial" w:eastAsia="Arial" w:hAnsi="Arial"/>
          <w:sz w:val="17"/>
          <w:szCs w:val="17"/>
          <w:color w:val="auto"/>
        </w:rPr>
      </w:pPr>
    </w:p>
    <w:p>
      <w:pPr>
        <w:ind w:left="500" w:firstLine="494"/>
        <w:spacing w:after="0" w:line="277" w:lineRule="auto"/>
        <w:tabs>
          <w:tab w:leader="none" w:pos="1411" w:val="left"/>
        </w:tabs>
        <w:numPr>
          <w:ilvl w:val="2"/>
          <w:numId w:val="208"/>
        </w:numPr>
        <w:rPr>
          <w:rFonts w:ascii="Arial" w:cs="Arial" w:eastAsia="Arial" w:hAnsi="Arial"/>
          <w:sz w:val="18"/>
          <w:szCs w:val="18"/>
          <w:color w:val="auto"/>
        </w:rPr>
      </w:pPr>
      <w:r>
        <w:rPr>
          <w:rFonts w:ascii="Arial" w:cs="Arial" w:eastAsia="Arial" w:hAnsi="Arial"/>
          <w:sz w:val="18"/>
          <w:szCs w:val="18"/>
          <w:color w:val="auto"/>
        </w:rPr>
        <w:t>no Default or Event of Default will have occurred and be continuing at the time the Extension Offer is delivered to the Lenders or at the time of such Extension;</w:t>
      </w:r>
    </w:p>
    <w:p>
      <w:pPr>
        <w:spacing w:after="0" w:line="170" w:lineRule="exact"/>
        <w:rPr>
          <w:rFonts w:ascii="Arial" w:cs="Arial" w:eastAsia="Arial" w:hAnsi="Arial"/>
          <w:sz w:val="18"/>
          <w:szCs w:val="18"/>
          <w:color w:val="auto"/>
        </w:rPr>
      </w:pPr>
    </w:p>
    <w:p>
      <w:pPr>
        <w:jc w:val="both"/>
        <w:ind w:left="500" w:firstLine="494"/>
        <w:spacing w:after="0" w:line="291" w:lineRule="auto"/>
        <w:tabs>
          <w:tab w:leader="none" w:pos="1509" w:val="left"/>
        </w:tabs>
        <w:numPr>
          <w:ilvl w:val="2"/>
          <w:numId w:val="208"/>
        </w:numPr>
        <w:rPr>
          <w:rFonts w:ascii="Arial" w:cs="Arial" w:eastAsia="Arial" w:hAnsi="Arial"/>
          <w:sz w:val="16"/>
          <w:szCs w:val="16"/>
          <w:color w:val="auto"/>
        </w:rPr>
      </w:pPr>
      <w:r>
        <w:rPr>
          <w:rFonts w:ascii="Arial" w:cs="Arial" w:eastAsia="Arial" w:hAnsi="Arial"/>
          <w:sz w:val="16"/>
          <w:szCs w:val="16"/>
          <w:color w:val="auto"/>
        </w:rPr>
        <w:t>except as to interest rates, rate floors, fees, amortization, final maturity date, Weighted Average Life to Maturity, premium, required prepayment dates and participation in prepayments (which will, subject to the immediately succeeding clauses</w:t>
      </w:r>
    </w:p>
    <w:p>
      <w:pPr>
        <w:jc w:val="both"/>
        <w:ind w:left="500"/>
        <w:spacing w:after="0" w:line="271" w:lineRule="auto"/>
        <w:rPr>
          <w:rFonts w:ascii="Arial" w:cs="Arial" w:eastAsia="Arial" w:hAnsi="Arial"/>
          <w:sz w:val="16"/>
          <w:szCs w:val="16"/>
          <w:color w:val="auto"/>
        </w:rPr>
      </w:pPr>
      <w:r>
        <w:rPr>
          <w:rFonts w:ascii="Arial" w:cs="Arial" w:eastAsia="Arial" w:hAnsi="Arial"/>
          <w:sz w:val="17"/>
          <w:szCs w:val="17"/>
          <w:color w:val="auto"/>
        </w:rPr>
        <w:t>(3), (4), and (5), be determined by the Borrower and set forth in the relevant Extension Offer, subject to acceptance by the Extended Term Lenders), the Term Loans of any Lender that agrees to an Extension with respect to such Term Loans owed to it (an “</w:t>
      </w:r>
      <w:r>
        <w:rPr>
          <w:rFonts w:ascii="Arial" w:cs="Arial" w:eastAsia="Arial" w:hAnsi="Arial"/>
          <w:sz w:val="17"/>
          <w:szCs w:val="17"/>
          <w:b w:val="1"/>
          <w:bCs w:val="1"/>
          <w:color w:val="auto"/>
        </w:rPr>
        <w:t>Extended</w:t>
      </w:r>
      <w:r>
        <w:rPr>
          <w:rFonts w:ascii="Arial" w:cs="Arial" w:eastAsia="Arial" w:hAnsi="Arial"/>
          <w:sz w:val="17"/>
          <w:szCs w:val="17"/>
          <w:color w:val="auto"/>
        </w:rPr>
        <w:t xml:space="preserve"> </w:t>
      </w:r>
      <w:r>
        <w:rPr>
          <w:rFonts w:ascii="Arial" w:cs="Arial" w:eastAsia="Arial" w:hAnsi="Arial"/>
          <w:sz w:val="17"/>
          <w:szCs w:val="17"/>
          <w:b w:val="1"/>
          <w:bCs w:val="1"/>
          <w:color w:val="auto"/>
        </w:rPr>
        <w:t>Term Lender</w:t>
      </w:r>
      <w:r>
        <w:rPr>
          <w:rFonts w:ascii="Arial" w:cs="Arial" w:eastAsia="Arial" w:hAnsi="Arial"/>
          <w:sz w:val="17"/>
          <w:szCs w:val="17"/>
          <w:color w:val="auto"/>
        </w:rPr>
        <w:t>”) extended pursuant to any Extension (“</w:t>
      </w:r>
      <w:r>
        <w:rPr>
          <w:rFonts w:ascii="Arial" w:cs="Arial" w:eastAsia="Arial" w:hAnsi="Arial"/>
          <w:sz w:val="17"/>
          <w:szCs w:val="17"/>
          <w:b w:val="1"/>
          <w:bCs w:val="1"/>
          <w:color w:val="auto"/>
        </w:rPr>
        <w:t>Extended Term Loans</w:t>
      </w:r>
      <w:r>
        <w:rPr>
          <w:rFonts w:ascii="Arial" w:cs="Arial" w:eastAsia="Arial" w:hAnsi="Arial"/>
          <w:sz w:val="17"/>
          <w:szCs w:val="17"/>
          <w:color w:val="auto"/>
        </w:rPr>
        <w:t>”) will have the same terms as the tranche of Term</w:t>
      </w:r>
      <w:r>
        <w:rPr>
          <w:rFonts w:ascii="Arial" w:cs="Arial" w:eastAsia="Arial" w:hAnsi="Arial"/>
          <w:sz w:val="17"/>
          <w:szCs w:val="17"/>
          <w:b w:val="1"/>
          <w:bCs w:val="1"/>
          <w:color w:val="auto"/>
        </w:rPr>
        <w:t xml:space="preserve"> </w:t>
      </w:r>
      <w:r>
        <w:rPr>
          <w:rFonts w:ascii="Arial" w:cs="Arial" w:eastAsia="Arial" w:hAnsi="Arial"/>
          <w:sz w:val="17"/>
          <w:szCs w:val="17"/>
          <w:color w:val="auto"/>
        </w:rPr>
        <w:t>Loans subject to such Extension Offer (except for covenants or other provisions contained therein or other provisions contained therein applicable only to periods after the then Latest Term Loan Maturity Date);</w:t>
      </w:r>
    </w:p>
    <w:p>
      <w:pPr>
        <w:spacing w:after="0" w:line="178" w:lineRule="exact"/>
        <w:rPr>
          <w:rFonts w:ascii="Arial" w:cs="Arial" w:eastAsia="Arial" w:hAnsi="Arial"/>
          <w:sz w:val="16"/>
          <w:szCs w:val="16"/>
          <w:color w:val="auto"/>
        </w:rPr>
      </w:pPr>
    </w:p>
    <w:p>
      <w:pPr>
        <w:ind w:left="500" w:firstLine="494"/>
        <w:spacing w:after="0" w:line="277" w:lineRule="auto"/>
        <w:tabs>
          <w:tab w:leader="none" w:pos="1422"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the final maturity date of any Extended Term Loans will be no earlier than the Latest Term Loan Maturity Date of the Term Loans extended thereby;</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68" w:name="page169"/>
    <w:bookmarkEnd w:id="168"/>
    <w:p>
      <w:pPr>
        <w:ind w:left="500" w:firstLine="494"/>
        <w:spacing w:after="0" w:line="277" w:lineRule="auto"/>
        <w:tabs>
          <w:tab w:leader="none" w:pos="144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will be no shorter than the remaining Weighted Average Life to Maturity of the Term Loans extended thereby;</w:t>
      </w:r>
    </w:p>
    <w:p>
      <w:pPr>
        <w:spacing w:after="0" w:line="170" w:lineRule="exact"/>
        <w:rPr>
          <w:rFonts w:ascii="Arial" w:cs="Arial" w:eastAsia="Arial" w:hAnsi="Arial"/>
          <w:sz w:val="18"/>
          <w:szCs w:val="18"/>
          <w:color w:val="auto"/>
        </w:rPr>
      </w:pPr>
    </w:p>
    <w:p>
      <w:pPr>
        <w:jc w:val="both"/>
        <w:ind w:left="500" w:firstLine="494"/>
        <w:spacing w:after="0" w:line="279" w:lineRule="auto"/>
        <w:tabs>
          <w:tab w:leader="none" w:pos="14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any Extended Term Loans may participate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a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(except that such Extended Term Loans may not participate on a greater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compared to any earlier or equivalent maturing Class of Term Loans (other than pursuant to a refinancing)) with non-extending tranches of Term Loans in any mandatory prepayments hereunder, in each case as specified in the respective Extension Offer;</w:t>
      </w:r>
    </w:p>
    <w:p>
      <w:pPr>
        <w:spacing w:after="0" w:line="171" w:lineRule="exact"/>
        <w:rPr>
          <w:rFonts w:ascii="Arial" w:cs="Arial" w:eastAsia="Arial" w:hAnsi="Arial"/>
          <w:sz w:val="17"/>
          <w:szCs w:val="17"/>
          <w:color w:val="auto"/>
        </w:rPr>
      </w:pPr>
    </w:p>
    <w:p>
      <w:pPr>
        <w:ind w:left="1380" w:hanging="386"/>
        <w:spacing w:after="0"/>
        <w:tabs>
          <w:tab w:leader="none" w:pos="138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there will be no more than three (3) Extended Term Loan tranches at any time during the term of this Agreement; and</w:t>
      </w:r>
    </w:p>
    <w:p>
      <w:pPr>
        <w:spacing w:after="0" w:line="248" w:lineRule="exact"/>
        <w:rPr>
          <w:rFonts w:ascii="Arial" w:cs="Arial" w:eastAsia="Arial" w:hAnsi="Arial"/>
          <w:sz w:val="16"/>
          <w:szCs w:val="16"/>
          <w:color w:val="auto"/>
        </w:rPr>
      </w:pPr>
    </w:p>
    <w:p>
      <w:pPr>
        <w:jc w:val="both"/>
        <w:ind w:left="180" w:firstLine="490"/>
        <w:spacing w:after="0" w:line="286" w:lineRule="auto"/>
        <w:tabs>
          <w:tab w:leader="none" w:pos="10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if the aggregate principal amount of Term Loans (calculated on the outstanding principal amount thereof) in respect of which a Lender will have accepted the relevant Extension Offer will exceed the maximum aggregate principal amount of Term Loans offered to be extended by the Borrower pursuant to such Extension Offer, then the Term Loans of such Lender will be extended ratably up to such maximum amount based on the respective principal or commitment amounts with respect to which such Lender have accepted such Extension Offer. With respect to all Extensions consummated by the Borrower pursuant to this Section 10.5(g), (i) such Extensions will not constitute voluntary or mandatory payments or prepayments for purposes of Sections 2.13 or 2.14 and (ii) no Extension Offer is required to be in any minimum amount or any minimum increment;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at its election specify as a condition to consummating any such Extension that a minimum amount (to be determined and specified in the relevant Extension Offer in the Borrower’s sole discretion and may be waived by the Borrower) of Term Loans of any or all applicable tranches be tendered. The Administrative Agent, the Collateral Agent and the Lenders hereby consent to the transactions contemplated by this Section (including, for the avoidance of doubt, payment of any interest, fees or premium in respect of any Extended Term Loans on such terms as may be set forth in the relevant Extension Offer) and hereby waive the requirements of any provision of this Agreement or any other Credit Document that may otherwise prohibit or conflict with any such Extension or any other transaction contemplated by this Section.</w:t>
      </w:r>
    </w:p>
    <w:p>
      <w:pPr>
        <w:spacing w:after="0" w:line="173" w:lineRule="exact"/>
        <w:rPr>
          <w:rFonts w:ascii="Arial" w:cs="Arial" w:eastAsia="Arial" w:hAnsi="Arial"/>
          <w:sz w:val="16"/>
          <w:szCs w:val="16"/>
          <w:color w:val="auto"/>
        </w:rPr>
      </w:pPr>
    </w:p>
    <w:p>
      <w:pPr>
        <w:jc w:val="both"/>
        <w:ind w:left="180" w:firstLine="490"/>
        <w:spacing w:after="0" w:line="286" w:lineRule="auto"/>
        <w:tabs>
          <w:tab w:leader="none" w:pos="117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 consent of any Lender, the Collateral Agent or the Administrative Agent will be required to effectuate any Extension, other than the consent of each Lender agreeing to such Extension with respect to one or more of its Term Loans (or a portion thereof). All Extended Term Loans and all obligations in respect thereof will be Obligations under this Agreement and the other Credit Documents and secured by the same Liens on the Collateral that secure all other applicable Obligations. The Lenders hereby irrevocably authorize the Administrative Agent and the Collateral Agent to enter into amendments to this Agreement and the other Credit Documents with the Borrower (on behalf of all Credit Parties) as may be necessary in order to establish new tranches or sub-tranches in respect of Term Loans so extended and such technical amendments as may be necessary in the reasonable opinion of the Administrative Agent and the Borrower in connection with the establishment of such new tranches or sub-tranches, in each case on terms consistent with this Section (any such amendment, an “</w:t>
      </w:r>
      <w:r>
        <w:rPr>
          <w:rFonts w:ascii="Arial" w:cs="Arial" w:eastAsia="Arial" w:hAnsi="Arial"/>
          <w:sz w:val="16"/>
          <w:szCs w:val="16"/>
          <w:b w:val="1"/>
          <w:bCs w:val="1"/>
          <w:color w:val="auto"/>
        </w:rPr>
        <w:t>Extension Amendment</w:t>
      </w:r>
      <w:r>
        <w:rPr>
          <w:rFonts w:ascii="Arial" w:cs="Arial" w:eastAsia="Arial" w:hAnsi="Arial"/>
          <w:sz w:val="16"/>
          <w:szCs w:val="16"/>
          <w:color w:val="auto"/>
        </w:rPr>
        <w:t>”). Without limiting the foregoing, in connection with any Extensions the applicable Credit Parties will (at their expense) amend (and the Collateral Agent is hereby directed by the Lenders to amend) any Mortgage that has a maturity date prior to the then latest maturity date so that such maturity date referenced therein is extended to the then latest maturity date (or such later date as may be advised by local counsel to the Collateral Agent). The Administrative Agent will promptly notify each Lender of the effectiveness of each such Extension Amendment.</w:t>
      </w:r>
    </w:p>
    <w:p>
      <w:pPr>
        <w:spacing w:after="0" w:line="17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69" w:name="page170"/>
    <w:bookmarkEnd w:id="169"/>
    <w:p>
      <w:pPr>
        <w:jc w:val="both"/>
        <w:ind w:left="1300" w:firstLine="490"/>
        <w:spacing w:after="0" w:line="255" w:lineRule="auto"/>
        <w:tabs>
          <w:tab w:leader="none" w:pos="22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connection with any Extension, the Borrower will provide the Administrative Agent at least five (5) Business Days (or such shorter period as may be agreed by the Administrative Agent) prior written notice thereof, and will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10.5(g). This Section 10.5(g) will supersede any provisions of this Section 10.5 or Section 2.17 or 10.4 to the contrary</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Successors and Assigns; Participations</w:t>
      </w:r>
      <w:r>
        <w:rPr>
          <w:rFonts w:ascii="Arial" w:cs="Arial" w:eastAsia="Arial" w:hAnsi="Arial"/>
          <w:sz w:val="15"/>
          <w:szCs w:val="15"/>
          <w:color w:val="auto"/>
        </w:rPr>
        <w:t>.</w:t>
      </w:r>
    </w:p>
    <w:p>
      <w:pPr>
        <w:spacing w:after="0" w:line="229" w:lineRule="exact"/>
        <w:rPr>
          <w:sz w:val="20"/>
          <w:szCs w:val="20"/>
          <w:color w:val="auto"/>
        </w:rPr>
      </w:pPr>
    </w:p>
    <w:p>
      <w:pPr>
        <w:jc w:val="both"/>
        <w:ind w:firstLine="1142"/>
        <w:spacing w:after="0" w:line="255" w:lineRule="auto"/>
        <w:tabs>
          <w:tab w:leader="none" w:pos="1569"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This Agreement will be binding upon the parties hereto and their respective successors and assigns and will inure to the benefit of the parties hereto and the successors and assigns of the Lenders. No Credit Party’s rights or obligations hereunder nor any interest therein may be assigned or delegated by any Credit Party without the prior written consent of all of the Lenders. Nothing in this Agreement, expressed or implied, will be construed to confer upon any Person (other than the parties hereto, their respective successors and assigns permitted hereby and, to the extent expressly contemplated hereby, Affiliates of each of the Administrative Agent and the Lenders) any legal or equitable right, remedy or claim under or by reason of this Agreement.</w:t>
      </w:r>
    </w:p>
    <w:p>
      <w:pPr>
        <w:spacing w:after="0" w:line="192" w:lineRule="exact"/>
        <w:rPr>
          <w:rFonts w:ascii="Arial" w:cs="Arial" w:eastAsia="Arial" w:hAnsi="Arial"/>
          <w:sz w:val="18"/>
          <w:szCs w:val="18"/>
          <w:color w:val="auto"/>
        </w:rPr>
      </w:pPr>
    </w:p>
    <w:p>
      <w:pPr>
        <w:jc w:val="both"/>
        <w:ind w:firstLine="1142"/>
        <w:spacing w:after="0" w:line="288" w:lineRule="auto"/>
        <w:tabs>
          <w:tab w:leader="none" w:pos="1588"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Each Credit Party, the Administrative Agent and the Lenders will deem and treat the Persons listed as the Lenders in the Register as the holders and owners of the corresponding Commitments and Loans listed therein for all purposes hereof, and no assignment or transfer of any such Commitment or Loan (whether or not evidenced by a Term Loan Note) will be effective, in each case, unless and until recorded in the Register following receipt of an Assignment Agreement effecting the assignment or transfer thereof, together with the required forms and certificates regarding tax matters and any fees payable in connection with such assignment, in each case, as provided in Section 10.6(d). Each assignment will be recorded in the Register on the Business Day the Assignment Agreement is received by the Administrative Agent, if received by 12:00 noon New York City time, and on the following Business Day if received after such time, prompt notice thereof will be provided to the Borrower and a copy of such Assignment Agreement will be maintained. The date of such recordation of a transfer will be referred to herein as the “</w:t>
      </w:r>
      <w:r>
        <w:rPr>
          <w:rFonts w:ascii="Arial" w:cs="Arial" w:eastAsia="Arial" w:hAnsi="Arial"/>
          <w:sz w:val="16"/>
          <w:szCs w:val="16"/>
          <w:b w:val="1"/>
          <w:bCs w:val="1"/>
          <w:color w:val="auto"/>
        </w:rPr>
        <w:t>Assignment Effective Date</w:t>
      </w:r>
      <w:r>
        <w:rPr>
          <w:rFonts w:ascii="Arial" w:cs="Arial" w:eastAsia="Arial" w:hAnsi="Arial"/>
          <w:sz w:val="16"/>
          <w:szCs w:val="16"/>
          <w:color w:val="auto"/>
        </w:rPr>
        <w:t>.” Any request, authority or consent of any Person who, at the time of making such request or giving such authority or consent, is listed in the Register as a Lender will be conclusive and binding on any subsequent holder, assignee or transferee of the corresponding Commitments or Loans.</w:t>
      </w:r>
    </w:p>
    <w:p>
      <w:pPr>
        <w:spacing w:after="0" w:line="168" w:lineRule="exact"/>
        <w:rPr>
          <w:rFonts w:ascii="Arial" w:cs="Arial" w:eastAsia="Arial" w:hAnsi="Arial"/>
          <w:sz w:val="16"/>
          <w:szCs w:val="16"/>
          <w:color w:val="auto"/>
        </w:rPr>
      </w:pPr>
    </w:p>
    <w:p>
      <w:pPr>
        <w:jc w:val="both"/>
        <w:ind w:firstLine="1142"/>
        <w:spacing w:after="0" w:line="259" w:lineRule="auto"/>
        <w:tabs>
          <w:tab w:leader="none" w:pos="1514"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Right to Assign</w:t>
      </w:r>
      <w:r>
        <w:rPr>
          <w:rFonts w:ascii="Arial" w:cs="Arial" w:eastAsia="Arial" w:hAnsi="Arial"/>
          <w:sz w:val="18"/>
          <w:szCs w:val="18"/>
          <w:color w:val="auto"/>
        </w:rPr>
        <w:t>. Each Lender will have the right at any time to sell, assign or transfer all or a portion of its rights and obligations under this Agreement, including all or a portion of its Commitment or Loans owing to it or other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assignments will not be required, but each such assignment will be of a uniform, and not varying, percentage of all rights and obligations under and in respect of any Loan and any related Commitment):</w:t>
      </w:r>
    </w:p>
    <w:p>
      <w:pPr>
        <w:spacing w:after="0" w:line="186" w:lineRule="exact"/>
        <w:rPr>
          <w:rFonts w:ascii="Arial" w:cs="Arial" w:eastAsia="Arial" w:hAnsi="Arial"/>
          <w:sz w:val="18"/>
          <w:szCs w:val="18"/>
          <w:color w:val="auto"/>
        </w:rPr>
      </w:pPr>
    </w:p>
    <w:p>
      <w:pPr>
        <w:ind w:left="1300" w:firstLine="490"/>
        <w:spacing w:after="0" w:line="277" w:lineRule="auto"/>
        <w:tabs>
          <w:tab w:leader="none" w:pos="214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 any Person meeting the criteria of clause (a) or clause (c) of the definition of “Eligible Assignee” upon the giving of notice to the Borrower and the Administrative Agent;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0" w:name="page171"/>
    <w:bookmarkEnd w:id="170"/>
    <w:p>
      <w:pPr>
        <w:jc w:val="both"/>
        <w:ind w:left="1300" w:firstLine="490"/>
        <w:spacing w:after="0" w:line="268" w:lineRule="auto"/>
        <w:tabs>
          <w:tab w:leader="none" w:pos="226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to any Person meeting the criteria of clause (b) of the definition of “Eligible Assignee” and consented to by each of the Borrower (except in the case of any assignment made in connection with the primary syndication of the Term Loan Commitments) and the Administrative Agent (each such consent not to be (x) unreasonably withheld, delayed or conditioned and (y) in the case of the Borrower, required at any time an Event of Default will have occurred and then be continuing);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the Borrower’s refusal to accept an assignment to a Disqualified Lender will be deemed to be reasonable, (2) the Borrower’s consent will be required with respect to any assignments to Disqualified Lenders and (3) the Borrower will be deemed to have consented to any such assignment (other than to an assignment to a Disqualified Lender) of Term Loans unless it will object thereto by written notice to the Administrative Agent within ten (10) Business Days after having received written notice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such assignment pursuant to this Section 10.6(c)(ii) will be in an aggregate amount of not less than (A) $1,000,000 (or such lesser amount as may be agreed to by the Borrower and the Administrative Agent or as will constitute the aggregate amount of the Incremental Revolving Credit Commitments and Incremental Revolving Loans of the assigning Lender) with respect to the assignment of any Incremental Revolving Credit Commitments and Incremental Revolving Loans and (B) $1,000,000 (or such lesser amount as may be agreed to by the Borrower and the Administrative Agent or as will constitute the aggregate amount of the Term Loan of the assigning Lender) with respect to the assignment of Term Loans.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no assignment may be made (A) to a Natural Person or (B) to a Disqualified Lender and, to the extent that any assignment of any Loan and/or related Commitment is purported to be made to a Disqualified Lender, such Disqualified Lender shall be required immediately (and in any event within five (5) Business Days) to assign all Loans and Commitments then owned by such Disqualified Lender to another Lender, Eligible Assignee or, subject to Section 10.6(j), the Borrower at a purchase price equal to the lesser of (x) the principal amount thereof and (y) the amount that such Disqualified Lender paid to acquire such Loans or Commitments, in each case, plus accrued interest, accrued fees and all other amounts (other than principal amounts) payable to it hereunder (and the Borrower shall be entitled to seek specific performance in any applicable court of law or equity to enforce this sentence).</w:t>
      </w:r>
    </w:p>
    <w:p>
      <w:pPr>
        <w:spacing w:after="0" w:line="195" w:lineRule="exact"/>
        <w:rPr>
          <w:sz w:val="20"/>
          <w:szCs w:val="20"/>
          <w:color w:val="auto"/>
        </w:rPr>
      </w:pPr>
    </w:p>
    <w:p>
      <w:pPr>
        <w:jc w:val="both"/>
        <w:ind w:firstLine="1142"/>
        <w:spacing w:after="0" w:line="296" w:lineRule="auto"/>
        <w:tabs>
          <w:tab w:leader="none" w:pos="1555"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xml:space="preserve">. Assignments and assumptions of Loans and Commitments will only be effected by manual execution and delivery to the Administrative Agent of an Assignment Agreement and will be effective as of the applicable Assignment Effective Date. In connection with all assignments there will be delivered to the Administrative Agent such forms, certificates or other evidence, if any, as the assignee under such Assignment Agreement may be required to deliver pursuant to Section 2.20(f), together with payment to the Administrative Agent of a registration and processing fee of $3,500;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Administrative Agent may, in its sole discretion, elect to waive such processing and recordation fee in the case of any assignment.</w:t>
      </w:r>
    </w:p>
    <w:p>
      <w:pPr>
        <w:spacing w:after="0" w:line="161" w:lineRule="exact"/>
        <w:rPr>
          <w:rFonts w:ascii="Arial" w:cs="Arial" w:eastAsia="Arial" w:hAnsi="Arial"/>
          <w:sz w:val="16"/>
          <w:szCs w:val="16"/>
          <w:color w:val="auto"/>
        </w:rPr>
      </w:pPr>
    </w:p>
    <w:p>
      <w:pPr>
        <w:jc w:val="both"/>
        <w:ind w:firstLine="1142"/>
        <w:spacing w:after="0" w:line="272" w:lineRule="auto"/>
        <w:tabs>
          <w:tab w:leader="none" w:pos="152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Assignee</w:t>
      </w:r>
      <w:r>
        <w:rPr>
          <w:rFonts w:ascii="Arial" w:cs="Arial" w:eastAsia="Arial" w:hAnsi="Arial"/>
          <w:sz w:val="17"/>
          <w:szCs w:val="17"/>
          <w:color w:val="auto"/>
        </w:rPr>
        <w:t>. Each Lender, upon execution and delivery hereof or upon succeeding to an interest in the Commitments and Loans, as the case may be, represents and warrants as of the Closing Date or as of the Assignment Effective Date that (i) (A) it is an Eligible Assignee and (B) it is not a Disqualified Lender, it being acknowledged by the Credit Parties, the Lenders and the other Secured Parties that the Administrative Agent will be entitled to rely on such representations and warranties set forth in this clause (i) without any diligence in respect to the accuracy of such representations and warranties and any breach of such representations and warranties by such Lender will not give rise to any liability on the part of the Administrative Agent; and (ii) it has experience and expertise in the making of or investing in commitments or loans such as the applicable Commitments or Loans, as the case may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1" w:name="page172"/>
    <w:bookmarkEnd w:id="171"/>
    <w:p>
      <w:pPr>
        <w:jc w:val="both"/>
        <w:ind w:firstLine="1142"/>
        <w:spacing w:after="0" w:line="286" w:lineRule="auto"/>
        <w:tabs>
          <w:tab w:leader="none" w:pos="1547"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Effect of Assignment</w:t>
      </w:r>
      <w:r>
        <w:rPr>
          <w:rFonts w:ascii="Arial" w:cs="Arial" w:eastAsia="Arial" w:hAnsi="Arial"/>
          <w:sz w:val="16"/>
          <w:szCs w:val="16"/>
          <w:color w:val="auto"/>
        </w:rPr>
        <w:t xml:space="preserve">. Subject to the terms and conditions of this Section 10.6, as of the Assignment Effective Date (i) the assignee thereunder will have the rights and obligations of a “Lender” hereunder to the extent of its interest in the Loans and Commitments as reflected in the Register and will thereafter be a party hereto and a “Lender” for all purposes hereof; (ii) the assigning Lender thereunder will, to the extent that rights and obligations hereunder have been assigned to the assignee, relinquish its rights (other than any rights which survive the termination hereof under Section 10.8) and be released from its obligations hereunder (and, in the case of an assignment covering all or the remaining portion of an assigning Lender’s rights and obligations hereunder, such Lender will cease to be a party hereto on the Assignment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anything contained in any of the Credit Documents to the contrary notwithstanding, such assigning Lender will continue to be entitled to the benefit of all indemnities hereunder as specified herein with respect to matters arising out of the prior involvement of such assigning Lender as a Lender hereunder); (iii) the Commitments will be modified to reflect the Commitment of such assignee and any Commitment of such assigning Lender, if any; and (iv) if any such assignment occurs after the issuance of any Term Loan Note hereunder, the assigning Lender will, upon the effectiveness of such assignment or as promptly thereafter as practicable, surrender its applicable Term Loan Notes to the Administrative Agent for cancellation, and thereupon the Borrower will issue and deliver new Term Loan Notes, if so requested by the assignee and/or assigning Lender, to such assignee and/or to such assigning Lender, with appropriate insertions, to reflect the new Commitments and/or outstanding Loans of the assignee and/or the assigning Lender. Any assignment or transfer by a Lender of rights or obligations under this Agreement that does not comply with clauses (b) through (f) will be treated for purposes of this Agreement as a sale by such Lender of a participation in such rights and obligations in accordance with clause (g).</w:t>
      </w:r>
    </w:p>
    <w:p>
      <w:pPr>
        <w:spacing w:after="0" w:line="167" w:lineRule="exact"/>
        <w:rPr>
          <w:rFonts w:ascii="Arial" w:cs="Arial" w:eastAsia="Arial" w:hAnsi="Arial"/>
          <w:sz w:val="16"/>
          <w:szCs w:val="16"/>
          <w:color w:val="auto"/>
        </w:rPr>
      </w:pPr>
    </w:p>
    <w:p>
      <w:pPr>
        <w:jc w:val="both"/>
        <w:ind w:firstLine="1142"/>
        <w:spacing w:after="0" w:line="283" w:lineRule="auto"/>
        <w:tabs>
          <w:tab w:leader="none" w:pos="162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Each Lender will have the right at any time to sell one or more participations to any Person (other than to (x) a Disqualified Lender or (y) the Borrower or its Affiliates) in all or any part of its Commitments, Loans or in any other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Administrative Agent may provide a list of Disqualified Lenders to any Lender upon the request of such Lender pursuant to Section 2.7(c) and (y) with respect to any participation by a Lender to a Disqualified Lender or, to the extent the Borrower’s consent is required under this </w:t>
      </w:r>
      <w:r>
        <w:rPr>
          <w:rFonts w:ascii="Arial" w:cs="Arial" w:eastAsia="Arial" w:hAnsi="Arial"/>
          <w:sz w:val="16"/>
          <w:szCs w:val="16"/>
          <w:u w:val="single" w:color="auto"/>
          <w:color w:val="auto"/>
        </w:rPr>
        <w:t>Section 10.6</w:t>
      </w:r>
      <w:r>
        <w:rPr>
          <w:rFonts w:ascii="Arial" w:cs="Arial" w:eastAsia="Arial" w:hAnsi="Arial"/>
          <w:sz w:val="16"/>
          <w:szCs w:val="16"/>
          <w:color w:val="auto"/>
        </w:rPr>
        <w:t>, to any other Person, such participation will not be rendered void as a result but the Borrower shall be entitled to pursue any remedy available to them (whether at law or in equity, but excluding specific performance to unwind such participation) against the Lender and such Disqualified Lender, but in no case shall the Borrower or any other Person be entitled to pursue any remedy against the Administrative Agent. The holder of any such participation, other than an Affiliate of the Lender granting such participation, will not be entitled to require such Lender to take or omit to take any action hereunder except with respect to any amendment, modification or waiver that would (i) extend the scheduled maturity of any Loan or Term Loan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will not constitute a change in the terms of such participation, and that an increase in any Commitment or Loan will be permitted without the consent of any participant if the participant’s participation is not increased as a result thereof), (ii) consent to the assignment or transfer by any Credit Party of any of its rights and obligations under this Agreement or (iii) release all or substantially all of the Collateral under the Collateral Documents (except as expressly provided in the Credit Documents) supporting the Loans hereunder or release all or substantially all of the guarantees in which such participant is participating. The Borrower agrees that each participant will be entitled to the benefits of Sections 2.18(</w:t>
      </w:r>
      <w:r>
        <w:rPr>
          <w:rFonts w:ascii="Arial" w:cs="Arial" w:eastAsia="Arial" w:hAnsi="Arial"/>
          <w:sz w:val="16"/>
          <w:szCs w:val="16"/>
          <w:color w:val="FF0000"/>
          <w:strike w:val="1"/>
        </w:rPr>
        <w:t>c</w:t>
      </w:r>
      <w:r>
        <w:rPr>
          <w:rFonts w:ascii="Arial" w:cs="Arial" w:eastAsia="Arial" w:hAnsi="Arial"/>
          <w:sz w:val="16"/>
          <w:szCs w:val="16"/>
          <w:u w:val="single" w:color="auto"/>
          <w:color w:val="0000FF"/>
        </w:rPr>
        <w:t>b)(vi)</w:t>
      </w:r>
      <w:r>
        <w:rPr>
          <w:rFonts w:ascii="Arial" w:cs="Arial" w:eastAsia="Arial" w:hAnsi="Arial"/>
          <w:sz w:val="16"/>
          <w:szCs w:val="16"/>
          <w:color w:val="auto"/>
        </w:rPr>
        <w:t xml:space="preserve">, 2.19 and 2.20 to the same extent as if it were a Lender and had acquired its interest by assignment pursuant to paragraph (c)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participant agrees to be subject to the provisions of Sections 2.21 and 2.23 as if it were an assignee under Section 10.6(c), (ii) a participant will not be entitled to receive any greater payment under Sections 2.19 or 2.20 than the applicable Lender would have been entitled to receive with respect to the participation sold to such participant, unless the sale of the participation to such participant is made with the Borrower’s prior written consent to the participant and (iii) a participant that would be a Non-U.S. Lender if it were a Lender will not be entitled to the benefits of Section 2.20 unless the Borrower is notified of the participation sold to such participant and such participant agrees, for the benefit of the Borrower, to comply with Section 2.20 as though it were a Lender (it being understood that the documentation required under Section 2.20(f) or Section 2.20(g) will be delivered to the participant). Each Lender that sells a participation agrees, at the Borrower’s request and expense, to use reasonable efforts to cooperate with the Borrower to effectuate the provisions of Sections 2.21 and 2.23 with respect to any participant. To the extent permitted by law, each participant also will be entitled to the benefits of Section 10.4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 as though it were a Lender. Each Lender that sells a participation, acting solely for this purpose as a non-fiduciary agent of the Borrower, will maintain a register on which it records the name and address of each participant and the principal amounts (and stated interest) of each participant’s interest in the Loans and Commitments (each, a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will be conclusive absent manifest error, and such Lender, the Borrower and the Administrative Agent will treat each Person whose name is recorded in the Participant Register pursuant to the terms hereof as the owner of such Loans and Commitments for all purposes of this Agreement, notwithstanding any notice to the contrary. No Lender will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or other obligation is in registered form under Section 5f.103-1(c) of the United States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-2350770</wp:posOffset>
            </wp:positionV>
            <wp:extent cx="2654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2" w:name="page173"/>
    <w:bookmarkEnd w:id="172"/>
    <w:p>
      <w:pPr>
        <w:jc w:val="both"/>
        <w:ind w:firstLine="1142"/>
        <w:spacing w:after="0" w:line="269" w:lineRule="auto"/>
        <w:tabs>
          <w:tab w:leader="none" w:pos="1555"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Certain Other Assignments and Participations</w:t>
      </w:r>
      <w:r>
        <w:rPr>
          <w:rFonts w:ascii="Arial" w:cs="Arial" w:eastAsia="Arial" w:hAnsi="Arial"/>
          <w:sz w:val="17"/>
          <w:szCs w:val="17"/>
          <w:color w:val="auto"/>
        </w:rPr>
        <w:t xml:space="preserve">. In addition to any other assignment or participation permitted pursuant to this Section 10.6, any Lender may assign and/or pledge all or any portion of its Loans, the other Obligations owed by or to such Lender, and its Term Loan Notes, if any, to secure obligations of such Lender, including, without limitation, to any Federal Reserve Bank as collateral security pursuant to Regulation A of the Board of Governors and any operating circular issued by such Federal Reserve Bank or any central bank;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as between the Borrower and such Lender, will be relieved of any of its obligations hereunder as a result of any such assignment and pledge;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in no event will the applicable Federal Reserve Bank, central bank, pledgee or trustee be considered to be a “Lender” or be entitled to require the assigning Lender to take or omit to take any action hereunder. Without limiting the foregoing, in the case of any Lender that is a fund that invests in bank loans or similar extensions of credit, such Lender may, without the consent of the Borrower, the Administrative Agent or any other Person, collaterally assign or pledge all or any portion of its rights under this Agreement, including the Loans and Term Loan Notes or any other instrument evidencing its rights as a Lender under this Agreement, to any holder of, trustee for, or any other representative of holders of, obligations owed or securities issued, by such fund, as security for such obligations or securities. For the avoidance of doubt, the Administrative Agent (in its capacity as the Administrative Agent) shall have no responsibility for maintaining a Participant Register.</w:t>
      </w:r>
    </w:p>
    <w:p>
      <w:pPr>
        <w:spacing w:after="0" w:line="178" w:lineRule="exact"/>
        <w:rPr>
          <w:rFonts w:ascii="Arial" w:cs="Arial" w:eastAsia="Arial" w:hAnsi="Arial"/>
          <w:sz w:val="17"/>
          <w:szCs w:val="17"/>
          <w:color w:val="auto"/>
        </w:rPr>
      </w:pPr>
    </w:p>
    <w:p>
      <w:pPr>
        <w:ind w:left="1500" w:hanging="358"/>
        <w:spacing w:after="0"/>
        <w:tabs>
          <w:tab w:leader="none" w:pos="150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42"/>
        <w:spacing w:after="0" w:line="301" w:lineRule="auto"/>
        <w:tabs>
          <w:tab w:leader="none" w:pos="149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Lender may, so long as no Event of Default has occurred and is continuing or would result therefrom, assign all or a portion of its rights and obligations with respect to the Term Loans and the Term Loan Commitments (other than Term C Loans and Term C Loan Commitments) under this Agreement to the Borrower or any Subsidiary through (x) Dutch auctions open to all Lenders in accordance with procedures of the type described in Section 2.25 or (y) open market purchase on a non-</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each case subject to the following limitations;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jc w:val="both"/>
        <w:ind w:left="1300" w:firstLine="652"/>
        <w:spacing w:after="0" w:line="270" w:lineRule="auto"/>
        <w:tabs>
          <w:tab w:leader="none" w:pos="2319"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(x) if the assignee is the Borrower or any of its Subsidiaries, upon such assignment, transfer or contribution, the applicable assignee will automatically be deemed to have contributed or transferred the principal amount of such Term Loans,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all accrued and unpaid interest thereon, to the Borrower; or (y) if the assignee is the Borrower (including through contribution or transfers set forth in clause (x)), (a) the principal amount of such Term Loans, along with all accrued and unpaid interest thereon, so contributed, assigned or transferred to the Borrower will be deemed automatically cancelled and extinguished on the date of such contribution, assignment or transfer, (b) the aggregate outstanding principal amount of Term Loans of the remaining Lenders will reflect such cancellation and extinguishing of the Term Loans then held by the Borrower and (c) the Borrower will promptly provide notice to the Administrative Agent of such contribution, assignment or transfer of such Term Loans, and the Administrative Agent, upon receipt of such notice, will reflect the cancellation of the applicable Term Loans in the Register; and</w:t>
      </w:r>
    </w:p>
    <w:p>
      <w:pPr>
        <w:spacing w:after="0" w:line="180" w:lineRule="exact"/>
        <w:rPr>
          <w:rFonts w:ascii="Arial" w:cs="Arial" w:eastAsia="Arial" w:hAnsi="Arial"/>
          <w:sz w:val="17"/>
          <w:szCs w:val="17"/>
          <w:color w:val="auto"/>
        </w:rPr>
      </w:pPr>
    </w:p>
    <w:p>
      <w:pPr>
        <w:ind w:left="2400" w:hanging="448"/>
        <w:spacing w:after="0"/>
        <w:tabs>
          <w:tab w:leader="none" w:pos="24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purchases of Term Loans pursuant to this subsection (j) may not be funded with the proceeds of Incremental Revolving</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06" w:lineRule="exact"/>
        <w:rPr>
          <w:rFonts w:ascii="Arial" w:cs="Arial" w:eastAsia="Arial" w:hAnsi="Arial"/>
          <w:sz w:val="16"/>
          <w:szCs w:val="16"/>
          <w:color w:val="auto"/>
        </w:rPr>
      </w:pPr>
    </w:p>
    <w:p>
      <w:pPr>
        <w:jc w:val="both"/>
        <w:ind w:firstLine="1142"/>
        <w:spacing w:after="0" w:line="285" w:lineRule="auto"/>
        <w:tabs>
          <w:tab w:leader="none" w:pos="163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will constitute a commitment by any SPC to make any Loan and (ii) if an SPC elects not to exercise such option or otherwise fails to provide all or any part of such Loan, the Granting Lender will be obligated to make such Loan pursuant to the terms hereof;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 </w:t>
      </w:r>
      <w:r>
        <w:rPr>
          <w:rFonts w:ascii="Arial" w:cs="Arial" w:eastAsia="Arial" w:hAnsi="Arial"/>
          <w:sz w:val="16"/>
          <w:szCs w:val="16"/>
          <w:color w:val="auto"/>
        </w:rPr>
        <w:t>that nothing herein will make the SPC a “Lender” for the purposes of this Agreement, obligate the Borrower or any other Credit Party or</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Administrative Agent to deal with such SPC directly, obligate the Borrower or any other Credit Party in any manner to any greater extent than it was obligated to the Granting Lender, or increase costs or expenses of the Borrower. The Credit Parties and the Administrative Agent will be entitled to deal solely with, and obtain good discharge from, the Granting Lender and will not be required to investigate or otherwise seek the consent or approval of any SPC, including for the approval of any amendment, waiver or other modification of any provision of any Credit Document. The making of a Loan by an SPC hereunder will utilize the Commitment of the Granting Lender to the same extent, and as if, such Loan were made by such Granting Lender. Each party hereto hereby agrees that no SPC will be liable for any indemnity or similar payment obligation under this Agreement (all liability for which will remain with the Granting Lender). In furtherance of the foregoing, each party hereto hereby agrees (which agreement will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10.6(k), any SPC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4" w:name="page175"/>
    <w:bookmarkEnd w:id="174"/>
    <w:p>
      <w:pPr>
        <w:jc w:val="both"/>
        <w:ind w:firstLine="1142"/>
        <w:spacing w:after="0" w:line="257" w:lineRule="auto"/>
        <w:tabs>
          <w:tab w:leader="none" w:pos="1499"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Electronic Signatures, Etc</w:t>
      </w:r>
      <w:r>
        <w:rPr>
          <w:rFonts w:ascii="Arial" w:cs="Arial" w:eastAsia="Arial" w:hAnsi="Arial"/>
          <w:sz w:val="18"/>
          <w:szCs w:val="18"/>
          <w:color w:val="auto"/>
        </w:rPr>
        <w:t>. The words “execution,” “signed,” “signature,” and words of like import in any Assignment Agreement will be deemed to include electronic signatures or the keeping of records in electronic form, each of which will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10.7 Independence of Covenants; Interpretation</w:t>
      </w:r>
      <w:r>
        <w:rPr>
          <w:rFonts w:ascii="Arial" w:cs="Arial" w:eastAsia="Arial" w:hAnsi="Arial"/>
          <w:sz w:val="17"/>
          <w:szCs w:val="17"/>
          <w:color w:val="auto"/>
        </w:rPr>
        <w:t>. All covenants hereunder will be given independent effect so that if a particular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 is not permitted by any of such covenants, the fact that it would be permitted by an exception to, or would otherwise be within the limitations of, another covenant will not avoid the occurrence of a Default or an Event of Default if such action is taken or condition exists. Any dispute regarding the occurrence or continuance of a Default or Event of Default will be resolved by the Borrower and the Required Lenders (or Administrative Agent), and no Person other than the Required Lenders (or the Administrative Agent) will assert that a Default or Event of Default will have occurred and be continuing;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subject to the last paragraph of Section 10.5(c), solely in the case of Section 8.2(b) and provisions relating to any Term C Loan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Default, references to “Required Lenders” in the immediately preceding text of this sentence will be replaced with “Required Term C Loan Lenders”. Any Default or Event of Default that has been cured (including by means of delivery or performance of an obligation after the date by which such delivery or performance was due) or waived will be deemed to no longer be continuing.</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10.8 Survival of Representations, Warranties and Agreements. </w:t>
      </w:r>
      <w:r>
        <w:rPr>
          <w:rFonts w:ascii="Arial" w:cs="Arial" w:eastAsia="Arial" w:hAnsi="Arial"/>
          <w:sz w:val="16"/>
          <w:szCs w:val="16"/>
          <w:color w:val="auto"/>
        </w:rPr>
        <w:t>All representations, warranties and agreements made herein will survive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hereof and the making of any Credit Extension. Notwithstanding anything herein or implied by law to the contrary, the agreements of each Credit Party set forth in Sections 2.18, 2.19, 2.20, 10.2, 10.3, 10.14, 10.15 and 10.16 and the agreements of the Lenders set forth in Sections 2.17, 9.5, 9.6 and 9.8 will survive the termination of all Commitments and the termination hereof, and the payment in full of all other Obligations.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10.9 No Waiver; Remedies Cumulative</w:t>
      </w:r>
      <w:r>
        <w:rPr>
          <w:rFonts w:ascii="Arial" w:cs="Arial" w:eastAsia="Arial" w:hAnsi="Arial"/>
          <w:sz w:val="18"/>
          <w:szCs w:val="18"/>
          <w:color w:val="auto"/>
        </w:rPr>
        <w:t>. No failure or delay on the part of any Agent or any Lender in the exercise of any power,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 hereunder or under any other Credit Document will impair such power, right or privilege or be construed to be a waiver of any default or acquiescence therein, nor will any single or partial exercise of any such power, right or privilege preclude other or further exercise thereof or of any other power, right or privilege. The rights, powers and remedies given to each Agent and each Lender hereby are cumulative and will be in addition to and independent of all rights, powers and remedies existing by virtue of any statute or rule of law or in any of the other Credit Documents or any of the Secured Rate Contracts or any of the Bank Product Agreements. Any forbearance or failure to exercise, and any delay in exercising, any right, power or remedy hereunder will not impair any such right, power or remedy or be construed to be a waiver thereof, nor will it preclude the further exercise of any such right, power or remedy.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10.10 Marshalling; Payments Set Aside</w:t>
      </w:r>
      <w:r>
        <w:rPr>
          <w:rFonts w:ascii="Arial" w:cs="Arial" w:eastAsia="Arial" w:hAnsi="Arial"/>
          <w:sz w:val="16"/>
          <w:szCs w:val="16"/>
          <w:color w:val="auto"/>
        </w:rPr>
        <w:t>. No Agent or any Lender will be under any obligation to marshal any assets in favor of any Credit</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any other Person or against or in payment of any or all of the Obligations. To the extent that any Credit Party makes a payment or payments to the Administrative Agent or the Lenders (or to the Administrative Agent, on behalf of the Lenders), or the Administrative Agent or the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any equitable cause or any intercreditor arrangement contemplated hereunder, then, to the extent of such recovery, the obligation or part thereof originally intended to be satisfied, and all Liens, rights and remedies therefor or related thereto, will be revived and continued in full force and effect as if such payment or payments had not been made or such enforcement or setoff had not occurred.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5" w:name="page176"/>
    <w:bookmarkEnd w:id="175"/>
    <w:p>
      <w:pPr>
        <w:jc w:val="both"/>
        <w:ind w:firstLine="648"/>
        <w:spacing w:after="0" w:line="266" w:lineRule="auto"/>
        <w:rPr>
          <w:sz w:val="20"/>
          <w:szCs w:val="20"/>
          <w:color w:val="auto"/>
        </w:rPr>
      </w:pPr>
      <w:r>
        <w:rPr>
          <w:rFonts w:ascii="Arial" w:cs="Arial" w:eastAsia="Arial" w:hAnsi="Arial"/>
          <w:sz w:val="18"/>
          <w:szCs w:val="18"/>
          <w:b w:val="1"/>
          <w:bCs w:val="1"/>
          <w:color w:val="auto"/>
        </w:rPr>
        <w:t>10.11 Severability</w:t>
      </w:r>
      <w:r>
        <w:rPr>
          <w:rFonts w:ascii="Arial" w:cs="Arial" w:eastAsia="Arial" w:hAnsi="Arial"/>
          <w:sz w:val="18"/>
          <w:szCs w:val="18"/>
          <w:color w:val="auto"/>
        </w:rPr>
        <w:t>. In case any provision in or obligation hereunder or any Term Loan Note will be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 validity, legality and enforceability of the remaining provisions or obligations, or of such provision or obligation in any other jurisdiction, will not in any way be affected or impaired thereby.</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Obligations Several; Independent Nature of the Lenders</w:t>
      </w:r>
      <w:r>
        <w:rPr>
          <w:rFonts w:ascii="Arial" w:cs="Arial" w:eastAsia="Arial" w:hAnsi="Arial"/>
          <w:sz w:val="16"/>
          <w:szCs w:val="16"/>
          <w:color w:val="auto"/>
        </w:rPr>
        <w:t>’</w:t>
      </w:r>
      <w:r>
        <w:rPr>
          <w:rFonts w:ascii="Arial" w:cs="Arial" w:eastAsia="Arial" w:hAnsi="Arial"/>
          <w:sz w:val="16"/>
          <w:szCs w:val="16"/>
          <w:b w:val="1"/>
          <w:bCs w:val="1"/>
          <w:color w:val="auto"/>
        </w:rPr>
        <w:t xml:space="preserve"> Rights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75" w:lineRule="auto"/>
        <w:tabs>
          <w:tab w:leader="none" w:pos="171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obligations of the Lenders hereunder are several and no Lender will be responsible for the obligations or Commitment of any other Lender hereunder. Nothing contained herein or in any other Credit Document, and no action taken by the Lenders pursuant hereto or thereto, will be deemed to constitute the Lenders as a partnership, an association, a joint venture or any other kind of entity. The amounts payable at any time hereunder to each Lender will be a separate and independent debt, and each Lender will be entitled to protect and enforce its rights arising out hereof and it will not be necessary for any other Lender to be joined as an additional party in any proceeding for such purpose.</w:t>
      </w:r>
    </w:p>
    <w:p>
      <w:pPr>
        <w:spacing w:after="0" w:line="176" w:lineRule="exact"/>
        <w:rPr>
          <w:rFonts w:ascii="Arial" w:cs="Arial" w:eastAsia="Arial" w:hAnsi="Arial"/>
          <w:sz w:val="17"/>
          <w:szCs w:val="17"/>
          <w:color w:val="auto"/>
        </w:rPr>
      </w:pPr>
    </w:p>
    <w:p>
      <w:pPr>
        <w:jc w:val="both"/>
        <w:ind w:firstLine="1304"/>
        <w:spacing w:after="0" w:line="254" w:lineRule="auto"/>
        <w:tabs>
          <w:tab w:leader="none" w:pos="179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Each Lender acknowledges and agrees that it will act collectively through the Administrative Agent and, without limiting the delegation of authority to the Administrative Agent set forth herein, the Required Lenders will direct the Administrative Agent with respect to the exercise of rights and remedies hereunder (including with respect to alleging the existence or occurrence of, and exercising rights and remedies as a result of, any Default or Event of Default in each case that could be waived with the consent of the Required Lenders), and such rights and remedies will not be exercised other than through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last paragraph of Section 10.5(c), solely in the case of Section 8.2(b) and provisions relating to any Term C Loan Payment Event of Default, references to “Required Lenders” in the immediately preceding text of this sentence will be replaced with “Required Term C Loan Lenders”.</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10.13 Headings</w:t>
      </w:r>
      <w:r>
        <w:rPr>
          <w:rFonts w:ascii="Arial" w:cs="Arial" w:eastAsia="Arial" w:hAnsi="Arial"/>
          <w:sz w:val="18"/>
          <w:szCs w:val="18"/>
          <w:color w:val="auto"/>
        </w:rPr>
        <w:t>. Section headings herein are included herein for convenience of reference only and will not constitute a part hereof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purpose or be given any substantive effect.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10.14 Applicable Law</w:t>
      </w:r>
      <w:r>
        <w:rPr>
          <w:rFonts w:ascii="Arial" w:cs="Arial" w:eastAsia="Arial" w:hAnsi="Arial"/>
          <w:sz w:val="17"/>
          <w:szCs w:val="17"/>
          <w:color w:val="auto"/>
        </w:rPr>
        <w:t>. This Agreement and the rights and obligations of the parties hereunder will be governed by, and will be construed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enforced in accordance with, the laws of the State of New York; provided that (x) the interpretation of the definition of Company Material Adverse Effect and whether there shall have occurred a Company Material Adverse Effect, (y) whether the representations and warranties made with respect to the Acquired Business in the Merger Agreement are accurate and whether as a result of a breach or inaccuracy thereof the Borrower (or its affiliate) has the right to terminate its obligations under the Merger Agreement, or refuse to consummate the transactions contemplated by the Merger Agreement and (z) whether the Acquisition has been consummated in accordance with the terms of the Merger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jurisdictions other than the State of Delaware;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matters relating to the fiduciary duties of the Company Board (as defined in the Merger Agreement) and internal corporate affairs of the Closing Date Target shall be governed by the laws of the Commonwealth of Massachusetts without giving effect to any choice or conflict of law provision or rule (whether of the Commonwealth of Massachusetts or any other jurisdiction) that would cause the application of laws of any jurisdictions other than those of the Commonwealth of Massachusetts.</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10.15 Consent to Jurisdiction</w:t>
      </w:r>
      <w:r>
        <w:rPr>
          <w:rFonts w:ascii="Arial" w:cs="Arial" w:eastAsia="Arial" w:hAnsi="Arial"/>
          <w:sz w:val="16"/>
          <w:szCs w:val="16"/>
          <w:color w:val="auto"/>
        </w:rPr>
        <w:t>. All judicial proceedings brought against any Credit Party arising out of or relating hereto or any other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or any of the Obligations, will be brought in any state or Federal court of competent jurisdiction in the State and County of New York, Borough of Manhattan, and appellate courts thereof (except to the extent the Administrative Agent requires submission to any other jurisdiction in connection with the exercise of any rights under any Credit Document or the enforcement of any judgement). By executing and delivering this Agreement, each Credit Party, for itself and in connection with its properties, irrevocably (a) accepts generally and unconditionally the exclusive jurisdiction and venue of such courts; (b) waives any defense of forum non conveniens; (c) agrees that service of all process in any such proceeding in any such court may be made by registered or certified mail, return receipt requested, to the applicable Credit Party at its address provided in accordance with Section 10.1; (d) agrees that service as provided in clause (c) above is sufficient to confer personal jurisdiction over the applicable Credit Party in any such proceeding in any such court, and otherwise constitutes effective and binding service in every respect; and (e) agrees that Agents and Lenders retain the right to serve process in any other manner permitted by law or to bring proceedings against any Credit Party in the courts of any other jurisdiction.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jc w:val="both"/>
        <w:ind w:firstLine="648"/>
        <w:spacing w:after="0" w:line="254" w:lineRule="auto"/>
        <w:rPr>
          <w:sz w:val="20"/>
          <w:szCs w:val="20"/>
          <w:color w:val="auto"/>
        </w:rPr>
      </w:pPr>
      <w:r>
        <w:rPr>
          <w:rFonts w:ascii="Arial" w:cs="Arial" w:eastAsia="Arial" w:hAnsi="Arial"/>
          <w:sz w:val="18"/>
          <w:szCs w:val="18"/>
          <w:b w:val="1"/>
          <w:bCs w:val="1"/>
          <w:color w:val="auto"/>
        </w:rPr>
        <w:t>10.16 WAIVER OF JURY TRIAL</w:t>
      </w:r>
      <w:r>
        <w:rPr>
          <w:rFonts w:ascii="Arial" w:cs="Arial" w:eastAsia="Arial" w:hAnsi="Arial"/>
          <w:sz w:val="18"/>
          <w:szCs w:val="18"/>
          <w:color w:val="auto"/>
        </w:rPr>
        <w:t>. EACH OF THE PARTIES HERETO HEREBY IRREVOCABLY WAIVES ANY AND ALL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TRIAL BY JURY IN ANY LEGAL ACTION OR PROCEEDING ARISING OUT OF OR RELATING TO THE CREDIT DOCUMENTS OR THE TRANSACTIONS CONTEMPLATED THEREBY AND AGREES THAT ANY SUCH ACTION OR PROCEEDING WILL BE TRIED BEFORE A COURT AND NOT BEFORE A JURY. EACH OF THE PARTIES HERETO ACKNOWLEDGES THAT THIS WAIVER IS A MATERIAL INDUCEMENT TO ENTER INTO A BUSINESS RELATIONSHIP, THAT EACH HAS RELIED ON THE WAIVER IN ENTERING INTO THIS AGREEMENT AND THE OTHER CREDIT DOCUMENTS, AND THAT EACH WILL CONTINUE TO RELY ON THIS WAIVER IN THEIR RELATED FUTURE DEALINGS. EACH OF THE PARTIES HERETO WARRANTS AND REPRESENTS THAT EACH HAS HAD THE OPPORTUNITY OF REVIEWING THIS JURY WAIVER WITH LEGAL COUNSEL, AND THAT EACH KNOWINGLY AND VOLUNTARILY WAIVES ITS JURY TRIAL RIGHTS.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color w:val="auto"/>
        </w:rPr>
        <w:t>Confidentiality; Tombstones; Etc</w:t>
      </w:r>
      <w:r>
        <w:rPr>
          <w:rFonts w:ascii="Arial" w:cs="Arial" w:eastAsia="Arial" w:hAnsi="Arial"/>
          <w:sz w:val="16"/>
          <w:szCs w:val="16"/>
          <w:color w:val="auto"/>
        </w:rPr>
        <w:t>.</w:t>
      </w:r>
    </w:p>
    <w:p>
      <w:pPr>
        <w:spacing w:after="0" w:line="229" w:lineRule="exact"/>
        <w:rPr>
          <w:sz w:val="20"/>
          <w:szCs w:val="20"/>
          <w:color w:val="auto"/>
        </w:rPr>
      </w:pPr>
    </w:p>
    <w:p>
      <w:pPr>
        <w:jc w:val="both"/>
        <w:ind w:firstLine="1142"/>
        <w:spacing w:after="0" w:line="283" w:lineRule="auto"/>
        <w:tabs>
          <w:tab w:leader="none" w:pos="1514"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Agent and each Lender will (A) not furnish any Nonpublic Information identified as such by the Borrower to any other Person and (B) treat all Nonpublic Information with the same degree of care as it treats its own confidential information, it being understood and agreed by the Borrower that, in any event, an Agent or a Lender may make (i) disclosures of such information to Affiliates of such Agent, or such Lender, to their and such Affiliates’ shareholders, officers, directors, employees, legal counsel, independent auditors and other experts, advisors or agents who need to know such information in connection with the transactions contemplated hereby, are informed of the confidential nature of such information and are instructed to keep such information confidential other than any Disqualified Lender, (ii) disclosure to any rating agency when required by it, (iv) disclosures required or requested by any Governmental Authority or self-regulatory authority or representative thereof or by the NAIC or pursuant to legal or judicial process, including in connection with assignments or pledges made pursuant to Section 10.6(h);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specifically prohibited by applicable law, court order or any Governmental Authority or representative thereof, each Agent and each Lender will notify the Borrower of any request by any Governmental Authority or representative thereof (other than any such request in connection with any examination of the financial condition or other routine examination of such Agent or such Lender by such Governmental Authority or representative thereof or self-regulatory authority or any such request pursuant to the Right to Financial Privacy Act of 1978) for disclosure of any such Nonpublic Information prior to disclosure of such information,</w:t>
      </w:r>
    </w:p>
    <w:p>
      <w:pPr>
        <w:spacing w:after="0" w:line="2" w:lineRule="exact"/>
        <w:rPr>
          <w:rFonts w:ascii="Arial" w:cs="Arial" w:eastAsia="Arial" w:hAnsi="Arial"/>
          <w:sz w:val="16"/>
          <w:szCs w:val="16"/>
          <w:color w:val="auto"/>
        </w:rPr>
      </w:pPr>
    </w:p>
    <w:p>
      <w:pPr>
        <w:jc w:val="both"/>
        <w:ind w:firstLine="8"/>
        <w:spacing w:after="0" w:line="267" w:lineRule="auto"/>
        <w:tabs>
          <w:tab w:leader="none" w:pos="27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disclosures in connection with the enforcement of its rights under any Credit Document, (vi) disclosures to any other party to this Agreement, (vii) disclosures to an actual or prospective assignee, participant or any potential counterparty (or its advisors) to any swap or derivative transaction relating to the Borrower or any of its Affiliates or any of their respective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assignee, participant or counterparty is not a Disqualified Lender and is advised of and agrees to be bound by either the provisions of this Section 10.17 or other provisions at least as restrictive as this Section 10.17), (viii) disclosures with the consent of the Borrower and (ix) disclosures to the extent such Nonpublic Information (A) becomes publicly available other than as a result of a breach of this Section 10.17 or (B) becomes available to such Agent or such Lender on a non-confidential basis from a source other than the Borrower or any Subsidiary or any of their respective Affiliates that is not known by such Agent or such Lender to be subject to confidentiality obligations to the Borrower or any Subsidiary or their respective Affiliate.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Credit Documents. For the avoidance of doubt, in no event will any Agent or any Lender disclose Nonpublic Information to any Disqualified Lender unless such disclosure is otherwise consented to by the Borrower.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jc w:val="both"/>
        <w:ind w:firstLine="1142"/>
        <w:spacing w:after="0" w:line="296" w:lineRule="auto"/>
        <w:tabs>
          <w:tab w:leader="none" w:pos="1550"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Tombstones</w:t>
      </w:r>
      <w:r>
        <w:rPr>
          <w:rFonts w:ascii="Arial" w:cs="Arial" w:eastAsia="Arial" w:hAnsi="Arial"/>
          <w:sz w:val="16"/>
          <w:szCs w:val="16"/>
          <w:color w:val="auto"/>
        </w:rPr>
        <w:t>. Each Credit Party consents to the publication by the Lead Arranger of advertisements in financial and other newspapers and periodicals or on a home page or similar place for dissemination of information on the Internet or worldwide web as it may choose, and the circulation of similar promotional materials, on and following the Closing Date in the form of a “tombstone” or otherwise, containing information customarily included in such advertisements and materials consisting of (i) the names of the Borrower and its Affiliates (or any of them), (ii) the Lead Arranger and its Affiliates’ titles and roles in connection with the Transactions and (iii) the amount, type and closing date of the Commitments and the Loans.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10.18 Usury Savings Clause</w:t>
      </w:r>
      <w:r>
        <w:rPr>
          <w:rFonts w:ascii="Arial" w:cs="Arial" w:eastAsia="Arial" w:hAnsi="Arial"/>
          <w:sz w:val="16"/>
          <w:szCs w:val="16"/>
          <w:color w:val="auto"/>
        </w:rPr>
        <w:t>. Notwithstanding any other provision herein, the aggregate interest rate charged with respect to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including all charges or fees in connection therewith deemed in the nature of interest under applicable law will not exceed the Highest Lawful Rate. If the rate of interest (determined without regard to the preceding sentence) under this Agreement at any time exceeds the Highest Lawful Rate, the outstanding amount of the Loans made hereunder will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will pay to the Administrative Agent an amount equal to the difference between the amount of interest paid and the amount of interest which would have been paid if the Highest Lawful Rate had at all times been in effect. Notwithstanding the foregoing, it is the intention of the Lenders and the Borrower to conform strictly to any applicable usury laws. Accordingly, if any Lender contracts for, charges, or receives any consideration which constitutes interest in excess of the Highest Lawful Rate, then any such excess will be cancelled automatically and, if previously paid, will at such Lender’s option be applied to the outstanding amount of the Loans made hereunder or be refunded to the Borrower.</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10.19 Counterparts</w:t>
      </w:r>
      <w:r>
        <w:rPr>
          <w:rFonts w:ascii="Arial" w:cs="Arial" w:eastAsia="Arial" w:hAnsi="Arial"/>
          <w:sz w:val="18"/>
          <w:szCs w:val="18"/>
          <w:color w:val="auto"/>
        </w:rPr>
        <w:t>. 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but all such counterparts together will constitute but one and the same instrument. Signature pages may be detached from multiple separate counterparts and attached to a single counterpart. Delivery of an executed signature page of this Agreement by facsimile transmission or Electronic Transmission will be as effective as delivery of a manually executed counterpart hereof.</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10.20 No Strict Construction</w:t>
      </w:r>
      <w:r>
        <w:rPr>
          <w:rFonts w:ascii="Arial" w:cs="Arial" w:eastAsia="Arial" w:hAnsi="Arial"/>
          <w:sz w:val="18"/>
          <w:szCs w:val="18"/>
          <w:color w:val="auto"/>
        </w:rPr>
        <w:t>. The parties hereto have participated jointly in the negotiation and drafting of this Agreement. In the event an</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ambiguity or question of intent or interpretation arises, this Agreement will be construed as if drafted jointly by the parties hereto and no presumption or burden of proof will arise favoring or disfavoring any party by virtue of the authorship of any provisions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8" w:name="page179"/>
    <w:bookmarkEnd w:id="178"/>
    <w:p>
      <w:pPr>
        <w:jc w:val="both"/>
        <w:ind w:firstLine="648"/>
        <w:spacing w:after="0" w:line="266" w:lineRule="auto"/>
        <w:rPr>
          <w:sz w:val="20"/>
          <w:szCs w:val="20"/>
          <w:color w:val="auto"/>
        </w:rPr>
      </w:pPr>
      <w:r>
        <w:rPr>
          <w:rFonts w:ascii="Arial" w:cs="Arial" w:eastAsia="Arial" w:hAnsi="Arial"/>
          <w:sz w:val="18"/>
          <w:szCs w:val="18"/>
          <w:b w:val="1"/>
          <w:bCs w:val="1"/>
          <w:color w:val="auto"/>
        </w:rPr>
        <w:t>10.21 Effectiveness; Entire Agreement</w:t>
      </w:r>
      <w:r>
        <w:rPr>
          <w:rFonts w:ascii="Arial" w:cs="Arial" w:eastAsia="Arial" w:hAnsi="Arial"/>
          <w:sz w:val="18"/>
          <w:szCs w:val="18"/>
          <w:color w:val="auto"/>
        </w:rPr>
        <w:t>. This Agreement will become effective upon the execution of a counterpart hereof by each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receipt by the Borrower and the Administrative Agent of written or telephonic notification of such execution and authorization of delivery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10.22 No Fiduciary Duty</w:t>
      </w:r>
      <w:r>
        <w:rPr>
          <w:rFonts w:ascii="Arial" w:cs="Arial" w:eastAsia="Arial" w:hAnsi="Arial"/>
          <w:sz w:val="18"/>
          <w:szCs w:val="18"/>
          <w:color w:val="auto"/>
        </w:rPr>
        <w:t>. Each Agent, each Lender and their Affiliates (collectively, solely for purposes of this paragraph, the “</w:t>
      </w:r>
      <w:r>
        <w:rPr>
          <w:rFonts w:ascii="Arial" w:cs="Arial" w:eastAsia="Arial" w:hAnsi="Arial"/>
          <w:sz w:val="18"/>
          <w:szCs w:val="18"/>
          <w:b w:val="1"/>
          <w:bCs w:val="1"/>
          <w:color w:val="auto"/>
        </w:rPr>
        <w:t>Lenders</w:t>
      </w:r>
      <w:r>
        <w:rPr>
          <w:rFonts w:ascii="Arial" w:cs="Arial" w:eastAsia="Arial" w:hAnsi="Arial"/>
          <w:sz w:val="18"/>
          <w:szCs w:val="18"/>
          <w:color w:val="auto"/>
        </w:rPr>
        <w:t>”),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economic interests that conflict with those of the Credit Parties. Each Credit Party acknowledges and agrees:</w:t>
      </w:r>
    </w:p>
    <w:p>
      <w:pPr>
        <w:spacing w:after="0" w:line="166" w:lineRule="exact"/>
        <w:rPr>
          <w:sz w:val="20"/>
          <w:szCs w:val="20"/>
          <w:color w:val="auto"/>
        </w:rPr>
      </w:pPr>
    </w:p>
    <w:p>
      <w:pPr>
        <w:ind w:firstLine="1304"/>
        <w:spacing w:after="0" w:line="277" w:lineRule="auto"/>
        <w:tabs>
          <w:tab w:leader="none" w:pos="169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nothing in the Credit Documents or otherwise will be deemed to create an advisory, fiduciary or agency relationship or fiduciary or other implied duty between the Lenders and each Credit Party, its stockholders or its affiliates;</w:t>
      </w:r>
    </w:p>
    <w:p>
      <w:pPr>
        <w:spacing w:after="0" w:line="170" w:lineRule="exact"/>
        <w:rPr>
          <w:rFonts w:ascii="Arial" w:cs="Arial" w:eastAsia="Arial" w:hAnsi="Arial"/>
          <w:sz w:val="18"/>
          <w:szCs w:val="18"/>
          <w:color w:val="auto"/>
        </w:rPr>
      </w:pPr>
    </w:p>
    <w:p>
      <w:pPr>
        <w:ind w:firstLine="1304"/>
        <w:spacing w:after="0" w:line="277" w:lineRule="auto"/>
        <w:tabs>
          <w:tab w:leader="none" w:pos="171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transactions contemplated by the Credit Documents are arm’s-length commercial transactions between the Lenders, on the one hand, and each Credit Party, on the other;</w:t>
      </w:r>
    </w:p>
    <w:p>
      <w:pPr>
        <w:spacing w:after="0" w:line="170" w:lineRule="exact"/>
        <w:rPr>
          <w:rFonts w:ascii="Arial" w:cs="Arial" w:eastAsia="Arial" w:hAnsi="Arial"/>
          <w:sz w:val="18"/>
          <w:szCs w:val="18"/>
          <w:color w:val="auto"/>
        </w:rPr>
      </w:pPr>
    </w:p>
    <w:p>
      <w:pPr>
        <w:ind w:firstLine="1304"/>
        <w:spacing w:after="0" w:line="277" w:lineRule="auto"/>
        <w:tabs>
          <w:tab w:leader="none" w:pos="170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connection therewith and with the process leading to such transaction each of the Lenders is acting solely as a principal and not the agent or fiduciary of any Credit Party, its management, stockholders, creditors or any other Person;</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81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 Lender has assumed an advisory or fiduciary responsibility in favor of any Credit Party with respect to the transactions contemplated hereby or the process leading thereto (irrespective of whether any Lender or any of its affiliates has advised or is currently advising any Credit Party on other matters) or any other obligation to any Credit Party except the obligations expressly set forth in the Credit Documents;</w:t>
      </w:r>
    </w:p>
    <w:p>
      <w:pPr>
        <w:spacing w:after="0" w:line="165" w:lineRule="exact"/>
        <w:rPr>
          <w:rFonts w:ascii="Arial" w:cs="Arial" w:eastAsia="Arial" w:hAnsi="Arial"/>
          <w:sz w:val="17"/>
          <w:szCs w:val="17"/>
          <w:color w:val="auto"/>
        </w:rPr>
      </w:pPr>
    </w:p>
    <w:p>
      <w:pPr>
        <w:ind w:left="1680" w:hanging="376"/>
        <w:spacing w:after="0"/>
        <w:tabs>
          <w:tab w:leader="none" w:pos="1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Credit Party has consulted its own legal and financial advisors to the extent it deemed appropriate;</w:t>
      </w:r>
    </w:p>
    <w:p>
      <w:pPr>
        <w:spacing w:after="0" w:line="225" w:lineRule="exact"/>
        <w:rPr>
          <w:rFonts w:ascii="Arial" w:cs="Arial" w:eastAsia="Arial" w:hAnsi="Arial"/>
          <w:sz w:val="18"/>
          <w:szCs w:val="18"/>
          <w:color w:val="auto"/>
        </w:rPr>
      </w:pPr>
    </w:p>
    <w:p>
      <w:pPr>
        <w:ind w:left="1680" w:hanging="376"/>
        <w:spacing w:after="0"/>
        <w:tabs>
          <w:tab w:leader="none" w:pos="16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Credit Party is responsible for making its own independent judgment with respect to such transactions and the process leading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 and</w:t>
      </w:r>
    </w:p>
    <w:p>
      <w:pPr>
        <w:spacing w:after="0" w:line="210" w:lineRule="exact"/>
        <w:rPr>
          <w:rFonts w:ascii="Arial" w:cs="Arial" w:eastAsia="Arial" w:hAnsi="Arial"/>
          <w:sz w:val="16"/>
          <w:szCs w:val="16"/>
          <w:color w:val="auto"/>
        </w:rPr>
      </w:pPr>
    </w:p>
    <w:p>
      <w:pPr>
        <w:ind w:firstLine="1304"/>
        <w:spacing w:after="0" w:line="277" w:lineRule="auto"/>
        <w:tabs>
          <w:tab w:leader="none" w:pos="17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Credit Party will claim that any Lender has rendered advisory services of any nature or respect, or owes a fiduciary or similar duty to any Credit Party, in connection with such transaction or the process leading thereto.</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10.23 No Third Parties Benefit</w:t>
      </w:r>
      <w:r>
        <w:rPr>
          <w:rFonts w:ascii="Arial" w:cs="Arial" w:eastAsia="Arial" w:hAnsi="Arial"/>
          <w:sz w:val="17"/>
          <w:szCs w:val="17"/>
          <w:color w:val="auto"/>
        </w:rPr>
        <w:t>. This Agreement is made and entered into for the sole protection and legal benefit of the Borrower,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party hereto, the Agents and each other Secured Party, and their permitted successors and assigns, and no other Person will be a direct or indirect legal beneficiary of, or have any direct or indirect cause of action or claim in connection with, this Agreement or any of the other Credit Documents. No Agent or any Lender will have any obligation to any Person not a party to this Agreement or the other Credit Documents.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10.24 PATRIOT Act</w:t>
      </w:r>
      <w:r>
        <w:rPr>
          <w:rFonts w:ascii="Arial" w:cs="Arial" w:eastAsia="Arial" w:hAnsi="Arial"/>
          <w:sz w:val="18"/>
          <w:szCs w:val="18"/>
          <w:color w:val="auto"/>
        </w:rPr>
        <w:t>. Each Lender and the Administrative Agent (for itself and not on behalf of any Lender) hereby notifies the Credit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pursuant to the requirements of the PATRIOT Act, it is required to obtain, verify and record information that identifies the Credit Parties, which information includes the name and address of each Credit Party and other information that will allow such Lender or the Administrative Agent, as applicable, to identify the Credit Parties in accordance with the PATRIOT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jc w:val="both"/>
        <w:ind w:firstLine="648"/>
        <w:spacing w:after="0" w:line="281" w:lineRule="auto"/>
        <w:rPr>
          <w:sz w:val="20"/>
          <w:szCs w:val="20"/>
          <w:color w:val="auto"/>
        </w:rPr>
      </w:pPr>
      <w:r>
        <w:rPr>
          <w:rFonts w:ascii="Arial" w:cs="Arial" w:eastAsia="Arial" w:hAnsi="Arial"/>
          <w:sz w:val="17"/>
          <w:szCs w:val="17"/>
          <w:b w:val="1"/>
          <w:bCs w:val="1"/>
          <w:color w:val="auto"/>
        </w:rPr>
        <w:t>10.25 Acknowledgement and Consent to Bail-In of EEA Financial Institutions</w:t>
      </w:r>
      <w:r>
        <w:rPr>
          <w:rFonts w:ascii="Arial" w:cs="Arial" w:eastAsia="Arial" w:hAnsi="Arial"/>
          <w:sz w:val="17"/>
          <w:szCs w:val="17"/>
          <w:color w:val="auto"/>
        </w:rPr>
        <w:t>. Notwithstanding anything to the contrary in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firstLine="1142"/>
        <w:spacing w:after="0" w:line="277" w:lineRule="auto"/>
        <w:tabs>
          <w:tab w:leader="none" w:pos="154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jc w:val="both"/>
        <w:ind w:firstLine="1142"/>
        <w:spacing w:after="0" w:line="275" w:lineRule="auto"/>
        <w:tabs>
          <w:tab w:leader="none" w:pos="155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any EEA Resolution Authority.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emainder of</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age</w:t>
      </w:r>
      <w:r>
        <w:rPr>
          <w:rFonts w:ascii="Arial" w:cs="Arial" w:eastAsia="Arial" w:hAnsi="Arial"/>
          <w:sz w:val="18"/>
          <w:szCs w:val="18"/>
          <w:i w:val="1"/>
          <w:iCs w:val="1"/>
          <w:color w:val="auto"/>
        </w:rPr>
        <w:t xml:space="preserve"> I</w:t>
      </w:r>
      <w:r>
        <w:rPr>
          <w:rFonts w:ascii="Arial" w:cs="Arial" w:eastAsia="Arial" w:hAnsi="Arial"/>
          <w:sz w:val="12"/>
          <w:szCs w:val="12"/>
          <w:i w:val="1"/>
          <w:iCs w:val="1"/>
          <w:color w:val="auto"/>
        </w:rPr>
        <w:t>ntentionally</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eft</w:t>
      </w:r>
      <w:r>
        <w:rPr>
          <w:rFonts w:ascii="Arial" w:cs="Arial" w:eastAsia="Arial" w:hAnsi="Arial"/>
          <w:sz w:val="18"/>
          <w:szCs w:val="18"/>
          <w:i w:val="1"/>
          <w:iCs w:val="1"/>
          <w:color w:val="auto"/>
        </w:rPr>
        <w:t xml:space="preserve"> B</w:t>
      </w:r>
      <w:r>
        <w:rPr>
          <w:rFonts w:ascii="Arial" w:cs="Arial" w:eastAsia="Arial" w:hAnsi="Arial"/>
          <w:sz w:val="12"/>
          <w:szCs w:val="12"/>
          <w:i w:val="1"/>
          <w:iCs w:val="1"/>
          <w:color w:val="auto"/>
        </w:rPr>
        <w:t>lank</w:t>
      </w:r>
      <w:r>
        <w:rPr>
          <w:rFonts w:ascii="Arial" w:cs="Arial" w:eastAsia="Arial" w:hAnsi="Arial"/>
          <w:sz w:val="18"/>
          <w:szCs w:val="18"/>
          <w:i w:val="1"/>
          <w:i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ind w:firstLine="648"/>
        <w:spacing w:after="0" w:line="277" w:lineRule="auto"/>
        <w:rPr>
          <w:sz w:val="20"/>
          <w:szCs w:val="20"/>
          <w:color w:val="auto"/>
        </w:rPr>
      </w:pPr>
      <w:r>
        <w:rPr>
          <w:rFonts w:ascii="Arial" w:cs="Arial" w:eastAsia="Arial" w:hAnsi="Arial"/>
          <w:sz w:val="18"/>
          <w:szCs w:val="18"/>
          <w:color w:val="FF0000"/>
          <w:strike w:val="1"/>
        </w:rPr>
        <w:t>IN WITNESS WHEREOF, the parties hereto have caused this Agreement to be duly executed and delivered by their duly authorized officers as of the day and year first above written.</w:t>
      </w:r>
    </w:p>
    <w:p>
      <w:pPr>
        <w:spacing w:after="0" w:line="16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FF0000"/>
          <w:strike w:val="1"/>
        </w:rPr>
        <w:t>BORROWER:</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FF0000"/>
          <w:strike w:val="1"/>
        </w:rPr>
        <w:t>COHU,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FF0000"/>
          <w:strike w:val="1"/>
        </w:rPr>
        <w:t>By:</w:t>
      </w:r>
      <w:r>
        <w:rPr>
          <w:sz w:val="20"/>
          <w:szCs w:val="20"/>
          <w:color w:val="auto"/>
        </w:rPr>
        <w:tab/>
      </w:r>
      <w:r>
        <w:rPr>
          <w:rFonts w:ascii="Arial" w:cs="Arial" w:eastAsia="Arial" w:hAnsi="Arial"/>
          <w:sz w:val="18"/>
          <w:szCs w:val="18"/>
          <w:color w:val="FF0000"/>
          <w:strike w:val="1"/>
        </w:rPr>
        <w:t>____________________________________</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FF0000"/>
          <w:strike w:val="1"/>
        </w:rPr>
        <w:t>Name: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81" w:name="page182"/>
    <w:bookmarkEnd w:id="181"/>
    <w:p>
      <w:pPr>
        <w:ind w:left="2120"/>
        <w:spacing w:after="0"/>
        <w:rPr>
          <w:sz w:val="20"/>
          <w:szCs w:val="20"/>
          <w:color w:val="auto"/>
        </w:rPr>
      </w:pPr>
      <w:r>
        <w:rPr>
          <w:rFonts w:ascii="Arial" w:cs="Arial" w:eastAsia="Arial" w:hAnsi="Arial"/>
          <w:sz w:val="18"/>
          <w:szCs w:val="18"/>
          <w:b w:val="1"/>
          <w:bCs w:val="1"/>
          <w:color w:val="FF0000"/>
          <w:strike w:val="1"/>
        </w:rPr>
        <w:t>GUARANTOR SUBSIDIARIES:</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DELTA DESIGN,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KITA USA, INC.</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ROSENHEIM AUTOMATION SYSTEMS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FF0000"/>
          <w:strike w:val="1"/>
        </w:rPr>
        <w:t>CORPORATION</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XCERRA CORPORATION</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MULTITEST ELECTRONIC SYSTEMS INC.</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EVERETT CHARLES TECHNOLOGIES LLC</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0000"/>
          <w:strike w:val="1"/>
        </w:rPr>
        <w:t>XCERRA INTERNATIONAL INC.</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17"/>
          <w:szCs w:val="17"/>
          <w:color w:val="FF0000"/>
          <w:strike w:val="1"/>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color w:val="FF0000"/>
          <w:strike w:val="1"/>
        </w:rPr>
        <w:t>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485775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040" w:space="140"/>
            <w:col w:w="5839"/>
          </w:cols>
          <w:pgMar w:left="1440" w:top="580" w:right="1440" w:bottom="1440" w:gutter="0" w:footer="0" w:header="0"/>
          <w:type w:val="continuous"/>
        </w:sectPr>
      </w:pPr>
    </w:p>
    <w:bookmarkStart w:id="182" w:name="page183"/>
    <w:bookmarkEnd w:id="182"/>
    <w:p>
      <w:pPr>
        <w:ind w:left="2780"/>
        <w:spacing w:after="0"/>
        <w:rPr>
          <w:sz w:val="20"/>
          <w:szCs w:val="20"/>
          <w:color w:val="auto"/>
        </w:rPr>
      </w:pPr>
      <w:r>
        <w:rPr>
          <w:rFonts w:ascii="Arial" w:cs="Arial" w:eastAsia="Arial" w:hAnsi="Arial"/>
          <w:sz w:val="18"/>
          <w:szCs w:val="18"/>
          <w:b w:val="1"/>
          <w:bCs w:val="1"/>
          <w:color w:val="FF0000"/>
          <w:strike w:val="1"/>
        </w:rPr>
        <w:t>DEUTSCHE BANK AG NEW YORK BRANCH</w:t>
      </w:r>
      <w:r>
        <w:rPr>
          <w:rFonts w:ascii="Arial" w:cs="Arial" w:eastAsia="Arial" w:hAnsi="Arial"/>
          <w:sz w:val="18"/>
          <w:szCs w:val="18"/>
          <w:color w:val="FF0000"/>
          <w:strike w:val="1"/>
        </w:rPr>
        <w:t>,</w:t>
      </w:r>
      <w:r>
        <w:rPr>
          <w:rFonts w:ascii="Arial" w:cs="Arial" w:eastAsia="Arial" w:hAnsi="Arial"/>
          <w:sz w:val="18"/>
          <w:szCs w:val="18"/>
          <w:b w:val="1"/>
          <w:bCs w:val="1"/>
          <w:color w:val="FF0000"/>
          <w:strike w:val="1"/>
        </w:rPr>
        <w:t xml:space="preserve"> </w:t>
      </w:r>
      <w:r>
        <w:rPr>
          <w:rFonts w:ascii="Arial" w:cs="Arial" w:eastAsia="Arial" w:hAnsi="Arial"/>
          <w:sz w:val="12"/>
          <w:szCs w:val="12"/>
          <w:color w:val="FF0000"/>
          <w:strike w:val="1"/>
        </w:rPr>
        <w:t>as</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color w:val="FF0000"/>
          <w:strike w:val="1"/>
        </w:rPr>
        <w:t>A</w:t>
      </w:r>
      <w:r>
        <w:rPr>
          <w:rFonts w:ascii="Arial" w:cs="Arial" w:eastAsia="Arial" w:hAnsi="Arial"/>
          <w:sz w:val="12"/>
          <w:szCs w:val="12"/>
          <w:color w:val="FF0000"/>
          <w:strike w:val="1"/>
        </w:rPr>
        <w:t>dministrative</w:t>
      </w:r>
      <w:r>
        <w:rPr>
          <w:rFonts w:ascii="Arial" w:cs="Arial" w:eastAsia="Arial" w:hAnsi="Arial"/>
          <w:sz w:val="18"/>
          <w:szCs w:val="18"/>
          <w:color w:val="FF0000"/>
          <w:strike w:val="1"/>
        </w:rPr>
        <w:t xml:space="preserve"> A</w:t>
      </w:r>
      <w:r>
        <w:rPr>
          <w:rFonts w:ascii="Arial" w:cs="Arial" w:eastAsia="Arial" w:hAnsi="Arial"/>
          <w:sz w:val="12"/>
          <w:szCs w:val="12"/>
          <w:color w:val="FF0000"/>
          <w:strike w:val="1"/>
        </w:rPr>
        <w:t>gent</w:t>
      </w:r>
      <w:r>
        <w:rPr>
          <w:rFonts w:ascii="Arial" w:cs="Arial" w:eastAsia="Arial" w:hAnsi="Arial"/>
          <w:sz w:val="18"/>
          <w:szCs w:val="18"/>
          <w:color w:val="FF0000"/>
          <w:strike w:val="1"/>
        </w:rPr>
        <w:t>, C</w:t>
      </w:r>
      <w:r>
        <w:rPr>
          <w:rFonts w:ascii="Arial" w:cs="Arial" w:eastAsia="Arial" w:hAnsi="Arial"/>
          <w:sz w:val="12"/>
          <w:szCs w:val="12"/>
          <w:color w:val="FF0000"/>
          <w:strike w:val="1"/>
        </w:rPr>
        <w:t>ollateral</w:t>
      </w:r>
      <w:r>
        <w:rPr>
          <w:rFonts w:ascii="Arial" w:cs="Arial" w:eastAsia="Arial" w:hAnsi="Arial"/>
          <w:sz w:val="18"/>
          <w:szCs w:val="18"/>
          <w:color w:val="FF0000"/>
          <w:strike w:val="1"/>
        </w:rPr>
        <w:t xml:space="preserve"> A</w:t>
      </w:r>
      <w:r>
        <w:rPr>
          <w:rFonts w:ascii="Arial" w:cs="Arial" w:eastAsia="Arial" w:hAnsi="Arial"/>
          <w:sz w:val="12"/>
          <w:szCs w:val="12"/>
          <w:color w:val="FF0000"/>
          <w:strike w:val="1"/>
        </w:rPr>
        <w:t>gent and a</w:t>
      </w:r>
      <w:r>
        <w:rPr>
          <w:rFonts w:ascii="Arial" w:cs="Arial" w:eastAsia="Arial" w:hAnsi="Arial"/>
          <w:sz w:val="18"/>
          <w:szCs w:val="18"/>
          <w:color w:val="FF0000"/>
          <w:strike w:val="1"/>
        </w:rPr>
        <w:t xml:space="preserve"> L</w:t>
      </w:r>
      <w:r>
        <w:rPr>
          <w:rFonts w:ascii="Arial" w:cs="Arial" w:eastAsia="Arial" w:hAnsi="Arial"/>
          <w:sz w:val="12"/>
          <w:szCs w:val="12"/>
          <w:color w:val="FF0000"/>
          <w:strike w:val="1"/>
        </w:rPr>
        <w:t>ender</w:t>
      </w:r>
    </w:p>
    <w:p>
      <w:pPr>
        <w:sectPr>
          <w:pgSz w:w="11900" w:h="16838" w:orient="portrait"/>
          <w:cols w:equalWidth="0" w:num="1">
            <w:col w:w="9019"/>
          </w:cols>
          <w:pgMar w:left="1440" w:top="580" w:right="1440" w:bottom="1440" w:gutter="0" w:footer="0" w:header="0"/>
        </w:sectPr>
      </w:pPr>
    </w:p>
    <w:p>
      <w:pPr>
        <w:spacing w:after="0" w:line="211" w:lineRule="exact"/>
        <w:rPr>
          <w:sz w:val="20"/>
          <w:szCs w:val="20"/>
          <w:color w:val="auto"/>
        </w:rPr>
      </w:pPr>
    </w:p>
    <w:p>
      <w:pPr>
        <w:ind w:left="2780"/>
        <w:spacing w:after="0"/>
        <w:rPr>
          <w:sz w:val="20"/>
          <w:szCs w:val="20"/>
          <w:color w:val="auto"/>
        </w:rPr>
      </w:pPr>
      <w:r>
        <w:rPr>
          <w:rFonts w:ascii="Arial" w:cs="Arial" w:eastAsia="Arial" w:hAnsi="Arial"/>
          <w:sz w:val="17"/>
          <w:szCs w:val="17"/>
          <w:color w:val="FF0000"/>
          <w:strike w:val="1"/>
        </w:rPr>
        <w:t>By:</w:t>
      </w: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Arial" w:cs="Arial" w:eastAsia="Arial" w:hAnsi="Arial"/>
          <w:sz w:val="17"/>
          <w:szCs w:val="17"/>
          <w:color w:val="FF0000"/>
          <w:strike w:val="1"/>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FF0000"/>
          <w:strike w:val="1"/>
        </w:rPr>
        <w:t>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Title: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FF0000"/>
          <w:strike w:val="1"/>
        </w:rPr>
        <w:t>____________________________________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348615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040" w:space="360"/>
            <w:col w:w="5619"/>
          </w:cols>
          <w:pgMar w:left="1440" w:top="580" w:right="1440" w:bottom="144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FF0000"/>
                <w:strike w:val="1"/>
              </w:rPr>
              <w:t>APPENDIX A-1</w:t>
            </w:r>
          </w:p>
        </w:tc>
      </w:tr>
      <w:tr>
        <w:trPr>
          <w:trHeight w:val="234"/>
        </w:trPr>
        <w:tc>
          <w:tcPr>
            <w:tcW w:w="5780" w:type="dxa"/>
            <w:vAlign w:val="bottom"/>
          </w:tcPr>
          <w:p>
            <w:pPr>
              <w:spacing w:after="0"/>
              <w:rPr>
                <w:sz w:val="20"/>
                <w:szCs w:val="20"/>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b w:val="1"/>
                <w:bCs w:val="1"/>
                <w:color w:val="FF0000"/>
                <w:strike w:val="1"/>
              </w:rPr>
              <w:t>TO CREDIT AND GUARANTY AGREEMENT</w:t>
            </w:r>
          </w:p>
        </w:tc>
      </w:tr>
      <w:tr>
        <w:trPr>
          <w:trHeight w:val="432"/>
        </w:trPr>
        <w:tc>
          <w:tcPr>
            <w:tcW w:w="8500" w:type="dxa"/>
            <w:vAlign w:val="bottom"/>
            <w:gridSpan w:val="2"/>
          </w:tcPr>
          <w:p>
            <w:pPr>
              <w:ind w:left="4260"/>
              <w:spacing w:after="0"/>
              <w:rPr>
                <w:sz w:val="20"/>
                <w:szCs w:val="20"/>
                <w:color w:val="auto"/>
              </w:rPr>
            </w:pPr>
            <w:r>
              <w:rPr>
                <w:rFonts w:ascii="Arial" w:cs="Arial" w:eastAsia="Arial" w:hAnsi="Arial"/>
                <w:sz w:val="18"/>
                <w:szCs w:val="18"/>
                <w:b w:val="1"/>
                <w:bCs w:val="1"/>
                <w:color w:val="FF0000"/>
                <w:strike w:val="1"/>
              </w:rPr>
              <w:t>Initial Term B Loan Commitments</w:t>
            </w:r>
          </w:p>
        </w:tc>
        <w:tc>
          <w:tcPr>
            <w:tcW w:w="2720" w:type="dxa"/>
            <w:vAlign w:val="bottom"/>
          </w:tcPr>
          <w:p>
            <w:pPr>
              <w:spacing w:after="0"/>
              <w:rPr>
                <w:sz w:val="24"/>
                <w:szCs w:val="24"/>
                <w:color w:val="auto"/>
              </w:rPr>
            </w:pPr>
          </w:p>
        </w:tc>
      </w:tr>
      <w:tr>
        <w:trPr>
          <w:trHeight w:val="427"/>
        </w:trPr>
        <w:tc>
          <w:tcPr>
            <w:tcW w:w="5780" w:type="dxa"/>
            <w:vAlign w:val="bottom"/>
          </w:tcPr>
          <w:p>
            <w:pPr>
              <w:spacing w:after="0"/>
              <w:rPr>
                <w:sz w:val="24"/>
                <w:szCs w:val="24"/>
                <w:color w:val="auto"/>
              </w:rPr>
            </w:pPr>
          </w:p>
        </w:tc>
        <w:tc>
          <w:tcPr>
            <w:tcW w:w="2720" w:type="dxa"/>
            <w:vAlign w:val="bottom"/>
          </w:tcPr>
          <w:p>
            <w:pPr>
              <w:jc w:val="center"/>
              <w:ind w:right="230"/>
              <w:spacing w:after="0"/>
              <w:rPr>
                <w:sz w:val="20"/>
                <w:szCs w:val="20"/>
                <w:color w:val="auto"/>
              </w:rPr>
            </w:pPr>
            <w:r>
              <w:rPr>
                <w:rFonts w:ascii="Arial" w:cs="Arial" w:eastAsia="Arial" w:hAnsi="Arial"/>
                <w:sz w:val="18"/>
                <w:szCs w:val="18"/>
                <w:b w:val="1"/>
                <w:bCs w:val="1"/>
                <w:color w:val="FF0000"/>
                <w:strike w:val="1"/>
                <w:w w:val="93"/>
              </w:rPr>
              <w:t>Initial Term B Loan</w:t>
            </w:r>
          </w:p>
        </w:tc>
        <w:tc>
          <w:tcPr>
            <w:tcW w:w="2720" w:type="dxa"/>
            <w:vAlign w:val="bottom"/>
          </w:tcPr>
          <w:p>
            <w:pPr>
              <w:spacing w:after="0"/>
              <w:rPr>
                <w:sz w:val="24"/>
                <w:szCs w:val="24"/>
                <w:color w:val="auto"/>
              </w:rPr>
            </w:pPr>
          </w:p>
        </w:tc>
      </w:tr>
      <w:tr>
        <w:trPr>
          <w:trHeight w:val="229"/>
        </w:trPr>
        <w:tc>
          <w:tcPr>
            <w:tcW w:w="5780" w:type="dxa"/>
            <w:vAlign w:val="bottom"/>
          </w:tcPr>
          <w:p>
            <w:pPr>
              <w:ind w:left="2380"/>
              <w:spacing w:after="0"/>
              <w:rPr>
                <w:sz w:val="20"/>
                <w:szCs w:val="20"/>
                <w:color w:val="auto"/>
              </w:rPr>
            </w:pPr>
            <w:r>
              <w:rPr>
                <w:rFonts w:ascii="Arial" w:cs="Arial" w:eastAsia="Arial" w:hAnsi="Arial"/>
                <w:sz w:val="18"/>
                <w:szCs w:val="18"/>
                <w:b w:val="1"/>
                <w:bCs w:val="1"/>
                <w:color w:val="FF0000"/>
                <w:strike w:val="1"/>
              </w:rPr>
              <w:t>Lender</w:t>
            </w:r>
          </w:p>
        </w:tc>
        <w:tc>
          <w:tcPr>
            <w:tcW w:w="2720" w:type="dxa"/>
            <w:vAlign w:val="bottom"/>
          </w:tcPr>
          <w:p>
            <w:pPr>
              <w:jc w:val="center"/>
              <w:ind w:right="250"/>
              <w:spacing w:after="0"/>
              <w:rPr>
                <w:sz w:val="20"/>
                <w:szCs w:val="20"/>
                <w:color w:val="auto"/>
              </w:rPr>
            </w:pPr>
            <w:r>
              <w:rPr>
                <w:rFonts w:ascii="Arial" w:cs="Arial" w:eastAsia="Arial" w:hAnsi="Arial"/>
                <w:sz w:val="18"/>
                <w:szCs w:val="18"/>
                <w:b w:val="1"/>
                <w:bCs w:val="1"/>
                <w:color w:val="FF0000"/>
                <w:strike w:val="1"/>
                <w:w w:val="92"/>
              </w:rPr>
              <w:t>Commitment</w:t>
            </w:r>
          </w:p>
        </w:tc>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FF0000"/>
                <w:strike w:val="1"/>
                <w:w w:val="91"/>
              </w:rPr>
              <w:t>Pro Rata Share</w:t>
            </w: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FF0000"/>
                <w:strike w:val="1"/>
              </w:rPr>
              <w:t>Deutsche Bank AG New York Branch</w:t>
            </w:r>
          </w:p>
        </w:tc>
        <w:tc>
          <w:tcPr>
            <w:tcW w:w="2720" w:type="dxa"/>
            <w:vAlign w:val="bottom"/>
          </w:tcPr>
          <w:p>
            <w:pPr>
              <w:jc w:val="center"/>
              <w:ind w:right="230"/>
              <w:spacing w:after="0"/>
              <w:rPr>
                <w:sz w:val="20"/>
                <w:szCs w:val="20"/>
                <w:color w:val="auto"/>
              </w:rPr>
            </w:pPr>
            <w:r>
              <w:rPr>
                <w:rFonts w:ascii="Arial" w:cs="Arial" w:eastAsia="Arial" w:hAnsi="Arial"/>
                <w:sz w:val="18"/>
                <w:szCs w:val="18"/>
                <w:b w:val="1"/>
                <w:bCs w:val="1"/>
                <w:color w:val="FF0000"/>
                <w:strike w:val="1"/>
                <w:w w:val="90"/>
              </w:rPr>
              <w:t>$350,000,000</w:t>
            </w:r>
          </w:p>
        </w:tc>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FF0000"/>
                <w:strike w:val="1"/>
                <w:w w:val="92"/>
              </w:rPr>
              <w:t>100.000000000%</w:t>
            </w:r>
          </w:p>
        </w:tc>
      </w:tr>
      <w:tr>
        <w:trPr>
          <w:trHeight w:val="234"/>
        </w:trPr>
        <w:tc>
          <w:tcPr>
            <w:tcW w:w="5780" w:type="dxa"/>
            <w:vAlign w:val="bottom"/>
          </w:tcPr>
          <w:p>
            <w:pPr>
              <w:ind w:left="4880"/>
              <w:spacing w:after="0"/>
              <w:rPr>
                <w:sz w:val="20"/>
                <w:szCs w:val="20"/>
                <w:color w:val="auto"/>
              </w:rPr>
            </w:pPr>
            <w:r>
              <w:rPr>
                <w:rFonts w:ascii="Arial" w:cs="Arial" w:eastAsia="Arial" w:hAnsi="Arial"/>
                <w:sz w:val="18"/>
                <w:szCs w:val="18"/>
                <w:b w:val="1"/>
                <w:bCs w:val="1"/>
                <w:color w:val="FF0000"/>
                <w:strike w:val="1"/>
              </w:rPr>
              <w:t>Total:</w:t>
            </w:r>
          </w:p>
        </w:tc>
        <w:tc>
          <w:tcPr>
            <w:tcW w:w="2720" w:type="dxa"/>
            <w:vAlign w:val="bottom"/>
          </w:tcPr>
          <w:p>
            <w:pPr>
              <w:jc w:val="center"/>
              <w:ind w:right="230"/>
              <w:spacing w:after="0"/>
              <w:rPr>
                <w:sz w:val="20"/>
                <w:szCs w:val="20"/>
                <w:color w:val="auto"/>
              </w:rPr>
            </w:pPr>
            <w:r>
              <w:rPr>
                <w:rFonts w:ascii="Arial" w:cs="Arial" w:eastAsia="Arial" w:hAnsi="Arial"/>
                <w:sz w:val="18"/>
                <w:szCs w:val="18"/>
                <w:b w:val="1"/>
                <w:bCs w:val="1"/>
                <w:color w:val="FF0000"/>
                <w:strike w:val="1"/>
                <w:w w:val="90"/>
              </w:rPr>
              <w:t>$350,000,000</w:t>
            </w:r>
          </w:p>
        </w:tc>
        <w:tc>
          <w:tcPr>
            <w:tcW w:w="2720" w:type="dxa"/>
            <w:vAlign w:val="bottom"/>
          </w:tcPr>
          <w:p>
            <w:pPr>
              <w:jc w:val="center"/>
              <w:ind w:left="10"/>
              <w:spacing w:after="0"/>
              <w:rPr>
                <w:sz w:val="20"/>
                <w:szCs w:val="20"/>
                <w:color w:val="auto"/>
              </w:rPr>
            </w:pPr>
            <w:r>
              <w:rPr>
                <w:rFonts w:ascii="Arial" w:cs="Arial" w:eastAsia="Arial" w:hAnsi="Arial"/>
                <w:sz w:val="18"/>
                <w:szCs w:val="18"/>
                <w:b w:val="1"/>
                <w:bCs w:val="1"/>
                <w:color w:val="FF0000"/>
                <w:strike w:val="1"/>
                <w:w w:val="92"/>
              </w:rPr>
              <w:t>100.000000000%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-575945</wp:posOffset>
            </wp:positionV>
            <wp:extent cx="7134225" cy="295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4225" cy="295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-144780</wp:posOffset>
            </wp:positionV>
            <wp:extent cx="713232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FF0000"/>
          <w:strike w:val="1"/>
        </w:rPr>
        <w:t>APPENDIX A-2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0000"/>
          <w:strike w:val="1"/>
        </w:rPr>
        <w:t>TO CREDIT AND GUARANTY AGREEMENT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0000"/>
          <w:strike w:val="1"/>
        </w:rPr>
        <w:t>Term C Loan Commitments</w:t>
      </w:r>
    </w:p>
    <w:p>
      <w:pPr>
        <w:sectPr>
          <w:pgSz w:w="11900" w:h="16838" w:orient="portrait"/>
          <w:cols w:equalWidth="0" w:num="1">
            <w:col w:w="11220"/>
          </w:cols>
          <w:pgMar w:left="340" w:top="580"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0000"/>
          <w:strike w:val="1"/>
        </w:rPr>
        <w:t>Lender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Deutsche Bank AG New York Branch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-543560</wp:posOffset>
            </wp:positionV>
            <wp:extent cx="7134225" cy="295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4225" cy="29591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-113030</wp:posOffset>
            </wp:positionV>
            <wp:extent cx="7132320"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417830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FF0000"/>
          <w:strike w:val="1"/>
        </w:rPr>
        <w:t>Term C Loan</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FF0000"/>
          <w:strike w:val="1"/>
        </w:rPr>
        <w:t>Commitment</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0000"/>
          <w:strike w:val="1"/>
        </w:rPr>
        <w:t>$0</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0000"/>
          <w:strike w:val="1"/>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FF0000"/>
          <w:strike w:val="1"/>
        </w:rPr>
        <w:t>Pro Rata Share</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FF0000"/>
          <w:strike w:val="1"/>
        </w:rPr>
        <w:t>N/A</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FF0000"/>
          <w:strike w:val="1"/>
        </w:rPr>
        <w:t>N/A</w:t>
      </w:r>
    </w:p>
    <w:p>
      <w:pPr>
        <w:sectPr>
          <w:pgSz w:w="11900" w:h="16838" w:orient="portrait"/>
          <w:cols w:equalWidth="0" w:num="4">
            <w:col w:w="4160" w:space="720"/>
            <w:col w:w="860" w:space="720"/>
            <w:col w:w="2140" w:space="720"/>
            <w:col w:w="1900"/>
          </w:cols>
          <w:pgMar w:left="340" w:top="580" w:right="339" w:bottom="144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FF0000"/>
          <w:strike w:val="1"/>
        </w:rPr>
        <w:t>APPENDIX B</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0000"/>
          <w:strike w:val="1"/>
        </w:rPr>
        <w:t>TO 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strike w:val="1"/>
        </w:rPr>
        <w:t>Notice Addresses</w:t>
      </w:r>
    </w:p>
    <w:p>
      <w:pPr>
        <w:spacing w:after="0" w:line="229" w:lineRule="exact"/>
        <w:rPr>
          <w:sz w:val="20"/>
          <w:szCs w:val="20"/>
          <w:color w:val="auto"/>
        </w:rPr>
      </w:pPr>
    </w:p>
    <w:p>
      <w:pPr>
        <w:ind w:left="580" w:hanging="572"/>
        <w:spacing w:after="0"/>
        <w:tabs>
          <w:tab w:leader="none" w:pos="580" w:val="left"/>
        </w:tabs>
        <w:numPr>
          <w:ilvl w:val="0"/>
          <w:numId w:val="226"/>
        </w:numPr>
        <w:rPr>
          <w:rFonts w:ascii="Arial" w:cs="Arial" w:eastAsia="Arial" w:hAnsi="Arial"/>
          <w:sz w:val="18"/>
          <w:szCs w:val="18"/>
          <w:color w:val="FF0000"/>
          <w:strike w:val="1"/>
        </w:rPr>
      </w:pPr>
      <w:r>
        <w:rPr>
          <w:rFonts w:ascii="Arial" w:cs="Arial" w:eastAsia="Arial" w:hAnsi="Arial"/>
          <w:sz w:val="18"/>
          <w:szCs w:val="18"/>
          <w:color w:val="FF0000"/>
          <w:strike w:val="1"/>
        </w:rPr>
        <w:t>if to the Borrower or any other Credit Party: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Cohu,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12367 Crosthwaite Circle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Poway, CA 92064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Attention: Jeffrey D. Jones (jjones@cohu.com)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Cohu,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12367 Crosthwaite Circle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Poway, CA 92064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Attention: Tom Kampfer (TKampfer@cohu.com)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FF0000"/>
          <w:strike w:val="1"/>
        </w:rPr>
        <w:t>with a copy (which shall not constitute notice) 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Cleary Gottlieb Steen &amp; Hamilton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One Liberty Plaza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New York, New York 10006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Attention: Duane McLaughlin (dmclaughlin@cgsh.com)</w:t>
      </w:r>
    </w:p>
    <w:p>
      <w:pPr>
        <w:spacing w:after="0" w:line="211" w:lineRule="exact"/>
        <w:rPr>
          <w:sz w:val="20"/>
          <w:szCs w:val="20"/>
          <w:color w:val="auto"/>
        </w:rPr>
      </w:pPr>
    </w:p>
    <w:p>
      <w:pPr>
        <w:ind w:left="640" w:hanging="632"/>
        <w:spacing w:after="0"/>
        <w:tabs>
          <w:tab w:leader="none" w:pos="640" w:val="left"/>
        </w:tabs>
        <w:numPr>
          <w:ilvl w:val="0"/>
          <w:numId w:val="227"/>
        </w:numPr>
        <w:rPr>
          <w:rFonts w:ascii="Arial" w:cs="Arial" w:eastAsia="Arial" w:hAnsi="Arial"/>
          <w:sz w:val="18"/>
          <w:szCs w:val="18"/>
          <w:color w:val="FF0000"/>
          <w:strike w:val="1"/>
        </w:rPr>
      </w:pPr>
      <w:r>
        <w:rPr>
          <w:rFonts w:ascii="Arial" w:cs="Arial" w:eastAsia="Arial" w:hAnsi="Arial"/>
          <w:sz w:val="18"/>
          <w:szCs w:val="18"/>
          <w:color w:val="FF0000"/>
          <w:strike w:val="1"/>
        </w:rPr>
        <w:t>if to the Administrative Agent or the Collateral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Deutsche Bank AG New York Branch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60 Wall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New York, New York 10005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Attention: Agency Transactions (Agency.Transactions@db.com)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FF0000"/>
          <w:strike w:val="1"/>
        </w:rPr>
        <w:t>with a copy (which shall not constitute notice) 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New York, New York 10020-1095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Attention: Eric F. Leicht (eleicht@whitecase.com)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 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60 Wall Street</w:t>
      </w:r>
      <w:r>
        <w:rPr>
          <w:rFonts w:ascii="Arial" w:cs="Arial" w:eastAsia="Arial" w:hAnsi="Arial"/>
          <w:sz w:val="18"/>
          <w:szCs w:val="18"/>
          <w:u w:val="single" w:color="auto"/>
          <w:color w:val="0000FF"/>
          <w:strike w:val="1"/>
        </w:rPr>
        <w:t>1 Columbus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-1905</wp:posOffset>
            </wp:positionV>
            <wp:extent cx="85725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color w:val="FF0000"/>
          <w:strike w:val="1"/>
        </w:rPr>
        <w:t>10005</w:t>
      </w:r>
      <w:r>
        <w:rPr>
          <w:rFonts w:ascii="Arial" w:cs="Arial" w:eastAsia="Arial" w:hAnsi="Arial"/>
          <w:sz w:val="18"/>
          <w:szCs w:val="18"/>
          <w:u w:val="single" w:color="auto"/>
          <w:color w:val="0000FF"/>
        </w:rPr>
        <w:t>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wp:posOffset>
            </wp:positionV>
            <wp:extent cx="2832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Attention: Agency Transactions (Agency.Transactions@db.com)</w:t>
      </w:r>
    </w:p>
    <w:p>
      <w:pPr>
        <w:spacing w:after="0" w:line="211"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_____________ __, ____</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Cohu,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is made to the Credit and Guaranty Agreement, dated as of October 1, 2018 (as the same may be amended, restated, supplemented and/or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are used as defined in the Credit Agreement), among Cohu, Inc.,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certain Subsidiaries of the Borrower from time to time party thereto as Guarantor Subsidiaries, the Lenders from time to time party thereto, and Deutsche Bank AG New York Branch, as Administrative Agent and as Collateral Agent.</w:t>
      </w:r>
    </w:p>
    <w:p>
      <w:pPr>
        <w:spacing w:after="0" w:line="188"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7"/>
          <w:szCs w:val="17"/>
          <w:color w:val="auto"/>
        </w:rPr>
        <w:t>The Borrower hereby gives you irrevocable notice, pursuant to [Sections 2.1(a), 2.1(b) and 3.1(d)]</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[Section 3.2(a)(i)]</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the Credit Agreement, of its request of a Credit Extension (the “</w:t>
      </w:r>
      <w:r>
        <w:rPr>
          <w:rFonts w:ascii="Arial" w:cs="Arial" w:eastAsia="Arial" w:hAnsi="Arial"/>
          <w:sz w:val="17"/>
          <w:szCs w:val="17"/>
          <w:b w:val="1"/>
          <w:bCs w:val="1"/>
          <w:color w:val="auto"/>
        </w:rPr>
        <w:t>Proposed Borrowing</w:t>
      </w:r>
      <w:r>
        <w:rPr>
          <w:rFonts w:ascii="Arial" w:cs="Arial" w:eastAsia="Arial" w:hAnsi="Arial"/>
          <w:sz w:val="17"/>
          <w:szCs w:val="17"/>
          <w:color w:val="auto"/>
        </w:rPr>
        <w:t>”) under the Credit Agreement and sets forth the following information: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date of the Proposed Borrowing is _____________ __, ____</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(the “</w:t>
      </w:r>
      <w:r>
        <w:rPr>
          <w:rFonts w:ascii="Arial" w:cs="Arial" w:eastAsia="Arial" w:hAnsi="Arial"/>
          <w:sz w:val="18"/>
          <w:szCs w:val="18"/>
          <w:b w:val="1"/>
          <w:bCs w:val="1"/>
          <w:color w:val="auto"/>
        </w:rPr>
        <w:t>Credit Date</w:t>
      </w:r>
      <w:r>
        <w:rPr>
          <w:rFonts w:ascii="Arial" w:cs="Arial" w:eastAsia="Arial" w:hAnsi="Arial"/>
          <w:sz w:val="18"/>
          <w:szCs w:val="18"/>
          <w:color w:val="auto"/>
        </w:rPr>
        <w:t>”).</w:t>
      </w:r>
    </w:p>
    <w:p>
      <w:pPr>
        <w:spacing w:after="0" w:line="103" w:lineRule="exact"/>
        <w:rPr>
          <w:sz w:val="20"/>
          <w:szCs w:val="20"/>
          <w:color w:val="auto"/>
        </w:rPr>
      </w:pPr>
    </w:p>
    <w:p>
      <w:pPr>
        <w:jc w:val="both"/>
        <w:ind w:left="660" w:firstLine="644"/>
        <w:spacing w:after="0" w:line="274" w:lineRule="auto"/>
        <w:tabs>
          <w:tab w:leader="none" w:pos="1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requested Initial Term B Loans is $__________, of which $__________ consists of Base Rate Loans and $__________ consists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having an initial Interest Period of [one month][</w:t>
      </w:r>
      <w:r>
        <w:rPr>
          <w:rFonts w:ascii="Arial" w:cs="Arial" w:eastAsia="Arial" w:hAnsi="Arial"/>
          <w:sz w:val="18"/>
          <w:szCs w:val="18"/>
          <w:color w:val="FF0000"/>
          <w:strike w:val="1"/>
        </w:rPr>
        <w:t>two months][</w:t>
      </w:r>
      <w:r>
        <w:rPr>
          <w:rFonts w:ascii="Arial" w:cs="Arial" w:eastAsia="Arial" w:hAnsi="Arial"/>
          <w:sz w:val="18"/>
          <w:szCs w:val="18"/>
          <w:color w:val="auto"/>
        </w:rPr>
        <w:t>three months][six months]</w:t>
      </w:r>
      <w:r>
        <w:rPr>
          <w:rFonts w:ascii="Arial" w:cs="Arial" w:eastAsia="Arial" w:hAnsi="Arial"/>
          <w:sz w:val="18"/>
          <w:szCs w:val="18"/>
          <w:color w:val="FF0000"/>
          <w:strike w:val="1"/>
        </w:rPr>
        <w:t>[twelve months]</w:t>
      </w:r>
      <w:r>
        <w:rPr>
          <w:rFonts w:ascii="Arial" w:cs="Arial" w:eastAsia="Arial" w:hAnsi="Arial"/>
          <w:sz w:val="18"/>
          <w:szCs w:val="18"/>
          <w:color w:val="auto"/>
        </w:rPr>
        <w:t xml:space="preserve"> </w:t>
      </w:r>
      <w:r>
        <w:rPr>
          <w:rFonts w:ascii="Arial" w:cs="Arial" w:eastAsia="Arial" w:hAnsi="Arial"/>
          <w:sz w:val="29"/>
          <w:szCs w:val="29"/>
          <w:color w:val="FF0000"/>
          <w:strike w:val="1"/>
          <w:vertAlign w:val="superscript"/>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-266065</wp:posOffset>
            </wp:positionV>
            <wp:extent cx="2832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ind w:left="660" w:firstLine="644"/>
        <w:spacing w:after="0" w:line="277" w:lineRule="auto"/>
        <w:tabs>
          <w:tab w:leader="none" w:pos="174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requested Term C Loans is $__________, of which $__________ consists of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having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-27940</wp:posOffset>
            </wp:positionV>
            <wp:extent cx="29146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50" w:lineRule="exact"/>
        <w:rPr>
          <w:sz w:val="20"/>
          <w:szCs w:val="20"/>
          <w:color w:val="auto"/>
        </w:rPr>
      </w:pPr>
    </w:p>
    <w:p>
      <w:pPr>
        <w:ind w:left="1800" w:hanging="496"/>
        <w:spacing w:after="0"/>
        <w:tabs>
          <w:tab w:leader="none" w:pos="18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requested funds are to be disbursed to the Borrower’s account with [___________] (Routing No. [_____]; Account No.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[_____]).</w:t>
      </w:r>
    </w:p>
    <w:p>
      <w:pPr>
        <w:spacing w:after="0" w:line="211"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The undersigned hereby certifies that the following statements are true on and as of the Credit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2"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30"/>
          <w:szCs w:val="30"/>
          <w:color w:val="auto"/>
          <w:vertAlign w:val="superscript"/>
        </w:rPr>
      </w:pPr>
      <w:r>
        <w:rPr>
          <w:rFonts w:ascii="Arial" w:cs="Arial" w:eastAsia="Arial" w:hAnsi="Arial"/>
          <w:sz w:val="18"/>
          <w:szCs w:val="18"/>
          <w:color w:val="auto"/>
        </w:rPr>
        <w:t>For borrowings of the Initial Term B Loans and Term C Loans, as applicable, on the Closing Date only.</w:t>
      </w:r>
    </w:p>
    <w:p>
      <w:pPr>
        <w:ind w:left="660" w:hanging="652"/>
        <w:spacing w:after="0" w:line="180" w:lineRule="auto"/>
        <w:tabs>
          <w:tab w:leader="none" w:pos="660" w:val="left"/>
        </w:tabs>
        <w:numPr>
          <w:ilvl w:val="0"/>
          <w:numId w:val="232"/>
        </w:numPr>
        <w:rPr>
          <w:rFonts w:ascii="Arial" w:cs="Arial" w:eastAsia="Arial" w:hAnsi="Arial"/>
          <w:sz w:val="25"/>
          <w:szCs w:val="25"/>
          <w:color w:val="auto"/>
          <w:vertAlign w:val="superscript"/>
        </w:rPr>
      </w:pPr>
      <w:r>
        <w:rPr>
          <w:rFonts w:ascii="Arial" w:cs="Arial" w:eastAsia="Arial" w:hAnsi="Arial"/>
          <w:sz w:val="15"/>
          <w:szCs w:val="15"/>
          <w:color w:val="auto"/>
        </w:rPr>
        <w:t>For borrowings of any Loans after the Closing Date.</w:t>
      </w:r>
    </w:p>
    <w:p>
      <w:pPr>
        <w:spacing w:after="0" w:line="2" w:lineRule="exact"/>
        <w:rPr>
          <w:sz w:val="20"/>
          <w:szCs w:val="20"/>
          <w:color w:val="auto"/>
        </w:rPr>
      </w:pPr>
    </w:p>
    <w:p>
      <w:pPr>
        <w:ind w:left="660" w:right="540" w:hanging="652"/>
        <w:spacing w:after="0" w:line="187" w:lineRule="auto"/>
        <w:tabs>
          <w:tab w:leader="none" w:pos="660" w:val="left"/>
        </w:tabs>
        <w:numPr>
          <w:ilvl w:val="0"/>
          <w:numId w:val="233"/>
        </w:numPr>
        <w:rPr>
          <w:rFonts w:ascii="Arial" w:cs="Arial" w:eastAsia="Arial" w:hAnsi="Arial"/>
          <w:sz w:val="30"/>
          <w:szCs w:val="30"/>
          <w:color w:val="auto"/>
          <w:vertAlign w:val="superscript"/>
        </w:rPr>
      </w:pPr>
      <w:r>
        <w:rPr>
          <w:rFonts w:ascii="Arial" w:cs="Arial" w:eastAsia="Arial" w:hAnsi="Arial"/>
          <w:sz w:val="18"/>
          <w:szCs w:val="18"/>
          <w:color w:val="auto"/>
        </w:rPr>
        <w:t>Notices pursuant to Section 2.1(a) and 2.1(b) of the Credit Agreement must be delivered no later than 12:00 p.m. (New York City time) one Business Day prior to the proposed Credit Date.</w:t>
      </w:r>
    </w:p>
    <w:p>
      <w:pPr>
        <w:spacing w:after="0" w:line="1" w:lineRule="exact"/>
        <w:rPr>
          <w:sz w:val="20"/>
          <w:szCs w:val="20"/>
          <w:color w:val="auto"/>
        </w:rPr>
      </w:pPr>
    </w:p>
    <w:p>
      <w:pPr>
        <w:ind w:left="660" w:right="340" w:hanging="652"/>
        <w:spacing w:after="0" w:line="187" w:lineRule="auto"/>
        <w:tabs>
          <w:tab w:leader="none" w:pos="660" w:val="left"/>
        </w:tabs>
        <w:numPr>
          <w:ilvl w:val="0"/>
          <w:numId w:val="234"/>
        </w:numPr>
        <w:rPr>
          <w:rFonts w:ascii="Arial" w:cs="Arial" w:eastAsia="Arial" w:hAnsi="Arial"/>
          <w:sz w:val="30"/>
          <w:szCs w:val="30"/>
          <w:color w:val="FF0000"/>
          <w:strike w:val="1"/>
          <w:vertAlign w:val="superscript"/>
        </w:rPr>
      </w:pPr>
      <w:r>
        <w:rPr>
          <w:rFonts w:ascii="Arial" w:cs="Arial" w:eastAsia="Arial" w:hAnsi="Arial"/>
          <w:sz w:val="18"/>
          <w:szCs w:val="18"/>
          <w:color w:val="FF0000"/>
          <w:strike w:val="1"/>
        </w:rPr>
        <w:t>Twelve month periods available only with the consent of each applicable Lender of the affected Class. Period of less than one month available only with the consent of the Administrative Agent in its sole discretion.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7" w:name="page188"/>
    <w:bookmarkEnd w:id="187"/>
    <w:p>
      <w:pPr>
        <w:jc w:val="both"/>
        <w:ind w:left="660" w:firstLine="644"/>
        <w:spacing w:after="0" w:line="258" w:lineRule="auto"/>
        <w:tabs>
          <w:tab w:leader="none" w:pos="163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may be limited in respect of certain conditions precedent set forth in Section 2.24(f) of the Credit Agreement with respect to Incremental Facilities or Section 1.5 of the Credit Agreement with respect to any Limited Condition Acquisition, the representations and warranties contained in the Credit Agreement and in the other Credit Documents are true and correct in all material respects (except for those representations and warranties that are conditioned by materiality, which are true and correct in all respects) both immediately before and after the Proposed Borrowing, on and as of the Credit Date to the same extent as though made on and as of the Credit Date, except to the extent such representations and warranties specifically relate to an earlier date, in which case such representations and warranties were true and correct in all material respects (except for those representations and warranties that are conditioned by materiality, which were true and correct in all respects) on and as of such earlier date; and]</w:t>
      </w:r>
      <w:r>
        <w:rPr>
          <w:rFonts w:ascii="Arial" w:cs="Arial" w:eastAsia="Arial" w:hAnsi="Arial"/>
          <w:sz w:val="29"/>
          <w:szCs w:val="29"/>
          <w:color w:val="FF0000"/>
          <w:strike w:val="1"/>
          <w:vertAlign w:val="superscript"/>
        </w:rPr>
        <w:t>5</w:t>
      </w:r>
      <w:r>
        <w:rPr>
          <w:rFonts w:ascii="Arial" w:cs="Arial" w:eastAsia="Arial" w:hAnsi="Arial"/>
          <w:sz w:val="29"/>
          <w:szCs w:val="29"/>
          <w:u w:val="single" w:color="auto"/>
          <w:color w:val="0000FF"/>
          <w:strike w:val="1"/>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-144145</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 w:lineRule="exact"/>
        <w:rPr>
          <w:sz w:val="20"/>
          <w:szCs w:val="20"/>
          <w:color w:val="auto"/>
        </w:rPr>
      </w:pPr>
    </w:p>
    <w:p>
      <w:pPr>
        <w:jc w:val="both"/>
        <w:ind w:left="660" w:firstLine="644"/>
        <w:spacing w:after="0" w:line="310" w:lineRule="auto"/>
        <w:tabs>
          <w:tab w:leader="none" w:pos="162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as may be limited in respect of certain conditions precedent set forth in Section 2.24(f) of the Credit Agreement with respect to Incremental Facilities or Section 1.5 of the Credit Agreement with respect to any Limited Condition Acquisition, both immediately before and after the Proposed Borrowing, no Default or Event of Default has occurred and is continuing or will have occurred and be continuing.]</w:t>
      </w:r>
      <w:r>
        <w:rPr>
          <w:rFonts w:ascii="Arial" w:cs="Arial" w:eastAsia="Arial" w:hAnsi="Arial"/>
          <w:sz w:val="26"/>
          <w:szCs w:val="26"/>
          <w:color w:val="FF0000"/>
          <w:strike w:val="1"/>
          <w:vertAlign w:val="superscript"/>
        </w:rPr>
        <w:t>6</w:t>
      </w:r>
      <w:r>
        <w:rPr>
          <w:rFonts w:ascii="Arial" w:cs="Arial" w:eastAsia="Arial" w:hAnsi="Arial"/>
          <w:sz w:val="26"/>
          <w:szCs w:val="26"/>
          <w:u w:val="single" w:color="auto"/>
          <w:color w:val="0000FF"/>
          <w:strike w:val="1"/>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-160020</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firstLine="972"/>
        <w:spacing w:after="0" w:line="287" w:lineRule="auto"/>
        <w:rPr>
          <w:sz w:val="20"/>
          <w:szCs w:val="20"/>
          <w:color w:val="auto"/>
        </w:rPr>
      </w:pPr>
      <w:r>
        <w:rPr>
          <w:rFonts w:ascii="Arial" w:cs="Arial" w:eastAsia="Arial" w:hAnsi="Arial"/>
          <w:sz w:val="18"/>
          <w:szCs w:val="18"/>
          <w:color w:val="auto"/>
        </w:rPr>
        <w:t>[Notwithstanding anything herein to the contrary, this Funding Notice shall be subject to and conditioned upon the consummation of the Acquisition and the effectiveness of the Credit Agreement.]</w:t>
      </w:r>
      <w:r>
        <w:rPr>
          <w:rFonts w:ascii="Arial" w:cs="Arial" w:eastAsia="Arial" w:hAnsi="Arial"/>
          <w:sz w:val="29"/>
          <w:szCs w:val="29"/>
          <w:color w:val="FF0000"/>
          <w:strike w:val="1"/>
          <w:vertAlign w:val="superscript"/>
        </w:rPr>
        <w:t>7</w:t>
      </w:r>
      <w:r>
        <w:rPr>
          <w:rFonts w:ascii="Arial" w:cs="Arial" w:eastAsia="Arial" w:hAnsi="Arial"/>
          <w:sz w:val="29"/>
          <w:szCs w:val="29"/>
          <w:u w:val="single" w:color="auto"/>
          <w:color w:val="0000FF"/>
          <w:strike w:val="1"/>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-160655</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jc w:val="right"/>
              <w:spacing w:after="0"/>
              <w:rPr>
                <w:sz w:val="20"/>
                <w:szCs w:val="20"/>
                <w:color w:val="auto"/>
              </w:rPr>
            </w:pPr>
            <w:r>
              <w:rPr>
                <w:rFonts w:ascii="Arial" w:cs="Arial" w:eastAsia="Arial" w:hAnsi="Arial"/>
                <w:sz w:val="15"/>
                <w:szCs w:val="15"/>
                <w:color w:val="FF0000"/>
                <w:strike w:val="1"/>
                <w:w w:val="71"/>
              </w:rPr>
              <w:t>5</w:t>
            </w:r>
          </w:p>
        </w:tc>
        <w:tc>
          <w:tcPr>
            <w:tcW w:w="40" w:type="dxa"/>
            <w:vAlign w:val="bottom"/>
            <w:tcBorders>
              <w:bottom w:val="single" w:sz="8" w:color="0000FF"/>
            </w:tcBorders>
          </w:tcPr>
          <w:p>
            <w:pPr>
              <w:jc w:val="right"/>
              <w:spacing w:after="0"/>
              <w:rPr>
                <w:sz w:val="20"/>
                <w:szCs w:val="20"/>
                <w:color w:val="auto"/>
              </w:rPr>
            </w:pPr>
            <w:r>
              <w:rPr>
                <w:rFonts w:ascii="Arial" w:cs="Arial" w:eastAsia="Arial" w:hAnsi="Arial"/>
                <w:sz w:val="5"/>
                <w:szCs w:val="5"/>
                <w:color w:val="0000FF"/>
                <w:strike w:val="1"/>
                <w:w w:val="70"/>
              </w:rPr>
              <w:t>4</w:t>
            </w:r>
          </w:p>
        </w:tc>
        <w:tc>
          <w:tcPr>
            <w:tcW w:w="4060" w:type="dxa"/>
            <w:vAlign w:val="bottom"/>
          </w:tcPr>
          <w:p>
            <w:pPr>
              <w:ind w:left="500"/>
              <w:spacing w:after="0"/>
              <w:rPr>
                <w:sz w:val="20"/>
                <w:szCs w:val="20"/>
                <w:color w:val="auto"/>
              </w:rPr>
            </w:pPr>
            <w:r>
              <w:rPr>
                <w:rFonts w:ascii="Arial" w:cs="Arial" w:eastAsia="Arial" w:hAnsi="Arial"/>
                <w:sz w:val="18"/>
                <w:szCs w:val="18"/>
                <w:color w:val="auto"/>
                <w:w w:val="91"/>
              </w:rPr>
              <w:t>Not required for borrowings on the Closing Date.</w:t>
            </w:r>
          </w:p>
        </w:tc>
        <w:tc>
          <w:tcPr>
            <w:tcW w:w="0" w:type="dxa"/>
            <w:vAlign w:val="bottom"/>
          </w:tcPr>
          <w:p>
            <w:pPr>
              <w:spacing w:after="0"/>
              <w:rPr>
                <w:sz w:val="1"/>
                <w:szCs w:val="1"/>
                <w:color w:val="auto"/>
              </w:rPr>
            </w:pPr>
          </w:p>
        </w:tc>
      </w:tr>
      <w:tr>
        <w:trPr>
          <w:trHeight w:val="176"/>
        </w:trPr>
        <w:tc>
          <w:tcPr>
            <w:tcW w:w="120" w:type="dxa"/>
            <w:vAlign w:val="bottom"/>
          </w:tcPr>
          <w:p>
            <w:pPr>
              <w:jc w:val="right"/>
              <w:spacing w:after="0"/>
              <w:rPr>
                <w:sz w:val="20"/>
                <w:szCs w:val="20"/>
                <w:color w:val="auto"/>
              </w:rPr>
            </w:pPr>
            <w:r>
              <w:rPr>
                <w:rFonts w:ascii="Arial" w:cs="Arial" w:eastAsia="Arial" w:hAnsi="Arial"/>
                <w:sz w:val="15"/>
                <w:szCs w:val="15"/>
                <w:color w:val="FF0000"/>
                <w:strike w:val="1"/>
                <w:w w:val="71"/>
              </w:rPr>
              <w:t>6</w:t>
            </w: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0000FF"/>
                <w:w w:val="70"/>
              </w:rPr>
              <w:t>5</w:t>
            </w:r>
          </w:p>
        </w:tc>
        <w:tc>
          <w:tcPr>
            <w:tcW w:w="4060" w:type="dxa"/>
            <w:vAlign w:val="bottom"/>
          </w:tcPr>
          <w:p>
            <w:pPr>
              <w:ind w:left="500"/>
              <w:spacing w:after="0" w:line="176" w:lineRule="exact"/>
              <w:rPr>
                <w:sz w:val="20"/>
                <w:szCs w:val="20"/>
                <w:color w:val="auto"/>
              </w:rPr>
            </w:pPr>
            <w:r>
              <w:rPr>
                <w:rFonts w:ascii="Arial" w:cs="Arial" w:eastAsia="Arial" w:hAnsi="Arial"/>
                <w:sz w:val="18"/>
                <w:szCs w:val="18"/>
                <w:color w:val="auto"/>
                <w:w w:val="91"/>
              </w:rPr>
              <w:t>Not required for borrowings on the Closing Date.</w:t>
            </w:r>
          </w:p>
        </w:tc>
        <w:tc>
          <w:tcPr>
            <w:tcW w:w="0" w:type="dxa"/>
            <w:vAlign w:val="bottom"/>
          </w:tcPr>
          <w:p>
            <w:pPr>
              <w:spacing w:after="0"/>
              <w:rPr>
                <w:sz w:val="1"/>
                <w:szCs w:val="1"/>
                <w:color w:val="auto"/>
              </w:rPr>
            </w:pPr>
          </w:p>
        </w:tc>
      </w:tr>
      <w:tr>
        <w:trPr>
          <w:trHeight w:val="27"/>
        </w:trPr>
        <w:tc>
          <w:tcPr>
            <w:tcW w:w="120" w:type="dxa"/>
            <w:vAlign w:val="bottom"/>
            <w:tcBorders>
              <w:right w:val="single" w:sz="8" w:color="0000FF"/>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60" w:type="dxa"/>
            <w:vAlign w:val="bottom"/>
            <w:vMerge w:val="restart"/>
          </w:tcPr>
          <w:p>
            <w:pPr>
              <w:ind w:left="500"/>
              <w:spacing w:after="0"/>
              <w:rPr>
                <w:sz w:val="20"/>
                <w:szCs w:val="20"/>
                <w:color w:val="auto"/>
              </w:rPr>
            </w:pPr>
            <w:r>
              <w:rPr>
                <w:rFonts w:ascii="Arial" w:cs="Arial" w:eastAsia="Arial" w:hAnsi="Arial"/>
                <w:sz w:val="18"/>
                <w:szCs w:val="18"/>
                <w:color w:val="auto"/>
              </w:rPr>
              <w:t>Only for borrowings on the Closing Date.</w:t>
            </w:r>
          </w:p>
        </w:tc>
        <w:tc>
          <w:tcPr>
            <w:tcW w:w="0" w:type="dxa"/>
            <w:vAlign w:val="bottom"/>
          </w:tcPr>
          <w:p>
            <w:pPr>
              <w:spacing w:after="0" w:line="20" w:lineRule="exact"/>
              <w:rPr>
                <w:sz w:val="1"/>
                <w:szCs w:val="1"/>
                <w:color w:val="auto"/>
              </w:rPr>
            </w:pPr>
          </w:p>
        </w:tc>
      </w:tr>
      <w:tr>
        <w:trPr>
          <w:trHeight w:val="189"/>
        </w:trPr>
        <w:tc>
          <w:tcPr>
            <w:tcW w:w="120" w:type="dxa"/>
            <w:vAlign w:val="bottom"/>
          </w:tcPr>
          <w:p>
            <w:pPr>
              <w:jc w:val="right"/>
              <w:spacing w:after="0"/>
              <w:rPr>
                <w:sz w:val="20"/>
                <w:szCs w:val="20"/>
                <w:color w:val="auto"/>
              </w:rPr>
            </w:pPr>
            <w:r>
              <w:rPr>
                <w:rFonts w:ascii="Arial" w:cs="Arial" w:eastAsia="Arial" w:hAnsi="Arial"/>
                <w:sz w:val="15"/>
                <w:szCs w:val="15"/>
                <w:color w:val="FF0000"/>
                <w:strike w:val="1"/>
                <w:w w:val="71"/>
              </w:rPr>
              <w:t>7</w:t>
            </w:r>
          </w:p>
        </w:tc>
        <w:tc>
          <w:tcPr>
            <w:tcW w:w="40" w:type="dxa"/>
            <w:vAlign w:val="bottom"/>
            <w:tcBorders>
              <w:bottom w:val="single" w:sz="8" w:color="0000FF"/>
            </w:tcBorders>
          </w:tcPr>
          <w:p>
            <w:pPr>
              <w:jc w:val="right"/>
              <w:spacing w:after="0"/>
              <w:rPr>
                <w:sz w:val="20"/>
                <w:szCs w:val="20"/>
                <w:color w:val="auto"/>
              </w:rPr>
            </w:pPr>
            <w:r>
              <w:rPr>
                <w:rFonts w:ascii="Arial" w:cs="Arial" w:eastAsia="Arial" w:hAnsi="Arial"/>
                <w:sz w:val="5"/>
                <w:szCs w:val="5"/>
                <w:color w:val="0000FF"/>
                <w:strike w:val="1"/>
                <w:w w:val="70"/>
              </w:rPr>
              <w:t>6</w:t>
            </w:r>
          </w:p>
        </w:tc>
        <w:tc>
          <w:tcPr>
            <w:tcW w:w="4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8" w:name="page189"/>
    <w:bookmarkEnd w:id="188"/>
    <w:p>
      <w:pPr>
        <w:jc w:val="right"/>
        <w:ind w:right="3519"/>
        <w:spacing w:after="0"/>
        <w:rPr>
          <w:sz w:val="20"/>
          <w:szCs w:val="20"/>
          <w:color w:val="auto"/>
        </w:rPr>
      </w:pPr>
      <w:r>
        <w:rPr>
          <w:rFonts w:ascii="Arial" w:cs="Arial" w:eastAsia="Arial" w:hAnsi="Arial"/>
          <w:sz w:val="18"/>
          <w:szCs w:val="18"/>
          <w:b w:val="1"/>
          <w:bCs w:val="1"/>
          <w:color w:val="auto"/>
        </w:rPr>
        <w:t>COHU, INC.</w:t>
      </w:r>
    </w:p>
    <w:p>
      <w:pPr>
        <w:spacing w:after="0" w:line="200" w:lineRule="exact"/>
        <w:rPr>
          <w:sz w:val="20"/>
          <w:szCs w:val="20"/>
          <w:color w:val="auto"/>
        </w:rPr>
      </w:pPr>
    </w:p>
    <w:p>
      <w:pPr>
        <w:spacing w:after="0" w:line="24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4942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Exhibit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u w:val="single" w:color="auto"/>
          <w:color w:val="auto"/>
        </w:rPr>
        <w:t>EXHIBIT C</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A-2 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AND GUARANTY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CONVERSION/CONTINUATION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for the Lenders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60 Wall Street</w:t>
      </w:r>
      <w:r>
        <w:rPr>
          <w:rFonts w:ascii="Arial" w:cs="Arial" w:eastAsia="Arial" w:hAnsi="Arial"/>
          <w:sz w:val="18"/>
          <w:szCs w:val="18"/>
          <w:u w:val="single" w:color="auto"/>
          <w:color w:val="0000FF"/>
          <w:strike w:val="1"/>
        </w:rPr>
        <w:t>1 Columbus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-1905</wp:posOffset>
            </wp:positionV>
            <wp:extent cx="8572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color w:val="FF0000"/>
          <w:strike w:val="1"/>
        </w:rPr>
        <w:t>10005</w:t>
      </w:r>
      <w:r>
        <w:rPr>
          <w:rFonts w:ascii="Arial" w:cs="Arial" w:eastAsia="Arial" w:hAnsi="Arial"/>
          <w:sz w:val="18"/>
          <w:szCs w:val="18"/>
          <w:u w:val="single" w:color="auto"/>
          <w:color w:val="0000FF"/>
        </w:rPr>
        <w:t>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Transactions (Agency.Transactions@db.com)</w:t>
      </w:r>
    </w:p>
    <w:p>
      <w:pPr>
        <w:spacing w:after="0" w:line="9"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_____________ __, ____</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Cohu,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Reference is made to the Credit and Guaranty Agreement, dated as of October 1, 2018 (as the same may be amended, restated, supplemented and/or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are used as defined in the Credit Agreement), among Cohu, Inc.,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certain Subsidiaries of the Borrower from time to time party thereto as Guarantor Subsidiaries, the Lenders from time to time party thereto, and Deutsche Bank AG New York Branch, as Administrative Agent and as Collateral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hereby gives you irrevocable notice, pursuant to Section 2.9(b) of the Credit Agreement, of its request for the following:</w:t>
      </w:r>
    </w:p>
    <w:p>
      <w:pPr>
        <w:spacing w:after="0" w:line="237" w:lineRule="exact"/>
        <w:rPr>
          <w:sz w:val="20"/>
          <w:szCs w:val="20"/>
          <w:color w:val="auto"/>
        </w:rPr>
      </w:pPr>
    </w:p>
    <w:p>
      <w:pPr>
        <w:jc w:val="both"/>
        <w:ind w:left="660" w:firstLine="644"/>
        <w:spacing w:after="0" w:line="207" w:lineRule="auto"/>
        <w:tabs>
          <w:tab w:leader="none" w:pos="199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a continuation, on _____________ __, ____, as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Loans having an Interest Period of [one month][</w:t>
      </w:r>
      <w:r>
        <w:rPr>
          <w:rFonts w:ascii="Arial" w:cs="Arial" w:eastAsia="Arial" w:hAnsi="Arial"/>
          <w:sz w:val="17"/>
          <w:szCs w:val="17"/>
          <w:color w:val="FF0000"/>
          <w:strike w:val="1"/>
        </w:rPr>
        <w:t>two</w:t>
      </w:r>
      <w:r>
        <w:rPr>
          <w:rFonts w:ascii="Arial" w:cs="Arial" w:eastAsia="Arial" w:hAnsi="Arial"/>
          <w:sz w:val="17"/>
          <w:szCs w:val="17"/>
          <w:color w:val="auto"/>
        </w:rPr>
        <w:t xml:space="preserve"> </w:t>
      </w:r>
      <w:r>
        <w:rPr>
          <w:rFonts w:ascii="Arial" w:cs="Arial" w:eastAsia="Arial" w:hAnsi="Arial"/>
          <w:sz w:val="17"/>
          <w:szCs w:val="17"/>
          <w:color w:val="FF0000"/>
          <w:strike w:val="1"/>
        </w:rPr>
        <w:t>months][</w:t>
      </w:r>
      <w:r>
        <w:rPr>
          <w:rFonts w:ascii="Arial" w:cs="Arial" w:eastAsia="Arial" w:hAnsi="Arial"/>
          <w:sz w:val="17"/>
          <w:szCs w:val="17"/>
          <w:color w:val="000000"/>
        </w:rPr>
        <w:t>three months][six months]</w:t>
      </w:r>
      <w:r>
        <w:rPr>
          <w:rFonts w:ascii="Arial" w:cs="Arial" w:eastAsia="Arial" w:hAnsi="Arial"/>
          <w:sz w:val="17"/>
          <w:szCs w:val="17"/>
          <w:color w:val="FF0000"/>
          <w:strike w:val="1"/>
        </w:rPr>
        <w:t>[twelve months]</w:t>
      </w:r>
      <w:r>
        <w:rPr>
          <w:rFonts w:ascii="Arial" w:cs="Arial" w:eastAsia="Arial" w:hAnsi="Arial"/>
          <w:sz w:val="28"/>
          <w:szCs w:val="28"/>
          <w:color w:val="FF0000"/>
          <w:strike w:val="1"/>
          <w:vertAlign w:val="superscript"/>
        </w:rPr>
        <w:t>2</w:t>
      </w:r>
      <w:r>
        <w:rPr>
          <w:rFonts w:ascii="Arial" w:cs="Arial" w:eastAsia="Arial" w:hAnsi="Arial"/>
          <w:sz w:val="17"/>
          <w:szCs w:val="17"/>
          <w:color w:val="FF0000"/>
        </w:rPr>
        <w:t xml:space="preserve"> </w:t>
      </w:r>
      <w:r>
        <w:rPr>
          <w:rFonts w:ascii="Arial" w:cs="Arial" w:eastAsia="Arial" w:hAnsi="Arial"/>
          <w:sz w:val="17"/>
          <w:szCs w:val="17"/>
          <w:color w:val="000000"/>
        </w:rPr>
        <w:t>of Initial Term B Loans in an aggregate outstanding principal amount of $__________</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having an Interest Period ending on the proposed date for such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-277495</wp:posOffset>
            </wp:positionV>
            <wp:extent cx="2914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89" w:lineRule="exact"/>
        <w:rPr>
          <w:sz w:val="20"/>
          <w:szCs w:val="20"/>
          <w:color w:val="auto"/>
        </w:rPr>
      </w:pPr>
    </w:p>
    <w:p>
      <w:pPr>
        <w:ind w:left="660" w:firstLine="644"/>
        <w:spacing w:after="0" w:line="322" w:lineRule="auto"/>
        <w:tabs>
          <w:tab w:leader="none" w:pos="184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a conversion, on _____________ __, ____, to </w:t>
      </w:r>
      <w:r>
        <w:rPr>
          <w:rFonts w:ascii="Arial" w:cs="Arial" w:eastAsia="Arial" w:hAnsi="Arial"/>
          <w:sz w:val="16"/>
          <w:szCs w:val="16"/>
          <w:color w:val="FF0000"/>
          <w:strike w:val="1"/>
        </w:rPr>
        <w:t>Eurodollar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having an Interest Period of [one month][</w:t>
      </w:r>
      <w:r>
        <w:rPr>
          <w:rFonts w:ascii="Arial" w:cs="Arial" w:eastAsia="Arial" w:hAnsi="Arial"/>
          <w:sz w:val="16"/>
          <w:szCs w:val="16"/>
          <w:color w:val="FF0000"/>
          <w:strike w:val="1"/>
        </w:rPr>
        <w:t>two months]</w:t>
      </w:r>
      <w:r>
        <w:rPr>
          <w:rFonts w:ascii="Arial" w:cs="Arial" w:eastAsia="Arial" w:hAnsi="Arial"/>
          <w:sz w:val="16"/>
          <w:szCs w:val="16"/>
          <w:color w:val="auto"/>
        </w:rPr>
        <w:t xml:space="preserve"> </w:t>
      </w:r>
      <w:r>
        <w:rPr>
          <w:rFonts w:ascii="Arial" w:cs="Arial" w:eastAsia="Arial" w:hAnsi="Arial"/>
          <w:sz w:val="16"/>
          <w:szCs w:val="16"/>
          <w:color w:val="FF0000"/>
          <w:strike w:val="1"/>
        </w:rPr>
        <w:t>[</w:t>
      </w:r>
      <w:r>
        <w:rPr>
          <w:rFonts w:ascii="Arial" w:cs="Arial" w:eastAsia="Arial" w:hAnsi="Arial"/>
          <w:sz w:val="16"/>
          <w:szCs w:val="16"/>
          <w:color w:val="000000"/>
        </w:rPr>
        <w:t>three months][six months]</w:t>
      </w:r>
      <w:r>
        <w:rPr>
          <w:rFonts w:ascii="Arial" w:cs="Arial" w:eastAsia="Arial" w:hAnsi="Arial"/>
          <w:sz w:val="16"/>
          <w:szCs w:val="16"/>
          <w:color w:val="FF0000"/>
          <w:strike w:val="1"/>
        </w:rPr>
        <w:t>[twelve months]</w:t>
      </w:r>
      <w:r>
        <w:rPr>
          <w:rFonts w:ascii="Arial" w:cs="Arial" w:eastAsia="Arial" w:hAnsi="Arial"/>
          <w:sz w:val="26"/>
          <w:szCs w:val="26"/>
          <w:color w:val="FF0000"/>
          <w:strike w:val="1"/>
          <w:vertAlign w:val="superscript"/>
        </w:rPr>
        <w:t>3</w:t>
      </w:r>
      <w:r>
        <w:rPr>
          <w:rFonts w:ascii="Arial" w:cs="Arial" w:eastAsia="Arial" w:hAnsi="Arial"/>
          <w:sz w:val="16"/>
          <w:szCs w:val="16"/>
          <w:color w:val="FF0000"/>
        </w:rPr>
        <w:t xml:space="preserve"> </w:t>
      </w:r>
      <w:r>
        <w:rPr>
          <w:rFonts w:ascii="Arial" w:cs="Arial" w:eastAsia="Arial" w:hAnsi="Arial"/>
          <w:sz w:val="16"/>
          <w:szCs w:val="16"/>
          <w:color w:val="000000"/>
        </w:rPr>
        <w:t>of Initial Term B Loans in an aggregate outstanding principal amount of $__________;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-273050</wp:posOffset>
            </wp:positionV>
            <wp:extent cx="2825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ind w:left="1940" w:hanging="636"/>
        <w:spacing w:after="0"/>
        <w:tabs>
          <w:tab w:leader="none" w:pos="194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 conversion, on ________, ____, to Base Rate Loans, of Initial Term B Loans in an aggregate outstanding principal amount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$_________.</w:t>
      </w:r>
    </w:p>
    <w:p>
      <w:pPr>
        <w:spacing w:after="0" w:line="200" w:lineRule="exact"/>
        <w:rPr>
          <w:rFonts w:ascii="Arial" w:cs="Arial" w:eastAsia="Arial" w:hAnsi="Arial"/>
          <w:sz w:val="16"/>
          <w:szCs w:val="16"/>
          <w:color w:val="auto"/>
        </w:rPr>
      </w:pPr>
    </w:p>
    <w:p>
      <w:pPr>
        <w:spacing w:after="0" w:line="348" w:lineRule="exact"/>
        <w:rPr>
          <w:rFonts w:ascii="Arial" w:cs="Arial" w:eastAsia="Arial" w:hAnsi="Arial"/>
          <w:sz w:val="16"/>
          <w:szCs w:val="16"/>
          <w:color w:val="auto"/>
        </w:rPr>
      </w:pPr>
    </w:p>
    <w:p>
      <w:pPr>
        <w:ind w:left="660" w:right="80" w:hanging="648"/>
        <w:spacing w:after="0" w:line="255" w:lineRule="auto"/>
        <w:rPr>
          <w:rFonts w:ascii="Arial" w:cs="Arial" w:eastAsia="Arial" w:hAnsi="Arial"/>
          <w:sz w:val="16"/>
          <w:szCs w:val="16"/>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Must be delivered no later than 12:00 p.m. (New York City time) one Business Day prior to the proposed conversion date for a conversion to a Base Rate Loan and three Business Days prior to the proposed conversion/continuation date for a conversion to, or a continuation of, a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12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-6350</wp:posOffset>
            </wp:positionV>
            <wp:extent cx="2914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660" w:right="340" w:hanging="652"/>
        <w:spacing w:after="0" w:line="187" w:lineRule="auto"/>
        <w:tabs>
          <w:tab w:leader="none" w:pos="660" w:val="left"/>
        </w:tabs>
        <w:numPr>
          <w:ilvl w:val="0"/>
          <w:numId w:val="240"/>
        </w:numPr>
        <w:rPr>
          <w:rFonts w:ascii="Arial" w:cs="Arial" w:eastAsia="Arial" w:hAnsi="Arial"/>
          <w:sz w:val="30"/>
          <w:szCs w:val="30"/>
          <w:color w:val="FF0000"/>
          <w:strike w:val="1"/>
          <w:vertAlign w:val="superscript"/>
        </w:rPr>
      </w:pPr>
      <w:r>
        <w:rPr>
          <w:rFonts w:ascii="Arial" w:cs="Arial" w:eastAsia="Arial" w:hAnsi="Arial"/>
          <w:sz w:val="18"/>
          <w:szCs w:val="18"/>
          <w:color w:val="FF0000"/>
          <w:strike w:val="1"/>
        </w:rPr>
        <w:t>Twelve month periods available only with the consent of each applicable Lender of the affected Class. Period of less than one month available only with the consent of the Administrative Agent in its sole discretion.</w:t>
      </w:r>
    </w:p>
    <w:p>
      <w:pPr>
        <w:spacing w:after="0" w:line="2" w:lineRule="exact"/>
        <w:rPr>
          <w:sz w:val="20"/>
          <w:szCs w:val="20"/>
          <w:color w:val="auto"/>
        </w:rPr>
      </w:pPr>
    </w:p>
    <w:p>
      <w:pPr>
        <w:ind w:left="660" w:right="160" w:hanging="652"/>
        <w:spacing w:after="0" w:line="204" w:lineRule="auto"/>
        <w:tabs>
          <w:tab w:leader="none" w:pos="660" w:val="left"/>
        </w:tabs>
        <w:numPr>
          <w:ilvl w:val="0"/>
          <w:numId w:val="241"/>
        </w:numPr>
        <w:rPr>
          <w:rFonts w:ascii="Arial" w:cs="Arial" w:eastAsia="Arial" w:hAnsi="Arial"/>
          <w:sz w:val="30"/>
          <w:szCs w:val="30"/>
          <w:color w:val="FF0000"/>
          <w:strike w:val="1"/>
          <w:vertAlign w:val="superscript"/>
        </w:rPr>
      </w:pPr>
      <w:r>
        <w:rPr>
          <w:rFonts w:ascii="Arial" w:cs="Arial" w:eastAsia="Arial" w:hAnsi="Arial"/>
          <w:sz w:val="18"/>
          <w:szCs w:val="18"/>
          <w:color w:val="FF0000"/>
          <w:strike w:val="1"/>
        </w:rPr>
        <w:t>Twelve month periods available only with the consent of each applicable Lender of the affected Class. Twelve month periods available only with the consent of each applicable Lender of the affected Class. Period of less than one month available only with the consent of the Administrative Agent in its sole discretion.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t>In connection herewith, the undersigned hereby certifies that no Default or Event of Default has occurred and is continuing on the date hereof.</w:t>
      </w:r>
    </w:p>
    <w:p>
      <w:pPr>
        <w:sectPr>
          <w:pgSz w:w="11900" w:h="16838" w:orient="portrait"/>
          <w:cols w:equalWidth="0" w:num="1">
            <w:col w:w="10240"/>
          </w:cols>
          <w:pgMar w:left="980" w:top="584" w:right="679" w:bottom="1440" w:gutter="0" w:footer="0" w:header="0"/>
        </w:sectPr>
      </w:pP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[Remainder of Page Intentionally Left Blank]</w:t>
      </w: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Exhibit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75565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980" w:top="584" w:right="679" w:bottom="1440" w:gutter="0" w:footer="0" w:header="0"/>
          <w:type w:val="continuous"/>
        </w:sectPr>
      </w:pPr>
    </w:p>
    <w:bookmarkStart w:id="191" w:name="page192"/>
    <w:bookmarkEnd w:id="191"/>
    <w:p>
      <w:pPr>
        <w:ind w:left="4500"/>
        <w:spacing w:after="0"/>
        <w:rPr>
          <w:sz w:val="20"/>
          <w:szCs w:val="20"/>
          <w:color w:val="auto"/>
        </w:rPr>
      </w:pPr>
      <w:r>
        <w:rPr>
          <w:rFonts w:ascii="Arial" w:cs="Arial" w:eastAsia="Arial" w:hAnsi="Arial"/>
          <w:sz w:val="18"/>
          <w:szCs w:val="18"/>
          <w:b w:val="1"/>
          <w:bCs w:val="1"/>
          <w:color w:val="auto"/>
        </w:rPr>
        <w:t>COHU, INC.</w:t>
      </w:r>
    </w:p>
    <w:p>
      <w:pPr>
        <w:spacing w:after="0" w:line="200" w:lineRule="exact"/>
        <w:rPr>
          <w:sz w:val="20"/>
          <w:szCs w:val="20"/>
          <w:color w:val="auto"/>
        </w:rPr>
      </w:pPr>
    </w:p>
    <w:p>
      <w:pPr>
        <w:spacing w:after="0" w:line="24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4942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Conversion/Continuation Notice]</w:t>
      </w:r>
    </w:p>
    <w:sectPr>
      <w:pgSz w:w="11900" w:h="16838" w:orient="portrait"/>
      <w:cols w:equalWidth="0" w:num="1">
        <w:col w:w="9019"/>
      </w:cols>
      <w:pgMar w:left="14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1)"/>
      <w:numFmt w:val="lowerLetter"/>
      <w:start w:val="4"/>
    </w:lvl>
  </w:abstractNum>
  <w:abstractNum w:abstractNumId="2">
    <w:nsid w:val="2708C9AF"/>
    <w:multiLevelType w:val="hybridMultilevel"/>
    <w:lvl w:ilvl="0">
      <w:lvlJc w:val="left"/>
      <w:lvlText w:val="(%1)"/>
      <w:numFmt w:val="lowerLetter"/>
      <w:start w:val="1"/>
    </w:lvl>
  </w:abstractNum>
  <w:abstractNum w:abstractNumId="3">
    <w:nsid w:val="5B25ACE2"/>
    <w:multiLevelType w:val="hybridMultilevel"/>
    <w:lvl w:ilvl="0">
      <w:lvlJc w:val="left"/>
      <w:lvlText w:val="(%1)"/>
      <w:numFmt w:val="lowerLetter"/>
      <w:start w:val="1"/>
    </w:lvl>
  </w:abstractNum>
  <w:abstractNum w:abstractNumId="4">
    <w:nsid w:val="175DFCF0"/>
    <w:multiLevelType w:val="hybridMultilevel"/>
    <w:lvl w:ilvl="0">
      <w:lvlJc w:val="left"/>
      <w:lvlText w:val="(%1)"/>
      <w:numFmt w:val="lowerLetter"/>
      <w:start w:val="2"/>
    </w:lvl>
  </w:abstractNum>
  <w:abstractNum w:abstractNumId="5">
    <w:nsid w:val="4F97E3E4"/>
    <w:multiLevelType w:val="hybridMultilevel"/>
    <w:lvl w:ilvl="0">
      <w:lvlJc w:val="left"/>
      <w:lvlText w:val="(%1)"/>
      <w:numFmt w:val="lowerLetter"/>
      <w:start w:val="1"/>
    </w:lvl>
  </w:abstractNum>
  <w:abstractNum w:abstractNumId="6">
    <w:nsid w:val="53B0A9E"/>
    <w:multiLevelType w:val="hybridMultilevel"/>
    <w:lvl w:ilvl="0">
      <w:lvlJc w:val="left"/>
      <w:lvlText w:val="(%1)"/>
      <w:numFmt w:val="lowerLetter"/>
      <w:start w:val="1"/>
    </w:lvl>
  </w:abstractNum>
  <w:abstractNum w:abstractNumId="7">
    <w:nsid w:val="34FD6B4F"/>
    <w:multiLevelType w:val="hybridMultilevel"/>
    <w:lvl w:ilvl="0">
      <w:lvlJc w:val="left"/>
      <w:lvlText w:val="(%1)"/>
      <w:numFmt w:val="lowerLetter"/>
      <w:start w:val="1"/>
    </w:lvl>
  </w:abstractNum>
  <w:abstractNum w:abstractNumId="8">
    <w:nsid w:val="5915FF32"/>
    <w:multiLevelType w:val="hybridMultilevel"/>
    <w:lvl w:ilvl="0">
      <w:lvlJc w:val="left"/>
      <w:lvlText w:val="(%1)"/>
      <w:numFmt w:val="lowerLetter"/>
      <w:start w:val="1"/>
    </w:lvl>
  </w:abstractNum>
  <w:abstractNum w:abstractNumId="9">
    <w:nsid w:val="56438D15"/>
    <w:multiLevelType w:val="hybridMultilevel"/>
    <w:lvl w:ilvl="0">
      <w:lvlJc w:val="left"/>
      <w:lvlText w:val="(%1)"/>
      <w:numFmt w:val="lowerLetter"/>
      <w:start w:val="2"/>
    </w:lvl>
  </w:abstractNum>
  <w:abstractNum w:abstractNumId="10">
    <w:nsid w:val="519E3149"/>
    <w:multiLevelType w:val="hybridMultilevel"/>
    <w:lvl w:ilvl="0">
      <w:lvlJc w:val="left"/>
      <w:lvlText w:val="(%1)"/>
      <w:numFmt w:val="lowerLetter"/>
      <w:start w:val="1"/>
    </w:lvl>
  </w:abstractNum>
  <w:abstractNum w:abstractNumId="11">
    <w:nsid w:val="2C6E4AFD"/>
    <w:multiLevelType w:val="hybridMultilevel"/>
    <w:lvl w:ilvl="0">
      <w:lvlJc w:val="left"/>
      <w:lvlText w:val="(%1)"/>
      <w:numFmt w:val="lowerLetter"/>
      <w:start w:val="8"/>
    </w:lvl>
  </w:abstractNum>
  <w:abstractNum w:abstractNumId="12">
    <w:nsid w:val="17A1B582"/>
    <w:multiLevelType w:val="hybridMultilevel"/>
    <w:lvl w:ilvl="0">
      <w:lvlJc w:val="left"/>
      <w:lvlText w:val="(%1)"/>
      <w:numFmt w:val="lowerLetter"/>
      <w:start w:val="1"/>
    </w:lvl>
    <w:lvl w:ilvl="1">
      <w:lvlJc w:val="left"/>
      <w:lvlText w:val="(%2)"/>
      <w:numFmt w:val="lowerRoman"/>
      <w:start w:val="1"/>
    </w:lvl>
  </w:abstractNum>
  <w:abstractNum w:abstractNumId="13">
    <w:nsid w:val="4DF72E4E"/>
    <w:multiLevelType w:val="hybridMultilevel"/>
    <w:lvl w:ilvl="0">
      <w:lvlJc w:val="left"/>
      <w:lvlText w:val="(%1)"/>
      <w:numFmt w:val="lowerLetter"/>
      <w:start w:val="2"/>
    </w:lvl>
  </w:abstractNum>
  <w:abstractNum w:abstractNumId="14">
    <w:nsid w:val="5046B5A9"/>
    <w:multiLevelType w:val="hybridMultilevel"/>
    <w:lvl w:ilvl="0">
      <w:lvlJc w:val="left"/>
      <w:lvlText w:val="(%1)"/>
      <w:numFmt w:val="lowerRoman"/>
      <w:start w:val="1"/>
    </w:lvl>
  </w:abstractNum>
  <w:abstractNum w:abstractNumId="15">
    <w:nsid w:val="5D888A08"/>
    <w:multiLevelType w:val="hybridMultilevel"/>
    <w:lvl w:ilvl="0">
      <w:lvlJc w:val="left"/>
      <w:lvlText w:val="(%1)"/>
      <w:numFmt w:val="lowerLetter"/>
      <w:start w:val="3"/>
    </w:lvl>
  </w:abstractNum>
  <w:abstractNum w:abstractNumId="16">
    <w:nsid w:val="2A082C70"/>
    <w:multiLevelType w:val="hybridMultilevel"/>
    <w:lvl w:ilvl="0">
      <w:lvlJc w:val="left"/>
      <w:lvlText w:val="(%1)"/>
      <w:numFmt w:val="lowerLetter"/>
      <w:start w:val="1"/>
    </w:lvl>
  </w:abstractNum>
  <w:abstractNum w:abstractNumId="17">
    <w:nsid w:val="5EC6AFD4"/>
    <w:multiLevelType w:val="hybridMultilevel"/>
    <w:lvl w:ilvl="0">
      <w:lvlJc w:val="left"/>
      <w:lvlText w:val="(%1)"/>
      <w:numFmt w:val="lowerLetter"/>
      <w:start w:val="1"/>
    </w:lvl>
  </w:abstractNum>
  <w:abstractNum w:abstractNumId="18">
    <w:nsid w:val="19E21BB2"/>
    <w:multiLevelType w:val="hybridMultilevel"/>
    <w:lvl w:ilvl="0">
      <w:lvlJc w:val="left"/>
      <w:lvlText w:val="(%1)"/>
      <w:numFmt w:val="lowerLetter"/>
      <w:start w:val="1"/>
    </w:lvl>
  </w:abstractNum>
  <w:abstractNum w:abstractNumId="19">
    <w:nsid w:val="75E0858A"/>
    <w:multiLevelType w:val="hybridMultilevel"/>
    <w:lvl w:ilvl="0">
      <w:lvlJc w:val="left"/>
      <w:lvlText w:val="%1"/>
      <w:numFmt w:val="lowerLetter"/>
      <w:start w:val="1"/>
    </w:lvl>
    <w:lvl w:ilvl="1">
      <w:lvlJc w:val="left"/>
      <w:lvlText w:val="(%2)"/>
      <w:numFmt w:val="lowerLetter"/>
      <w:start w:val="1"/>
    </w:lvl>
  </w:abstractNum>
  <w:abstractNum w:abstractNumId="20">
    <w:nsid w:val="57A61A29"/>
    <w:multiLevelType w:val="hybridMultilevel"/>
    <w:lvl w:ilvl="0">
      <w:lvlJc w:val="left"/>
      <w:lvlText w:val="(%1)"/>
      <w:numFmt w:val="lowerLetter"/>
      <w:start w:val="9"/>
    </w:lvl>
    <w:lvl w:ilvl="1">
      <w:lvlJc w:val="left"/>
      <w:lvlText w:val="%2"/>
      <w:numFmt w:val="lowerLetter"/>
      <w:start w:val="1"/>
    </w:lvl>
  </w:abstractNum>
  <w:abstractNum w:abstractNumId="21">
    <w:nsid w:val="5399C654"/>
    <w:multiLevelType w:val="hybridMultilevel"/>
    <w:lvl w:ilvl="0">
      <w:lvlJc w:val="left"/>
      <w:lvlText w:val="(%1)"/>
      <w:numFmt w:val="lowerLetter"/>
      <w:start w:val="7"/>
    </w:lvl>
  </w:abstractNum>
  <w:abstractNum w:abstractNumId="22">
    <w:nsid w:val="20EE1348"/>
    <w:multiLevelType w:val="hybridMultilevel"/>
    <w:lvl w:ilvl="0">
      <w:lvlJc w:val="left"/>
      <w:lvlText w:val="(%1)"/>
      <w:numFmt w:val="lowerRoman"/>
      <w:start w:val="1"/>
    </w:lvl>
  </w:abstractNum>
  <w:abstractNum w:abstractNumId="23">
    <w:nsid w:val="4427069A"/>
    <w:multiLevelType w:val="hybridMultilevel"/>
    <w:lvl w:ilvl="0">
      <w:lvlJc w:val="left"/>
      <w:lvlText w:val="(%1)"/>
      <w:numFmt w:val="lowerLetter"/>
      <w:start w:val="1"/>
    </w:lvl>
  </w:abstractNum>
  <w:abstractNum w:abstractNumId="24">
    <w:nsid w:val="B37E80A"/>
    <w:multiLevelType w:val="hybridMultilevel"/>
    <w:lvl w:ilvl="0">
      <w:lvlJc w:val="left"/>
      <w:lvlText w:val="(%1)"/>
      <w:numFmt w:val="lowerLetter"/>
      <w:start w:val="1"/>
    </w:lvl>
    <w:lvl w:ilvl="1">
      <w:lvlJc w:val="left"/>
      <w:lvlText w:val="(%2)"/>
      <w:numFmt w:val="lowerRoman"/>
      <w:start w:val="1"/>
    </w:lvl>
  </w:abstractNum>
  <w:abstractNum w:abstractNumId="25">
    <w:nsid w:val="2157F6BC"/>
    <w:multiLevelType w:val="hybridMultilevel"/>
    <w:lvl w:ilvl="0">
      <w:lvlJc w:val="left"/>
      <w:lvlText w:val="(%1)"/>
      <w:numFmt w:val="lowerRoman"/>
      <w:start w:val="10"/>
    </w:lvl>
  </w:abstractNum>
  <w:abstractNum w:abstractNumId="26">
    <w:nsid w:val="704E1DD5"/>
    <w:multiLevelType w:val="hybridMultilevel"/>
    <w:lvl w:ilvl="0">
      <w:lvlJc w:val="left"/>
      <w:lvlText w:val="%1"/>
      <w:numFmt w:val="lowerLetter"/>
      <w:start w:val="1"/>
    </w:lvl>
    <w:lvl w:ilvl="1">
      <w:lvlJc w:val="left"/>
      <w:lvlText w:val="(%2)"/>
      <w:numFmt w:val="lowerRoman"/>
      <w:start w:val="21"/>
    </w:lvl>
  </w:abstractNum>
  <w:abstractNum w:abstractNumId="27">
    <w:nsid w:val="57D2F10E"/>
    <w:multiLevelType w:val="hybridMultilevel"/>
    <w:lvl w:ilvl="0">
      <w:lvlJc w:val="left"/>
      <w:lvlText w:val="(%1)"/>
      <w:numFmt w:val="lowerLetter"/>
      <w:start w:val="3"/>
    </w:lvl>
    <w:lvl w:ilvl="1">
      <w:lvlJc w:val="left"/>
      <w:lvlText w:val="(%2)"/>
      <w:numFmt w:val="lowerRoman"/>
      <w:start w:val="1"/>
    </w:lvl>
  </w:abstractNum>
  <w:abstractNum w:abstractNumId="28">
    <w:nsid w:val="BFFAE18"/>
    <w:multiLevelType w:val="hybridMultilevel"/>
    <w:lvl w:ilvl="0">
      <w:lvlJc w:val="left"/>
      <w:lvlText w:val="(%1)"/>
      <w:numFmt w:val="lowerLetter"/>
      <w:start w:val="1"/>
    </w:lvl>
    <w:lvl w:ilvl="1">
      <w:lvlJc w:val="left"/>
      <w:lvlText w:val="(%2)"/>
      <w:numFmt w:val="lowerLetter"/>
      <w:start w:val="9"/>
    </w:lvl>
  </w:abstractNum>
  <w:abstractNum w:abstractNumId="29">
    <w:nsid w:val="E3E47A8"/>
    <w:multiLevelType w:val="hybridMultilevel"/>
    <w:lvl w:ilvl="0">
      <w:lvlJc w:val="left"/>
      <w:lvlText w:val="(%1)"/>
      <w:numFmt w:val="lowerRoman"/>
      <w:start w:val="2"/>
    </w:lvl>
  </w:abstractNum>
  <w:abstractNum w:abstractNumId="30">
    <w:nsid w:val="2E48F044"/>
    <w:multiLevelType w:val="hybridMultilevel"/>
    <w:lvl w:ilvl="0">
      <w:lvlJc w:val="left"/>
      <w:lvlText w:val="(%1)"/>
      <w:numFmt w:val="lowerLetter"/>
      <w:start w:val="2"/>
    </w:lvl>
    <w:lvl w:ilvl="1">
      <w:lvlJc w:val="left"/>
      <w:lvlText w:val="(%2)"/>
      <w:numFmt w:val="lowerRoman"/>
      <w:start w:val="1"/>
    </w:lvl>
  </w:abstractNum>
  <w:abstractNum w:abstractNumId="31">
    <w:nsid w:val="49D0FEAC"/>
    <w:multiLevelType w:val="hybridMultilevel"/>
    <w:lvl w:ilvl="0">
      <w:lvlJc w:val="left"/>
      <w:lvlText w:val="%1"/>
      <w:numFmt w:val="lowerLetter"/>
      <w:start w:val="1"/>
    </w:lvl>
    <w:lvl w:ilvl="1">
      <w:lvlJc w:val="left"/>
      <w:lvlText w:val="(%2)"/>
      <w:numFmt w:val="lowerRoman"/>
      <w:start w:val="6"/>
    </w:lvl>
  </w:abstractNum>
  <w:abstractNum w:abstractNumId="32">
    <w:nsid w:val="4BEE5A5B"/>
    <w:multiLevelType w:val="hybridMultilevel"/>
    <w:lvl w:ilvl="0">
      <w:lvlJc w:val="left"/>
      <w:lvlText w:val="(%1)"/>
      <w:numFmt w:val="lowerLetter"/>
      <w:start w:val="2"/>
    </w:lvl>
    <w:lvl w:ilvl="1">
      <w:lvlJc w:val="left"/>
      <w:lvlText w:val="(%2)"/>
      <w:numFmt w:val="lowerRoman"/>
      <w:start w:val="8"/>
    </w:lvl>
  </w:abstractNum>
  <w:abstractNum w:abstractNumId="33">
    <w:nsid w:val="5551B9F3"/>
    <w:multiLevelType w:val="hybridMultilevel"/>
    <w:lvl w:ilvl="0">
      <w:lvlJc w:val="left"/>
      <w:lvlText w:val="(%1)"/>
      <w:numFmt w:val="lowerLetter"/>
      <w:start w:val="1"/>
    </w:lvl>
  </w:abstractNum>
  <w:abstractNum w:abstractNumId="34">
    <w:nsid w:val="24F6AB8E"/>
    <w:multiLevelType w:val="hybridMultilevel"/>
    <w:lvl w:ilvl="0">
      <w:lvlJc w:val="left"/>
      <w:lvlText w:val="(%1)"/>
      <w:numFmt w:val="lowerLetter"/>
      <w:start w:val="1"/>
    </w:lvl>
  </w:abstractNum>
  <w:abstractNum w:abstractNumId="35">
    <w:nsid w:val="634C574C"/>
    <w:multiLevelType w:val="hybridMultilevel"/>
    <w:lvl w:ilvl="0">
      <w:lvlJc w:val="left"/>
      <w:lvlText w:val="(%1)"/>
      <w:numFmt w:val="lowerLetter"/>
      <w:start w:val="2"/>
    </w:lvl>
    <w:lvl w:ilvl="1">
      <w:lvlJc w:val="left"/>
      <w:lvlText w:val="(%2)"/>
      <w:numFmt w:val="lowerRoman"/>
      <w:start w:val="1"/>
    </w:lvl>
  </w:abstractNum>
  <w:abstractNum w:abstractNumId="36">
    <w:nsid w:val="24E99DD7"/>
    <w:multiLevelType w:val="hybridMultilevel"/>
    <w:lvl w:ilvl="0">
      <w:lvlJc w:val="left"/>
      <w:lvlText w:val="(%1)"/>
      <w:numFmt w:val="lowerRoman"/>
      <w:start w:val="9"/>
    </w:lvl>
  </w:abstractNum>
  <w:abstractNum w:abstractNumId="37">
    <w:nsid w:val="2A31B62D"/>
    <w:multiLevelType w:val="hybridMultilevel"/>
    <w:lvl w:ilvl="0">
      <w:lvlJc w:val="left"/>
      <w:lvlText w:val="%1."/>
      <w:numFmt w:val="upperLetter"/>
      <w:start w:val="9"/>
    </w:lvl>
  </w:abstractNum>
  <w:abstractNum w:abstractNumId="38">
    <w:nsid w:val="1849C29B"/>
    <w:multiLevelType w:val="hybridMultilevel"/>
    <w:lvl w:ilvl="0">
      <w:lvlJc w:val="left"/>
      <w:lvlText w:val="%1."/>
      <w:numFmt w:val="upperLetter"/>
      <w:start w:val="35"/>
    </w:lvl>
  </w:abstractNum>
  <w:abstractNum w:abstractNumId="39">
    <w:nsid w:val="7DFF9D09"/>
    <w:multiLevelType w:val="hybridMultilevel"/>
    <w:lvl w:ilvl="0">
      <w:lvlJc w:val="left"/>
      <w:lvlText w:val="%1."/>
      <w:numFmt w:val="upperLetter"/>
      <w:start w:val="61"/>
    </w:lvl>
  </w:abstractNum>
  <w:abstractNum w:abstractNumId="40">
    <w:nsid w:val="754342"/>
    <w:multiLevelType w:val="hybridMultilevel"/>
    <w:lvl w:ilvl="0">
      <w:lvlJc w:val="left"/>
      <w:lvlText w:val="(%1)"/>
      <w:numFmt w:val="lowerLetter"/>
      <w:start w:val="1"/>
    </w:lvl>
    <w:lvl w:ilvl="1">
      <w:lvlJc w:val="left"/>
      <w:lvlText w:val="(%2)"/>
      <w:numFmt w:val="lowerLetter"/>
      <w:start w:val="9"/>
    </w:lvl>
  </w:abstractNum>
  <w:abstractNum w:abstractNumId="41">
    <w:nsid w:val="69E7F3E5"/>
    <w:multiLevelType w:val="hybridMultilevel"/>
    <w:lvl w:ilvl="0">
      <w:lvlJc w:val="left"/>
      <w:lvlText w:val="%1"/>
      <w:numFmt w:val="lowerLetter"/>
      <w:start w:val="1"/>
    </w:lvl>
    <w:lvl w:ilvl="1">
      <w:lvlJc w:val="left"/>
      <w:lvlText w:val="(%2)"/>
      <w:numFmt w:val="lowerLetter"/>
      <w:start w:val="35"/>
    </w:lvl>
  </w:abstractNum>
  <w:abstractNum w:abstractNumId="42">
    <w:nsid w:val="2A6DE806"/>
    <w:multiLevelType w:val="hybridMultilevel"/>
    <w:lvl w:ilvl="0">
      <w:lvlJc w:val="left"/>
      <w:lvlText w:val="(%1)"/>
      <w:numFmt w:val="lowerLetter"/>
      <w:start w:val="5"/>
    </w:lvl>
    <w:lvl w:ilvl="1">
      <w:lvlJc w:val="left"/>
      <w:lvlText w:val="(%2)"/>
      <w:numFmt w:val="lowerLetter"/>
      <w:start w:val="9"/>
    </w:lvl>
  </w:abstractNum>
  <w:abstractNum w:abstractNumId="43">
    <w:nsid w:val="1816F8C4"/>
    <w:multiLevelType w:val="hybridMultilevel"/>
    <w:lvl w:ilvl="0">
      <w:lvlJc w:val="left"/>
      <w:lvlText w:val="%1"/>
      <w:numFmt w:val="lowerLetter"/>
      <w:start w:val="1"/>
    </w:lvl>
    <w:lvl w:ilvl="1">
      <w:lvlJc w:val="left"/>
      <w:lvlText w:val="(%2)"/>
      <w:numFmt w:val="lowerRoman"/>
      <w:start w:val="2"/>
    </w:lvl>
  </w:abstractNum>
  <w:abstractNum w:abstractNumId="44">
    <w:nsid w:val="37DF2233"/>
    <w:multiLevelType w:val="hybridMultilevel"/>
    <w:lvl w:ilvl="0">
      <w:lvlJc w:val="left"/>
      <w:lvlText w:val="(%1)"/>
      <w:numFmt w:val="lowerLetter"/>
      <w:start w:val="7"/>
    </w:lvl>
    <w:lvl w:ilvl="1">
      <w:lvlJc w:val="left"/>
      <w:lvlText w:val="%2"/>
      <w:numFmt w:val="lowerRoman"/>
      <w:start w:val="1"/>
    </w:lvl>
  </w:abstractNum>
  <w:abstractNum w:abstractNumId="45">
    <w:nsid w:val="7AB49DAF"/>
    <w:multiLevelType w:val="hybridMultilevel"/>
    <w:lvl w:ilvl="0">
      <w:lvlJc w:val="left"/>
      <w:lvlText w:val="(%1)"/>
      <w:numFmt w:val="lowerRoman"/>
      <w:start w:val="3"/>
    </w:lvl>
  </w:abstractNum>
  <w:abstractNum w:abstractNumId="46">
    <w:nsid w:val="759F82CD"/>
    <w:multiLevelType w:val="hybridMultilevel"/>
    <w:lvl w:ilvl="0">
      <w:lvlJc w:val="left"/>
      <w:lvlText w:val="(%1)"/>
      <w:numFmt w:val="lowerLetter"/>
      <w:start w:val="1"/>
    </w:lvl>
  </w:abstractNum>
  <w:abstractNum w:abstractNumId="47">
    <w:nsid w:val="61E74EA3"/>
    <w:multiLevelType w:val="hybridMultilevel"/>
    <w:lvl w:ilvl="0">
      <w:lvlJc w:val="left"/>
      <w:lvlText w:val="(%1)"/>
      <w:numFmt w:val="lowerLetter"/>
      <w:start w:val="2"/>
    </w:lvl>
  </w:abstractNum>
  <w:abstractNum w:abstractNumId="48">
    <w:nsid w:val="597B4D84"/>
    <w:multiLevelType w:val="hybridMultilevel"/>
    <w:lvl w:ilvl="0">
      <w:lvlJc w:val="left"/>
      <w:lvlText w:val="%1"/>
      <w:numFmt w:val="upperLetter"/>
      <w:start w:val="1"/>
    </w:lvl>
    <w:lvl w:ilvl="1">
      <w:lvlJc w:val="left"/>
      <w:lvlText w:val="(%2)"/>
      <w:numFmt w:val="lowerLetter"/>
      <w:start w:val="1"/>
    </w:lvl>
  </w:abstractNum>
  <w:abstractNum w:abstractNumId="49">
    <w:nsid w:val="F819E7F"/>
    <w:multiLevelType w:val="hybridMultilevel"/>
    <w:lvl w:ilvl="0">
      <w:lvlJc w:val="left"/>
      <w:lvlText w:val="(%1)"/>
      <w:numFmt w:val="upperLetter"/>
      <w:start w:val="2"/>
    </w:lvl>
    <w:lvl w:ilvl="1">
      <w:lvlJc w:val="left"/>
      <w:lvlText w:val="(%2)"/>
      <w:numFmt w:val="lowerLetter"/>
      <w:start w:val="2"/>
    </w:lvl>
  </w:abstractNum>
  <w:abstractNum w:abstractNumId="50">
    <w:nsid w:val="57C7D42D"/>
    <w:multiLevelType w:val="hybridMultilevel"/>
    <w:lvl w:ilvl="0">
      <w:lvlJc w:val="left"/>
      <w:lvlText w:val="(%1)"/>
      <w:numFmt w:val="lowerLetter"/>
      <w:start w:val="3"/>
    </w:lvl>
  </w:abstractNum>
  <w:abstractNum w:abstractNumId="51">
    <w:nsid w:val="312167AD"/>
    <w:multiLevelType w:val="hybridMultilevel"/>
    <w:lvl w:ilvl="0">
      <w:lvlJc w:val="left"/>
      <w:lvlText w:val="(%1)"/>
      <w:numFmt w:val="lowerLetter"/>
      <w:start w:val="1"/>
    </w:lvl>
  </w:abstractNum>
  <w:abstractNum w:abstractNumId="52">
    <w:nsid w:val="631B64D4"/>
    <w:multiLevelType w:val="hybridMultilevel"/>
    <w:lvl w:ilvl="0">
      <w:lvlJc w:val="left"/>
      <w:lvlText w:val="(%1)"/>
      <w:numFmt w:val="lowerLetter"/>
      <w:start w:val="1"/>
    </w:lvl>
  </w:abstractNum>
  <w:abstractNum w:abstractNumId="53">
    <w:nsid w:val="78B5E776"/>
    <w:multiLevelType w:val="hybridMultilevel"/>
    <w:lvl w:ilvl="0">
      <w:lvlJc w:val="left"/>
      <w:lvlText w:val="(%1)"/>
      <w:numFmt w:val="lowerRoman"/>
      <w:start w:val="10"/>
    </w:lvl>
  </w:abstractNum>
  <w:abstractNum w:abstractNumId="54">
    <w:nsid w:val="75486E47"/>
    <w:multiLevelType w:val="hybridMultilevel"/>
    <w:lvl w:ilvl="0">
      <w:lvlJc w:val="left"/>
      <w:lvlText w:val="(%1)"/>
      <w:numFmt w:val="lowerLetter"/>
      <w:start w:val="2"/>
    </w:lvl>
  </w:abstractNum>
  <w:abstractNum w:abstractNumId="55">
    <w:nsid w:val="6E534CDE"/>
    <w:multiLevelType w:val="hybridMultilevel"/>
    <w:lvl w:ilvl="0">
      <w:lvlJc w:val="left"/>
      <w:lvlText w:val="(%1)"/>
      <w:numFmt w:val="lowerLetter"/>
      <w:start w:val="1"/>
    </w:lvl>
  </w:abstractNum>
  <w:abstractNum w:abstractNumId="56">
    <w:nsid w:val="1A0DDE32"/>
    <w:multiLevelType w:val="hybridMultilevel"/>
    <w:lvl w:ilvl="0">
      <w:lvlJc w:val="left"/>
      <w:lvlText w:val="(%1)"/>
      <w:numFmt w:val="lowerLetter"/>
      <w:start w:val="2"/>
    </w:lvl>
  </w:abstractNum>
  <w:abstractNum w:abstractNumId="57">
    <w:nsid w:val="65968C1C"/>
    <w:multiLevelType w:val="hybridMultilevel"/>
    <w:lvl w:ilvl="0">
      <w:lvlJc w:val="left"/>
      <w:lvlText w:val="(%1)"/>
      <w:numFmt w:val="lowerLetter"/>
      <w:start w:val="1"/>
    </w:lvl>
  </w:abstractNum>
  <w:abstractNum w:abstractNumId="58">
    <w:nsid w:val="46263DEC"/>
    <w:multiLevelType w:val="hybridMultilevel"/>
    <w:lvl w:ilvl="0">
      <w:lvlJc w:val="left"/>
      <w:lvlText w:val="(%1)"/>
      <w:numFmt w:val="lowerLetter"/>
      <w:start w:val="1"/>
    </w:lvl>
    <w:lvl w:ilvl="1">
      <w:lvlJc w:val="left"/>
      <w:lvlText w:val="(%2)"/>
      <w:numFmt w:val="lowerRoman"/>
      <w:start w:val="1"/>
    </w:lvl>
  </w:abstractNum>
  <w:abstractNum w:abstractNumId="59">
    <w:nsid w:val="260D8C4A"/>
    <w:multiLevelType w:val="hybridMultilevel"/>
    <w:lvl w:ilvl="0">
      <w:lvlJc w:val="left"/>
      <w:lvlText w:val="(%1)"/>
      <w:numFmt w:val="lowerLetter"/>
      <w:start w:val="4"/>
    </w:lvl>
  </w:abstractNum>
  <w:abstractNum w:abstractNumId="60">
    <w:nsid w:val="73D4D3C4"/>
    <w:multiLevelType w:val="hybridMultilevel"/>
    <w:lvl w:ilvl="0">
      <w:lvlJc w:val="left"/>
      <w:lvlText w:val="(%1)"/>
      <w:numFmt w:val="lowerLetter"/>
      <w:start w:val="1"/>
    </w:lvl>
  </w:abstractNum>
  <w:abstractNum w:abstractNumId="61">
    <w:nsid w:val="746F2E30"/>
    <w:multiLevelType w:val="hybridMultilevel"/>
    <w:lvl w:ilvl="0">
      <w:lvlJc w:val="left"/>
      <w:lvlText w:val="(%1)"/>
      <w:numFmt w:val="lowerLetter"/>
      <w:start w:val="3"/>
    </w:lvl>
  </w:abstractNum>
  <w:abstractNum w:abstractNumId="62">
    <w:nsid w:val="6FDE8AF6"/>
    <w:multiLevelType w:val="hybridMultilevel"/>
    <w:lvl w:ilvl="0">
      <w:lvlJc w:val="left"/>
      <w:lvlText w:val="(%1)"/>
      <w:numFmt w:val="lowerLetter"/>
      <w:start w:val="1"/>
    </w:lvl>
  </w:abstractNum>
  <w:abstractNum w:abstractNumId="63">
    <w:nsid w:val="3FC32E20"/>
    <w:multiLevelType w:val="hybridMultilevel"/>
    <w:lvl w:ilvl="0">
      <w:lvlJc w:val="left"/>
      <w:lvlText w:val="(%1)"/>
      <w:numFmt w:val="lowerRoman"/>
      <w:start w:val="1"/>
    </w:lvl>
  </w:abstractNum>
  <w:abstractNum w:abstractNumId="64">
    <w:nsid w:val="49C0E823"/>
    <w:multiLevelType w:val="hybridMultilevel"/>
    <w:lvl w:ilvl="0">
      <w:lvlJc w:val="left"/>
      <w:lvlText w:val="(%1)"/>
      <w:numFmt w:val="lowerLetter"/>
      <w:start w:val="1"/>
    </w:lvl>
  </w:abstractNum>
  <w:abstractNum w:abstractNumId="65">
    <w:nsid w:val="14D53685"/>
    <w:multiLevelType w:val="hybridMultilevel"/>
    <w:lvl w:ilvl="0">
      <w:lvlJc w:val="left"/>
      <w:lvlText w:val="(%1)"/>
      <w:numFmt w:val="lowerLetter"/>
      <w:start w:val="2"/>
    </w:lvl>
  </w:abstractNum>
  <w:abstractNum w:abstractNumId="66">
    <w:nsid w:val="230F856C"/>
    <w:multiLevelType w:val="hybridMultilevel"/>
    <w:lvl w:ilvl="0">
      <w:lvlJc w:val="left"/>
      <w:lvlText w:val="(%1)"/>
      <w:numFmt w:val="lowerLetter"/>
      <w:start w:val="1"/>
    </w:lvl>
  </w:abstractNum>
  <w:abstractNum w:abstractNumId="67">
    <w:nsid w:val="6EAA85FB"/>
    <w:multiLevelType w:val="hybridMultilevel"/>
    <w:lvl w:ilvl="0">
      <w:lvlJc w:val="left"/>
      <w:lvlText w:val="(%1)"/>
      <w:numFmt w:val="lowerLetter"/>
      <w:start w:val="1"/>
    </w:lvl>
  </w:abstractNum>
  <w:abstractNum w:abstractNumId="68">
    <w:nsid w:val="3F06ECB2"/>
    <w:multiLevelType w:val="hybridMultilevel"/>
    <w:lvl w:ilvl="0">
      <w:lvlJc w:val="left"/>
      <w:lvlText w:val="(%1)"/>
      <w:numFmt w:val="lowerLetter"/>
      <w:start w:val="2"/>
    </w:lvl>
  </w:abstractNum>
  <w:abstractNum w:abstractNumId="69">
    <w:nsid w:val="3B594807"/>
    <w:multiLevelType w:val="hybridMultilevel"/>
    <w:lvl w:ilvl="0">
      <w:lvlJc w:val="left"/>
      <w:lvlText w:val="(%1)"/>
      <w:numFmt w:val="lowerLetter"/>
      <w:start w:val="1"/>
    </w:lvl>
  </w:abstractNum>
  <w:abstractNum w:abstractNumId="70">
    <w:nsid w:val="6CAA2304"/>
    <w:multiLevelType w:val="hybridMultilevel"/>
    <w:lvl w:ilvl="0">
      <w:lvlJc w:val="left"/>
      <w:lvlText w:val="(%1)"/>
      <w:numFmt w:val="lowerLetter"/>
      <w:start w:val="1"/>
    </w:lvl>
  </w:abstractNum>
  <w:abstractNum w:abstractNumId="71">
    <w:nsid w:val="3F7C2FF4"/>
    <w:multiLevelType w:val="hybridMultilevel"/>
    <w:lvl w:ilvl="0">
      <w:lvlJc w:val="left"/>
      <w:lvlText w:val="(%1)"/>
      <w:numFmt w:val="lowerLetter"/>
      <w:start w:val="1"/>
    </w:lvl>
  </w:abstractNum>
  <w:abstractNum w:abstractNumId="72">
    <w:nsid w:val="25413BEC"/>
    <w:multiLevelType w:val="hybridMultilevel"/>
    <w:lvl w:ilvl="0">
      <w:lvlJc w:val="left"/>
      <w:lvlText w:val="(%1)"/>
      <w:numFmt w:val="lowerLetter"/>
      <w:start w:val="2"/>
    </w:lvl>
  </w:abstractNum>
  <w:abstractNum w:abstractNumId="73">
    <w:nsid w:val="17180B0B"/>
    <w:multiLevelType w:val="hybridMultilevel"/>
    <w:lvl w:ilvl="0">
      <w:lvlJc w:val="left"/>
      <w:lvlText w:val="(%1)"/>
      <w:numFmt w:val="lowerLetter"/>
      <w:start w:val="1"/>
    </w:lvl>
  </w:abstractNum>
  <w:abstractNum w:abstractNumId="74">
    <w:nsid w:val="579328B9"/>
    <w:multiLevelType w:val="hybridMultilevel"/>
    <w:lvl w:ilvl="0">
      <w:lvlJc w:val="left"/>
      <w:lvlText w:val="(%1)"/>
      <w:numFmt w:val="lowerLetter"/>
      <w:start w:val="2"/>
    </w:lvl>
  </w:abstractNum>
  <w:abstractNum w:abstractNumId="75">
    <w:nsid w:val="5D205E20"/>
    <w:multiLevelType w:val="hybridMultilevel"/>
    <w:lvl w:ilvl="0">
      <w:lvlJc w:val="left"/>
      <w:lvlText w:val="(%1)"/>
      <w:numFmt w:val="lowerLetter"/>
      <w:start w:val="1"/>
    </w:lvl>
    <w:lvl w:ilvl="1">
      <w:lvlJc w:val="left"/>
      <w:lvlText w:val="(%2)"/>
      <w:numFmt w:val="lowerRoman"/>
      <w:start w:val="1"/>
    </w:lvl>
  </w:abstractNum>
  <w:abstractNum w:abstractNumId="76">
    <w:nsid w:val="11CCA8BA"/>
    <w:multiLevelType w:val="hybridMultilevel"/>
    <w:lvl w:ilvl="0">
      <w:lvlJc w:val="left"/>
      <w:lvlText w:val="(%1)"/>
      <w:numFmt w:val="lowerLetter"/>
      <w:start w:val="1"/>
    </w:lvl>
  </w:abstractNum>
  <w:abstractNum w:abstractNumId="77">
    <w:nsid w:val="4D32AB86"/>
    <w:multiLevelType w:val="hybridMultilevel"/>
    <w:lvl w:ilvl="0">
      <w:lvlJc w:val="left"/>
      <w:lvlText w:val="(%1)"/>
      <w:numFmt w:val="lowerLetter"/>
      <w:start w:val="2"/>
    </w:lvl>
  </w:abstractNum>
  <w:abstractNum w:abstractNumId="78">
    <w:nsid w:val="3F07ACC3"/>
    <w:multiLevelType w:val="hybridMultilevel"/>
    <w:lvl w:ilvl="0">
      <w:lvlJc w:val="left"/>
      <w:lvlText w:val="(%1)"/>
      <w:numFmt w:val="lowerLetter"/>
      <w:start w:val="4"/>
    </w:lvl>
  </w:abstractNum>
  <w:abstractNum w:abstractNumId="79">
    <w:nsid w:val="6B47F63E"/>
    <w:multiLevelType w:val="hybridMultilevel"/>
    <w:lvl w:ilvl="0">
      <w:lvlJc w:val="left"/>
      <w:lvlText w:val="(%1)"/>
      <w:numFmt w:val="lowerLetter"/>
      <w:start w:val="1"/>
    </w:lvl>
    <w:lvl w:ilvl="1">
      <w:lvlJc w:val="left"/>
      <w:lvlText w:val="(%2)"/>
      <w:numFmt w:val="lowerRoman"/>
      <w:start w:val="1"/>
    </w:lvl>
  </w:abstractNum>
  <w:abstractNum w:abstractNumId="80">
    <w:nsid w:val="5CB44A05"/>
    <w:multiLevelType w:val="hybridMultilevel"/>
    <w:lvl w:ilvl="0">
      <w:lvlJc w:val="left"/>
      <w:lvlText w:val="(%1)"/>
      <w:numFmt w:val="lowerRoman"/>
      <w:start w:val="3"/>
    </w:lvl>
  </w:abstractNum>
  <w:abstractNum w:abstractNumId="81">
    <w:nsid w:val="16CF80F1"/>
    <w:multiLevelType w:val="hybridMultilevel"/>
    <w:lvl w:ilvl="0">
      <w:lvlJc w:val="left"/>
      <w:lvlText w:val="(%1)"/>
      <w:numFmt w:val="lowerLetter"/>
      <w:start w:val="1"/>
    </w:lvl>
    <w:lvl w:ilvl="1">
      <w:lvlJc w:val="left"/>
      <w:lvlText w:val="(%2)"/>
      <w:numFmt w:val="lowerRoman"/>
      <w:start w:val="1"/>
    </w:lvl>
  </w:abstractNum>
  <w:abstractNum w:abstractNumId="82">
    <w:nsid w:val="1C695DEC"/>
    <w:multiLevelType w:val="hybridMultilevel"/>
    <w:lvl w:ilvl="0">
      <w:lvlJc w:val="left"/>
      <w:lvlText w:val="(%1)"/>
      <w:numFmt w:val="lowerLetter"/>
      <w:start w:val="2"/>
    </w:lvl>
    <w:lvl w:ilvl="1">
      <w:lvlJc w:val="left"/>
      <w:lvlText w:val="(%2)"/>
      <w:numFmt w:val="lowerRoman"/>
      <w:start w:val="1"/>
    </w:lvl>
  </w:abstractNum>
  <w:abstractNum w:abstractNumId="83">
    <w:nsid w:val="3FCFAED9"/>
    <w:multiLevelType w:val="hybridMultilevel"/>
    <w:lvl w:ilvl="0">
      <w:lvlJc w:val="left"/>
      <w:lvlText w:val="(%1)"/>
      <w:numFmt w:val="lowerRoman"/>
      <w:start w:val="3"/>
    </w:lvl>
  </w:abstractNum>
  <w:abstractNum w:abstractNumId="84">
    <w:nsid w:val="F856867"/>
    <w:multiLevelType w:val="hybridMultilevel"/>
    <w:lvl w:ilvl="0">
      <w:lvlJc w:val="left"/>
      <w:lvlText w:val="(%1)"/>
      <w:numFmt w:val="lowerLetter"/>
      <w:start w:val="5"/>
    </w:lvl>
  </w:abstractNum>
  <w:abstractNum w:abstractNumId="85">
    <w:nsid w:val="11B1CC33"/>
    <w:multiLevelType w:val="hybridMultilevel"/>
    <w:lvl w:ilvl="0">
      <w:lvlJc w:val="left"/>
      <w:lvlText w:val="(%1)"/>
      <w:numFmt w:val="lowerLetter"/>
      <w:start w:val="1"/>
    </w:lvl>
    <w:lvl w:ilvl="1">
      <w:lvlJc w:val="left"/>
      <w:lvlText w:val="(%2)"/>
      <w:numFmt w:val="lowerLetter"/>
      <w:start w:val="9"/>
    </w:lvl>
  </w:abstractNum>
  <w:abstractNum w:abstractNumId="86">
    <w:nsid w:val="2E22FBB7"/>
    <w:multiLevelType w:val="hybridMultilevel"/>
    <w:lvl w:ilvl="0">
      <w:lvlJc w:val="left"/>
      <w:lvlText w:val="(%1)"/>
      <w:numFmt w:val="lowerRoman"/>
      <w:start w:val="2"/>
    </w:lvl>
  </w:abstractNum>
  <w:abstractNum w:abstractNumId="87">
    <w:nsid w:val="29934699"/>
    <w:multiLevelType w:val="hybridMultilevel"/>
    <w:lvl w:ilvl="0">
      <w:lvlJc w:val="left"/>
      <w:lvlText w:val="(%1)"/>
      <w:numFmt w:val="lowerLetter"/>
      <w:start w:val="3"/>
    </w:lvl>
  </w:abstractNum>
  <w:abstractNum w:abstractNumId="88">
    <w:nsid w:val="77485850"/>
    <w:multiLevelType w:val="hybridMultilevel"/>
    <w:lvl w:ilvl="0">
      <w:lvlJc w:val="left"/>
      <w:lvlText w:val="(%1)"/>
      <w:numFmt w:val="lowerLetter"/>
      <w:start w:val="6"/>
    </w:lvl>
    <w:lvl w:ilvl="1">
      <w:lvlJc w:val="left"/>
      <w:lvlText w:val="(%2)"/>
      <w:numFmt w:val="lowerRoman"/>
      <w:start w:val="1"/>
    </w:lvl>
  </w:abstractNum>
  <w:abstractNum w:abstractNumId="89">
    <w:nsid w:val="744939A3"/>
    <w:multiLevelType w:val="hybridMultilevel"/>
    <w:lvl w:ilvl="0">
      <w:lvlJc w:val="left"/>
      <w:lvlText w:val="(%1)"/>
      <w:numFmt w:val="lowerLetter"/>
      <w:start w:val="1"/>
    </w:lvl>
  </w:abstractNum>
  <w:abstractNum w:abstractNumId="90">
    <w:nsid w:val="4FA0D2E3"/>
    <w:multiLevelType w:val="hybridMultilevel"/>
    <w:lvl w:ilvl="0">
      <w:lvlJc w:val="left"/>
      <w:lvlText w:val="(%1)"/>
      <w:numFmt w:val="lowerLetter"/>
      <w:start w:val="3"/>
    </w:lvl>
  </w:abstractNum>
  <w:abstractNum w:abstractNumId="91">
    <w:nsid w:val="6B1D2C14"/>
    <w:multiLevelType w:val="hybridMultilevel"/>
    <w:lvl w:ilvl="0">
      <w:lvlJc w:val="left"/>
      <w:lvlText w:val="(%1)"/>
      <w:numFmt w:val="lowerLetter"/>
      <w:start w:val="1"/>
    </w:lvl>
    <w:lvl w:ilvl="1">
      <w:lvlJc w:val="left"/>
      <w:lvlText w:val="(%2)"/>
      <w:numFmt w:val="lowerLetter"/>
      <w:start w:val="2"/>
    </w:lvl>
  </w:abstractNum>
  <w:abstractNum w:abstractNumId="92">
    <w:nsid w:val="68B867D3"/>
    <w:multiLevelType w:val="hybridMultilevel"/>
    <w:lvl w:ilvl="0">
      <w:lvlJc w:val="left"/>
      <w:lvlText w:val="(%1)"/>
      <w:numFmt w:val="lowerLetter"/>
      <w:start w:val="2"/>
    </w:lvl>
    <w:lvl w:ilvl="1">
      <w:lvlJc w:val="left"/>
      <w:lvlText w:val="(%2)"/>
      <w:numFmt w:val="lowerRoman"/>
      <w:start w:val="1"/>
    </w:lvl>
  </w:abstractNum>
  <w:abstractNum w:abstractNumId="93">
    <w:nsid w:val="3F7F5DD9"/>
    <w:multiLevelType w:val="hybridMultilevel"/>
    <w:lvl w:ilvl="0">
      <w:lvlJc w:val="left"/>
      <w:lvlText w:val="(%1)"/>
      <w:numFmt w:val="lowerLetter"/>
      <w:start w:val="24"/>
    </w:lvl>
    <w:lvl w:ilvl="1">
      <w:lvlJc w:val="left"/>
      <w:lvlText w:val="(%2)"/>
      <w:numFmt w:val="lowerRoman"/>
      <w:start w:val="4"/>
    </w:lvl>
  </w:abstractNum>
  <w:abstractNum w:abstractNumId="94">
    <w:nsid w:val="2AE05A34"/>
    <w:multiLevelType w:val="hybridMultilevel"/>
    <w:lvl w:ilvl="0">
      <w:lvlJc w:val="left"/>
      <w:lvlText w:val="(%1)"/>
      <w:numFmt w:val="lowerLetter"/>
      <w:start w:val="3"/>
    </w:lvl>
  </w:abstractNum>
  <w:abstractNum w:abstractNumId="95">
    <w:nsid w:val="32794FF7"/>
    <w:multiLevelType w:val="hybridMultilevel"/>
    <w:lvl w:ilvl="0">
      <w:lvlJc w:val="left"/>
      <w:lvlText w:val="(%1)"/>
      <w:numFmt w:val="lowerLetter"/>
      <w:start w:val="1"/>
    </w:lvl>
  </w:abstractNum>
  <w:abstractNum w:abstractNumId="96">
    <w:nsid w:val="5454945E"/>
    <w:multiLevelType w:val="hybridMultilevel"/>
    <w:lvl w:ilvl="0">
      <w:lvlJc w:val="left"/>
      <w:lvlText w:val="(%1)"/>
      <w:numFmt w:val="lowerLetter"/>
      <w:start w:val="4"/>
    </w:lvl>
  </w:abstractNum>
  <w:abstractNum w:abstractNumId="97">
    <w:nsid w:val="4DEFDFA0"/>
    <w:multiLevelType w:val="hybridMultilevel"/>
    <w:lvl w:ilvl="0">
      <w:lvlJc w:val="left"/>
      <w:lvlText w:val="(%1)"/>
      <w:numFmt w:val="lowerLetter"/>
      <w:start w:val="1"/>
    </w:lvl>
  </w:abstractNum>
  <w:abstractNum w:abstractNumId="98">
    <w:nsid w:val="2123D5F2"/>
    <w:multiLevelType w:val="hybridMultilevel"/>
    <w:lvl w:ilvl="0">
      <w:lvlJc w:val="left"/>
      <w:lvlText w:val="(%1)"/>
      <w:numFmt w:val="lowerLetter"/>
      <w:start w:val="5"/>
    </w:lvl>
  </w:abstractNum>
  <w:abstractNum w:abstractNumId="99">
    <w:nsid w:val="135B8110"/>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00">
    <w:nsid w:val="94927A8"/>
    <w:multiLevelType w:val="hybridMultilevel"/>
    <w:lvl w:ilvl="0">
      <w:lvlJc w:val="left"/>
      <w:lvlText w:val="%1"/>
      <w:numFmt w:val="decimal"/>
      <w:start w:val="1"/>
    </w:lvl>
    <w:lvl w:ilvl="1">
      <w:lvlJc w:val="left"/>
      <w:lvlText w:val="%2)"/>
      <w:numFmt w:val="lowerRoman"/>
      <w:start w:val="2"/>
    </w:lvl>
  </w:abstractNum>
  <w:abstractNum w:abstractNumId="101">
    <w:nsid w:val="DCDF8F6"/>
    <w:multiLevelType w:val="hybridMultilevel"/>
    <w:lvl w:ilvl="0">
      <w:lvlJc w:val="left"/>
      <w:lvlText w:val="(%1)"/>
      <w:numFmt w:val="decimal"/>
      <w:start w:val="3"/>
    </w:lvl>
    <w:lvl w:ilvl="1">
      <w:lvlJc w:val="left"/>
      <w:lvlText w:val="%2"/>
      <w:numFmt w:val="lowerRoman"/>
      <w:start w:val="1"/>
    </w:lvl>
  </w:abstractNum>
  <w:abstractNum w:abstractNumId="102">
    <w:nsid w:val="52D7B105"/>
    <w:multiLevelType w:val="hybridMultilevel"/>
    <w:lvl w:ilvl="0">
      <w:lvlJc w:val="left"/>
      <w:lvlText w:val="%1"/>
      <w:numFmt w:val="upperLetter"/>
      <w:start w:val="1"/>
    </w:lvl>
    <w:lvl w:ilvl="1">
      <w:lvlJc w:val="left"/>
      <w:lvlText w:val="(%2)"/>
      <w:numFmt w:val="lowerLetter"/>
      <w:start w:val="7"/>
    </w:lvl>
  </w:abstractNum>
  <w:abstractNum w:abstractNumId="103">
    <w:nsid w:val="2E8A6394"/>
    <w:multiLevelType w:val="hybridMultilevel"/>
    <w:lvl w:ilvl="0">
      <w:lvlJc w:val="left"/>
      <w:lvlText w:val="(%1)"/>
      <w:numFmt w:val="upperLetter"/>
      <w:start w:val="2"/>
    </w:lvl>
    <w:lvl w:ilvl="1">
      <w:lvlJc w:val="left"/>
      <w:lvlText w:val="(%2)"/>
      <w:numFmt w:val="lowerLetter"/>
      <w:start w:val="8"/>
    </w:lvl>
  </w:abstractNum>
  <w:abstractNum w:abstractNumId="104">
    <w:nsid w:val="24E60401"/>
    <w:multiLevelType w:val="hybridMultilevel"/>
    <w:lvl w:ilvl="0">
      <w:lvlJc w:val="left"/>
      <w:lvlText w:val="(%1)"/>
      <w:numFmt w:val="lowerLetter"/>
      <w:start w:val="1"/>
    </w:lvl>
  </w:abstractNum>
  <w:abstractNum w:abstractNumId="105">
    <w:nsid w:val="2A6AD9BE"/>
    <w:multiLevelType w:val="hybridMultilevel"/>
    <w:lvl w:ilvl="0">
      <w:lvlJc w:val="left"/>
      <w:lvlText w:val="(%1)"/>
      <w:numFmt w:val="lowerLetter"/>
      <w:start w:val="1"/>
    </w:lvl>
  </w:abstractNum>
  <w:abstractNum w:abstractNumId="106">
    <w:nsid w:val="BAAC1B4"/>
    <w:multiLevelType w:val="hybridMultilevel"/>
    <w:lvl w:ilvl="0">
      <w:lvlJc w:val="left"/>
      <w:lvlText w:val="(%1)"/>
      <w:numFmt w:val="lowerLetter"/>
      <w:start w:val="4"/>
    </w:lvl>
  </w:abstractNum>
  <w:abstractNum w:abstractNumId="107">
    <w:nsid w:val="36B2ACBC"/>
    <w:multiLevelType w:val="hybridMultilevel"/>
    <w:lvl w:ilvl="0">
      <w:lvlJc w:val="left"/>
      <w:lvlText w:val="(%1)"/>
      <w:numFmt w:val="lowerLetter"/>
      <w:start w:val="6"/>
    </w:lvl>
    <w:lvl w:ilvl="1">
      <w:lvlJc w:val="left"/>
      <w:lvlText w:val="(%2)"/>
      <w:numFmt w:val="lowerRoman"/>
      <w:start w:val="1"/>
    </w:lvl>
  </w:abstractNum>
  <w:abstractNum w:abstractNumId="108">
    <w:nsid w:val="779D8544"/>
    <w:multiLevelType w:val="hybridMultilevel"/>
    <w:lvl w:ilvl="0">
      <w:lvlJc w:val="left"/>
      <w:lvlText w:val="%1"/>
      <w:numFmt w:val="lowerLetter"/>
      <w:start w:val="1"/>
    </w:lvl>
    <w:lvl w:ilvl="1">
      <w:lvlJc w:val="left"/>
      <w:lvlText w:val="(%2)"/>
      <w:numFmt w:val="lowerRoman"/>
      <w:start w:val="4"/>
    </w:lvl>
  </w:abstractNum>
  <w:abstractNum w:abstractNumId="109">
    <w:nsid w:val="4AB26E78"/>
    <w:multiLevelType w:val="hybridMultilevel"/>
    <w:lvl w:ilvl="0">
      <w:lvlJc w:val="left"/>
      <w:lvlText w:val="(%1)"/>
      <w:numFmt w:val="lowerLetter"/>
      <w:start w:val="8"/>
    </w:lvl>
    <w:lvl w:ilvl="1">
      <w:lvlJc w:val="left"/>
      <w:lvlText w:val="%2"/>
      <w:numFmt w:val="lowerRoman"/>
      <w:start w:val="1"/>
    </w:lvl>
  </w:abstractNum>
  <w:abstractNum w:abstractNumId="110">
    <w:nsid w:val="21FAA2FA"/>
    <w:multiLevelType w:val="hybridMultilevel"/>
    <w:lvl w:ilvl="0">
      <w:lvlJc w:val="left"/>
      <w:lvlText w:val="(%1)"/>
      <w:numFmt w:val="lowerLetter"/>
      <w:start w:val="1"/>
    </w:lvl>
  </w:abstractNum>
  <w:abstractNum w:abstractNumId="111">
    <w:nsid w:val="5451CF49"/>
    <w:multiLevelType w:val="hybridMultilevel"/>
    <w:lvl w:ilvl="0">
      <w:lvlJc w:val="left"/>
      <w:lvlText w:val="(%1)"/>
      <w:numFmt w:val="lowerLetter"/>
      <w:start w:val="2"/>
    </w:lvl>
  </w:abstractNum>
  <w:abstractNum w:abstractNumId="112">
    <w:nsid w:val="6181EF69"/>
    <w:multiLevelType w:val="hybridMultilevel"/>
    <w:lvl w:ilvl="0">
      <w:lvlJc w:val="left"/>
      <w:lvlText w:val="(%1)"/>
      <w:numFmt w:val="lowerLetter"/>
      <w:start w:val="4"/>
    </w:lvl>
  </w:abstractNum>
  <w:abstractNum w:abstractNumId="113">
    <w:nsid w:val="3E6400E6"/>
    <w:multiLevelType w:val="hybridMultilevel"/>
    <w:lvl w:ilvl="0">
      <w:lvlJc w:val="left"/>
      <w:lvlText w:val="(%1)"/>
      <w:numFmt w:val="lowerLetter"/>
      <w:start w:val="1"/>
    </w:lvl>
  </w:abstractNum>
  <w:abstractNum w:abstractNumId="114">
    <w:nsid w:val="14217E23"/>
    <w:multiLevelType w:val="hybridMultilevel"/>
    <w:lvl w:ilvl="0">
      <w:lvlJc w:val="left"/>
      <w:lvlText w:val="(%1)"/>
      <w:numFmt w:val="lowerLetter"/>
      <w:start w:val="4"/>
    </w:lvl>
  </w:abstractNum>
  <w:abstractNum w:abstractNumId="115">
    <w:nsid w:val="710757D0"/>
    <w:multiLevelType w:val="hybridMultilevel"/>
    <w:lvl w:ilvl="0">
      <w:lvlJc w:val="left"/>
      <w:lvlText w:val="(%1)"/>
      <w:numFmt w:val="lowerLetter"/>
      <w:start w:val="1"/>
    </w:lvl>
    <w:lvl w:ilvl="1">
      <w:lvlJc w:val="left"/>
      <w:lvlText w:val="(%2)"/>
      <w:numFmt w:val="lowerRoman"/>
      <w:start w:val="1"/>
    </w:lvl>
  </w:abstractNum>
  <w:abstractNum w:abstractNumId="116">
    <w:nsid w:val="5015CD1A"/>
    <w:multiLevelType w:val="hybridMultilevel"/>
    <w:lvl w:ilvl="0">
      <w:lvlJc w:val="left"/>
      <w:lvlText w:val="(%1)"/>
      <w:numFmt w:val="lowerLetter"/>
      <w:start w:val="4"/>
    </w:lvl>
  </w:abstractNum>
  <w:abstractNum w:abstractNumId="117">
    <w:nsid w:val="424479DA"/>
    <w:multiLevelType w:val="hybridMultilevel"/>
    <w:lvl w:ilvl="0">
      <w:lvlJc w:val="left"/>
      <w:lvlText w:val="(%1)"/>
      <w:numFmt w:val="lowerLetter"/>
      <w:start w:val="12"/>
    </w:lvl>
    <w:lvl w:ilvl="1">
      <w:lvlJc w:val="left"/>
      <w:lvlText w:val="(%2)"/>
      <w:numFmt w:val="lowerRoman"/>
      <w:start w:val="1"/>
    </w:lvl>
  </w:abstractNum>
  <w:abstractNum w:abstractNumId="118">
    <w:nsid w:val="1A9A9E69"/>
    <w:multiLevelType w:val="hybridMultilevel"/>
    <w:lvl w:ilvl="0">
      <w:lvlJc w:val="left"/>
      <w:lvlText w:val="(%1)"/>
      <w:numFmt w:val="lowerLetter"/>
      <w:start w:val="14"/>
    </w:lvl>
  </w:abstractNum>
  <w:abstractNum w:abstractNumId="119">
    <w:nsid w:val="475E256A"/>
    <w:multiLevelType w:val="hybridMultilevel"/>
    <w:lvl w:ilvl="0">
      <w:lvlJc w:val="left"/>
      <w:lvlText w:val="%1"/>
      <w:numFmt w:val="decimal"/>
      <w:start w:val="1"/>
    </w:lvl>
    <w:lvl w:ilvl="1">
      <w:lvlJc w:val="left"/>
      <w:lvlText w:val="(%2)"/>
      <w:numFmt w:val="lowerLetter"/>
      <w:start w:val="16"/>
    </w:lvl>
  </w:abstractNum>
  <w:abstractNum w:abstractNumId="120">
    <w:nsid w:val="368DB37E"/>
    <w:multiLevelType w:val="hybridMultilevel"/>
    <w:lvl w:ilvl="0">
      <w:lvlJc w:val="left"/>
      <w:lvlText w:val="(%1)"/>
      <w:numFmt w:val="decimal"/>
      <w:start w:val="3"/>
    </w:lvl>
    <w:lvl w:ilvl="1">
      <w:lvlJc w:val="left"/>
      <w:lvlText w:val="(%2)"/>
      <w:numFmt w:val="lowerLetter"/>
      <w:start w:val="17"/>
    </w:lvl>
  </w:abstractNum>
  <w:abstractNum w:abstractNumId="121">
    <w:nsid w:val="6A3B714C"/>
    <w:multiLevelType w:val="hybridMultilevel"/>
    <w:lvl w:ilvl="0">
      <w:lvlJc w:val="left"/>
      <w:lvlText w:val="(%1)"/>
      <w:numFmt w:val="lowerLetter"/>
      <w:start w:val="1"/>
    </w:lvl>
    <w:lvl w:ilvl="1">
      <w:lvlJc w:val="left"/>
      <w:lvlText w:val="(%2)"/>
      <w:numFmt w:val="lowerRoman"/>
      <w:start w:val="1"/>
    </w:lvl>
  </w:abstractNum>
  <w:abstractNum w:abstractNumId="122">
    <w:nsid w:val="327B517E"/>
    <w:multiLevelType w:val="hybridMultilevel"/>
    <w:lvl w:ilvl="0">
      <w:lvlJc w:val="left"/>
      <w:lvlText w:val="(%1)"/>
      <w:numFmt w:val="lowerLetter"/>
      <w:start w:val="2"/>
    </w:lvl>
  </w:abstractNum>
  <w:abstractNum w:abstractNumId="123">
    <w:nsid w:val="1F461B51"/>
    <w:multiLevelType w:val="hybridMultilevel"/>
    <w:lvl w:ilvl="0">
      <w:lvlJc w:val="left"/>
      <w:lvlText w:val="(%1)"/>
      <w:numFmt w:val="lowerLetter"/>
      <w:start w:val="1"/>
    </w:lvl>
  </w:abstractNum>
  <w:abstractNum w:abstractNumId="124">
    <w:nsid w:val="29BACF25"/>
    <w:multiLevelType w:val="hybridMultilevel"/>
    <w:lvl w:ilvl="0">
      <w:lvlJc w:val="left"/>
      <w:lvlText w:val="(%1)"/>
      <w:numFmt w:val="lowerLetter"/>
      <w:start w:val="2"/>
    </w:lvl>
  </w:abstractNum>
  <w:abstractNum w:abstractNumId="125">
    <w:nsid w:val="5D5BABB3"/>
    <w:multiLevelType w:val="hybridMultilevel"/>
    <w:lvl w:ilvl="0">
      <w:lvlJc w:val="left"/>
      <w:lvlText w:val="(%1)"/>
      <w:numFmt w:val="lowerLetter"/>
      <w:start w:val="1"/>
    </w:lvl>
  </w:abstractNum>
  <w:abstractNum w:abstractNumId="126">
    <w:nsid w:val="51BF6B48"/>
    <w:multiLevelType w:val="hybridMultilevel"/>
    <w:lvl w:ilvl="0">
      <w:lvlJc w:val="left"/>
      <w:lvlText w:val="(%1)"/>
      <w:numFmt w:val="lowerLetter"/>
      <w:start w:val="2"/>
    </w:lvl>
  </w:abstractNum>
  <w:abstractNum w:abstractNumId="127">
    <w:nsid w:val="7E0F6384"/>
    <w:multiLevelType w:val="hybridMultilevel"/>
    <w:lvl w:ilvl="0">
      <w:lvlJc w:val="left"/>
      <w:lvlText w:val="(%1)"/>
      <w:numFmt w:val="lowerLetter"/>
      <w:start w:val="1"/>
    </w:lvl>
  </w:abstractNum>
  <w:abstractNum w:abstractNumId="128">
    <w:nsid w:val="2B4B8B53"/>
    <w:multiLevelType w:val="hybridMultilevel"/>
    <w:lvl w:ilvl="0">
      <w:lvlJc w:val="left"/>
      <w:lvlText w:val="(%1)"/>
      <w:numFmt w:val="lowerLetter"/>
      <w:start w:val="1"/>
    </w:lvl>
  </w:abstractNum>
  <w:abstractNum w:abstractNumId="129">
    <w:nsid w:val="72E3413A"/>
    <w:multiLevelType w:val="hybridMultilevel"/>
    <w:lvl w:ilvl="0">
      <w:lvlJc w:val="left"/>
      <w:lvlText w:val="(%1)"/>
      <w:numFmt w:val="lowerLetter"/>
      <w:start w:val="2"/>
    </w:lvl>
  </w:abstractNum>
  <w:abstractNum w:abstractNumId="130">
    <w:nsid w:val="116AE494"/>
    <w:multiLevelType w:val="hybridMultilevel"/>
    <w:lvl w:ilvl="0">
      <w:lvlJc w:val="left"/>
      <w:lvlText w:val="(%1)"/>
      <w:numFmt w:val="lowerLetter"/>
      <w:start w:val="1"/>
    </w:lvl>
  </w:abstractNum>
  <w:abstractNum w:abstractNumId="131">
    <w:nsid w:val="3494B2FB"/>
    <w:multiLevelType w:val="hybridMultilevel"/>
    <w:lvl w:ilvl="0">
      <w:lvlJc w:val="left"/>
      <w:lvlText w:val="(%1)"/>
      <w:numFmt w:val="lowerLetter"/>
      <w:start w:val="3"/>
    </w:lvl>
    <w:lvl w:ilvl="1">
      <w:lvlJc w:val="left"/>
      <w:lvlText w:val="(%2)"/>
      <w:numFmt w:val="lowerRoman"/>
      <w:start w:val="1"/>
    </w:lvl>
  </w:abstractNum>
  <w:abstractNum w:abstractNumId="132">
    <w:nsid w:val="B13A31"/>
    <w:multiLevelType w:val="hybridMultilevel"/>
    <w:lvl w:ilvl="0">
      <w:lvlJc w:val="left"/>
      <w:lvlText w:val="(%1)"/>
      <w:numFmt w:val="lowerRoman"/>
      <w:start w:val="1"/>
    </w:lvl>
    <w:lvl w:ilvl="1">
      <w:lvlJc w:val="left"/>
      <w:lvlText w:val="(%2)"/>
      <w:numFmt w:val="lowerRoman"/>
      <w:start w:val="1"/>
    </w:lvl>
  </w:abstractNum>
  <w:abstractNum w:abstractNumId="133">
    <w:nsid w:val="64429599"/>
    <w:multiLevelType w:val="hybridMultilevel"/>
    <w:lvl w:ilvl="0">
      <w:lvlJc w:val="left"/>
      <w:lvlText w:val="(%1)"/>
      <w:numFmt w:val="lowerLetter"/>
      <w:start w:val="10"/>
    </w:lvl>
    <w:lvl w:ilvl="1">
      <w:lvlJc w:val="left"/>
      <w:lvlText w:val="(%2)"/>
      <w:numFmt w:val="lowerLetter"/>
      <w:start w:val="9"/>
    </w:lvl>
  </w:abstractNum>
  <w:abstractNum w:abstractNumId="134">
    <w:nsid w:val="631F1690"/>
    <w:multiLevelType w:val="hybridMultilevel"/>
    <w:lvl w:ilvl="0">
      <w:lvlJc w:val="left"/>
      <w:lvlText w:val="%1"/>
      <w:numFmt w:val="lowerLetter"/>
      <w:start w:val="1"/>
    </w:lvl>
    <w:lvl w:ilvl="1">
      <w:lvlJc w:val="left"/>
      <w:lvlText w:val="(%2)"/>
      <w:numFmt w:val="lowerLetter"/>
      <w:start w:val="35"/>
    </w:lvl>
  </w:abstractNum>
  <w:abstractNum w:abstractNumId="135">
    <w:nsid w:val="25973E32"/>
    <w:multiLevelType w:val="hybridMultilevel"/>
    <w:lvl w:ilvl="0">
      <w:lvlJc w:val="left"/>
      <w:lvlText w:val="(%1)"/>
      <w:numFmt w:val="lowerLetter"/>
      <w:start w:val="17"/>
    </w:lvl>
    <w:lvl w:ilvl="1">
      <w:lvlJc w:val="left"/>
      <w:lvlText w:val="%2"/>
      <w:numFmt w:val="lowerLetter"/>
      <w:start w:val="1"/>
    </w:lvl>
  </w:abstractNum>
  <w:abstractNum w:abstractNumId="136">
    <w:nsid w:val="EAD6F57"/>
    <w:multiLevelType w:val="hybridMultilevel"/>
    <w:lvl w:ilvl="0">
      <w:lvlJc w:val="left"/>
      <w:lvlText w:val="(%1)"/>
      <w:numFmt w:val="lowerLetter"/>
      <w:start w:val="1"/>
    </w:lvl>
  </w:abstractNum>
  <w:abstractNum w:abstractNumId="137">
    <w:nsid w:val="6EC9D844"/>
    <w:multiLevelType w:val="hybridMultilevel"/>
    <w:lvl w:ilvl="0">
      <w:lvlJc w:val="left"/>
      <w:lvlText w:val="(%1)"/>
      <w:numFmt w:val="decimal"/>
      <w:start w:val="2"/>
    </w:lvl>
  </w:abstractNum>
  <w:abstractNum w:abstractNumId="138">
    <w:nsid w:val="5C49EAEE"/>
    <w:multiLevelType w:val="hybridMultilevel"/>
    <w:lvl w:ilvl="0">
      <w:lvlJc w:val="left"/>
      <w:lvlText w:val="(%1)"/>
      <w:numFmt w:val="lowerLetter"/>
      <w:start w:val="1"/>
    </w:lvl>
    <w:lvl w:ilvl="1">
      <w:lvlJc w:val="left"/>
      <w:lvlText w:val="(%2)"/>
      <w:numFmt w:val="lowerRoman"/>
      <w:start w:val="1"/>
    </w:lvl>
  </w:abstractNum>
  <w:abstractNum w:abstractNumId="139">
    <w:nsid w:val="64AF49B"/>
    <w:multiLevelType w:val="hybridMultilevel"/>
    <w:lvl w:ilvl="0">
      <w:lvlJc w:val="left"/>
      <w:lvlText w:val="(%1)"/>
      <w:numFmt w:val="lowerLetter"/>
      <w:start w:val="1"/>
    </w:lvl>
  </w:abstractNum>
  <w:abstractNum w:abstractNumId="140">
    <w:nsid w:val="397C46BC"/>
    <w:multiLevelType w:val="hybridMultilevel"/>
    <w:lvl w:ilvl="0">
      <w:lvlJc w:val="left"/>
      <w:lvlText w:val="(%1)"/>
      <w:numFmt w:val="lowerLetter"/>
      <w:start w:val="4"/>
    </w:lvl>
  </w:abstractNum>
  <w:abstractNum w:abstractNumId="141">
    <w:nsid w:val="7E448DE9"/>
    <w:multiLevelType w:val="hybridMultilevel"/>
    <w:lvl w:ilvl="0">
      <w:lvlJc w:val="left"/>
      <w:lvlText w:val="(%1)"/>
      <w:numFmt w:val="lowerLetter"/>
      <w:start w:val="13"/>
    </w:lvl>
  </w:abstractNum>
  <w:abstractNum w:abstractNumId="142">
    <w:nsid w:val="5A9CC3E5"/>
    <w:multiLevelType w:val="hybridMultilevel"/>
    <w:lvl w:ilvl="0">
      <w:lvlJc w:val="left"/>
      <w:lvlText w:val="(%1)"/>
      <w:numFmt w:val="lowerLetter"/>
      <w:start w:val="26"/>
    </w:lvl>
  </w:abstractNum>
  <w:abstractNum w:abstractNumId="143">
    <w:nsid w:val="1AFE3625"/>
    <w:multiLevelType w:val="hybridMultilevel"/>
    <w:lvl w:ilvl="0">
      <w:lvlJc w:val="left"/>
      <w:lvlText w:val="(%1)"/>
      <w:numFmt w:val="lowerLetter"/>
      <w:start w:val="27"/>
    </w:lvl>
  </w:abstractNum>
  <w:abstractNum w:abstractNumId="144">
    <w:nsid w:val="3CA88ECF"/>
    <w:multiLevelType w:val="hybridMultilevel"/>
    <w:lvl w:ilvl="0">
      <w:lvlJc w:val="left"/>
      <w:lvlText w:val="(%1)"/>
      <w:numFmt w:val="decimal"/>
      <w:start w:val="1"/>
    </w:lvl>
  </w:abstractNum>
  <w:abstractNum w:abstractNumId="145">
    <w:nsid w:val="6EBE4208"/>
    <w:multiLevelType w:val="hybridMultilevel"/>
    <w:lvl w:ilvl="0">
      <w:lvlJc w:val="left"/>
      <w:lvlText w:val="(%1)"/>
      <w:numFmt w:val="decimal"/>
      <w:start w:val="5"/>
    </w:lvl>
  </w:abstractNum>
  <w:abstractNum w:abstractNumId="146">
    <w:nsid w:val="C058DF5"/>
    <w:multiLevelType w:val="hybridMultilevel"/>
    <w:lvl w:ilvl="0">
      <w:lvlJc w:val="left"/>
      <w:lvlText w:val="(%1)"/>
      <w:numFmt w:val="lowerLetter"/>
      <w:start w:val="1"/>
    </w:lvl>
  </w:abstractNum>
  <w:abstractNum w:abstractNumId="147">
    <w:nsid w:val="CBE5BE9"/>
    <w:multiLevelType w:val="hybridMultilevel"/>
    <w:lvl w:ilvl="0">
      <w:lvlJc w:val="left"/>
      <w:lvlText w:val="(%1)"/>
      <w:numFmt w:val="lowerLetter"/>
      <w:start w:val="4"/>
    </w:lvl>
  </w:abstractNum>
  <w:abstractNum w:abstractNumId="148">
    <w:nsid w:val="3102BBE2"/>
    <w:multiLevelType w:val="hybridMultilevel"/>
    <w:lvl w:ilvl="0">
      <w:lvlJc w:val="left"/>
      <w:lvlText w:val="(%1)"/>
      <w:numFmt w:val="lowerLetter"/>
      <w:start w:val="14"/>
    </w:lvl>
  </w:abstractNum>
  <w:abstractNum w:abstractNumId="149">
    <w:nsid w:val="26A02C5E"/>
    <w:multiLevelType w:val="hybridMultilevel"/>
    <w:lvl w:ilvl="0">
      <w:lvlJc w:val="left"/>
      <w:lvlText w:val="(%1)"/>
      <w:numFmt w:val="lowerLetter"/>
      <w:start w:val="22"/>
    </w:lvl>
  </w:abstractNum>
  <w:abstractNum w:abstractNumId="150">
    <w:nsid w:val="541C8153"/>
    <w:multiLevelType w:val="hybridMultilevel"/>
    <w:lvl w:ilvl="0">
      <w:lvlJc w:val="left"/>
      <w:lvlText w:val="(%1)"/>
      <w:numFmt w:val="lowerLetter"/>
      <w:start w:val="27"/>
    </w:lvl>
  </w:abstractNum>
  <w:abstractNum w:abstractNumId="151">
    <w:nsid w:val="67906F60"/>
    <w:multiLevelType w:val="hybridMultilevel"/>
    <w:lvl w:ilvl="0">
      <w:lvlJc w:val="left"/>
      <w:lvlText w:val="(%1)"/>
      <w:numFmt w:val="lowerLetter"/>
      <w:start w:val="34"/>
    </w:lvl>
  </w:abstractNum>
  <w:abstractNum w:abstractNumId="152">
    <w:nsid w:val="10DB9DAA"/>
    <w:multiLevelType w:val="hybridMultilevel"/>
    <w:lvl w:ilvl="0">
      <w:lvlJc w:val="left"/>
      <w:lvlText w:val="(%1)"/>
      <w:numFmt w:val="decimal"/>
      <w:start w:val="1"/>
    </w:lvl>
  </w:abstractNum>
  <w:abstractNum w:abstractNumId="153">
    <w:nsid w:val="697D2D2"/>
    <w:multiLevelType w:val="hybridMultilevel"/>
    <w:lvl w:ilvl="0">
      <w:lvlJc w:val="left"/>
      <w:lvlText w:val="(%1)"/>
      <w:numFmt w:val="lowerLetter"/>
      <w:start w:val="1"/>
    </w:lvl>
  </w:abstractNum>
  <w:abstractNum w:abstractNumId="154">
    <w:nsid w:val="6D68AB2"/>
    <w:multiLevelType w:val="hybridMultilevel"/>
    <w:lvl w:ilvl="0">
      <w:lvlJc w:val="left"/>
      <w:lvlText w:val="(%1)"/>
      <w:numFmt w:val="lowerLetter"/>
      <w:start w:val="3"/>
    </w:lvl>
  </w:abstractNum>
  <w:abstractNum w:abstractNumId="155">
    <w:nsid w:val="3A966CD0"/>
    <w:multiLevelType w:val="hybridMultilevel"/>
    <w:lvl w:ilvl="0">
      <w:lvlJc w:val="left"/>
      <w:lvlText w:val="(%1)"/>
      <w:numFmt w:val="lowerLetter"/>
      <w:start w:val="1"/>
    </w:lvl>
  </w:abstractNum>
  <w:abstractNum w:abstractNumId="156">
    <w:nsid w:val="63F37E85"/>
    <w:multiLevelType w:val="hybridMultilevel"/>
    <w:lvl w:ilvl="0">
      <w:lvlJc w:val="left"/>
      <w:lvlText w:val="(%1)"/>
      <w:numFmt w:val="lowerLetter"/>
      <w:start w:val="7"/>
    </w:lvl>
  </w:abstractNum>
  <w:abstractNum w:abstractNumId="157">
    <w:nsid w:val="5895F5FA"/>
    <w:multiLevelType w:val="hybridMultilevel"/>
    <w:lvl w:ilvl="0">
      <w:lvlJc w:val="left"/>
      <w:lvlText w:val="(%1)"/>
      <w:numFmt w:val="decimal"/>
      <w:start w:val="1"/>
    </w:lvl>
  </w:abstractNum>
  <w:abstractNum w:abstractNumId="158">
    <w:nsid w:val="38A5D054"/>
    <w:multiLevelType w:val="hybridMultilevel"/>
    <w:lvl w:ilvl="0">
      <w:lvlJc w:val="left"/>
      <w:lvlText w:val="(%1)"/>
      <w:numFmt w:val="lowerLetter"/>
      <w:start w:val="1"/>
    </w:lvl>
  </w:abstractNum>
  <w:abstractNum w:abstractNumId="159">
    <w:nsid w:val="F3F09D8"/>
    <w:multiLevelType w:val="hybridMultilevel"/>
    <w:lvl w:ilvl="0">
      <w:lvlJc w:val="left"/>
      <w:lvlText w:val="(%1)"/>
      <w:numFmt w:val="lowerLetter"/>
      <w:start w:val="2"/>
    </w:lvl>
  </w:abstractNum>
  <w:abstractNum w:abstractNumId="160">
    <w:nsid w:val="4B793735"/>
    <w:multiLevelType w:val="hybridMultilevel"/>
    <w:lvl w:ilvl="0">
      <w:lvlJc w:val="left"/>
      <w:lvlText w:val="(%1)"/>
      <w:numFmt w:val="lowerLetter"/>
      <w:start w:val="1"/>
    </w:lvl>
  </w:abstractNum>
  <w:abstractNum w:abstractNumId="161">
    <w:nsid w:val="4A10B4E8"/>
    <w:multiLevelType w:val="hybridMultilevel"/>
    <w:lvl w:ilvl="0">
      <w:lvlJc w:val="left"/>
      <w:lvlText w:val="(%1)"/>
      <w:numFmt w:val="lowerLetter"/>
      <w:start w:val="11"/>
    </w:lvl>
  </w:abstractNum>
  <w:abstractNum w:abstractNumId="162">
    <w:nsid w:val="43D3BCD4"/>
    <w:multiLevelType w:val="hybridMultilevel"/>
    <w:lvl w:ilvl="0">
      <w:lvlJc w:val="left"/>
      <w:lvlText w:val="(%1)"/>
      <w:numFmt w:val="lowerLetter"/>
      <w:start w:val="24"/>
    </w:lvl>
  </w:abstractNum>
  <w:abstractNum w:abstractNumId="163">
    <w:nsid w:val="4C2A7166"/>
    <w:multiLevelType w:val="hybridMultilevel"/>
    <w:lvl w:ilvl="0">
      <w:lvlJc w:val="left"/>
      <w:lvlText w:val="(%1)"/>
      <w:numFmt w:val="lowerLetter"/>
      <w:start w:val="27"/>
    </w:lvl>
  </w:abstractNum>
  <w:abstractNum w:abstractNumId="164">
    <w:nsid w:val="2E534A82"/>
    <w:multiLevelType w:val="hybridMultilevel"/>
    <w:lvl w:ilvl="0">
      <w:lvlJc w:val="left"/>
      <w:lvlText w:val="(%1)"/>
      <w:numFmt w:val="decimal"/>
      <w:start w:val="1"/>
    </w:lvl>
  </w:abstractNum>
  <w:abstractNum w:abstractNumId="165">
    <w:nsid w:val="26F2D364"/>
    <w:multiLevelType w:val="hybridMultilevel"/>
    <w:lvl w:ilvl="0">
      <w:lvlJc w:val="left"/>
      <w:lvlText w:val="(%1)"/>
      <w:numFmt w:val="decimal"/>
      <w:start w:val="5"/>
    </w:lvl>
  </w:abstractNum>
  <w:abstractNum w:abstractNumId="166">
    <w:nsid w:val="71C1AF98"/>
    <w:multiLevelType w:val="hybridMultilevel"/>
    <w:lvl w:ilvl="0">
      <w:lvlJc w:val="left"/>
      <w:lvlText w:val="(%1)"/>
      <w:numFmt w:val="lowerLetter"/>
      <w:start w:val="1"/>
    </w:lvl>
  </w:abstractNum>
  <w:abstractNum w:abstractNumId="167">
    <w:nsid w:val="3D00B9D9"/>
    <w:multiLevelType w:val="hybridMultilevel"/>
    <w:lvl w:ilvl="0">
      <w:lvlJc w:val="left"/>
      <w:lvlText w:val="(%1)"/>
      <w:numFmt w:val="lowerLetter"/>
      <w:start w:val="5"/>
    </w:lvl>
  </w:abstractNum>
  <w:abstractNum w:abstractNumId="168">
    <w:nsid w:val="15BCABA8"/>
    <w:multiLevelType w:val="hybridMultilevel"/>
    <w:lvl w:ilvl="0">
      <w:lvlJc w:val="left"/>
      <w:lvlText w:val="(%1)"/>
      <w:numFmt w:val="lowerLetter"/>
      <w:start w:val="1"/>
    </w:lvl>
  </w:abstractNum>
  <w:abstractNum w:abstractNumId="169">
    <w:nsid w:val="4E0B9A87"/>
    <w:multiLevelType w:val="hybridMultilevel"/>
    <w:lvl w:ilvl="0">
      <w:lvlJc w:val="left"/>
      <w:lvlText w:val="(%1)"/>
      <w:numFmt w:val="lowerLetter"/>
      <w:start w:val="3"/>
    </w:lvl>
  </w:abstractNum>
  <w:abstractNum w:abstractNumId="170">
    <w:nsid w:val="434BAE75"/>
    <w:multiLevelType w:val="hybridMultilevel"/>
    <w:lvl w:ilvl="0">
      <w:lvlJc w:val="left"/>
      <w:lvlText w:val="(%1)"/>
      <w:numFmt w:val="lowerLetter"/>
      <w:start w:val="1"/>
    </w:lvl>
  </w:abstractNum>
  <w:abstractNum w:abstractNumId="171">
    <w:nsid w:val="4F38F265"/>
    <w:multiLevelType w:val="hybridMultilevel"/>
    <w:lvl w:ilvl="0">
      <w:lvlJc w:val="left"/>
      <w:lvlText w:val="(%1)"/>
      <w:numFmt w:val="lowerLetter"/>
      <w:start w:val="5"/>
    </w:lvl>
  </w:abstractNum>
  <w:abstractNum w:abstractNumId="172">
    <w:nsid w:val="4C502870"/>
    <w:multiLevelType w:val="hybridMultilevel"/>
    <w:lvl w:ilvl="0">
      <w:lvlJc w:val="left"/>
      <w:lvlText w:val="(%1)"/>
      <w:numFmt w:val="lowerLetter"/>
      <w:start w:val="1"/>
    </w:lvl>
  </w:abstractNum>
  <w:abstractNum w:abstractNumId="173">
    <w:nsid w:val="1DE8725A"/>
    <w:multiLevelType w:val="hybridMultilevel"/>
    <w:lvl w:ilvl="0">
      <w:lvlJc w:val="left"/>
      <w:lvlText w:val="(%1)"/>
      <w:numFmt w:val="lowerLetter"/>
      <w:start w:val="1"/>
    </w:lvl>
    <w:lvl w:ilvl="1">
      <w:lvlJc w:val="left"/>
      <w:lvlText w:val="(%2)"/>
      <w:numFmt w:val="lowerRoman"/>
      <w:start w:val="1"/>
    </w:lvl>
  </w:abstractNum>
  <w:abstractNum w:abstractNumId="174">
    <w:nsid w:val="6A37288A"/>
    <w:multiLevelType w:val="hybridMultilevel"/>
    <w:lvl w:ilvl="0">
      <w:lvlJc w:val="left"/>
      <w:lvlText w:val="(%1)"/>
      <w:numFmt w:val="lowerLetter"/>
      <w:start w:val="3"/>
    </w:lvl>
    <w:lvl w:ilvl="1">
      <w:lvlJc w:val="left"/>
      <w:lvlText w:val="(%2)"/>
      <w:numFmt w:val="lowerRoman"/>
      <w:start w:val="1"/>
    </w:lvl>
  </w:abstractNum>
  <w:abstractNum w:abstractNumId="175">
    <w:nsid w:val="8F8B73F"/>
    <w:multiLevelType w:val="hybridMultilevel"/>
    <w:lvl w:ilvl="0">
      <w:lvlJc w:val="left"/>
      <w:lvlText w:val="(%1)"/>
      <w:numFmt w:val="lowerLetter"/>
      <w:start w:val="7"/>
    </w:lvl>
    <w:lvl w:ilvl="1">
      <w:lvlJc w:val="left"/>
      <w:lvlText w:val="(%2)"/>
      <w:numFmt w:val="lowerRoman"/>
      <w:start w:val="1"/>
    </w:lvl>
  </w:abstractNum>
  <w:abstractNum w:abstractNumId="176">
    <w:nsid w:val="CA6B462"/>
    <w:multiLevelType w:val="hybridMultilevel"/>
    <w:lvl w:ilvl="0">
      <w:lvlJc w:val="left"/>
      <w:lvlText w:val="(%1)"/>
      <w:numFmt w:val="lowerLetter"/>
      <w:start w:val="12"/>
    </w:lvl>
  </w:abstractNum>
  <w:abstractNum w:abstractNumId="177">
    <w:nsid w:val="763CB680"/>
    <w:multiLevelType w:val="hybridMultilevel"/>
    <w:lvl w:ilvl="0">
      <w:lvlJc w:val="left"/>
      <w:lvlText w:val="(%1)"/>
      <w:numFmt w:val="lowerLetter"/>
      <w:start w:val="1"/>
    </w:lvl>
    <w:lvl w:ilvl="1">
      <w:lvlJc w:val="left"/>
      <w:lvlText w:val="(%2)"/>
      <w:numFmt w:val="lowerRoman"/>
      <w:start w:val="1"/>
    </w:lvl>
  </w:abstractNum>
  <w:abstractNum w:abstractNumId="178">
    <w:nsid w:val="15B71329"/>
    <w:multiLevelType w:val="hybridMultilevel"/>
    <w:lvl w:ilvl="0">
      <w:lvlJc w:val="left"/>
      <w:lvlText w:val="(%1)"/>
      <w:numFmt w:val="lowerLetter"/>
      <w:start w:val="2"/>
    </w:lvl>
  </w:abstractNum>
  <w:abstractNum w:abstractNumId="179">
    <w:nsid w:val="3DA97044"/>
    <w:multiLevelType w:val="hybridMultilevel"/>
    <w:lvl w:ilvl="0">
      <w:lvlJc w:val="left"/>
      <w:lvlText w:val="(%1)"/>
      <w:numFmt w:val="lowerLetter"/>
      <w:start w:val="1"/>
    </w:lvl>
    <w:lvl w:ilvl="1">
      <w:lvlJc w:val="left"/>
      <w:lvlText w:val="(%2)"/>
      <w:numFmt w:val="lowerLetter"/>
      <w:start w:val="9"/>
    </w:lvl>
  </w:abstractNum>
  <w:abstractNum w:abstractNumId="180">
    <w:nsid w:val="1CDCE2DE"/>
    <w:multiLevelType w:val="hybridMultilevel"/>
    <w:lvl w:ilvl="0">
      <w:lvlJc w:val="left"/>
      <w:lvlText w:val="(%1)"/>
      <w:numFmt w:val="lowerRoman"/>
      <w:start w:val="2"/>
    </w:lvl>
  </w:abstractNum>
  <w:abstractNum w:abstractNumId="181">
    <w:nsid w:val="69D3947C"/>
    <w:multiLevelType w:val="hybridMultilevel"/>
    <w:lvl w:ilvl="0">
      <w:lvlJc w:val="left"/>
      <w:lvlText w:val="(%1)"/>
      <w:numFmt w:val="lowerLetter"/>
      <w:start w:val="1"/>
    </w:lvl>
  </w:abstractNum>
  <w:abstractNum w:abstractNumId="182">
    <w:nsid w:val="2539DFA5"/>
    <w:multiLevelType w:val="hybridMultilevel"/>
    <w:lvl w:ilvl="0">
      <w:lvlJc w:val="left"/>
      <w:lvlText w:val="(%1)"/>
      <w:numFmt w:val="lowerLetter"/>
      <w:start w:val="2"/>
    </w:lvl>
  </w:abstractNum>
  <w:abstractNum w:abstractNumId="183">
    <w:nsid w:val="2DB88089"/>
    <w:multiLevelType w:val="hybridMultilevel"/>
    <w:lvl w:ilvl="0">
      <w:lvlJc w:val="left"/>
      <w:lvlText w:val="(%1)"/>
      <w:numFmt w:val="lowerLetter"/>
      <w:start w:val="1"/>
    </w:lvl>
  </w:abstractNum>
  <w:abstractNum w:abstractNumId="184">
    <w:nsid w:val="706B674E"/>
    <w:multiLevelType w:val="hybridMultilevel"/>
    <w:lvl w:ilvl="0">
      <w:lvlJc w:val="left"/>
      <w:lvlText w:val="(%1)"/>
      <w:numFmt w:val="lowerLetter"/>
      <w:start w:val="1"/>
    </w:lvl>
    <w:lvl w:ilvl="1">
      <w:lvlJc w:val="left"/>
      <w:lvlText w:val="(%2)"/>
      <w:numFmt w:val="lowerRoman"/>
      <w:start w:val="1"/>
    </w:lvl>
  </w:abstractNum>
  <w:abstractNum w:abstractNumId="185">
    <w:nsid w:val="2C106A57"/>
    <w:multiLevelType w:val="hybridMultilevel"/>
    <w:lvl w:ilvl="0">
      <w:lvlJc w:val="left"/>
      <w:lvlText w:val="%1"/>
      <w:numFmt w:val="lowerLetter"/>
      <w:start w:val="1"/>
    </w:lvl>
    <w:lvl w:ilvl="1">
      <w:lvlJc w:val="left"/>
      <w:lvlText w:val="(%2)"/>
      <w:numFmt w:val="lowerRoman"/>
      <w:start w:val="3"/>
    </w:lvl>
  </w:abstractNum>
  <w:abstractNum w:abstractNumId="186">
    <w:nsid w:val="684EED59"/>
    <w:multiLevelType w:val="hybridMultilevel"/>
    <w:lvl w:ilvl="0">
      <w:lvlJc w:val="left"/>
      <w:lvlText w:val="(%1)"/>
      <w:numFmt w:val="lowerLetter"/>
      <w:start w:val="3"/>
    </w:lvl>
    <w:lvl w:ilvl="1">
      <w:lvlJc w:val="left"/>
      <w:lvlText w:val="%2"/>
      <w:numFmt w:val="lowerRoman"/>
      <w:start w:val="1"/>
    </w:lvl>
  </w:abstractNum>
  <w:abstractNum w:abstractNumId="187">
    <w:nsid w:val="545EE5D3"/>
    <w:multiLevelType w:val="hybridMultilevel"/>
    <w:lvl w:ilvl="0">
      <w:lvlJc w:val="left"/>
      <w:lvlText w:val="(%1)"/>
      <w:numFmt w:val="lowerLetter"/>
      <w:start w:val="1"/>
    </w:lvl>
  </w:abstractNum>
  <w:abstractNum w:abstractNumId="188">
    <w:nsid w:val="4A66051"/>
    <w:multiLevelType w:val="hybridMultilevel"/>
    <w:lvl w:ilvl="0">
      <w:lvlJc w:val="left"/>
      <w:lvlText w:val="(%1)"/>
      <w:numFmt w:val="lowerLetter"/>
      <w:start w:val="1"/>
    </w:lvl>
  </w:abstractNum>
  <w:abstractNum w:abstractNumId="189">
    <w:nsid w:val="20F4BDAD"/>
    <w:multiLevelType w:val="hybridMultilevel"/>
    <w:lvl w:ilvl="0">
      <w:lvlJc w:val="left"/>
      <w:lvlText w:val="(%1)"/>
      <w:numFmt w:val="lowerLetter"/>
      <w:start w:val="2"/>
    </w:lvl>
  </w:abstractNum>
  <w:abstractNum w:abstractNumId="190">
    <w:nsid w:val="639DEFAC"/>
    <w:multiLevelType w:val="hybridMultilevel"/>
    <w:lvl w:ilvl="0">
      <w:lvlJc w:val="left"/>
      <w:lvlText w:val="(%1)"/>
      <w:numFmt w:val="lowerLetter"/>
      <w:start w:val="1"/>
    </w:lvl>
  </w:abstractNum>
  <w:abstractNum w:abstractNumId="191">
    <w:nsid w:val="501F9786"/>
    <w:multiLevelType w:val="hybridMultilevel"/>
    <w:lvl w:ilvl="0">
      <w:lvlJc w:val="left"/>
      <w:lvlText w:val="(%1)"/>
      <w:numFmt w:val="lowerLetter"/>
      <w:start w:val="2"/>
    </w:lvl>
  </w:abstractNum>
  <w:abstractNum w:abstractNumId="192">
    <w:nsid w:val="6B057295"/>
    <w:multiLevelType w:val="hybridMultilevel"/>
    <w:lvl w:ilvl="0">
      <w:lvlJc w:val="left"/>
      <w:lvlText w:val="(%1)"/>
      <w:numFmt w:val="lowerLetter"/>
      <w:start w:val="1"/>
    </w:lvl>
    <w:lvl w:ilvl="1">
      <w:lvlJc w:val="left"/>
      <w:lvlText w:val="(%2)"/>
      <w:numFmt w:val="lowerLetter"/>
      <w:start w:val="9"/>
    </w:lvl>
  </w:abstractNum>
  <w:abstractNum w:abstractNumId="193">
    <w:nsid w:val="2771AC80"/>
    <w:multiLevelType w:val="hybridMultilevel"/>
    <w:lvl w:ilvl="0">
      <w:lvlJc w:val="left"/>
      <w:lvlText w:val="%1"/>
      <w:numFmt w:val="lowerLetter"/>
      <w:start w:val="1"/>
    </w:lvl>
    <w:lvl w:ilvl="1">
      <w:lvlJc w:val="left"/>
      <w:lvlText w:val="(%2)"/>
      <w:numFmt w:val="lowerRoman"/>
      <w:start w:val="2"/>
    </w:lvl>
  </w:abstractNum>
  <w:abstractNum w:abstractNumId="194">
    <w:nsid w:val="1C4A08EC"/>
    <w:multiLevelType w:val="hybridMultilevel"/>
    <w:lvl w:ilvl="0">
      <w:lvlJc w:val="left"/>
      <w:lvlText w:val="(%1)"/>
      <w:numFmt w:val="lowerLetter"/>
      <w:start w:val="2"/>
    </w:lvl>
    <w:lvl w:ilvl="1">
      <w:lvlJc w:val="left"/>
      <w:lvlText w:val="%2"/>
      <w:numFmt w:val="lowerRoman"/>
      <w:start w:val="1"/>
    </w:lvl>
  </w:abstractNum>
  <w:abstractNum w:abstractNumId="195">
    <w:nsid w:val="1958BD17"/>
    <w:multiLevelType w:val="hybridMultilevel"/>
    <w:lvl w:ilvl="0">
      <w:lvlJc w:val="left"/>
      <w:lvlText w:val="(%1)"/>
      <w:numFmt w:val="lowerLetter"/>
      <w:start w:val="1"/>
    </w:lvl>
  </w:abstractNum>
  <w:abstractNum w:abstractNumId="196">
    <w:nsid w:val="4E647FE4"/>
    <w:multiLevelType w:val="hybridMultilevel"/>
    <w:lvl w:ilvl="0">
      <w:lvlJc w:val="left"/>
      <w:lvlText w:val="(%1)"/>
      <w:numFmt w:val="lowerLetter"/>
      <w:start w:val="1"/>
    </w:lvl>
    <w:lvl w:ilvl="1">
      <w:lvlJc w:val="left"/>
      <w:lvlText w:val="(%2)"/>
      <w:numFmt w:val="lowerRoman"/>
      <w:start w:val="1"/>
    </w:lvl>
  </w:abstractNum>
  <w:abstractNum w:abstractNumId="197">
    <w:nsid w:val="E0BB885"/>
    <w:multiLevelType w:val="hybridMultilevel"/>
    <w:lvl w:ilvl="0">
      <w:lvlJc w:val="left"/>
      <w:lvlText w:val="(%1)"/>
      <w:numFmt w:val="lowerLetter"/>
      <w:start w:val="2"/>
    </w:lvl>
  </w:abstractNum>
  <w:abstractNum w:abstractNumId="198">
    <w:nsid w:val="565976F1"/>
    <w:multiLevelType w:val="hybridMultilevel"/>
    <w:lvl w:ilvl="0">
      <w:lvlJc w:val="left"/>
      <w:lvlText w:val="(%1)"/>
      <w:numFmt w:val="lowerLetter"/>
      <w:start w:val="1"/>
    </w:lvl>
    <w:lvl w:ilvl="1">
      <w:lvlJc w:val="left"/>
      <w:lvlText w:val="(%2)"/>
      <w:numFmt w:val="lowerLetter"/>
      <w:start w:val="35"/>
    </w:lvl>
  </w:abstractNum>
  <w:abstractNum w:abstractNumId="199">
    <w:nsid w:val="64212B8C"/>
    <w:multiLevelType w:val="hybridMultilevel"/>
    <w:lvl w:ilvl="0">
      <w:lvlJc w:val="left"/>
      <w:lvlText w:val="(%1)"/>
      <w:numFmt w:val="lowerLetter"/>
      <w:start w:val="4"/>
    </w:lvl>
    <w:lvl w:ilvl="1">
      <w:lvlJc w:val="left"/>
      <w:lvlText w:val="(%2)"/>
      <w:numFmt w:val="lowerRoman"/>
      <w:start w:val="1"/>
    </w:lvl>
  </w:abstractNum>
  <w:abstractNum w:abstractNumId="200">
    <w:nsid w:val="5C17530C"/>
    <w:multiLevelType w:val="hybridMultilevel"/>
    <w:lvl w:ilvl="0">
      <w:lvlJc w:val="left"/>
      <w:lvlText w:val="(%1)"/>
      <w:numFmt w:val="lowerLetter"/>
      <w:start w:val="5"/>
    </w:lvl>
  </w:abstractNum>
  <w:abstractNum w:abstractNumId="201">
    <w:nsid w:val="19A52566"/>
    <w:multiLevelType w:val="hybridMultilevel"/>
    <w:lvl w:ilvl="0">
      <w:lvlJc w:val="left"/>
      <w:lvlText w:val="(%1)"/>
      <w:numFmt w:val="lowerLetter"/>
      <w:start w:val="1"/>
    </w:lvl>
  </w:abstractNum>
  <w:abstractNum w:abstractNumId="202">
    <w:nsid w:val="335A1DF1"/>
    <w:multiLevelType w:val="hybridMultilevel"/>
    <w:lvl w:ilvl="0">
      <w:lvlJc w:val="left"/>
      <w:lvlText w:val="(%1)"/>
      <w:numFmt w:val="lowerLetter"/>
      <w:start w:val="1"/>
    </w:lvl>
    <w:lvl w:ilvl="1">
      <w:lvlJc w:val="left"/>
      <w:lvlText w:val="(%2)"/>
      <w:numFmt w:val="lowerRoman"/>
      <w:start w:val="1"/>
    </w:lvl>
  </w:abstractNum>
  <w:abstractNum w:abstractNumId="203">
    <w:nsid w:val="28677B7C"/>
    <w:multiLevelType w:val="hybridMultilevel"/>
    <w:lvl w:ilvl="0">
      <w:lvlJc w:val="left"/>
      <w:lvlText w:val="(%1)"/>
      <w:numFmt w:val="lowerRoman"/>
      <w:start w:val="4"/>
    </w:lvl>
  </w:abstractNum>
  <w:abstractNum w:abstractNumId="204">
    <w:nsid w:val="378D97C0"/>
    <w:multiLevelType w:val="hybridMultilevel"/>
    <w:lvl w:ilvl="0">
      <w:lvlJc w:val="left"/>
      <w:lvlText w:val="(%1)"/>
      <w:numFmt w:val="lowerLetter"/>
      <w:start w:val="3"/>
    </w:lvl>
    <w:lvl w:ilvl="1">
      <w:lvlJc w:val="left"/>
      <w:lvlText w:val="(%2)"/>
      <w:numFmt w:val="lowerRoman"/>
      <w:start w:val="1"/>
    </w:lvl>
  </w:abstractNum>
  <w:abstractNum w:abstractNumId="205">
    <w:nsid w:val="1D91467C"/>
    <w:multiLevelType w:val="hybridMultilevel"/>
    <w:lvl w:ilvl="0">
      <w:lvlJc w:val="left"/>
      <w:lvlText w:val="(%1)"/>
      <w:numFmt w:val="lowerLetter"/>
      <w:start w:val="4"/>
    </w:lvl>
  </w:abstractNum>
  <w:abstractNum w:abstractNumId="206">
    <w:nsid w:val="316032BB"/>
    <w:multiLevelType w:val="hybridMultilevel"/>
    <w:lvl w:ilvl="0">
      <w:lvlJc w:val="left"/>
      <w:lvlText w:val="(%1)"/>
      <w:numFmt w:val="lowerLetter"/>
      <w:start w:val="5"/>
    </w:lvl>
    <w:lvl w:ilvl="1">
      <w:lvlJc w:val="left"/>
      <w:lvlText w:val="(%2)"/>
      <w:numFmt w:val="lowerRoman"/>
      <w:start w:val="1"/>
    </w:lvl>
  </w:abstractNum>
  <w:abstractNum w:abstractNumId="207">
    <w:nsid w:val="44344C22"/>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208">
    <w:nsid w:val="13CDFCFC"/>
    <w:multiLevelType w:val="hybridMultilevel"/>
    <w:lvl w:ilvl="0">
      <w:lvlJc w:val="left"/>
      <w:lvlText w:val="%1"/>
      <w:numFmt w:val="lowerRoman"/>
      <w:start w:val="1"/>
    </w:lvl>
    <w:lvl w:ilvl="1">
      <w:lvlJc w:val="left"/>
      <w:lvlText w:val="(%2)"/>
      <w:numFmt w:val="decimal"/>
      <w:start w:val="4"/>
    </w:lvl>
  </w:abstractNum>
  <w:abstractNum w:abstractNumId="209">
    <w:nsid w:val="471745E4"/>
    <w:multiLevelType w:val="hybridMultilevel"/>
    <w:lvl w:ilvl="0">
      <w:lvlJc w:val="left"/>
      <w:lvlText w:val="(%1)"/>
      <w:numFmt w:val="lowerRoman"/>
      <w:start w:val="2"/>
    </w:lvl>
    <w:lvl w:ilvl="1">
      <w:lvlJc w:val="left"/>
      <w:lvlText w:val="%2"/>
      <w:numFmt w:val="decimal"/>
      <w:start w:val="1"/>
    </w:lvl>
  </w:abstractNum>
  <w:abstractNum w:abstractNumId="210">
    <w:nsid w:val="1DDBC66"/>
    <w:multiLevelType w:val="hybridMultilevel"/>
    <w:lvl w:ilvl="0">
      <w:lvlJc w:val="left"/>
      <w:lvlText w:val="(%1)"/>
      <w:numFmt w:val="lowerRoman"/>
      <w:start w:val="4"/>
    </w:lvl>
  </w:abstractNum>
  <w:abstractNum w:abstractNumId="211">
    <w:nsid w:val="30AADFDA"/>
    <w:multiLevelType w:val="hybridMultilevel"/>
    <w:lvl w:ilvl="0">
      <w:lvlJc w:val="left"/>
      <w:lvlText w:val="(%1)"/>
      <w:numFmt w:val="lowerLetter"/>
      <w:start w:val="1"/>
    </w:lvl>
    <w:lvl w:ilvl="1">
      <w:lvlJc w:val="left"/>
      <w:lvlText w:val="(%2)"/>
      <w:numFmt w:val="lowerLetter"/>
      <w:start w:val="9"/>
    </w:lvl>
  </w:abstractNum>
  <w:abstractNum w:abstractNumId="212">
    <w:nsid w:val="30EADA61"/>
    <w:multiLevelType w:val="hybridMultilevel"/>
    <w:lvl w:ilvl="0">
      <w:lvlJc w:val="left"/>
      <w:lvlText w:val="(%1)"/>
      <w:numFmt w:val="lowerRoman"/>
      <w:start w:val="2"/>
    </w:lvl>
  </w:abstractNum>
  <w:abstractNum w:abstractNumId="213">
    <w:nsid w:val="27179C0B"/>
    <w:multiLevelType w:val="hybridMultilevel"/>
    <w:lvl w:ilvl="0">
      <w:lvlJc w:val="left"/>
      <w:lvlText w:val="(%1)"/>
      <w:numFmt w:val="lowerLetter"/>
      <w:start w:val="4"/>
    </w:lvl>
  </w:abstractNum>
  <w:abstractNum w:abstractNumId="214">
    <w:nsid w:val="5E636063"/>
    <w:multiLevelType w:val="hybridMultilevel"/>
    <w:lvl w:ilvl="0">
      <w:lvlJc w:val="left"/>
      <w:lvlText w:val="(%1)"/>
      <w:numFmt w:val="lowerLetter"/>
      <w:start w:val="6"/>
    </w:lvl>
  </w:abstractNum>
  <w:abstractNum w:abstractNumId="215">
    <w:nsid w:val="215641AF"/>
    <w:multiLevelType w:val="hybridMultilevel"/>
    <w:lvl w:ilvl="0">
      <w:lvlJc w:val="left"/>
      <w:lvlText w:val="(%1)"/>
      <w:numFmt w:val="lowerLetter"/>
      <w:start w:val="8"/>
    </w:lvl>
  </w:abstractNum>
  <w:abstractNum w:abstractNumId="216">
    <w:nsid w:val="53280662"/>
    <w:multiLevelType w:val="hybridMultilevel"/>
    <w:lvl w:ilvl="0">
      <w:lvlJc w:val="left"/>
      <w:lvlText w:val="%1"/>
      <w:numFmt w:val="lowerLetter"/>
      <w:start w:val="1"/>
    </w:lvl>
    <w:lvl w:ilvl="1">
      <w:lvlJc w:val="left"/>
      <w:lvlText w:val="(%2)"/>
      <w:numFmt w:val="lowerRoman"/>
      <w:start w:val="1"/>
    </w:lvl>
  </w:abstractNum>
  <w:abstractNum w:abstractNumId="217">
    <w:nsid w:val="46B24DBC"/>
    <w:multiLevelType w:val="hybridMultilevel"/>
    <w:lvl w:ilvl="0">
      <w:lvlJc w:val="left"/>
      <w:lvlText w:val="(%1)"/>
      <w:numFmt w:val="lowerLetter"/>
      <w:start w:val="11"/>
    </w:lvl>
    <w:lvl w:ilvl="1">
      <w:lvlJc w:val="left"/>
      <w:lvlText w:val="%2"/>
      <w:numFmt w:val="lowerRoman"/>
      <w:start w:val="1"/>
    </w:lvl>
  </w:abstractNum>
  <w:abstractNum w:abstractNumId="218">
    <w:nsid w:val="75B52783"/>
    <w:multiLevelType w:val="hybridMultilevel"/>
    <w:lvl w:ilvl="0">
      <w:lvlJc w:val="left"/>
      <w:lvlText w:val="(%1)"/>
      <w:numFmt w:val="lowerLetter"/>
      <w:start w:val="12"/>
    </w:lvl>
  </w:abstractNum>
  <w:abstractNum w:abstractNumId="219">
    <w:nsid w:val="57CE66B4"/>
    <w:multiLevelType w:val="hybridMultilevel"/>
    <w:lvl w:ilvl="0">
      <w:lvlJc w:val="left"/>
      <w:lvlText w:val="(%1)"/>
      <w:numFmt w:val="lowerLetter"/>
      <w:start w:val="1"/>
    </w:lvl>
  </w:abstractNum>
  <w:abstractNum w:abstractNumId="220">
    <w:nsid w:val="67A70B69"/>
    <w:multiLevelType w:val="hybridMultilevel"/>
    <w:lvl w:ilvl="0">
      <w:lvlJc w:val="left"/>
      <w:lvlText w:val="%1"/>
      <w:numFmt w:val="lowerLetter"/>
      <w:start w:val="1"/>
    </w:lvl>
    <w:lvl w:ilvl="1">
      <w:lvlJc w:val="left"/>
      <w:lvlText w:val="(%2)"/>
      <w:numFmt w:val="lowerLetter"/>
      <w:start w:val="1"/>
    </w:lvl>
  </w:abstractNum>
  <w:abstractNum w:abstractNumId="221">
    <w:nsid w:val="5953172F"/>
    <w:multiLevelType w:val="hybridMultilevel"/>
    <w:lvl w:ilvl="0">
      <w:lvlJc w:val="left"/>
      <w:lvlText w:val="(%1)"/>
      <w:numFmt w:val="lowerLetter"/>
      <w:start w:val="22"/>
    </w:lvl>
    <w:lvl w:ilvl="1">
      <w:lvlJc w:val="left"/>
      <w:lvlText w:val="%2"/>
      <w:numFmt w:val="lowerLetter"/>
      <w:start w:val="1"/>
    </w:lvl>
  </w:abstractNum>
  <w:abstractNum w:abstractNumId="222">
    <w:nsid w:val="27EDFE3A"/>
    <w:multiLevelType w:val="hybridMultilevel"/>
    <w:lvl w:ilvl="0">
      <w:lvlJc w:val="left"/>
      <w:lvlText w:val="(%1)"/>
      <w:numFmt w:val="lowerLetter"/>
      <w:start w:val="2"/>
    </w:lvl>
  </w:abstractNum>
  <w:abstractNum w:abstractNumId="223">
    <w:nsid w:val="52AC7DFF"/>
    <w:multiLevelType w:val="hybridMultilevel"/>
    <w:lvl w:ilvl="0">
      <w:lvlJc w:val="left"/>
      <w:lvlText w:val="(%1)"/>
      <w:numFmt w:val="lowerLetter"/>
      <w:start w:val="1"/>
    </w:lvl>
  </w:abstractNum>
  <w:abstractNum w:abstractNumId="224">
    <w:nsid w:val="C4C3AF"/>
    <w:multiLevelType w:val="hybridMultilevel"/>
    <w:lvl w:ilvl="0">
      <w:lvlJc w:val="left"/>
      <w:lvlText w:val="(%1)"/>
      <w:numFmt w:val="lowerLetter"/>
      <w:start w:val="1"/>
    </w:lvl>
  </w:abstractNum>
  <w:abstractNum w:abstractNumId="225">
    <w:nsid w:val="44380727"/>
    <w:multiLevelType w:val="hybridMultilevel"/>
    <w:lvl w:ilvl="0">
      <w:lvlJc w:val="left"/>
      <w:lvlText w:val="(%1)"/>
      <w:numFmt w:val="lowerRoman"/>
      <w:start w:val="1"/>
    </w:lvl>
  </w:abstractNum>
  <w:abstractNum w:abstractNumId="226">
    <w:nsid w:val="6C053B16"/>
    <w:multiLevelType w:val="hybridMultilevel"/>
    <w:lvl w:ilvl="0">
      <w:lvlJc w:val="left"/>
      <w:lvlText w:val="(%1)"/>
      <w:numFmt w:val="lowerRoman"/>
      <w:start w:val="2"/>
    </w:lvl>
  </w:abstractNum>
  <w:abstractNum w:abstractNumId="227">
    <w:nsid w:val="4F294393"/>
    <w:multiLevelType w:val="hybridMultilevel"/>
    <w:lvl w:ilvl="0">
      <w:lvlJc w:val="left"/>
      <w:lvlText w:val="I"/>
      <w:numFmt w:val="bullet"/>
      <w:start w:val="1"/>
    </w:lvl>
  </w:abstractNum>
  <w:abstractNum w:abstractNumId="228">
    <w:nsid w:val="5243BFAC"/>
    <w:multiLevelType w:val="hybridMultilevel"/>
    <w:lvl w:ilvl="0">
      <w:lvlJc w:val="left"/>
      <w:lvlText w:val="%1"/>
      <w:numFmt w:val="upperLetter"/>
      <w:start w:val="35"/>
    </w:lvl>
  </w:abstractNum>
  <w:abstractNum w:abstractNumId="229">
    <w:nsid w:val="425EB207"/>
    <w:multiLevelType w:val="hybridMultilevel"/>
    <w:lvl w:ilvl="0">
      <w:lvlJc w:val="left"/>
      <w:lvlText w:val="%1"/>
      <w:numFmt w:val="upperLetter"/>
      <w:start w:val="61"/>
    </w:lvl>
  </w:abstractNum>
  <w:abstractNum w:abstractNumId="230">
    <w:nsid w:val="334A6F1F"/>
    <w:multiLevelType w:val="hybridMultilevel"/>
    <w:lvl w:ilvl="0">
      <w:lvlJc w:val="left"/>
      <w:lvlText w:val="1"/>
      <w:numFmt w:val="bullet"/>
      <w:start w:val="1"/>
    </w:lvl>
  </w:abstractNum>
  <w:abstractNum w:abstractNumId="231">
    <w:nsid w:val="2E5B12B8"/>
    <w:multiLevelType w:val="hybridMultilevel"/>
    <w:lvl w:ilvl="0">
      <w:lvlJc w:val="left"/>
      <w:lvlText w:val="2"/>
      <w:numFmt w:val="bullet"/>
      <w:start w:val="1"/>
    </w:lvl>
  </w:abstractNum>
  <w:abstractNum w:abstractNumId="232">
    <w:nsid w:val="5C03D76D"/>
    <w:multiLevelType w:val="hybridMultilevel"/>
    <w:lvl w:ilvl="0">
      <w:lvlJc w:val="left"/>
      <w:lvlText w:val="3"/>
      <w:numFmt w:val="bullet"/>
      <w:start w:val="1"/>
    </w:lvl>
  </w:abstractNum>
  <w:abstractNum w:abstractNumId="233">
    <w:nsid w:val="66A48D11"/>
    <w:multiLevelType w:val="hybridMultilevel"/>
    <w:lvl w:ilvl="0">
      <w:lvlJc w:val="left"/>
      <w:lvlText w:val="4"/>
      <w:numFmt w:val="bullet"/>
      <w:start w:val="1"/>
    </w:lvl>
  </w:abstractNum>
  <w:abstractNum w:abstractNumId="234">
    <w:nsid w:val="56C28E34"/>
    <w:multiLevelType w:val="hybridMultilevel"/>
    <w:lvl w:ilvl="0">
      <w:lvlJc w:val="left"/>
      <w:lvlText w:val="A"/>
      <w:numFmt w:val="bullet"/>
      <w:start w:val="1"/>
    </w:lvl>
  </w:abstractNum>
  <w:abstractNum w:abstractNumId="235">
    <w:nsid w:val="13916F2D"/>
    <w:multiLevelType w:val="hybridMultilevel"/>
    <w:lvl w:ilvl="0">
      <w:lvlJc w:val="left"/>
      <w:lvlText w:val="B"/>
      <w:numFmt w:val="bullet"/>
      <w:start w:val="1"/>
    </w:lvl>
  </w:abstractNum>
  <w:abstractNum w:abstractNumId="236">
    <w:nsid w:val="435D38D"/>
    <w:multiLevelType w:val="hybridMultilevel"/>
    <w:lvl w:ilvl="0">
      <w:lvlJc w:val="left"/>
      <w:lvlText w:val="I"/>
      <w:numFmt w:val="bullet"/>
      <w:start w:val="1"/>
    </w:lvl>
  </w:abstractNum>
  <w:abstractNum w:abstractNumId="237">
    <w:nsid w:val="822C0EF"/>
    <w:multiLevelType w:val="hybridMultilevel"/>
    <w:lvl w:ilvl="0">
      <w:lvlJc w:val="left"/>
      <w:lvlText w:val="%1"/>
      <w:numFmt w:val="upperLetter"/>
      <w:start w:val="35"/>
    </w:lvl>
  </w:abstractNum>
  <w:abstractNum w:abstractNumId="238">
    <w:nsid w:val="57C5BB4F"/>
    <w:multiLevelType w:val="hybridMultilevel"/>
    <w:lvl w:ilvl="0">
      <w:lvlJc w:val="left"/>
      <w:lvlText w:val="%1"/>
      <w:numFmt w:val="decimal"/>
      <w:start w:val="1"/>
    </w:lvl>
    <w:lvl w:ilvl="1">
      <w:lvlJc w:val="left"/>
      <w:lvlText w:val="%2"/>
      <w:numFmt w:val="upperLetter"/>
      <w:start w:val="61"/>
    </w:lvl>
  </w:abstractNum>
  <w:abstractNum w:abstractNumId="239">
    <w:nsid w:val="1803D089"/>
    <w:multiLevelType w:val="hybridMultilevel"/>
    <w:lvl w:ilvl="0">
      <w:lvlJc w:val="left"/>
      <w:lvlText w:val="2"/>
      <w:numFmt w:val="bullet"/>
      <w:start w:val="1"/>
    </w:lvl>
  </w:abstractNum>
  <w:abstractNum w:abstractNumId="240">
    <w:nsid w:val="4F3A06D4"/>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2023-06-23T11:41:58Z</dcterms:created>
  <dcterms:modified xsi:type="dcterms:W3CDTF">2023-06-23T11:41:58Z</dcterms:modified>
</cp:coreProperties>
</file>