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240.14a-11(c) or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COHU, INC.</w:t>
      </w:r>
    </w:p>
    <w:p>
      <w:pPr>
        <w:spacing w:after="0" w:line="4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3140075</wp:posOffset>
            </wp:positionH>
            <wp:positionV relativeFrom="page">
              <wp:posOffset>791845</wp:posOffset>
            </wp:positionV>
            <wp:extent cx="1268730" cy="462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6873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 DATED APRIL 13, 2023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PROXY STATEMENT DATED MARCH 28,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10, 2023</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28, 2023, Cohu, Inc. (the “Company”) filed a definitive proxy statement (the “Proxy Statement”) with the Securities and Exchange Commission, which was recently distributed in connection with the Company’s Annual Meeting of Stockholders to be held on May 10, 2023 (the “Meeting”).</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filing this amendment solely to clarify the treatment of abstentions with respect to historical Say-on-Pay votes as well as the proposals to be voted upon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replaces, in its entirety, the table entitled “Historical Say-on-Pay Votes” on page 25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154305</wp:posOffset>
            </wp:positionV>
            <wp:extent cx="4157345" cy="2125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5734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shown are percentage of votes cast. Abstentions and broker non-votes are not deemed to be votes cast and, therefore, are not included in the tabulation of the voting results in respect to the Say-on-Pay proposals.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text below replaces, in its entirety, the paragraph entitled “Abstentions” on page 79 of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B5394"/>
        </w:rPr>
        <w:t>Abstentions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Abstentions are counted as present and entitled to vote for purposes of determining a quorum. However, abstentions are not deemed to be votes cast and, therefore, will have no effect on the outcome of voting on the proposals to be voted upon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Except as described above, this amendment to the Proxy Statement does not modify, amend, supplement, or otherwise affect the Proxy Statement.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have already voted, you do not need to vote again unless you would like to change or revoke your prior vote on any proposal. If you would like to change or revoke your prior vote on any proposal, please refer to the Proxy Statement for instructions on how to do so.</w:t>
      </w:r>
    </w:p>
    <w:sectPr>
      <w:pgSz w:w="11900" w:h="16838" w:orient="portrait"/>
      <w:cols w:equalWidth="0" w:num="1">
        <w:col w:w="11000"/>
      </w:cols>
      <w:pgMar w:left="320" w:top="58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2023-04-13T07:02:27Z</dcterms:created>
  <dcterms:modified xsi:type="dcterms:W3CDTF">2023-04-13T07:02:27Z</dcterms:modified>
</cp:coreProperties>
</file>