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SECURITIES AND EXCHANGE COMMISSION</w:t>
      </w: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520"/>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207" w:lineRule="exact"/>
        <w:tabs>
          <w:tab w:leader="none" w:pos="2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43"/>
          <w:szCs w:val="43"/>
          <w:color w:val="auto"/>
          <w:vertAlign w:val="subscript"/>
        </w:rPr>
      </w:pPr>
      <w:r>
        <w:rPr>
          <w:rFonts w:ascii="Arial" w:cs="Arial" w:eastAsia="Arial" w:hAnsi="Arial"/>
          <w:sz w:val="18"/>
          <w:szCs w:val="18"/>
          <w:color w:val="auto"/>
        </w:rPr>
        <w:t>No fee required.</w:t>
      </w:r>
    </w:p>
    <w:p>
      <w:pPr>
        <w:spacing w:after="0" w:line="26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3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49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249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400"/>
        <w:spacing w:after="0"/>
        <w:rPr>
          <w:sz w:val="20"/>
          <w:szCs w:val="20"/>
          <w:color w:val="auto"/>
        </w:rPr>
      </w:pPr>
      <w:r>
        <w:rPr>
          <w:rFonts w:ascii="Arial" w:cs="Arial" w:eastAsia="Arial" w:hAnsi="Arial"/>
          <w:sz w:val="16"/>
          <w:szCs w:val="16"/>
          <w:color w:val="auto"/>
        </w:rPr>
        <w:t>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937895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16"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174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March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Cohu Stockholders,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cordially invite you to attend the Cohu, Inc. 2023 Annual Meeting of Stockholders (the “Meeting”). The Meeting will be held on Wednesday, May 10, 2023, at 1:00 p.m. Pacific Time. The Meeting will be a completely ‘‘virtual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auto"/>
        </w:rPr>
        <w:t>www.virtualshareholdermeeting.com/COHU2023</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this year’s annual meeting, stockholders will be asked to elect the two (2) Class 1 nominees named in the attached proxy statement as directors each for a three-year term; to cast an advisory vote to approve our named executive officer compensation, or “Say-on-Pay”; to cast an advisory vote on the frequency of holding an advisory vote on named executive officer compensation; to approve amendments to the Cohu, Inc. 2005 Equity Incentive Plan (the “2005 Plan”); to approve amendments to the Cohu, Inc. 1997 Employee Stock Purchase Plan (the “1997 ESPP”); and to ratify the appointment of Ernst &amp; Young LLP as our independent registered public accounting firm for fiscal year 2023. The Board of Directors unanimously recommends that you vote in favor of each director nominee and each of these proposals.</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Please refer to the proxy statement for detailed information about the annual meeting, each director nominee, and each of the proposals, as well as voting instructions. Your vote is important, and we strongly urge you to cast your vote as soon as possible by the internet, telephone, or mail, even if you plan to attend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1971675"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16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D. Kampfer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440"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94055"/>
                    </a:xfrm>
                    <a:prstGeom prst="rect">
                      <a:avLst/>
                    </a:prstGeom>
                    <a:noFill/>
                  </pic:spPr>
                </pic:pic>
              </a:graphicData>
            </a:graphic>
          </wp:anchor>
        </w:drawing>
        <w:t>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255270</wp:posOffset>
            </wp:positionV>
            <wp:extent cx="1714500"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60" w:type="dxa"/>
            <w:vAlign w:val="bottom"/>
            <w:gridSpan w:val="4"/>
          </w:tcPr>
          <w:p>
            <w:pPr>
              <w:ind w:left="60"/>
              <w:spacing w:after="0"/>
              <w:rPr>
                <w:sz w:val="20"/>
                <w:szCs w:val="20"/>
                <w:color w:val="auto"/>
              </w:rPr>
            </w:pPr>
            <w:r>
              <w:rPr>
                <w:rFonts w:ascii="Arial" w:cs="Arial" w:eastAsia="Arial" w:hAnsi="Arial"/>
                <w:sz w:val="18"/>
                <w:szCs w:val="18"/>
                <w:color w:val="auto"/>
              </w:rPr>
              <w:t>12367 Crosthwaite Circle, Poway, CA 92064 | Telephone: +1-858-848-8000</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Borders>
              <w:right w:val="single" w:sz="8" w:color="2D53A6"/>
            </w:tcBorders>
            <w:gridSpan w:val="2"/>
            <w:vMerge w:val="restart"/>
            <w:shd w:val="clear" w:color="auto" w:fill="2D53A6"/>
          </w:tcPr>
          <w:p>
            <w:pPr>
              <w:spacing w:after="0"/>
              <w:rPr>
                <w:sz w:val="20"/>
                <w:szCs w:val="20"/>
                <w:color w:val="auto"/>
              </w:rPr>
            </w:pPr>
            <w:r>
              <w:rPr>
                <w:rFonts w:ascii="Arial" w:cs="Arial" w:eastAsia="Arial" w:hAnsi="Arial"/>
                <w:sz w:val="18"/>
                <w:szCs w:val="18"/>
                <w:b w:val="1"/>
                <w:bCs w:val="1"/>
                <w:color w:val="FFFFFF"/>
              </w:rPr>
              <w:t>Category</w:t>
            </w:r>
          </w:p>
        </w:tc>
        <w:tc>
          <w:tcPr>
            <w:tcW w:w="3700" w:type="dxa"/>
            <w:vAlign w:val="bottom"/>
            <w:gridSpan w:val="2"/>
            <w:vMerge w:val="restart"/>
            <w:shd w:val="clear" w:color="auto" w:fill="2D53A6"/>
          </w:tcPr>
          <w:p>
            <w:pPr>
              <w:spacing w:after="0"/>
              <w:rPr>
                <w:sz w:val="20"/>
                <w:szCs w:val="20"/>
                <w:color w:val="auto"/>
              </w:rPr>
            </w:pPr>
            <w:r>
              <w:rPr>
                <w:rFonts w:ascii="Arial" w:cs="Arial" w:eastAsia="Arial" w:hAnsi="Arial"/>
                <w:sz w:val="18"/>
                <w:szCs w:val="18"/>
                <w:b w:val="1"/>
                <w:bCs w:val="1"/>
                <w:color w:val="FFFFFF"/>
              </w:rPr>
              <w:t>Details</w:t>
            </w:r>
          </w:p>
        </w:tc>
        <w:tc>
          <w:tcPr>
            <w:tcW w:w="820" w:type="dxa"/>
            <w:vAlign w:val="bottom"/>
            <w:tcBorders>
              <w:right w:val="single" w:sz="8" w:color="2D53A6"/>
            </w:tcBorders>
            <w:gridSpan w:val="2"/>
            <w:vMerge w:val="restart"/>
            <w:shd w:val="clear" w:color="auto" w:fill="2D53A6"/>
          </w:tcPr>
          <w:p>
            <w:pPr>
              <w:jc w:val="right"/>
              <w:ind w:right="50"/>
              <w:spacing w:after="0"/>
              <w:rPr>
                <w:sz w:val="20"/>
                <w:szCs w:val="20"/>
                <w:color w:val="auto"/>
              </w:rPr>
            </w:pPr>
            <w:r>
              <w:rPr>
                <w:rFonts w:ascii="Arial" w:cs="Arial" w:eastAsia="Arial" w:hAnsi="Arial"/>
                <w:sz w:val="18"/>
                <w:szCs w:val="18"/>
                <w:b w:val="1"/>
                <w:bCs w:val="1"/>
                <w:color w:val="FFFFFF"/>
              </w:rPr>
              <w:t>#</w:t>
            </w:r>
          </w:p>
        </w:tc>
        <w:tc>
          <w:tcPr>
            <w:tcW w:w="33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Proposal</w:t>
            </w:r>
          </w:p>
        </w:tc>
        <w:tc>
          <w:tcPr>
            <w:tcW w:w="16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Our Board</w:t>
            </w:r>
            <w:r>
              <w:rPr>
                <w:rFonts w:ascii="Arial" w:cs="Arial" w:eastAsia="Arial" w:hAnsi="Arial"/>
                <w:sz w:val="18"/>
                <w:szCs w:val="18"/>
                <w:color w:val="FFFFFF"/>
                <w:w w:val="95"/>
              </w:rPr>
              <w:t>’</w:t>
            </w:r>
            <w:r>
              <w:rPr>
                <w:rFonts w:ascii="Arial" w:cs="Arial" w:eastAsia="Arial" w:hAnsi="Arial"/>
                <w:sz w:val="18"/>
                <w:szCs w:val="18"/>
                <w:b w:val="1"/>
                <w:bCs w:val="1"/>
                <w:color w:val="FFFFFF"/>
                <w:w w:val="95"/>
              </w:rPr>
              <w:t>s</w:t>
            </w:r>
          </w:p>
        </w:tc>
        <w:tc>
          <w:tcPr>
            <w:tcW w:w="0" w:type="dxa"/>
            <w:vAlign w:val="bottom"/>
          </w:tcPr>
          <w:p>
            <w:pPr>
              <w:spacing w:after="0"/>
              <w:rPr>
                <w:sz w:val="1"/>
                <w:szCs w:val="1"/>
                <w:color w:val="auto"/>
              </w:rPr>
            </w:pPr>
          </w:p>
        </w:tc>
      </w:tr>
      <w:tr>
        <w:trPr>
          <w:trHeight w:val="126"/>
        </w:trPr>
        <w:tc>
          <w:tcPr>
            <w:tcW w:w="1700" w:type="dxa"/>
            <w:vAlign w:val="bottom"/>
            <w:tcBorders>
              <w:right w:val="single" w:sz="8" w:color="2D53A6"/>
            </w:tcBorders>
            <w:gridSpan w:val="2"/>
            <w:vMerge w:val="continue"/>
            <w:shd w:val="clear" w:color="auto" w:fill="2D53A6"/>
          </w:tcPr>
          <w:p>
            <w:pPr>
              <w:spacing w:after="0"/>
              <w:rPr>
                <w:sz w:val="10"/>
                <w:szCs w:val="10"/>
                <w:color w:val="auto"/>
              </w:rPr>
            </w:pPr>
          </w:p>
        </w:tc>
        <w:tc>
          <w:tcPr>
            <w:tcW w:w="3700" w:type="dxa"/>
            <w:vAlign w:val="bottom"/>
            <w:gridSpan w:val="2"/>
            <w:vMerge w:val="continue"/>
            <w:shd w:val="clear" w:color="auto" w:fill="2D53A6"/>
          </w:tcPr>
          <w:p>
            <w:pPr>
              <w:spacing w:after="0"/>
              <w:rPr>
                <w:sz w:val="10"/>
                <w:szCs w:val="10"/>
                <w:color w:val="auto"/>
              </w:rPr>
            </w:pPr>
          </w:p>
        </w:tc>
        <w:tc>
          <w:tcPr>
            <w:tcW w:w="820" w:type="dxa"/>
            <w:vAlign w:val="bottom"/>
            <w:tcBorders>
              <w:right w:val="single" w:sz="8" w:color="2D53A6"/>
            </w:tcBorders>
            <w:gridSpan w:val="2"/>
            <w:vMerge w:val="continue"/>
            <w:shd w:val="clear" w:color="auto" w:fill="2D53A6"/>
          </w:tcPr>
          <w:p>
            <w:pPr>
              <w:spacing w:after="0"/>
              <w:rPr>
                <w:sz w:val="10"/>
                <w:szCs w:val="10"/>
                <w:color w:val="auto"/>
              </w:rPr>
            </w:pPr>
          </w:p>
        </w:tc>
        <w:tc>
          <w:tcPr>
            <w:tcW w:w="3360" w:type="dxa"/>
            <w:vAlign w:val="bottom"/>
            <w:tcBorders>
              <w:right w:val="single" w:sz="8" w:color="2D53A6"/>
            </w:tcBorders>
            <w:vMerge w:val="continue"/>
            <w:shd w:val="clear" w:color="auto" w:fill="2D53A6"/>
          </w:tcPr>
          <w:p>
            <w:pPr>
              <w:spacing w:after="0"/>
              <w:rPr>
                <w:sz w:val="10"/>
                <w:szCs w:val="10"/>
                <w:color w:val="auto"/>
              </w:rPr>
            </w:pPr>
          </w:p>
        </w:tc>
        <w:tc>
          <w:tcPr>
            <w:tcW w:w="16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Recommendation</w:t>
            </w:r>
          </w:p>
        </w:tc>
        <w:tc>
          <w:tcPr>
            <w:tcW w:w="0" w:type="dxa"/>
            <w:vAlign w:val="bottom"/>
          </w:tcPr>
          <w:p>
            <w:pPr>
              <w:spacing w:after="0"/>
              <w:rPr>
                <w:sz w:val="1"/>
                <w:szCs w:val="1"/>
                <w:color w:val="auto"/>
              </w:rPr>
            </w:pPr>
          </w:p>
        </w:tc>
      </w:tr>
      <w:tr>
        <w:trPr>
          <w:trHeight w:val="121"/>
        </w:trPr>
        <w:tc>
          <w:tcPr>
            <w:tcW w:w="1140" w:type="dxa"/>
            <w:vAlign w:val="bottom"/>
            <w:shd w:val="clear" w:color="auto" w:fill="2D53A6"/>
          </w:tcPr>
          <w:p>
            <w:pPr>
              <w:spacing w:after="0"/>
              <w:rPr>
                <w:sz w:val="10"/>
                <w:szCs w:val="10"/>
                <w:color w:val="auto"/>
              </w:rPr>
            </w:pPr>
          </w:p>
        </w:tc>
        <w:tc>
          <w:tcPr>
            <w:tcW w:w="560" w:type="dxa"/>
            <w:vAlign w:val="bottom"/>
            <w:tcBorders>
              <w:right w:val="single" w:sz="8" w:color="2D53A6"/>
            </w:tcBorders>
            <w:shd w:val="clear" w:color="auto" w:fill="2D53A6"/>
          </w:tcPr>
          <w:p>
            <w:pPr>
              <w:spacing w:after="0"/>
              <w:rPr>
                <w:sz w:val="10"/>
                <w:szCs w:val="10"/>
                <w:color w:val="auto"/>
              </w:rPr>
            </w:pPr>
          </w:p>
        </w:tc>
        <w:tc>
          <w:tcPr>
            <w:tcW w:w="1120" w:type="dxa"/>
            <w:vAlign w:val="bottom"/>
            <w:shd w:val="clear" w:color="auto" w:fill="2D53A6"/>
          </w:tcPr>
          <w:p>
            <w:pPr>
              <w:spacing w:after="0"/>
              <w:rPr>
                <w:sz w:val="10"/>
                <w:szCs w:val="10"/>
                <w:color w:val="auto"/>
              </w:rPr>
            </w:pPr>
          </w:p>
        </w:tc>
        <w:tc>
          <w:tcPr>
            <w:tcW w:w="2580" w:type="dxa"/>
            <w:vAlign w:val="bottom"/>
            <w:shd w:val="clear" w:color="auto" w:fill="2D53A6"/>
          </w:tcPr>
          <w:p>
            <w:pPr>
              <w:spacing w:after="0"/>
              <w:rPr>
                <w:sz w:val="10"/>
                <w:szCs w:val="10"/>
                <w:color w:val="auto"/>
              </w:rPr>
            </w:pPr>
          </w:p>
        </w:tc>
        <w:tc>
          <w:tcPr>
            <w:tcW w:w="460" w:type="dxa"/>
            <w:vAlign w:val="bottom"/>
            <w:shd w:val="clear" w:color="auto" w:fill="2D53A6"/>
          </w:tcPr>
          <w:p>
            <w:pPr>
              <w:spacing w:after="0"/>
              <w:rPr>
                <w:sz w:val="10"/>
                <w:szCs w:val="10"/>
                <w:color w:val="auto"/>
              </w:rPr>
            </w:pPr>
          </w:p>
        </w:tc>
        <w:tc>
          <w:tcPr>
            <w:tcW w:w="360" w:type="dxa"/>
            <w:vAlign w:val="bottom"/>
            <w:tcBorders>
              <w:right w:val="single" w:sz="8" w:color="2D53A6"/>
            </w:tcBorders>
            <w:shd w:val="clear" w:color="auto" w:fill="2D53A6"/>
          </w:tcPr>
          <w:p>
            <w:pPr>
              <w:spacing w:after="0"/>
              <w:rPr>
                <w:sz w:val="10"/>
                <w:szCs w:val="10"/>
                <w:color w:val="auto"/>
              </w:rPr>
            </w:pPr>
          </w:p>
        </w:tc>
        <w:tc>
          <w:tcPr>
            <w:tcW w:w="3360" w:type="dxa"/>
            <w:vAlign w:val="bottom"/>
            <w:tcBorders>
              <w:right w:val="single" w:sz="8" w:color="2D53A6"/>
            </w:tcBorders>
            <w:shd w:val="clear" w:color="auto" w:fill="2D53A6"/>
          </w:tcPr>
          <w:p>
            <w:pPr>
              <w:spacing w:after="0"/>
              <w:rPr>
                <w:sz w:val="10"/>
                <w:szCs w:val="10"/>
                <w:color w:val="auto"/>
              </w:rPr>
            </w:pPr>
          </w:p>
        </w:tc>
        <w:tc>
          <w:tcPr>
            <w:tcW w:w="16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00" w:type="dxa"/>
            <w:vAlign w:val="bottom"/>
            <w:tcBorders>
              <w:right w:val="single" w:sz="8" w:color="2D53A6"/>
            </w:tcBorders>
            <w:gridSpan w:val="2"/>
          </w:tcPr>
          <w:p>
            <w:pPr>
              <w:spacing w:after="0" w:line="198" w:lineRule="exact"/>
              <w:rPr>
                <w:sz w:val="20"/>
                <w:szCs w:val="20"/>
                <w:color w:val="auto"/>
              </w:rPr>
            </w:pPr>
            <w:r>
              <w:rPr>
                <w:rFonts w:ascii="Arial" w:cs="Arial" w:eastAsia="Arial" w:hAnsi="Arial"/>
                <w:sz w:val="18"/>
                <w:szCs w:val="18"/>
                <w:b w:val="1"/>
                <w:bCs w:val="1"/>
                <w:color w:val="auto"/>
              </w:rPr>
              <w:t>Date and Time</w:t>
            </w:r>
          </w:p>
        </w:tc>
        <w:tc>
          <w:tcPr>
            <w:tcW w:w="3700" w:type="dxa"/>
            <w:vAlign w:val="bottom"/>
            <w:gridSpan w:val="2"/>
          </w:tcPr>
          <w:p>
            <w:pPr>
              <w:spacing w:after="0" w:line="198" w:lineRule="exact"/>
              <w:rPr>
                <w:sz w:val="20"/>
                <w:szCs w:val="20"/>
                <w:color w:val="auto"/>
              </w:rPr>
            </w:pPr>
            <w:r>
              <w:rPr>
                <w:rFonts w:ascii="Arial" w:cs="Arial" w:eastAsia="Arial" w:hAnsi="Arial"/>
                <w:sz w:val="18"/>
                <w:szCs w:val="18"/>
                <w:color w:val="auto"/>
                <w:w w:val="91"/>
              </w:rPr>
              <w:t>Wednesday, May 10, 2023, 1:00 p.m. Pacific Time</w:t>
            </w:r>
          </w:p>
        </w:tc>
        <w:tc>
          <w:tcPr>
            <w:tcW w:w="820" w:type="dxa"/>
            <w:vAlign w:val="bottom"/>
            <w:tcBorders>
              <w:right w:val="single" w:sz="8" w:color="2D53A6"/>
            </w:tcBorders>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rPr>
              <w:t>1</w:t>
            </w:r>
          </w:p>
        </w:tc>
        <w:tc>
          <w:tcPr>
            <w:tcW w:w="3360" w:type="dxa"/>
            <w:vAlign w:val="bottom"/>
            <w:tcBorders>
              <w:right w:val="single" w:sz="8" w:color="2D53A6"/>
            </w:tcBorders>
          </w:tcPr>
          <w:p>
            <w:pPr>
              <w:spacing w:after="0" w:line="198" w:lineRule="exact"/>
              <w:rPr>
                <w:sz w:val="20"/>
                <w:szCs w:val="20"/>
                <w:color w:val="auto"/>
              </w:rPr>
            </w:pPr>
            <w:r>
              <w:rPr>
                <w:rFonts w:ascii="Arial" w:cs="Arial" w:eastAsia="Arial" w:hAnsi="Arial"/>
                <w:sz w:val="18"/>
                <w:szCs w:val="18"/>
                <w:color w:val="auto"/>
              </w:rPr>
              <w:t>Election of two (2) Class 1 directors, for a</w:t>
            </w:r>
          </w:p>
        </w:tc>
        <w:tc>
          <w:tcPr>
            <w:tcW w:w="16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 FOR each Director</w:t>
            </w:r>
          </w:p>
        </w:tc>
        <w:tc>
          <w:tcPr>
            <w:tcW w:w="0" w:type="dxa"/>
            <w:vAlign w:val="bottom"/>
          </w:tcPr>
          <w:p>
            <w:pPr>
              <w:spacing w:after="0"/>
              <w:rPr>
                <w:sz w:val="1"/>
                <w:szCs w:val="1"/>
                <w:color w:val="auto"/>
              </w:rPr>
            </w:pPr>
          </w:p>
        </w:tc>
      </w:tr>
      <w:tr>
        <w:trPr>
          <w:trHeight w:val="234"/>
        </w:trPr>
        <w:tc>
          <w:tcPr>
            <w:tcW w:w="1140" w:type="dxa"/>
            <w:vAlign w:val="bottom"/>
            <w:tcBorders>
              <w:bottom w:val="single" w:sz="8" w:color="2D53A6"/>
            </w:tcBorders>
          </w:tcPr>
          <w:p>
            <w:pPr>
              <w:spacing w:after="0"/>
              <w:rPr>
                <w:sz w:val="20"/>
                <w:szCs w:val="20"/>
                <w:color w:val="auto"/>
              </w:rPr>
            </w:pPr>
          </w:p>
        </w:tc>
        <w:tc>
          <w:tcPr>
            <w:tcW w:w="560" w:type="dxa"/>
            <w:vAlign w:val="bottom"/>
            <w:tcBorders>
              <w:bottom w:val="single" w:sz="8" w:color="2D53A6"/>
              <w:right w:val="single" w:sz="8" w:color="2D53A6"/>
            </w:tcBorders>
          </w:tcPr>
          <w:p>
            <w:pPr>
              <w:spacing w:after="0"/>
              <w:rPr>
                <w:sz w:val="20"/>
                <w:szCs w:val="20"/>
                <w:color w:val="auto"/>
              </w:rPr>
            </w:pPr>
          </w:p>
        </w:tc>
        <w:tc>
          <w:tcPr>
            <w:tcW w:w="1120" w:type="dxa"/>
            <w:vAlign w:val="bottom"/>
            <w:tcBorders>
              <w:bottom w:val="single" w:sz="8" w:color="2D53A6"/>
            </w:tcBorders>
          </w:tcPr>
          <w:p>
            <w:pPr>
              <w:spacing w:after="0"/>
              <w:rPr>
                <w:sz w:val="20"/>
                <w:szCs w:val="20"/>
                <w:color w:val="auto"/>
              </w:rPr>
            </w:pPr>
          </w:p>
        </w:tc>
        <w:tc>
          <w:tcPr>
            <w:tcW w:w="2580" w:type="dxa"/>
            <w:vAlign w:val="bottom"/>
            <w:tcBorders>
              <w:bottom w:val="single" w:sz="8" w:color="2D53A6"/>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2D53A6"/>
              <w:right w:val="single" w:sz="8" w:color="2D53A6"/>
            </w:tcBorders>
          </w:tcPr>
          <w:p>
            <w:pPr>
              <w:spacing w:after="0"/>
              <w:rPr>
                <w:sz w:val="20"/>
                <w:szCs w:val="20"/>
                <w:color w:val="auto"/>
              </w:rPr>
            </w:pPr>
          </w:p>
        </w:tc>
        <w:tc>
          <w:tcPr>
            <w:tcW w:w="33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term of three years each</w:t>
            </w:r>
          </w:p>
        </w:tc>
        <w:tc>
          <w:tcPr>
            <w:tcW w:w="16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89"/>
              </w:rPr>
              <w:t>Nominee</w:t>
            </w:r>
          </w:p>
        </w:tc>
        <w:tc>
          <w:tcPr>
            <w:tcW w:w="0" w:type="dxa"/>
            <w:vAlign w:val="bottom"/>
          </w:tcPr>
          <w:p>
            <w:pPr>
              <w:spacing w:after="0"/>
              <w:rPr>
                <w:sz w:val="1"/>
                <w:szCs w:val="1"/>
                <w:color w:val="auto"/>
              </w:rPr>
            </w:pPr>
          </w:p>
        </w:tc>
      </w:tr>
      <w:tr>
        <w:trPr>
          <w:trHeight w:val="195"/>
        </w:trPr>
        <w:tc>
          <w:tcPr>
            <w:tcW w:w="1700" w:type="dxa"/>
            <w:vAlign w:val="bottom"/>
            <w:tcBorders>
              <w:right w:val="single" w:sz="8" w:color="2D53A6"/>
            </w:tcBorders>
            <w:gridSpan w:val="2"/>
            <w:shd w:val="clear" w:color="auto" w:fill="E6E6E6"/>
          </w:tcPr>
          <w:p>
            <w:pPr>
              <w:spacing w:after="0" w:line="195" w:lineRule="exact"/>
              <w:rPr>
                <w:sz w:val="20"/>
                <w:szCs w:val="20"/>
                <w:color w:val="auto"/>
              </w:rPr>
            </w:pPr>
            <w:r>
              <w:rPr>
                <w:rFonts w:ascii="Arial" w:cs="Arial" w:eastAsia="Arial" w:hAnsi="Arial"/>
                <w:sz w:val="18"/>
                <w:szCs w:val="18"/>
                <w:b w:val="1"/>
                <w:bCs w:val="1"/>
                <w:color w:val="auto"/>
              </w:rPr>
              <w:t>Place</w:t>
            </w:r>
          </w:p>
        </w:tc>
        <w:tc>
          <w:tcPr>
            <w:tcW w:w="3700" w:type="dxa"/>
            <w:vAlign w:val="bottom"/>
            <w:gridSpan w:val="2"/>
            <w:shd w:val="clear" w:color="auto" w:fill="E6E6E6"/>
          </w:tcPr>
          <w:p>
            <w:pPr>
              <w:spacing w:after="0" w:line="195" w:lineRule="exact"/>
              <w:rPr>
                <w:sz w:val="20"/>
                <w:szCs w:val="20"/>
                <w:color w:val="auto"/>
              </w:rPr>
            </w:pPr>
            <w:r>
              <w:rPr>
                <w:rFonts w:ascii="Arial" w:cs="Arial" w:eastAsia="Arial" w:hAnsi="Arial"/>
                <w:sz w:val="18"/>
                <w:szCs w:val="18"/>
                <w:color w:val="auto"/>
              </w:rPr>
              <w:t>Meeting will be held virtually</w:t>
            </w:r>
          </w:p>
        </w:tc>
        <w:tc>
          <w:tcPr>
            <w:tcW w:w="820" w:type="dxa"/>
            <w:vAlign w:val="bottom"/>
            <w:tcBorders>
              <w:right w:val="single" w:sz="8" w:color="2D53A6"/>
            </w:tcBorders>
            <w:gridSpan w:val="2"/>
            <w:shd w:val="clear" w:color="auto" w:fill="E6E6E6"/>
          </w:tcPr>
          <w:p>
            <w:pPr>
              <w:jc w:val="right"/>
              <w:ind w:right="50"/>
              <w:spacing w:after="0" w:line="195" w:lineRule="exact"/>
              <w:rPr>
                <w:sz w:val="20"/>
                <w:szCs w:val="20"/>
                <w:color w:val="auto"/>
              </w:rPr>
            </w:pPr>
            <w:r>
              <w:rPr>
                <w:rFonts w:ascii="Arial" w:cs="Arial" w:eastAsia="Arial" w:hAnsi="Arial"/>
                <w:sz w:val="18"/>
                <w:szCs w:val="18"/>
                <w:b w:val="1"/>
                <w:bCs w:val="1"/>
                <w:color w:val="auto"/>
              </w:rPr>
              <w:t>2</w:t>
            </w:r>
          </w:p>
        </w:tc>
        <w:tc>
          <w:tcPr>
            <w:tcW w:w="33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color w:val="auto"/>
              </w:rPr>
              <w:t>Advisory vote to approve our Named</w:t>
            </w:r>
          </w:p>
        </w:tc>
        <w:tc>
          <w:tcPr>
            <w:tcW w:w="1660" w:type="dxa"/>
            <w:vAlign w:val="bottom"/>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16"/>
        </w:trPr>
        <w:tc>
          <w:tcPr>
            <w:tcW w:w="1140" w:type="dxa"/>
            <w:vAlign w:val="bottom"/>
            <w:shd w:val="clear" w:color="auto" w:fill="E6E6E6"/>
          </w:tcPr>
          <w:p>
            <w:pPr>
              <w:spacing w:after="0"/>
              <w:rPr>
                <w:sz w:val="18"/>
                <w:szCs w:val="18"/>
                <w:color w:val="auto"/>
              </w:rPr>
            </w:pPr>
          </w:p>
        </w:tc>
        <w:tc>
          <w:tcPr>
            <w:tcW w:w="560" w:type="dxa"/>
            <w:vAlign w:val="bottom"/>
            <w:tcBorders>
              <w:right w:val="single" w:sz="8" w:color="2D53A6"/>
            </w:tcBorders>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58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360" w:type="dxa"/>
            <w:vAlign w:val="bottom"/>
            <w:tcBorders>
              <w:right w:val="single" w:sz="8" w:color="2D53A6"/>
            </w:tcBorders>
            <w:shd w:val="clear" w:color="auto" w:fill="E6E6E6"/>
          </w:tcPr>
          <w:p>
            <w:pPr>
              <w:spacing w:after="0"/>
              <w:rPr>
                <w:sz w:val="18"/>
                <w:szCs w:val="18"/>
                <w:color w:val="auto"/>
              </w:rPr>
            </w:pPr>
          </w:p>
        </w:tc>
        <w:tc>
          <w:tcPr>
            <w:tcW w:w="33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4"/>
              </w:rPr>
              <w:t>Executive Officer compensation, or “Say-on-</w:t>
            </w:r>
          </w:p>
        </w:tc>
        <w:tc>
          <w:tcPr>
            <w:tcW w:w="166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bottom w:val="single" w:sz="8" w:color="2D53A6"/>
            </w:tcBorders>
            <w:shd w:val="clear" w:color="auto" w:fill="E6E6E6"/>
          </w:tcPr>
          <w:p>
            <w:pPr>
              <w:spacing w:after="0"/>
              <w:rPr>
                <w:sz w:val="20"/>
                <w:szCs w:val="20"/>
                <w:color w:val="auto"/>
              </w:rPr>
            </w:pPr>
          </w:p>
        </w:tc>
        <w:tc>
          <w:tcPr>
            <w:tcW w:w="560" w:type="dxa"/>
            <w:vAlign w:val="bottom"/>
            <w:tcBorders>
              <w:bottom w:val="single" w:sz="8" w:color="2D53A6"/>
              <w:right w:val="single" w:sz="8" w:color="2D53A6"/>
            </w:tcBorders>
            <w:shd w:val="clear" w:color="auto" w:fill="E6E6E6"/>
          </w:tcPr>
          <w:p>
            <w:pPr>
              <w:spacing w:after="0"/>
              <w:rPr>
                <w:sz w:val="20"/>
                <w:szCs w:val="20"/>
                <w:color w:val="auto"/>
              </w:rPr>
            </w:pPr>
          </w:p>
        </w:tc>
        <w:tc>
          <w:tcPr>
            <w:tcW w:w="1120" w:type="dxa"/>
            <w:vAlign w:val="bottom"/>
            <w:tcBorders>
              <w:bottom w:val="single" w:sz="8" w:color="2D53A6"/>
            </w:tcBorders>
            <w:shd w:val="clear" w:color="auto" w:fill="E6E6E6"/>
          </w:tcPr>
          <w:p>
            <w:pPr>
              <w:spacing w:after="0"/>
              <w:rPr>
                <w:sz w:val="20"/>
                <w:szCs w:val="20"/>
                <w:color w:val="auto"/>
              </w:rPr>
            </w:pPr>
          </w:p>
        </w:tc>
        <w:tc>
          <w:tcPr>
            <w:tcW w:w="2580" w:type="dxa"/>
            <w:vAlign w:val="bottom"/>
            <w:tcBorders>
              <w:bottom w:val="single" w:sz="8" w:color="2D53A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360" w:type="dxa"/>
            <w:vAlign w:val="bottom"/>
            <w:tcBorders>
              <w:bottom w:val="single" w:sz="8" w:color="2D53A6"/>
              <w:right w:val="single" w:sz="8" w:color="2D53A6"/>
            </w:tcBorders>
            <w:shd w:val="clear" w:color="auto" w:fill="E6E6E6"/>
          </w:tcPr>
          <w:p>
            <w:pPr>
              <w:spacing w:after="0"/>
              <w:rPr>
                <w:sz w:val="20"/>
                <w:szCs w:val="20"/>
                <w:color w:val="auto"/>
              </w:rPr>
            </w:pPr>
          </w:p>
        </w:tc>
        <w:tc>
          <w:tcPr>
            <w:tcW w:w="33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Pay”</w:t>
            </w:r>
          </w:p>
        </w:tc>
        <w:tc>
          <w:tcPr>
            <w:tcW w:w="166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00" w:type="dxa"/>
            <w:vAlign w:val="bottom"/>
            <w:tcBorders>
              <w:right w:val="single" w:sz="8" w:color="2D53A6"/>
            </w:tcBorders>
            <w:gridSpan w:val="2"/>
          </w:tcPr>
          <w:p>
            <w:pPr>
              <w:spacing w:after="0" w:line="195" w:lineRule="exact"/>
              <w:rPr>
                <w:sz w:val="20"/>
                <w:szCs w:val="20"/>
                <w:color w:val="auto"/>
              </w:rPr>
            </w:pPr>
            <w:r>
              <w:rPr>
                <w:rFonts w:ascii="Arial" w:cs="Arial" w:eastAsia="Arial" w:hAnsi="Arial"/>
                <w:sz w:val="18"/>
                <w:szCs w:val="18"/>
                <w:b w:val="1"/>
                <w:bCs w:val="1"/>
                <w:color w:val="auto"/>
              </w:rPr>
              <w:t>Record Date</w:t>
            </w:r>
          </w:p>
        </w:tc>
        <w:tc>
          <w:tcPr>
            <w:tcW w:w="3700" w:type="dxa"/>
            <w:vAlign w:val="bottom"/>
            <w:gridSpan w:val="2"/>
          </w:tcPr>
          <w:p>
            <w:pPr>
              <w:spacing w:after="0" w:line="195" w:lineRule="exact"/>
              <w:rPr>
                <w:sz w:val="20"/>
                <w:szCs w:val="20"/>
                <w:color w:val="auto"/>
              </w:rPr>
            </w:pPr>
            <w:r>
              <w:rPr>
                <w:rFonts w:ascii="Arial" w:cs="Arial" w:eastAsia="Arial" w:hAnsi="Arial"/>
                <w:sz w:val="18"/>
                <w:szCs w:val="18"/>
                <w:color w:val="auto"/>
              </w:rPr>
              <w:t>Only stockholders of record at the close of</w:t>
            </w:r>
          </w:p>
        </w:tc>
        <w:tc>
          <w:tcPr>
            <w:tcW w:w="820" w:type="dxa"/>
            <w:vAlign w:val="bottom"/>
            <w:tcBorders>
              <w:right w:val="single" w:sz="8" w:color="2D53A6"/>
            </w:tcBorders>
            <w:gridSpan w:val="2"/>
          </w:tcPr>
          <w:p>
            <w:pPr>
              <w:jc w:val="right"/>
              <w:ind w:right="50"/>
              <w:spacing w:after="0" w:line="195" w:lineRule="exact"/>
              <w:rPr>
                <w:sz w:val="20"/>
                <w:szCs w:val="20"/>
                <w:color w:val="auto"/>
              </w:rPr>
            </w:pPr>
            <w:r>
              <w:rPr>
                <w:rFonts w:ascii="Arial" w:cs="Arial" w:eastAsia="Arial" w:hAnsi="Arial"/>
                <w:sz w:val="18"/>
                <w:szCs w:val="18"/>
                <w:b w:val="1"/>
                <w:bCs w:val="1"/>
                <w:color w:val="auto"/>
              </w:rPr>
              <w:t>3</w:t>
            </w:r>
          </w:p>
        </w:tc>
        <w:tc>
          <w:tcPr>
            <w:tcW w:w="33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w w:val="93"/>
              </w:rPr>
              <w:t>Advisory vote on the frequency of holding an</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FOR every “1</w:t>
            </w: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60" w:type="dxa"/>
            <w:vAlign w:val="bottom"/>
            <w:tcBorders>
              <w:right w:val="single" w:sz="8" w:color="2D53A6"/>
            </w:tcBorders>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business on March 16, 2023, the “Record</w:t>
            </w:r>
          </w:p>
        </w:tc>
        <w:tc>
          <w:tcPr>
            <w:tcW w:w="460" w:type="dxa"/>
            <w:vAlign w:val="bottom"/>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9"/>
              </w:rPr>
              <w:t>advisory vote on Named Executive Officer</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60" w:type="dxa"/>
            <w:vAlign w:val="bottom"/>
            <w:tcBorders>
              <w:right w:val="single" w:sz="8" w:color="2D53A6"/>
            </w:tcBorders>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4"/>
              </w:rPr>
              <w:t>Date,” are entitled to notice of, and to vote at, the</w:t>
            </w:r>
          </w:p>
        </w:tc>
        <w:tc>
          <w:tcPr>
            <w:tcW w:w="460" w:type="dxa"/>
            <w:vAlign w:val="bottom"/>
          </w:tcPr>
          <w:p>
            <w:pPr>
              <w:spacing w:after="0"/>
              <w:rPr>
                <w:sz w:val="19"/>
                <w:szCs w:val="19"/>
                <w:color w:val="auto"/>
              </w:rPr>
            </w:pPr>
          </w:p>
        </w:tc>
        <w:tc>
          <w:tcPr>
            <w:tcW w:w="360" w:type="dxa"/>
            <w:vAlign w:val="bottom"/>
            <w:tcBorders>
              <w:right w:val="single" w:sz="8" w:color="2D53A6"/>
            </w:tcBorders>
          </w:tcPr>
          <w:p>
            <w:pPr>
              <w:spacing w:after="0"/>
              <w:rPr>
                <w:sz w:val="19"/>
                <w:szCs w:val="19"/>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compensation</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Year”</w:t>
            </w:r>
          </w:p>
        </w:tc>
        <w:tc>
          <w:tcPr>
            <w:tcW w:w="0" w:type="dxa"/>
            <w:vAlign w:val="bottom"/>
          </w:tcPr>
          <w:p>
            <w:pPr>
              <w:spacing w:after="0"/>
              <w:rPr>
                <w:sz w:val="1"/>
                <w:szCs w:val="1"/>
                <w:color w:val="auto"/>
              </w:rPr>
            </w:pPr>
          </w:p>
        </w:tc>
      </w:tr>
      <w:tr>
        <w:trPr>
          <w:trHeight w:val="230"/>
        </w:trPr>
        <w:tc>
          <w:tcPr>
            <w:tcW w:w="1140" w:type="dxa"/>
            <w:vAlign w:val="bottom"/>
            <w:tcBorders>
              <w:bottom w:val="single" w:sz="8" w:color="2D53A6"/>
            </w:tcBorders>
          </w:tcPr>
          <w:p>
            <w:pPr>
              <w:spacing w:after="0"/>
              <w:rPr>
                <w:sz w:val="20"/>
                <w:szCs w:val="20"/>
                <w:color w:val="auto"/>
              </w:rPr>
            </w:pPr>
          </w:p>
        </w:tc>
        <w:tc>
          <w:tcPr>
            <w:tcW w:w="560" w:type="dxa"/>
            <w:vAlign w:val="bottom"/>
            <w:tcBorders>
              <w:bottom w:val="single" w:sz="8" w:color="2D53A6"/>
              <w:right w:val="single" w:sz="8" w:color="2D53A6"/>
            </w:tcBorders>
          </w:tcPr>
          <w:p>
            <w:pPr>
              <w:spacing w:after="0"/>
              <w:rPr>
                <w:sz w:val="20"/>
                <w:szCs w:val="20"/>
                <w:color w:val="auto"/>
              </w:rPr>
            </w:pPr>
          </w:p>
        </w:tc>
        <w:tc>
          <w:tcPr>
            <w:tcW w:w="3700" w:type="dxa"/>
            <w:vAlign w:val="bottom"/>
            <w:tcBorders>
              <w:bottom w:val="single" w:sz="8" w:color="2D53A6"/>
            </w:tcBorders>
            <w:gridSpan w:val="2"/>
          </w:tcPr>
          <w:p>
            <w:pPr>
              <w:spacing w:after="0"/>
              <w:rPr>
                <w:sz w:val="20"/>
                <w:szCs w:val="20"/>
                <w:color w:val="auto"/>
              </w:rPr>
            </w:pPr>
            <w:r>
              <w:rPr>
                <w:rFonts w:ascii="Arial" w:cs="Arial" w:eastAsia="Arial" w:hAnsi="Arial"/>
                <w:sz w:val="18"/>
                <w:szCs w:val="18"/>
                <w:color w:val="auto"/>
              </w:rPr>
              <w:t>annual meeting</w:t>
            </w:r>
          </w:p>
        </w:tc>
        <w:tc>
          <w:tcPr>
            <w:tcW w:w="460" w:type="dxa"/>
            <w:vAlign w:val="bottom"/>
          </w:tcPr>
          <w:p>
            <w:pPr>
              <w:spacing w:after="0"/>
              <w:rPr>
                <w:sz w:val="20"/>
                <w:szCs w:val="20"/>
                <w:color w:val="auto"/>
              </w:rPr>
            </w:pPr>
          </w:p>
        </w:tc>
        <w:tc>
          <w:tcPr>
            <w:tcW w:w="360" w:type="dxa"/>
            <w:vAlign w:val="bottom"/>
            <w:tcBorders>
              <w:bottom w:val="single" w:sz="8" w:color="2D53A6"/>
              <w:right w:val="single" w:sz="8" w:color="2D53A6"/>
            </w:tcBorders>
          </w:tcPr>
          <w:p>
            <w:pPr>
              <w:spacing w:after="0"/>
              <w:rPr>
                <w:sz w:val="20"/>
                <w:szCs w:val="20"/>
                <w:color w:val="auto"/>
              </w:rPr>
            </w:pPr>
          </w:p>
        </w:tc>
        <w:tc>
          <w:tcPr>
            <w:tcW w:w="3360" w:type="dxa"/>
            <w:vAlign w:val="bottom"/>
            <w:tcBorders>
              <w:bottom w:val="single" w:sz="8" w:color="2D53A6"/>
              <w:right w:val="single" w:sz="8" w:color="2D53A6"/>
            </w:tcBorders>
          </w:tcPr>
          <w:p>
            <w:pPr>
              <w:spacing w:after="0"/>
              <w:rPr>
                <w:sz w:val="20"/>
                <w:szCs w:val="20"/>
                <w:color w:val="auto"/>
              </w:rPr>
            </w:pPr>
          </w:p>
        </w:tc>
        <w:tc>
          <w:tcPr>
            <w:tcW w:w="166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0" w:type="dxa"/>
            <w:vAlign w:val="bottom"/>
            <w:gridSpan w:val="4"/>
            <w:vMerge w:val="restart"/>
            <w:shd w:val="clear" w:color="auto" w:fill="E6E6E6"/>
          </w:tcPr>
          <w:p>
            <w:pPr>
              <w:spacing w:after="0"/>
              <w:rPr>
                <w:sz w:val="20"/>
                <w:szCs w:val="20"/>
                <w:color w:val="auto"/>
              </w:rPr>
            </w:pPr>
            <w:r>
              <w:rPr>
                <w:rFonts w:ascii="Arial" w:cs="Arial" w:eastAsia="Arial" w:hAnsi="Arial"/>
                <w:sz w:val="18"/>
                <w:szCs w:val="18"/>
                <w:b w:val="1"/>
                <w:bCs w:val="1"/>
                <w:color w:val="auto"/>
              </w:rPr>
              <w:t>Proxy and Annual Report Materials</w:t>
            </w:r>
          </w:p>
        </w:tc>
        <w:tc>
          <w:tcPr>
            <w:tcW w:w="820" w:type="dxa"/>
            <w:vAlign w:val="bottom"/>
            <w:tcBorders>
              <w:right w:val="single" w:sz="8" w:color="2D53A6"/>
            </w:tcBorders>
            <w:gridSpan w:val="2"/>
            <w:shd w:val="clear" w:color="auto" w:fill="E6E6E6"/>
          </w:tcPr>
          <w:p>
            <w:pPr>
              <w:jc w:val="right"/>
              <w:ind w:right="50"/>
              <w:spacing w:after="0" w:line="195" w:lineRule="exact"/>
              <w:rPr>
                <w:sz w:val="20"/>
                <w:szCs w:val="20"/>
                <w:color w:val="auto"/>
              </w:rPr>
            </w:pPr>
            <w:r>
              <w:rPr>
                <w:rFonts w:ascii="Arial" w:cs="Arial" w:eastAsia="Arial" w:hAnsi="Arial"/>
                <w:sz w:val="18"/>
                <w:szCs w:val="18"/>
                <w:b w:val="1"/>
                <w:bCs w:val="1"/>
                <w:color w:val="auto"/>
              </w:rPr>
              <w:t>4</w:t>
            </w:r>
          </w:p>
        </w:tc>
        <w:tc>
          <w:tcPr>
            <w:tcW w:w="33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color w:val="auto"/>
                <w:w w:val="99"/>
              </w:rPr>
              <w:t>To approve amendments to the Cohu Inc.</w:t>
            </w:r>
          </w:p>
        </w:tc>
        <w:tc>
          <w:tcPr>
            <w:tcW w:w="1660" w:type="dxa"/>
            <w:vAlign w:val="bottom"/>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122"/>
        </w:trPr>
        <w:tc>
          <w:tcPr>
            <w:tcW w:w="5400" w:type="dxa"/>
            <w:vAlign w:val="bottom"/>
            <w:gridSpan w:val="4"/>
            <w:vMerge w:val="continue"/>
            <w:shd w:val="clear" w:color="auto" w:fill="E6E6E6"/>
          </w:tcPr>
          <w:p>
            <w:pPr>
              <w:spacing w:after="0"/>
              <w:rPr>
                <w:sz w:val="10"/>
                <w:szCs w:val="10"/>
                <w:color w:val="auto"/>
              </w:rPr>
            </w:pPr>
          </w:p>
        </w:tc>
        <w:tc>
          <w:tcPr>
            <w:tcW w:w="460" w:type="dxa"/>
            <w:vAlign w:val="bottom"/>
            <w:shd w:val="clear" w:color="auto" w:fill="E6E6E6"/>
          </w:tcPr>
          <w:p>
            <w:pPr>
              <w:spacing w:after="0"/>
              <w:rPr>
                <w:sz w:val="10"/>
                <w:szCs w:val="10"/>
                <w:color w:val="auto"/>
              </w:rPr>
            </w:pPr>
          </w:p>
        </w:tc>
        <w:tc>
          <w:tcPr>
            <w:tcW w:w="360" w:type="dxa"/>
            <w:vAlign w:val="bottom"/>
            <w:tcBorders>
              <w:right w:val="single" w:sz="8" w:color="2D53A6"/>
            </w:tcBorders>
            <w:shd w:val="clear" w:color="auto" w:fill="E6E6E6"/>
          </w:tcPr>
          <w:p>
            <w:pPr>
              <w:spacing w:after="0"/>
              <w:rPr>
                <w:sz w:val="10"/>
                <w:szCs w:val="10"/>
                <w:color w:val="auto"/>
              </w:rPr>
            </w:pPr>
          </w:p>
        </w:tc>
        <w:tc>
          <w:tcPr>
            <w:tcW w:w="33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2005 Equity Incentive Plan</w:t>
            </w:r>
          </w:p>
        </w:tc>
        <w:tc>
          <w:tcPr>
            <w:tcW w:w="166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Borders>
              <w:bottom w:val="single" w:sz="8" w:color="E6E6E6"/>
            </w:tcBorders>
            <w:gridSpan w:val="4"/>
            <w:vMerge w:val="continue"/>
            <w:shd w:val="clear" w:color="auto" w:fill="E6E6E6"/>
          </w:tcPr>
          <w:p>
            <w:pPr>
              <w:spacing w:after="0"/>
              <w:rPr>
                <w:sz w:val="9"/>
                <w:szCs w:val="9"/>
                <w:color w:val="auto"/>
              </w:rPr>
            </w:pPr>
          </w:p>
        </w:tc>
        <w:tc>
          <w:tcPr>
            <w:tcW w:w="460" w:type="dxa"/>
            <w:vAlign w:val="bottom"/>
            <w:tcBorders>
              <w:bottom w:val="single" w:sz="8" w:color="E6E6E6"/>
            </w:tcBorders>
            <w:shd w:val="clear" w:color="auto" w:fill="E6E6E6"/>
          </w:tcPr>
          <w:p>
            <w:pPr>
              <w:spacing w:after="0"/>
              <w:rPr>
                <w:sz w:val="9"/>
                <w:szCs w:val="9"/>
                <w:color w:val="auto"/>
              </w:rPr>
            </w:pPr>
          </w:p>
        </w:tc>
        <w:tc>
          <w:tcPr>
            <w:tcW w:w="360" w:type="dxa"/>
            <w:vAlign w:val="bottom"/>
            <w:tcBorders>
              <w:bottom w:val="single" w:sz="8" w:color="2D53A6"/>
              <w:right w:val="single" w:sz="8" w:color="2D53A6"/>
            </w:tcBorders>
            <w:shd w:val="clear" w:color="auto" w:fill="E6E6E6"/>
          </w:tcPr>
          <w:p>
            <w:pPr>
              <w:spacing w:after="0"/>
              <w:rPr>
                <w:sz w:val="9"/>
                <w:szCs w:val="9"/>
                <w:color w:val="auto"/>
              </w:rPr>
            </w:pPr>
          </w:p>
        </w:tc>
        <w:tc>
          <w:tcPr>
            <w:tcW w:w="3360" w:type="dxa"/>
            <w:vAlign w:val="bottom"/>
            <w:tcBorders>
              <w:bottom w:val="single" w:sz="8" w:color="2D53A6"/>
              <w:right w:val="single" w:sz="8" w:color="2D53A6"/>
            </w:tcBorders>
            <w:vMerge w:val="continue"/>
            <w:shd w:val="clear" w:color="auto" w:fill="E6E6E6"/>
          </w:tcPr>
          <w:p>
            <w:pPr>
              <w:spacing w:after="0"/>
              <w:rPr>
                <w:sz w:val="9"/>
                <w:szCs w:val="9"/>
                <w:color w:val="auto"/>
              </w:rPr>
            </w:pPr>
          </w:p>
        </w:tc>
        <w:tc>
          <w:tcPr>
            <w:tcW w:w="1660" w:type="dxa"/>
            <w:vAlign w:val="bottom"/>
            <w:tcBorders>
              <w:bottom w:val="single" w:sz="8" w:color="2D53A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400" w:type="dxa"/>
            <w:vAlign w:val="bottom"/>
            <w:gridSpan w:val="4"/>
            <w:vMerge w:val="restart"/>
            <w:shd w:val="clear" w:color="auto" w:fill="E6E6E6"/>
          </w:tcPr>
          <w:p>
            <w:pPr>
              <w:spacing w:after="0"/>
              <w:rPr>
                <w:sz w:val="20"/>
                <w:szCs w:val="20"/>
                <w:color w:val="auto"/>
              </w:rPr>
            </w:pPr>
            <w:r>
              <w:rPr>
                <w:rFonts w:ascii="Arial" w:cs="Arial" w:eastAsia="Arial" w:hAnsi="Arial"/>
                <w:sz w:val="18"/>
                <w:szCs w:val="18"/>
                <w:b w:val="1"/>
                <w:bCs w:val="1"/>
                <w:color w:val="auto"/>
              </w:rPr>
              <w:t>IMPORTANT NOTICE REGARDING THE AVAILABILITY OF</w:t>
            </w:r>
          </w:p>
        </w:tc>
        <w:tc>
          <w:tcPr>
            <w:tcW w:w="820" w:type="dxa"/>
            <w:vAlign w:val="bottom"/>
            <w:tcBorders>
              <w:right w:val="single" w:sz="8" w:color="2D53A6"/>
            </w:tcBorders>
            <w:gridSpan w:val="2"/>
          </w:tcPr>
          <w:p>
            <w:pPr>
              <w:jc w:val="right"/>
              <w:ind w:right="50"/>
              <w:spacing w:after="0" w:line="195" w:lineRule="exact"/>
              <w:rPr>
                <w:sz w:val="20"/>
                <w:szCs w:val="20"/>
                <w:color w:val="auto"/>
              </w:rPr>
            </w:pPr>
            <w:r>
              <w:rPr>
                <w:rFonts w:ascii="Arial" w:cs="Arial" w:eastAsia="Arial" w:hAnsi="Arial"/>
                <w:sz w:val="18"/>
                <w:szCs w:val="18"/>
                <w:b w:val="1"/>
                <w:bCs w:val="1"/>
                <w:color w:val="auto"/>
              </w:rPr>
              <w:t>5</w:t>
            </w:r>
          </w:p>
        </w:tc>
        <w:tc>
          <w:tcPr>
            <w:tcW w:w="33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w w:val="98"/>
              </w:rPr>
              <w:t>To approve amendments to the Cohu, Inc.</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122"/>
        </w:trPr>
        <w:tc>
          <w:tcPr>
            <w:tcW w:w="5400" w:type="dxa"/>
            <w:vAlign w:val="bottom"/>
            <w:gridSpan w:val="4"/>
            <w:vMerge w:val="continue"/>
            <w:shd w:val="clear" w:color="auto" w:fill="E6E6E6"/>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Borders>
              <w:right w:val="single" w:sz="8" w:color="2D53A6"/>
            </w:tcBorders>
          </w:tcPr>
          <w:p>
            <w:pPr>
              <w:spacing w:after="0"/>
              <w:rPr>
                <w:sz w:val="10"/>
                <w:szCs w:val="10"/>
                <w:color w:val="auto"/>
              </w:rPr>
            </w:pPr>
          </w:p>
        </w:tc>
        <w:tc>
          <w:tcPr>
            <w:tcW w:w="3360" w:type="dxa"/>
            <w:vAlign w:val="bottom"/>
            <w:tcBorders>
              <w:right w:val="single" w:sz="8" w:color="2D53A6"/>
            </w:tcBorders>
            <w:vMerge w:val="restart"/>
          </w:tcPr>
          <w:p>
            <w:pPr>
              <w:spacing w:after="0" w:line="199" w:lineRule="exact"/>
              <w:rPr>
                <w:sz w:val="20"/>
                <w:szCs w:val="20"/>
                <w:color w:val="auto"/>
              </w:rPr>
            </w:pPr>
            <w:r>
              <w:rPr>
                <w:rFonts w:ascii="Arial" w:cs="Arial" w:eastAsia="Arial" w:hAnsi="Arial"/>
                <w:sz w:val="18"/>
                <w:szCs w:val="18"/>
                <w:color w:val="auto"/>
              </w:rPr>
              <w:t>1997 Employee Stock Purchase Plan</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5400" w:type="dxa"/>
            <w:vAlign w:val="bottom"/>
            <w:gridSpan w:val="4"/>
            <w:vMerge w:val="continue"/>
            <w:shd w:val="clear" w:color="auto" w:fill="E6E6E6"/>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Borders>
              <w:right w:val="single" w:sz="8" w:color="2D53A6"/>
            </w:tcBorders>
          </w:tcPr>
          <w:p>
            <w:pPr>
              <w:spacing w:after="0"/>
              <w:rPr>
                <w:sz w:val="6"/>
                <w:szCs w:val="6"/>
                <w:color w:val="auto"/>
              </w:rPr>
            </w:pPr>
          </w:p>
        </w:tc>
        <w:tc>
          <w:tcPr>
            <w:tcW w:w="3360" w:type="dxa"/>
            <w:vAlign w:val="bottom"/>
            <w:tcBorders>
              <w:right w:val="single" w:sz="8" w:color="2D53A6"/>
            </w:tcBorders>
            <w:vMerge w:val="continue"/>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5400" w:type="dxa"/>
            <w:vAlign w:val="bottom"/>
            <w:tcBorders>
              <w:bottom w:val="single" w:sz="8" w:color="E6E6E6"/>
            </w:tcBorders>
            <w:gridSpan w:val="4"/>
            <w:vMerge w:val="restart"/>
            <w:shd w:val="clear" w:color="auto" w:fill="E6E6E6"/>
          </w:tcPr>
          <w:p>
            <w:pPr>
              <w:spacing w:after="0"/>
              <w:rPr>
                <w:sz w:val="20"/>
                <w:szCs w:val="20"/>
                <w:color w:val="auto"/>
              </w:rPr>
            </w:pPr>
            <w:r>
              <w:rPr>
                <w:rFonts w:ascii="Arial" w:cs="Arial" w:eastAsia="Arial" w:hAnsi="Arial"/>
                <w:sz w:val="18"/>
                <w:szCs w:val="18"/>
                <w:b w:val="1"/>
                <w:bCs w:val="1"/>
                <w:color w:val="auto"/>
              </w:rPr>
              <w:t>PROXY MATERIALS FOR THE 2023 ANNUAL MEETING OF</w:t>
            </w:r>
          </w:p>
        </w:tc>
        <w:tc>
          <w:tcPr>
            <w:tcW w:w="460" w:type="dxa"/>
            <w:vAlign w:val="bottom"/>
            <w:vMerge w:val="restart"/>
          </w:tcPr>
          <w:p>
            <w:pPr>
              <w:spacing w:after="0"/>
              <w:rPr>
                <w:sz w:val="2"/>
                <w:szCs w:val="2"/>
                <w:color w:val="auto"/>
              </w:rPr>
            </w:pPr>
          </w:p>
        </w:tc>
        <w:tc>
          <w:tcPr>
            <w:tcW w:w="360" w:type="dxa"/>
            <w:vAlign w:val="bottom"/>
            <w:tcBorders>
              <w:bottom w:val="single" w:sz="8" w:color="2D53A6"/>
              <w:right w:val="single" w:sz="8" w:color="2D53A6"/>
            </w:tcBorders>
          </w:tcPr>
          <w:p>
            <w:pPr>
              <w:spacing w:after="0"/>
              <w:rPr>
                <w:sz w:val="2"/>
                <w:szCs w:val="2"/>
                <w:color w:val="auto"/>
              </w:rPr>
            </w:pPr>
          </w:p>
        </w:tc>
        <w:tc>
          <w:tcPr>
            <w:tcW w:w="3360" w:type="dxa"/>
            <w:vAlign w:val="bottom"/>
            <w:tcBorders>
              <w:bottom w:val="single" w:sz="8" w:color="2D53A6"/>
              <w:right w:val="single" w:sz="8" w:color="2D53A6"/>
            </w:tcBorders>
          </w:tcPr>
          <w:p>
            <w:pPr>
              <w:spacing w:after="0"/>
              <w:rPr>
                <w:sz w:val="2"/>
                <w:szCs w:val="2"/>
                <w:color w:val="auto"/>
              </w:rPr>
            </w:pPr>
          </w:p>
        </w:tc>
        <w:tc>
          <w:tcPr>
            <w:tcW w:w="16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400" w:type="dxa"/>
            <w:vAlign w:val="bottom"/>
            <w:gridSpan w:val="4"/>
            <w:vMerge w:val="continue"/>
            <w:shd w:val="clear" w:color="auto" w:fill="E6E6E6"/>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Borders>
              <w:right w:val="single" w:sz="8" w:color="2D53A6"/>
            </w:tcBorders>
            <w:shd w:val="clear" w:color="auto" w:fill="E6E6E6"/>
          </w:tcPr>
          <w:p>
            <w:pPr>
              <w:jc w:val="right"/>
              <w:ind w:right="50"/>
              <w:spacing w:after="0" w:line="164" w:lineRule="exact"/>
              <w:rPr>
                <w:sz w:val="20"/>
                <w:szCs w:val="20"/>
                <w:color w:val="auto"/>
              </w:rPr>
            </w:pPr>
            <w:r>
              <w:rPr>
                <w:rFonts w:ascii="Arial" w:cs="Arial" w:eastAsia="Arial" w:hAnsi="Arial"/>
                <w:sz w:val="18"/>
                <w:szCs w:val="18"/>
                <w:b w:val="1"/>
                <w:bCs w:val="1"/>
                <w:color w:val="auto"/>
              </w:rPr>
              <w:t>6</w:t>
            </w:r>
          </w:p>
        </w:tc>
        <w:tc>
          <w:tcPr>
            <w:tcW w:w="3360" w:type="dxa"/>
            <w:vAlign w:val="bottom"/>
            <w:tcBorders>
              <w:right w:val="single" w:sz="8" w:color="2D53A6"/>
            </w:tcBorders>
            <w:shd w:val="clear" w:color="auto" w:fill="E6E6E6"/>
          </w:tcPr>
          <w:p>
            <w:pPr>
              <w:spacing w:after="0" w:line="164" w:lineRule="exact"/>
              <w:rPr>
                <w:sz w:val="20"/>
                <w:szCs w:val="20"/>
                <w:color w:val="auto"/>
              </w:rPr>
            </w:pPr>
            <w:r>
              <w:rPr>
                <w:rFonts w:ascii="Arial" w:cs="Arial" w:eastAsia="Arial" w:hAnsi="Arial"/>
                <w:sz w:val="18"/>
                <w:szCs w:val="18"/>
                <w:color w:val="auto"/>
              </w:rPr>
              <w:t>Ratification of the appointment of Ernst &amp;</w:t>
            </w:r>
          </w:p>
        </w:tc>
        <w:tc>
          <w:tcPr>
            <w:tcW w:w="166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5400" w:type="dxa"/>
            <w:vAlign w:val="bottom"/>
            <w:gridSpan w:val="4"/>
            <w:shd w:val="clear" w:color="auto" w:fill="E6E6E6"/>
          </w:tcPr>
          <w:p>
            <w:pPr>
              <w:spacing w:after="0"/>
              <w:rPr>
                <w:sz w:val="20"/>
                <w:szCs w:val="20"/>
                <w:color w:val="auto"/>
              </w:rPr>
            </w:pPr>
            <w:r>
              <w:rPr>
                <w:rFonts w:ascii="Arial" w:cs="Arial" w:eastAsia="Arial" w:hAnsi="Arial"/>
                <w:sz w:val="18"/>
                <w:szCs w:val="18"/>
                <w:b w:val="1"/>
                <w:bCs w:val="1"/>
                <w:color w:val="auto"/>
              </w:rPr>
              <w:t>STOCKHOLDERS TO BE HELD MAY 10, 2023</w:t>
            </w:r>
          </w:p>
        </w:tc>
        <w:tc>
          <w:tcPr>
            <w:tcW w:w="460" w:type="dxa"/>
            <w:vAlign w:val="bottom"/>
          </w:tcPr>
          <w:p>
            <w:pPr>
              <w:spacing w:after="0"/>
              <w:rPr>
                <w:sz w:val="21"/>
                <w:szCs w:val="21"/>
                <w:color w:val="auto"/>
              </w:rPr>
            </w:pPr>
          </w:p>
        </w:tc>
        <w:tc>
          <w:tcPr>
            <w:tcW w:w="360" w:type="dxa"/>
            <w:vAlign w:val="bottom"/>
            <w:tcBorders>
              <w:right w:val="single" w:sz="8" w:color="2D53A6"/>
            </w:tcBorders>
            <w:shd w:val="clear" w:color="auto" w:fill="E6E6E6"/>
          </w:tcPr>
          <w:p>
            <w:pPr>
              <w:spacing w:after="0"/>
              <w:rPr>
                <w:sz w:val="21"/>
                <w:szCs w:val="21"/>
                <w:color w:val="auto"/>
              </w:rPr>
            </w:pPr>
          </w:p>
        </w:tc>
        <w:tc>
          <w:tcPr>
            <w:tcW w:w="33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9"/>
              </w:rPr>
              <w:t>Young LLP as our independent registered</w:t>
            </w:r>
          </w:p>
        </w:tc>
        <w:tc>
          <w:tcPr>
            <w:tcW w:w="1660" w:type="dxa"/>
            <w:vAlign w:val="bottom"/>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30"/>
        </w:trPr>
        <w:tc>
          <w:tcPr>
            <w:tcW w:w="1140" w:type="dxa"/>
            <w:vAlign w:val="bottom"/>
            <w:tcBorders>
              <w:bottom w:val="single" w:sz="8" w:color="E6E6E6"/>
            </w:tcBorders>
            <w:shd w:val="clear" w:color="auto" w:fill="E6E6E6"/>
          </w:tcPr>
          <w:p>
            <w:pPr>
              <w:spacing w:after="0"/>
              <w:rPr>
                <w:sz w:val="20"/>
                <w:szCs w:val="20"/>
                <w:color w:val="auto"/>
              </w:rPr>
            </w:pPr>
          </w:p>
        </w:tc>
        <w:tc>
          <w:tcPr>
            <w:tcW w:w="560" w:type="dxa"/>
            <w:vAlign w:val="bottom"/>
            <w:tcBorders>
              <w:bottom w:val="single" w:sz="8" w:color="E6E6E6"/>
              <w:right w:val="single" w:sz="8" w:color="E6E6E6"/>
            </w:tcBorders>
            <w:shd w:val="clear" w:color="auto" w:fill="E6E6E6"/>
          </w:tcPr>
          <w:p>
            <w:pPr>
              <w:spacing w:after="0"/>
              <w:rPr>
                <w:sz w:val="20"/>
                <w:szCs w:val="20"/>
                <w:color w:val="auto"/>
              </w:rPr>
            </w:pPr>
          </w:p>
        </w:tc>
        <w:tc>
          <w:tcPr>
            <w:tcW w:w="1120" w:type="dxa"/>
            <w:vAlign w:val="bottom"/>
            <w:tcBorders>
              <w:bottom w:val="single" w:sz="8" w:color="E6E6E6"/>
            </w:tcBorders>
            <w:shd w:val="clear" w:color="auto" w:fill="E6E6E6"/>
          </w:tcPr>
          <w:p>
            <w:pPr>
              <w:spacing w:after="0"/>
              <w:rPr>
                <w:sz w:val="20"/>
                <w:szCs w:val="20"/>
                <w:color w:val="auto"/>
              </w:rPr>
            </w:pPr>
          </w:p>
        </w:tc>
        <w:tc>
          <w:tcPr>
            <w:tcW w:w="2580" w:type="dxa"/>
            <w:vAlign w:val="bottom"/>
            <w:tcBorders>
              <w:bottom w:val="single" w:sz="8" w:color="E6E6E6"/>
            </w:tcBorders>
            <w:shd w:val="clear" w:color="auto" w:fill="E6E6E6"/>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2D53A6"/>
              <w:right w:val="single" w:sz="8" w:color="2D53A6"/>
            </w:tcBorders>
            <w:shd w:val="clear" w:color="auto" w:fill="E6E6E6"/>
          </w:tcPr>
          <w:p>
            <w:pPr>
              <w:spacing w:after="0"/>
              <w:rPr>
                <w:sz w:val="20"/>
                <w:szCs w:val="20"/>
                <w:color w:val="auto"/>
              </w:rPr>
            </w:pPr>
          </w:p>
        </w:tc>
        <w:tc>
          <w:tcPr>
            <w:tcW w:w="33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public accounting firm for fiscal year 2023</w:t>
            </w:r>
          </w:p>
        </w:tc>
        <w:tc>
          <w:tcPr>
            <w:tcW w:w="166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0" w:type="dxa"/>
            <w:vAlign w:val="bottom"/>
            <w:gridSpan w:val="4"/>
          </w:tcPr>
          <w:p>
            <w:pPr>
              <w:spacing w:after="0" w:line="195" w:lineRule="exact"/>
              <w:rPr>
                <w:sz w:val="20"/>
                <w:szCs w:val="20"/>
                <w:color w:val="auto"/>
              </w:rPr>
            </w:pPr>
            <w:r>
              <w:rPr>
                <w:rFonts w:ascii="Arial" w:cs="Arial" w:eastAsia="Arial" w:hAnsi="Arial"/>
                <w:sz w:val="18"/>
                <w:szCs w:val="18"/>
                <w:color w:val="auto"/>
                <w:w w:val="91"/>
              </w:rPr>
              <w:t>Our notice of 2023 Annual Meeting of Stockholders, proxy statement, and</w:t>
            </w:r>
          </w:p>
        </w:tc>
        <w:tc>
          <w:tcPr>
            <w:tcW w:w="460" w:type="dxa"/>
            <w:vAlign w:val="bottom"/>
          </w:tcPr>
          <w:p>
            <w:pPr>
              <w:spacing w:after="0"/>
              <w:rPr>
                <w:sz w:val="16"/>
                <w:szCs w:val="16"/>
                <w:color w:val="auto"/>
              </w:rPr>
            </w:pPr>
          </w:p>
        </w:tc>
        <w:tc>
          <w:tcPr>
            <w:tcW w:w="360" w:type="dxa"/>
            <w:vAlign w:val="bottom"/>
            <w:tcBorders>
              <w:right w:val="single" w:sz="8" w:color="2D53A6"/>
            </w:tcBorders>
          </w:tcPr>
          <w:p>
            <w:pPr>
              <w:spacing w:after="0"/>
              <w:rPr>
                <w:sz w:val="16"/>
                <w:szCs w:val="16"/>
                <w:color w:val="auto"/>
              </w:rPr>
            </w:pPr>
          </w:p>
        </w:tc>
        <w:tc>
          <w:tcPr>
            <w:tcW w:w="33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w w:val="89"/>
              </w:rPr>
              <w:t>Transaction of other business as may properly</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4"/>
          </w:tcPr>
          <w:p>
            <w:pPr>
              <w:spacing w:after="0"/>
              <w:rPr>
                <w:sz w:val="20"/>
                <w:szCs w:val="20"/>
                <w:color w:val="auto"/>
              </w:rPr>
            </w:pPr>
            <w:r>
              <w:rPr>
                <w:rFonts w:ascii="Arial" w:cs="Arial" w:eastAsia="Arial" w:hAnsi="Arial"/>
                <w:sz w:val="18"/>
                <w:szCs w:val="18"/>
                <w:color w:val="auto"/>
              </w:rPr>
              <w:t>annual report to stockholders are available at</w:t>
            </w:r>
          </w:p>
        </w:tc>
        <w:tc>
          <w:tcPr>
            <w:tcW w:w="460" w:type="dxa"/>
            <w:vAlign w:val="bottom"/>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7"/>
              </w:rPr>
              <w:t>come before the annual meeting (including</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gridSpan w:val="4"/>
          </w:tcPr>
          <w:p>
            <w:pPr>
              <w:spacing w:after="0" w:line="190" w:lineRule="exact"/>
              <w:rPr>
                <w:sz w:val="20"/>
                <w:szCs w:val="20"/>
                <w:color w:val="auto"/>
              </w:rPr>
            </w:pPr>
            <w:r>
              <w:rPr>
                <w:rFonts w:ascii="Arial" w:cs="Arial" w:eastAsia="Arial" w:hAnsi="Arial"/>
                <w:sz w:val="18"/>
                <w:szCs w:val="18"/>
                <w:color w:val="auto"/>
              </w:rPr>
              <w:t>http://materials.proxyvote.com/192576 and on Cohu’s website at</w:t>
            </w:r>
          </w:p>
        </w:tc>
        <w:tc>
          <w:tcPr>
            <w:tcW w:w="460" w:type="dxa"/>
            <w:vAlign w:val="bottom"/>
          </w:tcPr>
          <w:p>
            <w:pPr>
              <w:spacing w:after="0"/>
              <w:rPr>
                <w:sz w:val="16"/>
                <w:szCs w:val="16"/>
                <w:color w:val="auto"/>
              </w:rPr>
            </w:pPr>
          </w:p>
        </w:tc>
        <w:tc>
          <w:tcPr>
            <w:tcW w:w="360" w:type="dxa"/>
            <w:vAlign w:val="bottom"/>
            <w:tcBorders>
              <w:right w:val="single" w:sz="8" w:color="2D53A6"/>
            </w:tcBorders>
          </w:tcPr>
          <w:p>
            <w:pPr>
              <w:spacing w:after="0"/>
              <w:rPr>
                <w:sz w:val="16"/>
                <w:szCs w:val="16"/>
                <w:color w:val="auto"/>
              </w:rPr>
            </w:pPr>
          </w:p>
        </w:tc>
        <w:tc>
          <w:tcPr>
            <w:tcW w:w="3360" w:type="dxa"/>
            <w:vAlign w:val="bottom"/>
            <w:tcBorders>
              <w:right w:val="single" w:sz="8" w:color="2D53A6"/>
            </w:tcBorders>
          </w:tcPr>
          <w:p>
            <w:pPr>
              <w:spacing w:after="0" w:line="190" w:lineRule="exact"/>
              <w:rPr>
                <w:sz w:val="20"/>
                <w:szCs w:val="20"/>
                <w:color w:val="auto"/>
              </w:rPr>
            </w:pPr>
            <w:r>
              <w:rPr>
                <w:rFonts w:ascii="Arial" w:cs="Arial" w:eastAsia="Arial" w:hAnsi="Arial"/>
                <w:sz w:val="18"/>
                <w:szCs w:val="18"/>
                <w:color w:val="auto"/>
                <w:w w:val="97"/>
              </w:rPr>
              <w:t>any adjournment or postponement thereof)</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www.cohu.com.</w:t>
            </w:r>
          </w:p>
        </w:tc>
        <w:tc>
          <w:tcPr>
            <w:tcW w:w="1120" w:type="dxa"/>
            <w:vAlign w:val="bottom"/>
            <w:tcBorders>
              <w:top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Borders>
              <w:right w:val="single" w:sz="8" w:color="2D53A6"/>
            </w:tcBorders>
          </w:tcPr>
          <w:p>
            <w:pPr>
              <w:spacing w:after="0"/>
              <w:rPr>
                <w:sz w:val="17"/>
                <w:szCs w:val="17"/>
                <w:color w:val="auto"/>
              </w:rPr>
            </w:pPr>
          </w:p>
        </w:tc>
        <w:tc>
          <w:tcPr>
            <w:tcW w:w="3360" w:type="dxa"/>
            <w:vAlign w:val="bottom"/>
            <w:tcBorders>
              <w:right w:val="single" w:sz="8" w:color="2D53A6"/>
            </w:tcBorders>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2D53A6"/>
              <w:right w:val="single" w:sz="8" w:color="2D53A6"/>
            </w:tcBorders>
          </w:tcPr>
          <w:p>
            <w:pPr>
              <w:spacing w:after="0" w:line="20" w:lineRule="exact"/>
              <w:rPr>
                <w:sz w:val="1"/>
                <w:szCs w:val="1"/>
                <w:color w:val="auto"/>
              </w:rPr>
            </w:pPr>
          </w:p>
        </w:tc>
        <w:tc>
          <w:tcPr>
            <w:tcW w:w="3360" w:type="dxa"/>
            <w:vAlign w:val="bottom"/>
            <w:tcBorders>
              <w:bottom w:val="single" w:sz="8" w:color="2D53A6"/>
              <w:right w:val="single" w:sz="8" w:color="2D53A6"/>
            </w:tcBorders>
          </w:tcPr>
          <w:p>
            <w:pPr>
              <w:spacing w:after="0" w:line="20" w:lineRule="exact"/>
              <w:rPr>
                <w:sz w:val="1"/>
                <w:szCs w:val="1"/>
                <w:color w:val="auto"/>
              </w:rPr>
            </w:pPr>
          </w:p>
        </w:tc>
        <w:tc>
          <w:tcPr>
            <w:tcW w:w="1660" w:type="dxa"/>
            <w:vAlign w:val="bottom"/>
            <w:tcBorders>
              <w:bottom w:val="single" w:sz="8" w:color="2D5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-3085465</wp:posOffset>
            </wp:positionV>
            <wp:extent cx="29146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-2510790</wp:posOffset>
            </wp:positionV>
            <wp:extent cx="291465"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3720465" cy="1534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20465" cy="153479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Elect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429000" cy="181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0" cy="18173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FFFFFF"/>
        </w:rPr>
        <w:t>Save Time, Money &amp; Trees</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FFFFFF"/>
        </w:rPr>
        <w:t>As part of our efforts to be an environmentally responsible corporate citizen, we encourage Cohu stockholders to voluntarily elect to receive future proxy and annual report materials electronically.</w:t>
      </w:r>
    </w:p>
    <w:p>
      <w:pPr>
        <w:spacing w:after="0" w:line="155" w:lineRule="exact"/>
        <w:rPr>
          <w:sz w:val="20"/>
          <w:szCs w:val="20"/>
          <w:color w:val="auto"/>
        </w:rPr>
      </w:pPr>
    </w:p>
    <w:p>
      <w:pPr>
        <w:ind w:left="500" w:right="1380" w:hanging="168"/>
        <w:spacing w:after="0" w:line="274" w:lineRule="auto"/>
        <w:tabs>
          <w:tab w:leader="none" w:pos="491" w:val="left"/>
        </w:tabs>
        <w:numPr>
          <w:ilvl w:val="0"/>
          <w:numId w:val="5"/>
        </w:numPr>
        <w:rPr>
          <w:rFonts w:ascii="Arial" w:cs="Arial" w:eastAsia="Arial" w:hAnsi="Arial"/>
          <w:sz w:val="17"/>
          <w:szCs w:val="17"/>
          <w:color w:val="FFFFFF"/>
        </w:rPr>
      </w:pPr>
      <w:r>
        <w:rPr>
          <w:rFonts w:ascii="Arial" w:cs="Arial" w:eastAsia="Arial" w:hAnsi="Arial"/>
          <w:sz w:val="17"/>
          <w:szCs w:val="17"/>
          <w:color w:val="FFFFFF"/>
        </w:rPr>
        <w:t>If you are a registered stockholder, please visit www.proxyvote.com for instructions.</w:t>
      </w:r>
    </w:p>
    <w:p>
      <w:pPr>
        <w:ind w:left="500" w:right="380" w:hanging="168"/>
        <w:spacing w:after="0" w:line="216" w:lineRule="exact"/>
        <w:tabs>
          <w:tab w:leader="none" w:pos="491" w:val="left"/>
        </w:tabs>
        <w:numPr>
          <w:ilvl w:val="0"/>
          <w:numId w:val="5"/>
        </w:numPr>
        <w:rPr>
          <w:rFonts w:ascii="Arial" w:cs="Arial" w:eastAsia="Arial" w:hAnsi="Arial"/>
          <w:sz w:val="18"/>
          <w:szCs w:val="18"/>
          <w:color w:val="FFFFFF"/>
        </w:rPr>
      </w:pPr>
      <w:r>
        <w:rPr>
          <w:rFonts w:ascii="Arial" w:cs="Arial" w:eastAsia="Arial" w:hAnsi="Arial"/>
          <w:sz w:val="18"/>
          <w:szCs w:val="18"/>
          <w:color w:val="FFFFFF"/>
        </w:rPr>
        <w:t>If you are a stockholder who owns stock through a broker or brokerage account, please opt for e</w:t>
      </w:r>
      <w:r>
        <w:rPr>
          <w:rFonts w:ascii="MS PGothic" w:cs="MS PGothic" w:eastAsia="MS PGothic" w:hAnsi="MS PGothic"/>
          <w:sz w:val="18"/>
          <w:szCs w:val="18"/>
          <w:color w:val="FFFFFF"/>
        </w:rPr>
        <w:t>‑</w:t>
      </w:r>
      <w:r>
        <w:rPr>
          <w:rFonts w:ascii="Arial" w:cs="Arial" w:eastAsia="Arial" w:hAnsi="Arial"/>
          <w:sz w:val="18"/>
          <w:szCs w:val="18"/>
          <w:color w:val="FFFFFF"/>
        </w:rPr>
        <w:t>delivery at www.proxyvote.com or by contacting your nominee.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Distribution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notice, the notice of internet availability of proxy materials, proxy statement and proxy card are first being made available and/or mailed to our stockholders on or about March 28, 2023.</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Please vote as soon as possible, even if you plan to attend the annual meeting, on all of the voting matters. You have three options for submitting your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114300</wp:posOffset>
            </wp:positionV>
            <wp:extent cx="3128645" cy="711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864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proxy statement and the accompanying proxy card provide detailed voting instructions.</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IT IS IMPORTANT THAT YOU VOTE </w:t>
      </w:r>
      <w:r>
        <w:rPr>
          <w:rFonts w:ascii="Arial" w:cs="Arial" w:eastAsia="Arial" w:hAnsi="Arial"/>
          <w:sz w:val="18"/>
          <w:szCs w:val="18"/>
          <w:color w:val="auto"/>
        </w:rPr>
        <w:t>to play a part in the future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Please carefully review the proxy materials for the 2023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D. Kampfer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142875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502920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640"/>
            <w:col w:w="5380"/>
          </w:cols>
          <w:pgMar w:left="320" w:top="9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i w:val="1"/>
          <w:iCs w:val="1"/>
          <w:color w:val="2D53A6"/>
        </w:rPr>
        <w:t>Proxy Statement for 2023 Annual Meeting of Stockholders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Proxy Statement Summary</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1</w:t>
            </w:r>
          </w:p>
        </w:tc>
      </w:tr>
      <w:tr>
        <w:trPr>
          <w:trHeight w:val="202"/>
        </w:trPr>
        <w:tc>
          <w:tcPr>
            <w:tcW w:w="9580" w:type="dxa"/>
            <w:vAlign w:val="bottom"/>
          </w:tcPr>
          <w:p>
            <w:pPr>
              <w:ind w:left="280"/>
              <w:spacing w:after="0" w:line="201" w:lineRule="exact"/>
              <w:rPr>
                <w:sz w:val="20"/>
                <w:szCs w:val="20"/>
                <w:color w:val="auto"/>
              </w:rPr>
            </w:pPr>
            <w:r>
              <w:rPr>
                <w:rFonts w:ascii="Arial" w:cs="Arial" w:eastAsia="Arial" w:hAnsi="Arial"/>
                <w:sz w:val="18"/>
                <w:szCs w:val="18"/>
                <w:color w:val="auto"/>
              </w:rPr>
              <w:t>About Cohu</w:t>
            </w:r>
          </w:p>
        </w:tc>
        <w:tc>
          <w:tcPr>
            <w:tcW w:w="1660" w:type="dxa"/>
            <w:vAlign w:val="bottom"/>
          </w:tcPr>
          <w:p>
            <w:pPr>
              <w:spacing w:after="0"/>
              <w:rPr>
                <w:sz w:val="17"/>
                <w:szCs w:val="17"/>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Fiscal Year 2022 Financial Highlights</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Proposals and Voting Recommendations</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Summary Information Regarding our Directors</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Director Key Requirements, Skills and Experience Highlights</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Director Demographic Highlights</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Corporate Governance Highlights</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Executive Compensation Highlights</w:t>
            </w:r>
          </w:p>
        </w:tc>
        <w:tc>
          <w:tcPr>
            <w:tcW w:w="1660" w:type="dxa"/>
            <w:vAlign w:val="bottom"/>
          </w:tcPr>
          <w:p>
            <w:pPr>
              <w:spacing w:after="0"/>
              <w:rPr>
                <w:sz w:val="18"/>
                <w:szCs w:val="18"/>
                <w:color w:val="auto"/>
              </w:rPr>
            </w:pPr>
          </w:p>
        </w:tc>
      </w:tr>
      <w:tr>
        <w:trPr>
          <w:trHeight w:val="230"/>
        </w:trPr>
        <w:tc>
          <w:tcPr>
            <w:tcW w:w="9580" w:type="dxa"/>
            <w:vAlign w:val="bottom"/>
          </w:tcPr>
          <w:p>
            <w:pPr>
              <w:ind w:left="280"/>
              <w:spacing w:after="0"/>
              <w:rPr>
                <w:sz w:val="20"/>
                <w:szCs w:val="20"/>
                <w:color w:val="auto"/>
              </w:rPr>
            </w:pPr>
            <w:r>
              <w:rPr>
                <w:rFonts w:ascii="Arial" w:cs="Arial" w:eastAsia="Arial" w:hAnsi="Arial"/>
                <w:sz w:val="18"/>
                <w:szCs w:val="18"/>
                <w:color w:val="auto"/>
              </w:rPr>
              <w:t>Sustainability Highlights</w:t>
            </w:r>
          </w:p>
        </w:tc>
        <w:tc>
          <w:tcPr>
            <w:tcW w:w="1660" w:type="dxa"/>
            <w:vAlign w:val="bottom"/>
          </w:tcPr>
          <w:p>
            <w:pPr>
              <w:spacing w:after="0"/>
              <w:rPr>
                <w:sz w:val="20"/>
                <w:szCs w:val="20"/>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Stock Ownership</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12</w:t>
            </w:r>
          </w:p>
        </w:tc>
      </w:tr>
      <w:tr>
        <w:trPr>
          <w:trHeight w:val="202"/>
        </w:trPr>
        <w:tc>
          <w:tcPr>
            <w:tcW w:w="9580" w:type="dxa"/>
            <w:vAlign w:val="bottom"/>
          </w:tcPr>
          <w:p>
            <w:pPr>
              <w:ind w:left="280"/>
              <w:spacing w:after="0" w:line="201" w:lineRule="exact"/>
              <w:rPr>
                <w:sz w:val="20"/>
                <w:szCs w:val="20"/>
                <w:color w:val="auto"/>
              </w:rPr>
            </w:pPr>
            <w:r>
              <w:rPr>
                <w:rFonts w:ascii="Arial" w:cs="Arial" w:eastAsia="Arial" w:hAnsi="Arial"/>
                <w:sz w:val="18"/>
                <w:szCs w:val="18"/>
                <w:color w:val="auto"/>
              </w:rPr>
              <w:t>Security Ownership of Certain Beneficial Owners and Management</w:t>
            </w:r>
          </w:p>
        </w:tc>
        <w:tc>
          <w:tcPr>
            <w:tcW w:w="1660" w:type="dxa"/>
            <w:vAlign w:val="bottom"/>
          </w:tcPr>
          <w:p>
            <w:pPr>
              <w:spacing w:after="0"/>
              <w:rPr>
                <w:sz w:val="17"/>
                <w:szCs w:val="17"/>
                <w:color w:val="auto"/>
              </w:rPr>
            </w:pPr>
          </w:p>
        </w:tc>
      </w:tr>
      <w:tr>
        <w:trPr>
          <w:trHeight w:val="230"/>
        </w:trPr>
        <w:tc>
          <w:tcPr>
            <w:tcW w:w="9580" w:type="dxa"/>
            <w:vAlign w:val="bottom"/>
          </w:tcPr>
          <w:p>
            <w:pPr>
              <w:ind w:left="280"/>
              <w:spacing w:after="0"/>
              <w:rPr>
                <w:sz w:val="20"/>
                <w:szCs w:val="20"/>
                <w:color w:val="auto"/>
              </w:rPr>
            </w:pPr>
            <w:r>
              <w:rPr>
                <w:rFonts w:ascii="Arial" w:cs="Arial" w:eastAsia="Arial" w:hAnsi="Arial"/>
                <w:sz w:val="18"/>
                <w:szCs w:val="18"/>
                <w:color w:val="auto"/>
              </w:rPr>
              <w:t>Delinquent Section 16(a) Reports</w:t>
            </w:r>
          </w:p>
        </w:tc>
        <w:tc>
          <w:tcPr>
            <w:tcW w:w="1660" w:type="dxa"/>
            <w:vAlign w:val="bottom"/>
          </w:tcPr>
          <w:p>
            <w:pPr>
              <w:spacing w:after="0"/>
              <w:rPr>
                <w:sz w:val="20"/>
                <w:szCs w:val="20"/>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Governance Matters</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13</w:t>
            </w:r>
          </w:p>
        </w:tc>
      </w:tr>
      <w:tr>
        <w:trPr>
          <w:trHeight w:val="202"/>
        </w:trPr>
        <w:tc>
          <w:tcPr>
            <w:tcW w:w="9580" w:type="dxa"/>
            <w:vAlign w:val="bottom"/>
          </w:tcPr>
          <w:p>
            <w:pPr>
              <w:ind w:left="280"/>
              <w:spacing w:after="0" w:line="201" w:lineRule="exact"/>
              <w:rPr>
                <w:sz w:val="20"/>
                <w:szCs w:val="20"/>
                <w:color w:val="auto"/>
              </w:rPr>
            </w:pPr>
            <w:r>
              <w:rPr>
                <w:rFonts w:ascii="Arial" w:cs="Arial" w:eastAsia="Arial" w:hAnsi="Arial"/>
                <w:sz w:val="18"/>
                <w:szCs w:val="18"/>
                <w:color w:val="auto"/>
              </w:rPr>
              <w:t>Corporate Governance</w:t>
            </w:r>
          </w:p>
        </w:tc>
        <w:tc>
          <w:tcPr>
            <w:tcW w:w="1660" w:type="dxa"/>
            <w:vAlign w:val="bottom"/>
          </w:tcPr>
          <w:p>
            <w:pPr>
              <w:spacing w:after="0"/>
              <w:rPr>
                <w:sz w:val="17"/>
                <w:szCs w:val="17"/>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Board of Directors and Committees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Director Independence</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Board Structure and Committee Composition</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Audit Committee</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 Committee</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Nominating and Governance Committee</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Board Leadership Structure</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Risk Oversight</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Stockholder Nominees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Director Qualifications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Identifying and Evaluating Nominees for Directors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Executive Sessions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Communications with the Board</w:t>
            </w:r>
          </w:p>
        </w:tc>
        <w:tc>
          <w:tcPr>
            <w:tcW w:w="1660" w:type="dxa"/>
            <w:vAlign w:val="bottom"/>
          </w:tcPr>
          <w:p>
            <w:pPr>
              <w:spacing w:after="0"/>
              <w:rPr>
                <w:sz w:val="18"/>
                <w:szCs w:val="18"/>
                <w:color w:val="auto"/>
              </w:rPr>
            </w:pPr>
          </w:p>
        </w:tc>
      </w:tr>
      <w:tr>
        <w:trPr>
          <w:trHeight w:val="230"/>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 of Directors</w:t>
            </w:r>
          </w:p>
        </w:tc>
        <w:tc>
          <w:tcPr>
            <w:tcW w:w="1660" w:type="dxa"/>
            <w:vAlign w:val="bottom"/>
          </w:tcPr>
          <w:p>
            <w:pPr>
              <w:spacing w:after="0"/>
              <w:rPr>
                <w:sz w:val="20"/>
                <w:szCs w:val="20"/>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Compensation Matters</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21</w:t>
            </w:r>
          </w:p>
        </w:tc>
      </w:tr>
      <w:tr>
        <w:trPr>
          <w:trHeight w:val="202"/>
        </w:trPr>
        <w:tc>
          <w:tcPr>
            <w:tcW w:w="9580" w:type="dxa"/>
            <w:vAlign w:val="bottom"/>
          </w:tcPr>
          <w:p>
            <w:pPr>
              <w:ind w:left="280"/>
              <w:spacing w:after="0" w:line="201" w:lineRule="exact"/>
              <w:rPr>
                <w:sz w:val="20"/>
                <w:szCs w:val="20"/>
                <w:color w:val="auto"/>
              </w:rPr>
            </w:pPr>
            <w:r>
              <w:rPr>
                <w:rFonts w:ascii="Arial" w:cs="Arial" w:eastAsia="Arial" w:hAnsi="Arial"/>
                <w:sz w:val="18"/>
                <w:szCs w:val="18"/>
                <w:color w:val="auto"/>
              </w:rPr>
              <w:t>Executive Compensation and Other Information</w:t>
            </w:r>
          </w:p>
        </w:tc>
        <w:tc>
          <w:tcPr>
            <w:tcW w:w="1660" w:type="dxa"/>
            <w:vAlign w:val="bottom"/>
          </w:tcPr>
          <w:p>
            <w:pPr>
              <w:spacing w:after="0"/>
              <w:rPr>
                <w:sz w:val="17"/>
                <w:szCs w:val="17"/>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 Discussion and Analysis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Executive Summary</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 Philosophy</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Compensation-Setting Process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 Elements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Post-Employment Compensation</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Other Compensation Policies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Tax and Accounting Considerations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Compensation Committee Report</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Executive Compensation Tables</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CEO Pay Ratio</w:t>
            </w:r>
          </w:p>
        </w:tc>
        <w:tc>
          <w:tcPr>
            <w:tcW w:w="1660" w:type="dxa"/>
            <w:vAlign w:val="bottom"/>
          </w:tcPr>
          <w:p>
            <w:pPr>
              <w:spacing w:after="0"/>
              <w:rPr>
                <w:sz w:val="18"/>
                <w:szCs w:val="18"/>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Equity Compensation Awards and Plan Information</w:t>
            </w:r>
          </w:p>
        </w:tc>
        <w:tc>
          <w:tcPr>
            <w:tcW w:w="1660" w:type="dxa"/>
            <w:vAlign w:val="bottom"/>
          </w:tcPr>
          <w:p>
            <w:pPr>
              <w:spacing w:after="0"/>
              <w:rPr>
                <w:sz w:val="18"/>
                <w:szCs w:val="18"/>
                <w:color w:val="auto"/>
              </w:rPr>
            </w:pPr>
          </w:p>
        </w:tc>
      </w:tr>
      <w:tr>
        <w:trPr>
          <w:trHeight w:val="230"/>
        </w:trPr>
        <w:tc>
          <w:tcPr>
            <w:tcW w:w="9580" w:type="dxa"/>
            <w:vAlign w:val="bottom"/>
          </w:tcPr>
          <w:p>
            <w:pPr>
              <w:ind w:left="420"/>
              <w:spacing w:after="0"/>
              <w:rPr>
                <w:sz w:val="20"/>
                <w:szCs w:val="20"/>
                <w:color w:val="auto"/>
              </w:rPr>
            </w:pPr>
            <w:r>
              <w:rPr>
                <w:rFonts w:ascii="Arial" w:cs="Arial" w:eastAsia="Arial" w:hAnsi="Arial"/>
                <w:sz w:val="18"/>
                <w:szCs w:val="18"/>
                <w:color w:val="auto"/>
              </w:rPr>
              <w:t>Potential Payments Upon Termination or Change in Control</w:t>
            </w:r>
          </w:p>
        </w:tc>
        <w:tc>
          <w:tcPr>
            <w:tcW w:w="1660" w:type="dxa"/>
            <w:vAlign w:val="bottom"/>
          </w:tcPr>
          <w:p>
            <w:pPr>
              <w:spacing w:after="0"/>
              <w:rPr>
                <w:sz w:val="20"/>
                <w:szCs w:val="20"/>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Audit Matters</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50</w:t>
            </w:r>
          </w:p>
        </w:tc>
      </w:tr>
      <w:tr>
        <w:trPr>
          <w:trHeight w:val="202"/>
        </w:trPr>
        <w:tc>
          <w:tcPr>
            <w:tcW w:w="9580" w:type="dxa"/>
            <w:vAlign w:val="bottom"/>
          </w:tcPr>
          <w:p>
            <w:pPr>
              <w:ind w:left="280"/>
              <w:spacing w:after="0" w:line="201" w:lineRule="exact"/>
              <w:rPr>
                <w:sz w:val="20"/>
                <w:szCs w:val="20"/>
                <w:color w:val="auto"/>
              </w:rPr>
            </w:pPr>
            <w:r>
              <w:rPr>
                <w:rFonts w:ascii="Arial" w:cs="Arial" w:eastAsia="Arial" w:hAnsi="Arial"/>
                <w:sz w:val="18"/>
                <w:szCs w:val="18"/>
                <w:color w:val="auto"/>
              </w:rPr>
              <w:t>Audit Committee Report</w:t>
            </w:r>
          </w:p>
        </w:tc>
        <w:tc>
          <w:tcPr>
            <w:tcW w:w="1660" w:type="dxa"/>
            <w:vAlign w:val="bottom"/>
          </w:tcPr>
          <w:p>
            <w:pPr>
              <w:spacing w:after="0"/>
              <w:rPr>
                <w:sz w:val="17"/>
                <w:szCs w:val="17"/>
                <w:color w:val="auto"/>
              </w:rPr>
            </w:pPr>
          </w:p>
        </w:tc>
      </w:tr>
      <w:tr>
        <w:trPr>
          <w:trHeight w:val="216"/>
        </w:trPr>
        <w:tc>
          <w:tcPr>
            <w:tcW w:w="9580" w:type="dxa"/>
            <w:vAlign w:val="bottom"/>
          </w:tcPr>
          <w:p>
            <w:pPr>
              <w:ind w:left="420"/>
              <w:spacing w:after="0"/>
              <w:rPr>
                <w:sz w:val="20"/>
                <w:szCs w:val="20"/>
                <w:color w:val="auto"/>
              </w:rPr>
            </w:pPr>
            <w:r>
              <w:rPr>
                <w:rFonts w:ascii="Arial" w:cs="Arial" w:eastAsia="Arial" w:hAnsi="Arial"/>
                <w:sz w:val="18"/>
                <w:szCs w:val="18"/>
                <w:color w:val="auto"/>
              </w:rPr>
              <w:t>Audit Fees and Services</w:t>
            </w:r>
          </w:p>
        </w:tc>
        <w:tc>
          <w:tcPr>
            <w:tcW w:w="1660" w:type="dxa"/>
            <w:vAlign w:val="bottom"/>
          </w:tcPr>
          <w:p>
            <w:pPr>
              <w:spacing w:after="0"/>
              <w:rPr>
                <w:sz w:val="18"/>
                <w:szCs w:val="18"/>
                <w:color w:val="auto"/>
              </w:rPr>
            </w:pPr>
          </w:p>
        </w:tc>
      </w:tr>
      <w:tr>
        <w:trPr>
          <w:trHeight w:val="230"/>
        </w:trPr>
        <w:tc>
          <w:tcPr>
            <w:tcW w:w="9580" w:type="dxa"/>
            <w:vAlign w:val="bottom"/>
          </w:tcPr>
          <w:p>
            <w:pPr>
              <w:ind w:left="420"/>
              <w:spacing w:after="0"/>
              <w:rPr>
                <w:sz w:val="20"/>
                <w:szCs w:val="20"/>
                <w:color w:val="auto"/>
              </w:rPr>
            </w:pPr>
            <w:r>
              <w:rPr>
                <w:rFonts w:ascii="Arial" w:cs="Arial" w:eastAsia="Arial" w:hAnsi="Arial"/>
                <w:sz w:val="18"/>
                <w:szCs w:val="18"/>
                <w:color w:val="auto"/>
              </w:rPr>
              <w:t>Certain Relationships and Related Party Transactions</w:t>
            </w:r>
          </w:p>
        </w:tc>
        <w:tc>
          <w:tcPr>
            <w:tcW w:w="1660" w:type="dxa"/>
            <w:vAlign w:val="bottom"/>
          </w:tcPr>
          <w:p>
            <w:pPr>
              <w:spacing w:after="0"/>
              <w:rPr>
                <w:sz w:val="20"/>
                <w:szCs w:val="20"/>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Voting Proposals</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55</w:t>
            </w:r>
          </w:p>
        </w:tc>
      </w:tr>
      <w:tr>
        <w:trPr>
          <w:trHeight w:val="202"/>
        </w:trPr>
        <w:tc>
          <w:tcPr>
            <w:tcW w:w="9580" w:type="dxa"/>
            <w:vAlign w:val="bottom"/>
          </w:tcPr>
          <w:p>
            <w:pPr>
              <w:ind w:left="280"/>
              <w:spacing w:after="0" w:line="201" w:lineRule="exact"/>
              <w:rPr>
                <w:sz w:val="20"/>
                <w:szCs w:val="20"/>
                <w:color w:val="auto"/>
              </w:rPr>
            </w:pPr>
            <w:r>
              <w:rPr>
                <w:rFonts w:ascii="Arial" w:cs="Arial" w:eastAsia="Arial" w:hAnsi="Arial"/>
                <w:sz w:val="18"/>
                <w:szCs w:val="18"/>
                <w:color w:val="auto"/>
              </w:rPr>
              <w:t>Proposal No. 1: Election of Directors</w:t>
            </w:r>
          </w:p>
        </w:tc>
        <w:tc>
          <w:tcPr>
            <w:tcW w:w="1660" w:type="dxa"/>
            <w:vAlign w:val="bottom"/>
          </w:tcPr>
          <w:p>
            <w:pPr>
              <w:spacing w:after="0"/>
              <w:rPr>
                <w:sz w:val="17"/>
                <w:szCs w:val="17"/>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Proposal No. 2: Advisory vote to approve Named Executive Compensation</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w w:val="98"/>
              </w:rPr>
              <w:t>Proposal No. 3: Advisory vote on the frequency of holding an advisory vote on Named Executive Officer compensation</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Proposal No. 4: To approve amendments to Cohu’s 2005 Equity Incentive Plan</w:t>
            </w:r>
          </w:p>
        </w:tc>
        <w:tc>
          <w:tcPr>
            <w:tcW w:w="1660" w:type="dxa"/>
            <w:vAlign w:val="bottom"/>
          </w:tcPr>
          <w:p>
            <w:pPr>
              <w:spacing w:after="0"/>
              <w:rPr>
                <w:sz w:val="18"/>
                <w:szCs w:val="18"/>
                <w:color w:val="auto"/>
              </w:rPr>
            </w:pPr>
          </w:p>
        </w:tc>
      </w:tr>
      <w:tr>
        <w:trPr>
          <w:trHeight w:val="216"/>
        </w:trPr>
        <w:tc>
          <w:tcPr>
            <w:tcW w:w="9580" w:type="dxa"/>
            <w:vAlign w:val="bottom"/>
          </w:tcPr>
          <w:p>
            <w:pPr>
              <w:ind w:left="280"/>
              <w:spacing w:after="0"/>
              <w:rPr>
                <w:sz w:val="20"/>
                <w:szCs w:val="20"/>
                <w:color w:val="auto"/>
              </w:rPr>
            </w:pPr>
            <w:r>
              <w:rPr>
                <w:rFonts w:ascii="Arial" w:cs="Arial" w:eastAsia="Arial" w:hAnsi="Arial"/>
                <w:sz w:val="18"/>
                <w:szCs w:val="18"/>
                <w:color w:val="auto"/>
              </w:rPr>
              <w:t>Proposal No. 5: To approve amendments to Cohu’s 1997 Employee Stock Purchase Plan</w:t>
            </w:r>
          </w:p>
        </w:tc>
        <w:tc>
          <w:tcPr>
            <w:tcW w:w="1660" w:type="dxa"/>
            <w:vAlign w:val="bottom"/>
          </w:tcPr>
          <w:p>
            <w:pPr>
              <w:spacing w:after="0"/>
              <w:rPr>
                <w:sz w:val="18"/>
                <w:szCs w:val="18"/>
                <w:color w:val="auto"/>
              </w:rPr>
            </w:pPr>
          </w:p>
        </w:tc>
      </w:tr>
      <w:tr>
        <w:trPr>
          <w:trHeight w:val="230"/>
        </w:trPr>
        <w:tc>
          <w:tcPr>
            <w:tcW w:w="9580" w:type="dxa"/>
            <w:vAlign w:val="bottom"/>
          </w:tcPr>
          <w:p>
            <w:pPr>
              <w:ind w:left="280"/>
              <w:spacing w:after="0"/>
              <w:rPr>
                <w:sz w:val="20"/>
                <w:szCs w:val="20"/>
                <w:color w:val="auto"/>
              </w:rPr>
            </w:pPr>
            <w:r>
              <w:rPr>
                <w:rFonts w:ascii="Arial" w:cs="Arial" w:eastAsia="Arial" w:hAnsi="Arial"/>
                <w:sz w:val="18"/>
                <w:szCs w:val="18"/>
                <w:color w:val="auto"/>
              </w:rPr>
              <w:t>Proposal No. 6: Ratification of Independent Registered Public Accounting Firm</w:t>
            </w:r>
          </w:p>
        </w:tc>
        <w:tc>
          <w:tcPr>
            <w:tcW w:w="1660" w:type="dxa"/>
            <w:vAlign w:val="bottom"/>
          </w:tcPr>
          <w:p>
            <w:pPr>
              <w:spacing w:after="0"/>
              <w:rPr>
                <w:sz w:val="20"/>
                <w:szCs w:val="20"/>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Voting and Meeting Information</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77</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General Information</w:t>
            </w:r>
          </w:p>
        </w:tc>
        <w:tc>
          <w:tcPr>
            <w:tcW w:w="1660" w:type="dxa"/>
            <w:vAlign w:val="bottom"/>
          </w:tcPr>
          <w:p>
            <w:pPr>
              <w:spacing w:after="0"/>
              <w:rPr>
                <w:sz w:val="18"/>
                <w:szCs w:val="18"/>
                <w:color w:val="auto"/>
              </w:rPr>
            </w:pPr>
          </w:p>
        </w:tc>
      </w:tr>
      <w:tr>
        <w:trPr>
          <w:trHeight w:val="216"/>
        </w:trPr>
        <w:tc>
          <w:tcPr>
            <w:tcW w:w="9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Appendices</w:t>
            </w:r>
          </w:p>
        </w:tc>
        <w:tc>
          <w:tcPr>
            <w:tcW w:w="1660" w:type="dxa"/>
            <w:vAlign w:val="bottom"/>
            <w:shd w:val="clear" w:color="auto" w:fill="2D53A6"/>
          </w:tcPr>
          <w:p>
            <w:pPr>
              <w:ind w:left="660"/>
              <w:spacing w:after="0"/>
              <w:rPr>
                <w:sz w:val="20"/>
                <w:szCs w:val="20"/>
                <w:color w:val="auto"/>
              </w:rPr>
            </w:pPr>
            <w:r>
              <w:rPr>
                <w:rFonts w:ascii="Arial" w:cs="Arial" w:eastAsia="Arial" w:hAnsi="Arial"/>
                <w:sz w:val="18"/>
                <w:szCs w:val="18"/>
                <w:b w:val="1"/>
                <w:bCs w:val="1"/>
                <w:color w:val="FFFFFF"/>
              </w:rPr>
              <w:t>Page 81</w:t>
            </w:r>
          </w:p>
        </w:tc>
      </w:tr>
      <w:tr>
        <w:trPr>
          <w:trHeight w:val="574"/>
        </w:trPr>
        <w:tc>
          <w:tcPr>
            <w:tcW w:w="9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7"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694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9405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 </w:t>
      </w:r>
      <w:r>
        <w:rPr>
          <w:rFonts w:ascii="Arial" w:cs="Arial" w:eastAsia="Arial" w:hAnsi="Arial"/>
          <w:sz w:val="16"/>
          <w:szCs w:val="16"/>
          <w:u w:val="single" w:color="auto"/>
          <w:color w:val="auto"/>
        </w:rPr>
        <w:t>https://www.cohu.com/company-corporate-sustainability</w:t>
      </w:r>
      <w:r>
        <w:rPr>
          <w:rFonts w:ascii="Arial" w:cs="Arial" w:eastAsia="Arial" w:hAnsi="Arial"/>
          <w:sz w:val="16"/>
          <w:szCs w:val="16"/>
          <w:color w:val="auto"/>
        </w:rPr>
        <w:t>. The content of any website or report referred to in this proxy statement is not a part of nor incorporated by reference in this proxy statement unless expressly noted.</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use the terms “Cohu,” the “Company,” “we,” “our,” and “us” in this proxy statement to refer to Cohu, Inc., a Delaware corporation. We also use the term “Board” to refer to the Company’s Board of Directors.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proxy statement contains forward-looking statements within the meaning of the Private Securities Litigation Reform Act of 1995. Forward-looking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and our other filings with the SEC. You should not place undue reliance on forward-looking statements. We undertake no obligation to update any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About Cohu</w:t>
      </w:r>
    </w:p>
    <w:p>
      <w:pPr>
        <w:spacing w:after="0" w:line="21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Cohu is a leading supplier of semiconductor test automation and inspection equipment, micro-electromechanical system (MEMS) test modules, test contactors, thermal sub-systems and semiconductor automated test equipment used by global semiconductor manufacturers and their test subcontractors. Our differentiated and broad product portfolio enables optimized yield and productivity, accelerating customers’ manufacturing time-to-market.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103505</wp:posOffset>
            </wp:positionV>
            <wp:extent cx="531495"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495" cy="53149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172085</wp:posOffset>
            </wp:positionV>
            <wp:extent cx="53149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495" cy="38608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120650</wp:posOffset>
            </wp:positionV>
            <wp:extent cx="377190"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 cy="4889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146685</wp:posOffset>
            </wp:positionV>
            <wp:extent cx="38608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6080" cy="43688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112395</wp:posOffset>
            </wp:positionV>
            <wp:extent cx="377190" cy="505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19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Test Automation</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Inspection &amp;</w:t>
            </w:r>
          </w:p>
        </w:tc>
        <w:tc>
          <w:tcPr>
            <w:tcW w:w="23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Semiconductor</w:t>
            </w:r>
          </w:p>
        </w:tc>
        <w:tc>
          <w:tcPr>
            <w:tcW w:w="236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Interface Solutions</w:t>
            </w:r>
          </w:p>
        </w:tc>
        <w:tc>
          <w:tcPr>
            <w:tcW w:w="148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90"/>
              </w:rPr>
              <w:t>Data Analytics</w:t>
            </w:r>
          </w:p>
        </w:tc>
        <w:tc>
          <w:tcPr>
            <w:tcW w:w="0" w:type="dxa"/>
            <w:vAlign w:val="bottom"/>
          </w:tcPr>
          <w:p>
            <w:pPr>
              <w:spacing w:after="0"/>
              <w:rPr>
                <w:sz w:val="1"/>
                <w:szCs w:val="1"/>
                <w:color w:val="auto"/>
              </w:rPr>
            </w:pPr>
          </w:p>
        </w:tc>
      </w:tr>
      <w:tr>
        <w:trPr>
          <w:trHeight w:val="126"/>
        </w:trPr>
        <w:tc>
          <w:tcPr>
            <w:tcW w:w="1920" w:type="dxa"/>
            <w:vAlign w:val="bottom"/>
            <w:vMerge w:val="continue"/>
          </w:tcPr>
          <w:p>
            <w:pPr>
              <w:spacing w:after="0"/>
              <w:rPr>
                <w:sz w:val="10"/>
                <w:szCs w:val="10"/>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Metrology</w:t>
            </w:r>
          </w:p>
        </w:tc>
        <w:tc>
          <w:tcPr>
            <w:tcW w:w="238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4"/>
              </w:rPr>
              <w:t>Testers</w:t>
            </w:r>
          </w:p>
        </w:tc>
        <w:tc>
          <w:tcPr>
            <w:tcW w:w="23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137160</wp:posOffset>
            </wp:positionV>
            <wp:extent cx="3402965" cy="1920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296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5" w:right="3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2D53A6"/>
        </w:rPr>
        <w:t>Cohu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173990</wp:posOffset>
            </wp:positionV>
            <wp:extent cx="488315" cy="591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315" cy="59118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173990</wp:posOffset>
            </wp:positionV>
            <wp:extent cx="643255" cy="591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59118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182245</wp:posOffset>
            </wp:positionV>
            <wp:extent cx="531495" cy="57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220"/>
        </w:trPr>
        <w:tc>
          <w:tcPr>
            <w:tcW w:w="1780" w:type="dxa"/>
            <w:vAlign w:val="bottom"/>
            <w:vMerge w:val="restart"/>
          </w:tcPr>
          <w:p>
            <w:pPr>
              <w:jc w:val="right"/>
              <w:ind w:right="1170"/>
              <w:spacing w:after="0"/>
              <w:rPr>
                <w:sz w:val="20"/>
                <w:szCs w:val="20"/>
                <w:color w:val="auto"/>
              </w:rPr>
            </w:pPr>
            <w:r>
              <w:rPr>
                <w:rFonts w:ascii="Arial" w:cs="Arial" w:eastAsia="Arial" w:hAnsi="Arial"/>
                <w:sz w:val="18"/>
                <w:szCs w:val="18"/>
                <w:b w:val="1"/>
                <w:bCs w:val="1"/>
                <w:color w:val="auto"/>
              </w:rPr>
              <w:t>1947</w:t>
            </w:r>
          </w:p>
        </w:tc>
        <w:tc>
          <w:tcPr>
            <w:tcW w:w="3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Poway, CA</w:t>
            </w:r>
          </w:p>
        </w:tc>
        <w:tc>
          <w:tcPr>
            <w:tcW w:w="27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3,000+</w:t>
            </w:r>
          </w:p>
        </w:tc>
        <w:tc>
          <w:tcPr>
            <w:tcW w:w="18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24,100+</w:t>
            </w:r>
          </w:p>
        </w:tc>
        <w:tc>
          <w:tcPr>
            <w:tcW w:w="0" w:type="dxa"/>
            <w:vAlign w:val="bottom"/>
          </w:tcPr>
          <w:p>
            <w:pPr>
              <w:spacing w:after="0"/>
              <w:rPr>
                <w:sz w:val="1"/>
                <w:szCs w:val="1"/>
                <w:color w:val="auto"/>
              </w:rPr>
            </w:pPr>
          </w:p>
        </w:tc>
      </w:tr>
      <w:tr>
        <w:trPr>
          <w:trHeight w:val="104"/>
        </w:trPr>
        <w:tc>
          <w:tcPr>
            <w:tcW w:w="1780" w:type="dxa"/>
            <w:vAlign w:val="bottom"/>
            <w:vMerge w:val="continue"/>
          </w:tcPr>
          <w:p>
            <w:pPr>
              <w:spacing w:after="0"/>
              <w:rPr>
                <w:sz w:val="9"/>
                <w:szCs w:val="9"/>
                <w:color w:val="auto"/>
              </w:rPr>
            </w:pPr>
          </w:p>
        </w:tc>
        <w:tc>
          <w:tcPr>
            <w:tcW w:w="3100" w:type="dxa"/>
            <w:vAlign w:val="bottom"/>
            <w:vMerge w:val="continue"/>
          </w:tcPr>
          <w:p>
            <w:pPr>
              <w:spacing w:after="0"/>
              <w:rPr>
                <w:sz w:val="9"/>
                <w:szCs w:val="9"/>
                <w:color w:val="auto"/>
              </w:rPr>
            </w:pPr>
          </w:p>
        </w:tc>
        <w:tc>
          <w:tcPr>
            <w:tcW w:w="2780" w:type="dxa"/>
            <w:vAlign w:val="bottom"/>
            <w:vMerge w:val="restart"/>
          </w:tcPr>
          <w:p>
            <w:pPr>
              <w:jc w:val="center"/>
              <w:ind w:left="130"/>
              <w:spacing w:after="0"/>
              <w:rPr>
                <w:sz w:val="20"/>
                <w:szCs w:val="20"/>
                <w:color w:val="auto"/>
              </w:rPr>
            </w:pPr>
            <w:r>
              <w:rPr>
                <w:rFonts w:ascii="Arial" w:cs="Arial" w:eastAsia="Arial" w:hAnsi="Arial"/>
                <w:sz w:val="18"/>
                <w:szCs w:val="18"/>
                <w:color w:val="2D53A6"/>
                <w:w w:val="89"/>
              </w:rPr>
              <w:t>Employees</w:t>
            </w:r>
          </w:p>
        </w:tc>
        <w:tc>
          <w:tcPr>
            <w:tcW w:w="1820" w:type="dxa"/>
            <w:vAlign w:val="bottom"/>
            <w:vMerge w:val="restart"/>
          </w:tcPr>
          <w:p>
            <w:pPr>
              <w:jc w:val="center"/>
              <w:ind w:left="730"/>
              <w:spacing w:after="0"/>
              <w:rPr>
                <w:sz w:val="20"/>
                <w:szCs w:val="20"/>
                <w:color w:val="auto"/>
              </w:rPr>
            </w:pPr>
            <w:r>
              <w:rPr>
                <w:rFonts w:ascii="Arial" w:cs="Arial" w:eastAsia="Arial" w:hAnsi="Arial"/>
                <w:sz w:val="18"/>
                <w:szCs w:val="18"/>
                <w:color w:val="2D53A6"/>
                <w:w w:val="92"/>
              </w:rPr>
              <w:t>Equipment</w:t>
            </w:r>
          </w:p>
        </w:tc>
        <w:tc>
          <w:tcPr>
            <w:tcW w:w="0" w:type="dxa"/>
            <w:vAlign w:val="bottom"/>
          </w:tcPr>
          <w:p>
            <w:pPr>
              <w:spacing w:after="0"/>
              <w:rPr>
                <w:sz w:val="1"/>
                <w:szCs w:val="1"/>
                <w:color w:val="auto"/>
              </w:rPr>
            </w:pPr>
          </w:p>
        </w:tc>
      </w:tr>
      <w:tr>
        <w:trPr>
          <w:trHeight w:val="112"/>
        </w:trPr>
        <w:tc>
          <w:tcPr>
            <w:tcW w:w="1780" w:type="dxa"/>
            <w:vAlign w:val="bottom"/>
            <w:vMerge w:val="restart"/>
          </w:tcPr>
          <w:p>
            <w:pPr>
              <w:jc w:val="center"/>
              <w:ind w:right="1010"/>
              <w:spacing w:after="0"/>
              <w:rPr>
                <w:sz w:val="20"/>
                <w:szCs w:val="20"/>
                <w:color w:val="auto"/>
              </w:rPr>
            </w:pPr>
            <w:r>
              <w:rPr>
                <w:rFonts w:ascii="Arial" w:cs="Arial" w:eastAsia="Arial" w:hAnsi="Arial"/>
                <w:sz w:val="18"/>
                <w:szCs w:val="18"/>
                <w:b w:val="1"/>
                <w:bCs w:val="1"/>
                <w:color w:val="2D53A6"/>
                <w:w w:val="89"/>
              </w:rPr>
              <w:t>Founded</w:t>
            </w:r>
          </w:p>
        </w:tc>
        <w:tc>
          <w:tcPr>
            <w:tcW w:w="3100" w:type="dxa"/>
            <w:vAlign w:val="bottom"/>
            <w:vMerge w:val="restart"/>
          </w:tcPr>
          <w:p>
            <w:pPr>
              <w:jc w:val="center"/>
              <w:spacing w:after="0"/>
              <w:rPr>
                <w:sz w:val="20"/>
                <w:szCs w:val="20"/>
                <w:color w:val="auto"/>
              </w:rPr>
            </w:pPr>
            <w:r>
              <w:rPr>
                <w:rFonts w:ascii="Arial" w:cs="Arial" w:eastAsia="Arial" w:hAnsi="Arial"/>
                <w:sz w:val="18"/>
                <w:szCs w:val="18"/>
                <w:color w:val="2D53A6"/>
                <w:w w:val="87"/>
              </w:rPr>
              <w:t>Headquarters</w:t>
            </w:r>
          </w:p>
        </w:tc>
        <w:tc>
          <w:tcPr>
            <w:tcW w:w="27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2780" w:type="dxa"/>
            <w:vAlign w:val="bottom"/>
            <w:vMerge w:val="restart"/>
          </w:tcPr>
          <w:p>
            <w:pPr>
              <w:jc w:val="center"/>
              <w:ind w:left="150"/>
              <w:spacing w:after="0"/>
              <w:rPr>
                <w:sz w:val="20"/>
                <w:szCs w:val="20"/>
                <w:color w:val="auto"/>
              </w:rPr>
            </w:pPr>
            <w:r>
              <w:rPr>
                <w:rFonts w:ascii="Arial" w:cs="Arial" w:eastAsia="Arial" w:hAnsi="Arial"/>
                <w:sz w:val="18"/>
                <w:szCs w:val="18"/>
                <w:color w:val="2D53A6"/>
                <w:w w:val="93"/>
              </w:rPr>
              <w:t>(Worldwide)</w:t>
            </w:r>
          </w:p>
        </w:tc>
        <w:tc>
          <w:tcPr>
            <w:tcW w:w="1820" w:type="dxa"/>
            <w:vAlign w:val="bottom"/>
            <w:vMerge w:val="restart"/>
          </w:tcPr>
          <w:p>
            <w:pPr>
              <w:jc w:val="center"/>
              <w:ind w:left="730"/>
              <w:spacing w:after="0"/>
              <w:rPr>
                <w:sz w:val="20"/>
                <w:szCs w:val="20"/>
                <w:color w:val="auto"/>
              </w:rPr>
            </w:pPr>
            <w:r>
              <w:rPr>
                <w:rFonts w:ascii="Arial" w:cs="Arial" w:eastAsia="Arial" w:hAnsi="Arial"/>
                <w:sz w:val="18"/>
                <w:szCs w:val="18"/>
                <w:color w:val="2D53A6"/>
                <w:w w:val="88"/>
              </w:rPr>
              <w:t>Installed Base</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137160</wp:posOffset>
            </wp:positionV>
            <wp:extent cx="4534535" cy="2194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3453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1320"/>
        <w:spacing w:after="0"/>
        <w:rPr>
          <w:sz w:val="20"/>
          <w:szCs w:val="20"/>
          <w:color w:val="auto"/>
        </w:rPr>
      </w:pPr>
      <w:r>
        <w:rPr>
          <w:rFonts w:ascii="Arial" w:cs="Arial" w:eastAsia="Arial" w:hAnsi="Arial"/>
          <w:sz w:val="22"/>
          <w:szCs w:val="22"/>
          <w:b w:val="1"/>
          <w:bCs w:val="1"/>
          <w:color w:val="auto"/>
        </w:rPr>
        <w:t xml:space="preserve">Global Technology and Market Leader in $4.4 billion </w:t>
      </w:r>
      <w:r>
        <w:rPr>
          <w:rFonts w:ascii="Arial" w:cs="Arial" w:eastAsia="Arial" w:hAnsi="Arial"/>
          <w:sz w:val="17"/>
          <w:szCs w:val="17"/>
          <w:b w:val="1"/>
          <w:bCs w:val="1"/>
          <w:color w:val="auto"/>
        </w:rPr>
        <w:t>(1)</w:t>
      </w:r>
      <w:r>
        <w:rPr>
          <w:rFonts w:ascii="Arial" w:cs="Arial" w:eastAsia="Arial" w:hAnsi="Arial"/>
          <w:sz w:val="22"/>
          <w:szCs w:val="22"/>
          <w:b w:val="1"/>
          <w:bCs w:val="1"/>
          <w:color w:val="auto"/>
        </w:rPr>
        <w:t xml:space="preserve"> Semiconductor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147955</wp:posOffset>
            </wp:positionV>
            <wp:extent cx="3789045" cy="3068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8904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Cohu, Inc. Headquarters, Poway, CA</w:t>
      </w:r>
    </w:p>
    <w:p>
      <w:pPr>
        <w:spacing w:after="0" w:line="229" w:lineRule="exact"/>
        <w:rPr>
          <w:sz w:val="20"/>
          <w:szCs w:val="20"/>
          <w:color w:val="auto"/>
        </w:rPr>
      </w:pPr>
    </w:p>
    <w:p>
      <w:pPr>
        <w:ind w:left="5580" w:right="4120" w:hanging="5572"/>
        <w:spacing w:after="0" w:line="573" w:lineRule="auto"/>
        <w:tabs>
          <w:tab w:leader="none" w:pos="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Estimated Cohu Serviceable Addressable Market (SAM), based on company estimates.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571" w:right="91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2D53A6"/>
        </w:rPr>
        <w:t>Fiscal Year 2022 Financial Highlights</w:t>
      </w: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Sales of $812.8 million despite weakening market conditions in the second half of the year</w:t>
      </w: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Achieved gross margin improvement of 360 basis points over 2021 to 47.2%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4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$1.98</w:t>
            </w:r>
          </w:p>
        </w:tc>
        <w:tc>
          <w:tcPr>
            <w:tcW w:w="2500" w:type="dxa"/>
            <w:vAlign w:val="bottom"/>
            <w:vMerge w:val="restart"/>
          </w:tcPr>
          <w:p>
            <w:pPr>
              <w:jc w:val="center"/>
              <w:ind w:left="1410"/>
              <w:spacing w:after="0"/>
              <w:rPr>
                <w:sz w:val="20"/>
                <w:szCs w:val="20"/>
                <w:color w:val="auto"/>
              </w:rPr>
            </w:pPr>
            <w:r>
              <w:rPr>
                <w:rFonts w:ascii="Arial" w:cs="Arial" w:eastAsia="Arial" w:hAnsi="Arial"/>
                <w:sz w:val="18"/>
                <w:szCs w:val="18"/>
                <w:b w:val="1"/>
                <w:bCs w:val="1"/>
                <w:color w:val="auto"/>
                <w:w w:val="93"/>
              </w:rPr>
              <w:t>47.2%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80" w:type="dxa"/>
            <w:vAlign w:val="bottom"/>
            <w:vMerge w:val="restart"/>
          </w:tcPr>
          <w:p>
            <w:pPr>
              <w:jc w:val="center"/>
              <w:ind w:right="2230"/>
              <w:spacing w:after="0"/>
              <w:rPr>
                <w:sz w:val="20"/>
                <w:szCs w:val="20"/>
                <w:color w:val="auto"/>
              </w:rPr>
            </w:pPr>
            <w:r>
              <w:rPr>
                <w:rFonts w:ascii="Arial" w:cs="Arial" w:eastAsia="Arial" w:hAnsi="Arial"/>
                <w:sz w:val="18"/>
                <w:szCs w:val="18"/>
                <w:b w:val="1"/>
                <w:bCs w:val="1"/>
                <w:color w:val="auto"/>
                <w:w w:val="97"/>
              </w:rPr>
              <w:t>$812.8M</w:t>
            </w:r>
          </w:p>
        </w:tc>
        <w:tc>
          <w:tcPr>
            <w:tcW w:w="3240" w:type="dxa"/>
            <w:vAlign w:val="bottom"/>
          </w:tcPr>
          <w:p>
            <w:pPr>
              <w:jc w:val="center"/>
              <w:ind w:right="690"/>
              <w:spacing w:after="0"/>
              <w:rPr>
                <w:sz w:val="20"/>
                <w:szCs w:val="20"/>
                <w:color w:val="auto"/>
              </w:rPr>
            </w:pPr>
            <w:r>
              <w:rPr>
                <w:rFonts w:ascii="Arial" w:cs="Arial" w:eastAsia="Arial" w:hAnsi="Arial"/>
                <w:sz w:val="18"/>
                <w:szCs w:val="18"/>
                <w:color w:val="2D53A6"/>
                <w:w w:val="99"/>
              </w:rPr>
              <w:t>GAAP</w:t>
            </w: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3240" w:type="dxa"/>
            <w:vAlign w:val="bottom"/>
            <w:vMerge w:val="restart"/>
          </w:tcPr>
          <w:p>
            <w:pPr>
              <w:jc w:val="center"/>
              <w:ind w:right="690"/>
              <w:spacing w:after="0"/>
              <w:rPr>
                <w:sz w:val="20"/>
                <w:szCs w:val="20"/>
                <w:color w:val="auto"/>
              </w:rPr>
            </w:pPr>
            <w:r>
              <w:rPr>
                <w:rFonts w:ascii="Arial" w:cs="Arial" w:eastAsia="Arial" w:hAnsi="Arial"/>
                <w:sz w:val="18"/>
                <w:szCs w:val="18"/>
                <w:color w:val="2D53A6"/>
                <w:w w:val="88"/>
              </w:rPr>
              <w:t>Earnings per</w:t>
            </w:r>
          </w:p>
        </w:tc>
        <w:tc>
          <w:tcPr>
            <w:tcW w:w="2500" w:type="dxa"/>
            <w:vAlign w:val="bottom"/>
            <w:vMerge w:val="restart"/>
          </w:tcPr>
          <w:p>
            <w:pPr>
              <w:jc w:val="center"/>
              <w:ind w:left="1410"/>
              <w:spacing w:after="0"/>
              <w:rPr>
                <w:sz w:val="20"/>
                <w:szCs w:val="20"/>
                <w:color w:val="auto"/>
              </w:rPr>
            </w:pPr>
            <w:r>
              <w:rPr>
                <w:rFonts w:ascii="Arial" w:cs="Arial" w:eastAsia="Arial" w:hAnsi="Arial"/>
                <w:sz w:val="18"/>
                <w:szCs w:val="18"/>
                <w:color w:val="2D53A6"/>
                <w:w w:val="95"/>
              </w:rPr>
              <w:t>GAAP</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80" w:type="dxa"/>
            <w:vAlign w:val="bottom"/>
            <w:vMerge w:val="restart"/>
          </w:tcPr>
          <w:p>
            <w:pPr>
              <w:jc w:val="center"/>
              <w:ind w:right="2230"/>
              <w:spacing w:after="0"/>
              <w:rPr>
                <w:sz w:val="20"/>
                <w:szCs w:val="20"/>
                <w:color w:val="auto"/>
              </w:rPr>
            </w:pPr>
            <w:r>
              <w:rPr>
                <w:rFonts w:ascii="Arial" w:cs="Arial" w:eastAsia="Arial" w:hAnsi="Arial"/>
                <w:sz w:val="18"/>
                <w:szCs w:val="18"/>
                <w:color w:val="2D53A6"/>
                <w:w w:val="88"/>
              </w:rPr>
              <w:t>Revenue</w:t>
            </w:r>
          </w:p>
        </w:tc>
        <w:tc>
          <w:tcPr>
            <w:tcW w:w="3240" w:type="dxa"/>
            <w:vAlign w:val="bottom"/>
            <w:vMerge w:val="continue"/>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3240" w:type="dxa"/>
            <w:vAlign w:val="bottom"/>
            <w:vMerge w:val="restart"/>
          </w:tcPr>
          <w:p>
            <w:pPr>
              <w:jc w:val="center"/>
              <w:ind w:right="690"/>
              <w:spacing w:after="0"/>
              <w:rPr>
                <w:sz w:val="20"/>
                <w:szCs w:val="20"/>
                <w:color w:val="auto"/>
              </w:rPr>
            </w:pPr>
            <w:r>
              <w:rPr>
                <w:rFonts w:ascii="Arial" w:cs="Arial" w:eastAsia="Arial" w:hAnsi="Arial"/>
                <w:sz w:val="18"/>
                <w:szCs w:val="18"/>
                <w:color w:val="2D53A6"/>
                <w:w w:val="89"/>
              </w:rPr>
              <w:t>Diluted Share</w:t>
            </w:r>
          </w:p>
        </w:tc>
        <w:tc>
          <w:tcPr>
            <w:tcW w:w="2500" w:type="dxa"/>
            <w:vAlign w:val="bottom"/>
            <w:vMerge w:val="restart"/>
          </w:tcPr>
          <w:p>
            <w:pPr>
              <w:jc w:val="center"/>
              <w:ind w:left="1410"/>
              <w:spacing w:after="0"/>
              <w:rPr>
                <w:sz w:val="20"/>
                <w:szCs w:val="20"/>
                <w:color w:val="auto"/>
              </w:rPr>
            </w:pPr>
            <w:r>
              <w:rPr>
                <w:rFonts w:ascii="Arial" w:cs="Arial" w:eastAsia="Arial" w:hAnsi="Arial"/>
                <w:sz w:val="18"/>
                <w:szCs w:val="18"/>
                <w:color w:val="2D53A6"/>
                <w:w w:val="92"/>
              </w:rPr>
              <w:t>Gross Margin</w:t>
            </w: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40" w:type="dxa"/>
            <w:vAlign w:val="bottom"/>
          </w:tcPr>
          <w:p>
            <w:pPr>
              <w:jc w:val="center"/>
              <w:ind w:right="690"/>
              <w:spacing w:after="0"/>
              <w:rPr>
                <w:sz w:val="20"/>
                <w:szCs w:val="20"/>
                <w:color w:val="auto"/>
              </w:rPr>
            </w:pPr>
            <w:r>
              <w:rPr>
                <w:rFonts w:ascii="Arial" w:cs="Arial" w:eastAsia="Arial" w:hAnsi="Arial"/>
                <w:sz w:val="18"/>
                <w:szCs w:val="18"/>
                <w:color w:val="2D53A6"/>
                <w:w w:val="87"/>
              </w:rPr>
              <w:t>(EPS)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880" w:type="dxa"/>
            <w:vAlign w:val="bottom"/>
            <w:gridSpan w:val="3"/>
          </w:tcPr>
          <w:p>
            <w:pPr>
              <w:jc w:val="right"/>
              <w:ind w:right="2730"/>
              <w:spacing w:after="0"/>
              <w:rPr>
                <w:sz w:val="20"/>
                <w:szCs w:val="20"/>
                <w:color w:val="auto"/>
              </w:rPr>
            </w:pPr>
            <w:r>
              <w:rPr>
                <w:rFonts w:ascii="Arial" w:cs="Arial" w:eastAsia="Arial" w:hAnsi="Arial"/>
                <w:sz w:val="18"/>
                <w:szCs w:val="18"/>
                <w:b w:val="1"/>
                <w:bCs w:val="1"/>
                <w:color w:val="auto"/>
              </w:rPr>
              <w:t>18%</w:t>
            </w:r>
          </w:p>
        </w:tc>
        <w:tc>
          <w:tcPr>
            <w:tcW w:w="324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$2.91</w:t>
            </w:r>
          </w:p>
        </w:tc>
        <w:tc>
          <w:tcPr>
            <w:tcW w:w="2500" w:type="dxa"/>
            <w:vAlign w:val="bottom"/>
          </w:tcPr>
          <w:p>
            <w:pPr>
              <w:jc w:val="center"/>
              <w:ind w:left="1410"/>
              <w:spacing w:after="0"/>
              <w:rPr>
                <w:sz w:val="20"/>
                <w:szCs w:val="20"/>
                <w:color w:val="auto"/>
              </w:rPr>
            </w:pPr>
            <w:r>
              <w:rPr>
                <w:rFonts w:ascii="Arial" w:cs="Arial" w:eastAsia="Arial" w:hAnsi="Arial"/>
                <w:sz w:val="18"/>
                <w:szCs w:val="18"/>
                <w:b w:val="1"/>
                <w:bCs w:val="1"/>
                <w:color w:val="auto"/>
                <w:w w:val="93"/>
              </w:rPr>
              <w:t>47.2%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60" w:type="dxa"/>
            <w:vAlign w:val="bottom"/>
            <w:gridSpan w:val="2"/>
          </w:tcPr>
          <w:p>
            <w:pPr>
              <w:jc w:val="center"/>
              <w:ind w:right="1350"/>
              <w:spacing w:after="0"/>
              <w:rPr>
                <w:sz w:val="20"/>
                <w:szCs w:val="20"/>
                <w:color w:val="auto"/>
              </w:rPr>
            </w:pPr>
            <w:r>
              <w:rPr>
                <w:rFonts w:ascii="Arial" w:cs="Arial" w:eastAsia="Arial" w:hAnsi="Arial"/>
                <w:sz w:val="18"/>
                <w:szCs w:val="18"/>
                <w:color w:val="2D53A6"/>
                <w:w w:val="89"/>
              </w:rPr>
              <w:t>5-year sales growth</w:t>
            </w:r>
          </w:p>
        </w:tc>
        <w:tc>
          <w:tcPr>
            <w:tcW w:w="3240" w:type="dxa"/>
            <w:vAlign w:val="bottom"/>
          </w:tcPr>
          <w:p>
            <w:pPr>
              <w:jc w:val="center"/>
              <w:ind w:right="690"/>
              <w:spacing w:after="0"/>
              <w:rPr>
                <w:sz w:val="20"/>
                <w:szCs w:val="20"/>
                <w:color w:val="auto"/>
              </w:rPr>
            </w:pPr>
            <w:r>
              <w:rPr>
                <w:rFonts w:ascii="Arial" w:cs="Arial" w:eastAsia="Arial" w:hAnsi="Arial"/>
                <w:sz w:val="18"/>
                <w:szCs w:val="18"/>
                <w:color w:val="2D53A6"/>
                <w:w w:val="96"/>
              </w:rPr>
              <w:t>Non-GAAP</w:t>
            </w:r>
          </w:p>
        </w:tc>
        <w:tc>
          <w:tcPr>
            <w:tcW w:w="2500" w:type="dxa"/>
            <w:vAlign w:val="bottom"/>
          </w:tcPr>
          <w:p>
            <w:pPr>
              <w:jc w:val="center"/>
              <w:ind w:left="1390"/>
              <w:spacing w:after="0"/>
              <w:rPr>
                <w:sz w:val="20"/>
                <w:szCs w:val="20"/>
                <w:color w:val="auto"/>
              </w:rPr>
            </w:pPr>
            <w:r>
              <w:rPr>
                <w:rFonts w:ascii="Arial" w:cs="Arial" w:eastAsia="Arial" w:hAnsi="Arial"/>
                <w:sz w:val="18"/>
                <w:szCs w:val="18"/>
                <w:color w:val="2D53A6"/>
                <w:w w:val="96"/>
              </w:rPr>
              <w:t>Non-GAAP</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80" w:type="dxa"/>
            <w:vAlign w:val="bottom"/>
          </w:tcPr>
          <w:p>
            <w:pPr>
              <w:jc w:val="center"/>
              <w:ind w:right="2250"/>
              <w:spacing w:after="0"/>
              <w:rPr>
                <w:sz w:val="20"/>
                <w:szCs w:val="20"/>
                <w:color w:val="auto"/>
              </w:rPr>
            </w:pPr>
            <w:r>
              <w:rPr>
                <w:rFonts w:ascii="Arial" w:cs="Arial" w:eastAsia="Arial" w:hAnsi="Arial"/>
                <w:sz w:val="18"/>
                <w:szCs w:val="18"/>
                <w:color w:val="2D53A6"/>
                <w:w w:val="96"/>
              </w:rPr>
              <w:t>CAGR</w:t>
            </w:r>
          </w:p>
        </w:tc>
        <w:tc>
          <w:tcPr>
            <w:tcW w:w="3240" w:type="dxa"/>
            <w:vAlign w:val="bottom"/>
          </w:tcPr>
          <w:p>
            <w:pPr>
              <w:jc w:val="center"/>
              <w:ind w:right="690"/>
              <w:spacing w:after="0"/>
              <w:rPr>
                <w:sz w:val="20"/>
                <w:szCs w:val="20"/>
                <w:color w:val="auto"/>
              </w:rPr>
            </w:pPr>
            <w:r>
              <w:rPr>
                <w:rFonts w:ascii="Arial" w:cs="Arial" w:eastAsia="Arial" w:hAnsi="Arial"/>
                <w:sz w:val="18"/>
                <w:szCs w:val="18"/>
                <w:color w:val="2D53A6"/>
                <w:w w:val="83"/>
              </w:rPr>
              <w:t>EPS</w:t>
            </w:r>
          </w:p>
        </w:tc>
        <w:tc>
          <w:tcPr>
            <w:tcW w:w="2500" w:type="dxa"/>
            <w:vAlign w:val="bottom"/>
          </w:tcPr>
          <w:p>
            <w:pPr>
              <w:jc w:val="center"/>
              <w:ind w:left="1410"/>
              <w:spacing w:after="0"/>
              <w:rPr>
                <w:sz w:val="20"/>
                <w:szCs w:val="20"/>
                <w:color w:val="auto"/>
              </w:rPr>
            </w:pPr>
            <w:r>
              <w:rPr>
                <w:rFonts w:ascii="Arial" w:cs="Arial" w:eastAsia="Arial" w:hAnsi="Arial"/>
                <w:sz w:val="18"/>
                <w:szCs w:val="18"/>
                <w:color w:val="2D53A6"/>
                <w:w w:val="92"/>
              </w:rPr>
              <w:t>Gross Margin</w:t>
            </w:r>
          </w:p>
        </w:tc>
        <w:tc>
          <w:tcPr>
            <w:tcW w:w="0" w:type="dxa"/>
            <w:vAlign w:val="bottom"/>
          </w:tcPr>
          <w:p>
            <w:pPr>
              <w:spacing w:after="0"/>
              <w:rPr>
                <w:sz w:val="1"/>
                <w:szCs w:val="1"/>
                <w:color w:val="auto"/>
              </w:rPr>
            </w:pPr>
          </w:p>
        </w:tc>
      </w:tr>
      <w:tr>
        <w:trPr>
          <w:trHeight w:val="473"/>
        </w:trPr>
        <w:tc>
          <w:tcPr>
            <w:tcW w:w="4880" w:type="dxa"/>
            <w:vAlign w:val="bottom"/>
            <w:gridSpan w:val="3"/>
          </w:tcPr>
          <w:p>
            <w:pPr>
              <w:spacing w:after="0"/>
              <w:rPr>
                <w:sz w:val="20"/>
                <w:szCs w:val="20"/>
                <w:color w:val="auto"/>
              </w:rPr>
            </w:pPr>
            <w:r>
              <w:rPr>
                <w:rFonts w:ascii="Arial" w:cs="Arial" w:eastAsia="Arial" w:hAnsi="Arial"/>
                <w:sz w:val="18"/>
                <w:szCs w:val="18"/>
                <w:color w:val="auto"/>
              </w:rPr>
              <w:t>See Appendix A for GAAP to non-GAAP reconciliations</w:t>
            </w:r>
          </w:p>
        </w:tc>
        <w:tc>
          <w:tcPr>
            <w:tcW w:w="3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-1499235</wp:posOffset>
            </wp:positionV>
            <wp:extent cx="531495"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 cy="5143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-1516380</wp:posOffset>
            </wp:positionV>
            <wp:extent cx="591185" cy="548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185" cy="54864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-762000</wp:posOffset>
            </wp:positionV>
            <wp:extent cx="505460" cy="506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Proposals and Voting Recommendations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Voting Matters</w:t>
            </w:r>
          </w:p>
        </w:tc>
        <w:tc>
          <w:tcPr>
            <w:tcW w:w="1520" w:type="dxa"/>
            <w:vAlign w:val="bottom"/>
            <w:shd w:val="clear" w:color="auto" w:fill="2D53A6"/>
          </w:tcPr>
          <w:p>
            <w:pPr>
              <w:ind w:left="180"/>
              <w:spacing w:after="0"/>
              <w:rPr>
                <w:sz w:val="20"/>
                <w:szCs w:val="20"/>
                <w:color w:val="auto"/>
              </w:rPr>
            </w:pPr>
            <w:r>
              <w:rPr>
                <w:rFonts w:ascii="Arial" w:cs="Arial" w:eastAsia="Arial" w:hAnsi="Arial"/>
                <w:sz w:val="18"/>
                <w:szCs w:val="18"/>
                <w:b w:val="1"/>
                <w:bCs w:val="1"/>
                <w:color w:val="FFFFFF"/>
              </w:rPr>
              <w:t>Board Vote</w:t>
            </w:r>
          </w:p>
        </w:tc>
        <w:tc>
          <w:tcPr>
            <w:tcW w:w="0" w:type="dxa"/>
            <w:vAlign w:val="bottom"/>
          </w:tcPr>
          <w:p>
            <w:pPr>
              <w:spacing w:after="0"/>
              <w:rPr>
                <w:sz w:val="1"/>
                <w:szCs w:val="1"/>
                <w:color w:val="auto"/>
              </w:rPr>
            </w:pPr>
          </w:p>
        </w:tc>
      </w:tr>
      <w:tr>
        <w:trPr>
          <w:trHeight w:val="126"/>
        </w:trPr>
        <w:tc>
          <w:tcPr>
            <w:tcW w:w="9720" w:type="dxa"/>
            <w:vAlign w:val="bottom"/>
            <w:tcBorders>
              <w:right w:val="single" w:sz="8" w:color="2D53A6"/>
            </w:tcBorders>
            <w:vMerge w:val="continue"/>
            <w:shd w:val="clear" w:color="auto" w:fill="2D53A6"/>
          </w:tcPr>
          <w:p>
            <w:pPr>
              <w:spacing w:after="0"/>
              <w:rPr>
                <w:sz w:val="10"/>
                <w:szCs w:val="10"/>
                <w:color w:val="auto"/>
              </w:rPr>
            </w:pPr>
          </w:p>
        </w:tc>
        <w:tc>
          <w:tcPr>
            <w:tcW w:w="1520" w:type="dxa"/>
            <w:vAlign w:val="bottom"/>
            <w:vMerge w:val="restart"/>
            <w:shd w:val="clear" w:color="auto" w:fill="2D53A6"/>
          </w:tcPr>
          <w:p>
            <w:pPr>
              <w:ind w:left="180"/>
              <w:spacing w:after="0"/>
              <w:rPr>
                <w:sz w:val="20"/>
                <w:szCs w:val="20"/>
                <w:color w:val="auto"/>
              </w:rPr>
            </w:pPr>
            <w:r>
              <w:rPr>
                <w:rFonts w:ascii="Arial" w:cs="Arial" w:eastAsia="Arial" w:hAnsi="Arial"/>
                <w:sz w:val="18"/>
                <w:szCs w:val="18"/>
                <w:b w:val="1"/>
                <w:bCs w:val="1"/>
                <w:color w:val="FFFFFF"/>
                <w:w w:val="87"/>
              </w:rPr>
              <w:t>Recommendation</w:t>
            </w:r>
          </w:p>
        </w:tc>
        <w:tc>
          <w:tcPr>
            <w:tcW w:w="0" w:type="dxa"/>
            <w:vAlign w:val="bottom"/>
          </w:tcPr>
          <w:p>
            <w:pPr>
              <w:spacing w:after="0"/>
              <w:rPr>
                <w:sz w:val="1"/>
                <w:szCs w:val="1"/>
                <w:color w:val="auto"/>
              </w:rPr>
            </w:pPr>
          </w:p>
        </w:tc>
      </w:tr>
      <w:tr>
        <w:trPr>
          <w:trHeight w:val="122"/>
        </w:trPr>
        <w:tc>
          <w:tcPr>
            <w:tcW w:w="9720" w:type="dxa"/>
            <w:vAlign w:val="bottom"/>
            <w:tcBorders>
              <w:right w:val="single" w:sz="8" w:color="2D53A6"/>
            </w:tcBorders>
            <w:shd w:val="clear" w:color="auto" w:fill="2D53A6"/>
          </w:tcPr>
          <w:p>
            <w:pPr>
              <w:spacing w:after="0"/>
              <w:rPr>
                <w:sz w:val="10"/>
                <w:szCs w:val="10"/>
                <w:color w:val="auto"/>
              </w:rPr>
            </w:pPr>
          </w:p>
        </w:tc>
        <w:tc>
          <w:tcPr>
            <w:tcW w:w="152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97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b w:val="1"/>
                <w:bCs w:val="1"/>
                <w:color w:val="auto"/>
              </w:rPr>
              <w:t>Proposal No. 1: Election of Two Class 1 Directors</w:t>
            </w:r>
          </w:p>
        </w:tc>
        <w:tc>
          <w:tcPr>
            <w:tcW w:w="15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 FOR each</w:t>
            </w:r>
          </w:p>
        </w:tc>
        <w:tc>
          <w:tcPr>
            <w:tcW w:w="0" w:type="dxa"/>
            <w:vAlign w:val="bottom"/>
          </w:tcPr>
          <w:p>
            <w:pPr>
              <w:spacing w:after="0"/>
              <w:rPr>
                <w:sz w:val="1"/>
                <w:szCs w:val="1"/>
                <w:color w:val="auto"/>
              </w:rPr>
            </w:pPr>
          </w:p>
        </w:tc>
      </w:tr>
      <w:tr>
        <w:trPr>
          <w:trHeight w:val="126"/>
        </w:trPr>
        <w:tc>
          <w:tcPr>
            <w:tcW w:w="9720" w:type="dxa"/>
            <w:vAlign w:val="bottom"/>
            <w:tcBorders>
              <w:right w:val="single" w:sz="8" w:color="2D53A6"/>
            </w:tcBorders>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Nominee</w:t>
            </w:r>
          </w:p>
        </w:tc>
        <w:tc>
          <w:tcPr>
            <w:tcW w:w="0" w:type="dxa"/>
            <w:vAlign w:val="bottom"/>
          </w:tcPr>
          <w:p>
            <w:pPr>
              <w:spacing w:after="0"/>
              <w:rPr>
                <w:sz w:val="1"/>
                <w:szCs w:val="1"/>
                <w:color w:val="auto"/>
              </w:rPr>
            </w:pPr>
          </w:p>
        </w:tc>
      </w:tr>
      <w:tr>
        <w:trPr>
          <w:trHeight w:val="108"/>
        </w:trPr>
        <w:tc>
          <w:tcPr>
            <w:tcW w:w="9720" w:type="dxa"/>
            <w:vAlign w:val="bottom"/>
            <w:tcBorders>
              <w:bottom w:val="single" w:sz="8" w:color="2D53A6"/>
              <w:right w:val="single" w:sz="8" w:color="2D53A6"/>
            </w:tcBorders>
          </w:tcPr>
          <w:p>
            <w:pPr>
              <w:spacing w:after="0"/>
              <w:rPr>
                <w:sz w:val="9"/>
                <w:szCs w:val="9"/>
                <w:color w:val="auto"/>
              </w:rPr>
            </w:pPr>
          </w:p>
        </w:tc>
        <w:tc>
          <w:tcPr>
            <w:tcW w:w="152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7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b w:val="1"/>
                <w:bCs w:val="1"/>
                <w:color w:val="auto"/>
              </w:rPr>
              <w:t xml:space="preserve">Proposal No. 2: Advisory vote to approve our Named Executive Officer Compensation, or </w:t>
            </w:r>
            <w:r>
              <w:rPr>
                <w:rFonts w:ascii="Arial" w:cs="Arial" w:eastAsia="Arial" w:hAnsi="Arial"/>
                <w:sz w:val="18"/>
                <w:szCs w:val="18"/>
                <w:color w:val="auto"/>
              </w:rPr>
              <w:t>“</w:t>
            </w:r>
            <w:r>
              <w:rPr>
                <w:rFonts w:ascii="Arial" w:cs="Arial" w:eastAsia="Arial" w:hAnsi="Arial"/>
                <w:sz w:val="18"/>
                <w:szCs w:val="18"/>
                <w:b w:val="1"/>
                <w:bCs w:val="1"/>
                <w:color w:val="auto"/>
              </w:rPr>
              <w:t>Say-on-Pay</w:t>
            </w:r>
            <w:r>
              <w:rPr>
                <w:rFonts w:ascii="Arial" w:cs="Arial" w:eastAsia="Arial" w:hAnsi="Arial"/>
                <w:sz w:val="18"/>
                <w:szCs w:val="18"/>
                <w:color w:val="auto"/>
              </w:rPr>
              <w:t>”</w:t>
            </w:r>
          </w:p>
        </w:tc>
        <w:tc>
          <w:tcPr>
            <w:tcW w:w="1520" w:type="dxa"/>
            <w:vAlign w:val="bottom"/>
            <w:tcBorders>
              <w:bottom w:val="single" w:sz="8" w:color="2D53A6"/>
            </w:tcBorders>
            <w:shd w:val="clear" w:color="auto" w:fill="E6E6E6"/>
          </w:tcPr>
          <w:p>
            <w:pPr>
              <w:ind w:left="1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91"/>
        </w:trPr>
        <w:tc>
          <w:tcPr>
            <w:tcW w:w="97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b w:val="1"/>
                <w:bCs w:val="1"/>
                <w:color w:val="auto"/>
                <w:w w:val="95"/>
              </w:rPr>
              <w:t>Proposal No. 3: Advisory vote on the frequency of holding an advisory vote on Named Executive Officer compensation</w:t>
            </w:r>
          </w:p>
        </w:tc>
        <w:tc>
          <w:tcPr>
            <w:tcW w:w="152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 xml:space="preserve">√ FOR every </w:t>
            </w:r>
            <w:r>
              <w:rPr>
                <w:rFonts w:ascii="Arial" w:cs="Arial" w:eastAsia="Arial" w:hAnsi="Arial"/>
                <w:sz w:val="18"/>
                <w:szCs w:val="18"/>
                <w:color w:val="auto"/>
              </w:rPr>
              <w:t>“</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26"/>
        </w:trPr>
        <w:tc>
          <w:tcPr>
            <w:tcW w:w="9720" w:type="dxa"/>
            <w:vAlign w:val="bottom"/>
            <w:tcBorders>
              <w:right w:val="single" w:sz="8" w:color="2D53A6"/>
            </w:tcBorders>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Year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720" w:type="dxa"/>
            <w:vAlign w:val="bottom"/>
            <w:tcBorders>
              <w:bottom w:val="single" w:sz="8" w:color="2D53A6"/>
              <w:right w:val="single" w:sz="8" w:color="2D53A6"/>
            </w:tcBorders>
          </w:tcPr>
          <w:p>
            <w:pPr>
              <w:spacing w:after="0"/>
              <w:rPr>
                <w:sz w:val="9"/>
                <w:szCs w:val="9"/>
                <w:color w:val="auto"/>
              </w:rPr>
            </w:pPr>
          </w:p>
        </w:tc>
        <w:tc>
          <w:tcPr>
            <w:tcW w:w="152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7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b w:val="1"/>
                <w:bCs w:val="1"/>
                <w:color w:val="auto"/>
              </w:rPr>
              <w:t>Proposal No. 4: To approve amendments to the Cohu, Inc. 2005 Equity Incentive Plan</w:t>
            </w:r>
          </w:p>
        </w:tc>
        <w:tc>
          <w:tcPr>
            <w:tcW w:w="1520" w:type="dxa"/>
            <w:vAlign w:val="bottom"/>
            <w:tcBorders>
              <w:bottom w:val="single" w:sz="8" w:color="2D53A6"/>
            </w:tcBorders>
            <w:shd w:val="clear" w:color="auto" w:fill="E6E6E6"/>
          </w:tcPr>
          <w:p>
            <w:pPr>
              <w:ind w:left="1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209"/>
        </w:trPr>
        <w:tc>
          <w:tcPr>
            <w:tcW w:w="97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color w:val="auto"/>
              </w:rPr>
              <w:t>Proposal No. 5: To approve amendments to the Cohu, Inc. 1997 Employee Stock Purchase Plan</w:t>
            </w:r>
          </w:p>
        </w:tc>
        <w:tc>
          <w:tcPr>
            <w:tcW w:w="1520" w:type="dxa"/>
            <w:vAlign w:val="bottom"/>
            <w:tcBorders>
              <w:bottom w:val="single" w:sz="8" w:color="2D53A6"/>
            </w:tcBorders>
          </w:tcPr>
          <w:p>
            <w:pPr>
              <w:ind w:left="1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91"/>
        </w:trPr>
        <w:tc>
          <w:tcPr>
            <w:tcW w:w="9720" w:type="dxa"/>
            <w:vAlign w:val="bottom"/>
            <w:tcBorders>
              <w:right w:val="single" w:sz="8" w:color="2D53A6"/>
            </w:tcBorders>
            <w:shd w:val="clear" w:color="auto" w:fill="E6E6E6"/>
          </w:tcPr>
          <w:p>
            <w:pPr>
              <w:spacing w:after="0" w:line="191" w:lineRule="exact"/>
              <w:rPr>
                <w:sz w:val="20"/>
                <w:szCs w:val="20"/>
                <w:color w:val="auto"/>
              </w:rPr>
            </w:pPr>
            <w:r>
              <w:rPr>
                <w:rFonts w:ascii="Arial" w:cs="Arial" w:eastAsia="Arial" w:hAnsi="Arial"/>
                <w:sz w:val="18"/>
                <w:szCs w:val="18"/>
                <w:b w:val="1"/>
                <w:bCs w:val="1"/>
                <w:color w:val="auto"/>
                <w:w w:val="94"/>
              </w:rPr>
              <w:t>Proposal No. 6: Ratification of the Appointment of Ernst &amp; Young LLP as our Independent Registered Public Accounting</w:t>
            </w:r>
          </w:p>
        </w:tc>
        <w:tc>
          <w:tcPr>
            <w:tcW w:w="1520" w:type="dxa"/>
            <w:vAlign w:val="bottom"/>
            <w:vMerge w:val="restart"/>
            <w:shd w:val="clear" w:color="auto" w:fill="E6E6E6"/>
          </w:tcPr>
          <w:p>
            <w:pPr>
              <w:ind w:left="16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26"/>
        </w:trPr>
        <w:tc>
          <w:tcPr>
            <w:tcW w:w="972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b w:val="1"/>
                <w:bCs w:val="1"/>
                <w:color w:val="auto"/>
              </w:rPr>
              <w:t>Firm for Fiscal Year 2023</w:t>
            </w:r>
          </w:p>
        </w:tc>
        <w:tc>
          <w:tcPr>
            <w:tcW w:w="152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720" w:type="dxa"/>
            <w:vAlign w:val="bottom"/>
            <w:tcBorders>
              <w:bottom w:val="single" w:sz="8" w:color="2D53A6"/>
              <w:right w:val="single" w:sz="8" w:color="2D53A6"/>
            </w:tcBorders>
            <w:vMerge w:val="continue"/>
            <w:shd w:val="clear" w:color="auto" w:fill="E6E6E6"/>
          </w:tcPr>
          <w:p>
            <w:pPr>
              <w:spacing w:after="0"/>
              <w:rPr>
                <w:sz w:val="9"/>
                <w:szCs w:val="9"/>
                <w:color w:val="auto"/>
              </w:rPr>
            </w:pPr>
          </w:p>
        </w:tc>
        <w:tc>
          <w:tcPr>
            <w:tcW w:w="1520" w:type="dxa"/>
            <w:vAlign w:val="bottom"/>
            <w:tcBorders>
              <w:bottom w:val="single" w:sz="8" w:color="2D53A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9720" w:type="dxa"/>
            <w:vAlign w:val="bottom"/>
            <w:tcBorders>
              <w:right w:val="single" w:sz="8" w:color="2D53A6"/>
            </w:tcBorders>
          </w:tcPr>
          <w:p>
            <w:pPr>
              <w:spacing w:after="0" w:line="191" w:lineRule="exact"/>
              <w:rPr>
                <w:sz w:val="20"/>
                <w:szCs w:val="20"/>
                <w:color w:val="auto"/>
              </w:rPr>
            </w:pPr>
            <w:r>
              <w:rPr>
                <w:rFonts w:ascii="Arial" w:cs="Arial" w:eastAsia="Arial" w:hAnsi="Arial"/>
                <w:sz w:val="18"/>
                <w:szCs w:val="18"/>
                <w:b w:val="1"/>
                <w:bCs w:val="1"/>
                <w:color w:val="auto"/>
                <w:w w:val="90"/>
              </w:rPr>
              <w:t>Transaction of other business as may properly come before the annual meeting (including any adjournment or postponement</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7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color w:val="auto"/>
              </w:rPr>
              <w:t>thereof)</w:t>
            </w:r>
          </w:p>
        </w:tc>
        <w:tc>
          <w:tcPr>
            <w:tcW w:w="152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720" w:type="dxa"/>
            <w:vAlign w:val="bottom"/>
          </w:tcPr>
          <w:p>
            <w:pPr>
              <w:ind w:left="5580"/>
              <w:spacing w:after="0"/>
              <w:rPr>
                <w:sz w:val="20"/>
                <w:szCs w:val="20"/>
                <w:color w:val="auto"/>
              </w:rPr>
            </w:pPr>
            <w:r>
              <w:rPr>
                <w:rFonts w:ascii="Arial" w:cs="Arial" w:eastAsia="Arial" w:hAnsi="Arial"/>
                <w:sz w:val="18"/>
                <w:szCs w:val="18"/>
                <w:color w:val="auto"/>
              </w:rPr>
              <w:t>3</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2D53A6"/>
        </w:rPr>
        <w:t>Summary Information Regarding Our Directors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are being asked to vote on the election of two (2) Class 1 director nominees. The following table provides summary information about each nominee as well as the remaining directors that are not standing for election at the 2023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biographical information is contained in the “Proposal No. 1: Election of Directors” section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Borders>
              <w:right w:val="single" w:sz="8" w:color="2D53A6"/>
            </w:tcBorders>
            <w:shd w:val="clear" w:color="auto" w:fill="2D53A6"/>
          </w:tcPr>
          <w:p>
            <w:pPr>
              <w:spacing w:after="0"/>
              <w:rPr>
                <w:sz w:val="17"/>
                <w:szCs w:val="17"/>
                <w:color w:val="auto"/>
              </w:rPr>
            </w:pPr>
          </w:p>
        </w:tc>
        <w:tc>
          <w:tcPr>
            <w:tcW w:w="920" w:type="dxa"/>
            <w:vAlign w:val="bottom"/>
            <w:tcBorders>
              <w:right w:val="single" w:sz="8" w:color="2D53A6"/>
            </w:tcBorders>
            <w:shd w:val="clear" w:color="auto" w:fill="2D53A6"/>
          </w:tcPr>
          <w:p>
            <w:pPr>
              <w:spacing w:after="0"/>
              <w:rPr>
                <w:sz w:val="17"/>
                <w:szCs w:val="17"/>
                <w:color w:val="auto"/>
              </w:rPr>
            </w:pPr>
          </w:p>
        </w:tc>
        <w:tc>
          <w:tcPr>
            <w:tcW w:w="960" w:type="dxa"/>
            <w:vAlign w:val="bottom"/>
            <w:tcBorders>
              <w:right w:val="single" w:sz="8" w:color="2D53A6"/>
            </w:tcBorders>
            <w:shd w:val="clear" w:color="auto" w:fill="2D53A6"/>
          </w:tcPr>
          <w:p>
            <w:pPr>
              <w:spacing w:after="0"/>
              <w:rPr>
                <w:sz w:val="17"/>
                <w:szCs w:val="17"/>
                <w:color w:val="auto"/>
              </w:rPr>
            </w:pPr>
          </w:p>
        </w:tc>
        <w:tc>
          <w:tcPr>
            <w:tcW w:w="1540" w:type="dxa"/>
            <w:vAlign w:val="bottom"/>
            <w:tcBorders>
              <w:right w:val="single" w:sz="8" w:color="2D53A6"/>
            </w:tcBorders>
            <w:shd w:val="clear" w:color="auto" w:fill="2D53A6"/>
          </w:tcPr>
          <w:p>
            <w:pPr>
              <w:spacing w:after="0"/>
              <w:rPr>
                <w:sz w:val="17"/>
                <w:szCs w:val="17"/>
                <w:color w:val="auto"/>
              </w:rPr>
            </w:pP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Class and</w:t>
            </w:r>
          </w:p>
        </w:tc>
        <w:tc>
          <w:tcPr>
            <w:tcW w:w="660" w:type="dxa"/>
            <w:vAlign w:val="bottom"/>
            <w:tcBorders>
              <w:right w:val="single" w:sz="8" w:color="2D53A6"/>
            </w:tcBorders>
            <w:shd w:val="clear" w:color="auto" w:fill="2D53A6"/>
          </w:tcPr>
          <w:p>
            <w:pPr>
              <w:spacing w:after="0"/>
              <w:rPr>
                <w:sz w:val="17"/>
                <w:szCs w:val="17"/>
                <w:color w:val="auto"/>
              </w:rPr>
            </w:pPr>
          </w:p>
        </w:tc>
        <w:tc>
          <w:tcPr>
            <w:tcW w:w="680" w:type="dxa"/>
            <w:vAlign w:val="bottom"/>
            <w:tcBorders>
              <w:right w:val="single" w:sz="8" w:color="2D53A6"/>
            </w:tcBorders>
            <w:shd w:val="clear" w:color="auto" w:fill="2D53A6"/>
          </w:tcPr>
          <w:p>
            <w:pPr>
              <w:spacing w:after="0"/>
              <w:rPr>
                <w:sz w:val="17"/>
                <w:szCs w:val="17"/>
                <w:color w:val="auto"/>
              </w:rPr>
            </w:pPr>
          </w:p>
        </w:tc>
        <w:tc>
          <w:tcPr>
            <w:tcW w:w="660" w:type="dxa"/>
            <w:vAlign w:val="bottom"/>
            <w:tcBorders>
              <w:right w:val="single" w:sz="8" w:color="2D53A6"/>
            </w:tcBorders>
            <w:shd w:val="clear" w:color="auto" w:fill="2D53A6"/>
          </w:tcPr>
          <w:p>
            <w:pPr>
              <w:spacing w:after="0"/>
              <w:rPr>
                <w:sz w:val="17"/>
                <w:szCs w:val="17"/>
                <w:color w:val="auto"/>
              </w:rPr>
            </w:pPr>
          </w:p>
        </w:tc>
        <w:tc>
          <w:tcPr>
            <w:tcW w:w="2780" w:type="dxa"/>
            <w:vAlign w:val="bottom"/>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w:t>
            </w:r>
          </w:p>
        </w:tc>
        <w:tc>
          <w:tcPr>
            <w:tcW w:w="9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Age</w:t>
            </w:r>
          </w:p>
        </w:tc>
        <w:tc>
          <w:tcPr>
            <w:tcW w:w="9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Since</w:t>
            </w:r>
          </w:p>
        </w:tc>
        <w:tc>
          <w:tcPr>
            <w:tcW w:w="15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 xml:space="preserve">Independent </w:t>
            </w:r>
            <w:r>
              <w:rPr>
                <w:rFonts w:ascii="Arial" w:cs="Arial" w:eastAsia="Arial" w:hAnsi="Arial"/>
                <w:sz w:val="29"/>
                <w:szCs w:val="29"/>
                <w:b w:val="1"/>
                <w:bCs w:val="1"/>
                <w:color w:val="FFFFFF"/>
                <w:w w:val="88"/>
                <w:vertAlign w:val="superscript"/>
              </w:rPr>
              <w:t>(1)</w:t>
            </w: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When</w:t>
            </w:r>
          </w:p>
        </w:tc>
        <w:tc>
          <w:tcPr>
            <w:tcW w:w="660" w:type="dxa"/>
            <w:vAlign w:val="bottom"/>
            <w:tcBorders>
              <w:right w:val="single" w:sz="8" w:color="2D53A6"/>
            </w:tcBorders>
            <w:vMerge w:val="restart"/>
            <w:shd w:val="clear" w:color="auto" w:fill="2D53A6"/>
          </w:tcPr>
          <w:p>
            <w:pPr>
              <w:ind w:left="180"/>
              <w:spacing w:after="0"/>
              <w:rPr>
                <w:sz w:val="20"/>
                <w:szCs w:val="20"/>
                <w:color w:val="auto"/>
              </w:rPr>
            </w:pPr>
            <w:r>
              <w:rPr>
                <w:rFonts w:ascii="Arial" w:cs="Arial" w:eastAsia="Arial" w:hAnsi="Arial"/>
                <w:sz w:val="18"/>
                <w:szCs w:val="18"/>
                <w:b w:val="1"/>
                <w:bCs w:val="1"/>
                <w:color w:val="FFFFFF"/>
              </w:rPr>
              <w:t>AC</w:t>
            </w:r>
          </w:p>
        </w:tc>
        <w:tc>
          <w:tcPr>
            <w:tcW w:w="6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CC</w:t>
            </w:r>
          </w:p>
        </w:tc>
        <w:tc>
          <w:tcPr>
            <w:tcW w:w="6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NGC</w:t>
            </w:r>
          </w:p>
        </w:tc>
        <w:tc>
          <w:tcPr>
            <w:tcW w:w="2780" w:type="dxa"/>
            <w:vAlign w:val="bottom"/>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Other Current Public Boards</w:t>
            </w:r>
          </w:p>
        </w:tc>
        <w:tc>
          <w:tcPr>
            <w:tcW w:w="0" w:type="dxa"/>
            <w:vAlign w:val="bottom"/>
          </w:tcPr>
          <w:p>
            <w:pPr>
              <w:spacing w:after="0"/>
              <w:rPr>
                <w:sz w:val="1"/>
                <w:szCs w:val="1"/>
                <w:color w:val="auto"/>
              </w:rPr>
            </w:pPr>
          </w:p>
        </w:tc>
      </w:tr>
      <w:tr>
        <w:trPr>
          <w:trHeight w:val="180"/>
        </w:trPr>
        <w:tc>
          <w:tcPr>
            <w:tcW w:w="1840" w:type="dxa"/>
            <w:vAlign w:val="bottom"/>
            <w:tcBorders>
              <w:right w:val="single" w:sz="8" w:color="2D53A6"/>
            </w:tcBorders>
            <w:vMerge w:val="continue"/>
            <w:shd w:val="clear" w:color="auto" w:fill="2D53A6"/>
          </w:tcPr>
          <w:p>
            <w:pPr>
              <w:spacing w:after="0"/>
              <w:rPr>
                <w:sz w:val="15"/>
                <w:szCs w:val="15"/>
                <w:color w:val="auto"/>
              </w:rPr>
            </w:pPr>
          </w:p>
        </w:tc>
        <w:tc>
          <w:tcPr>
            <w:tcW w:w="920" w:type="dxa"/>
            <w:vAlign w:val="bottom"/>
            <w:tcBorders>
              <w:right w:val="single" w:sz="8" w:color="2D53A6"/>
            </w:tcBorders>
            <w:vMerge w:val="continue"/>
            <w:shd w:val="clear" w:color="auto" w:fill="2D53A6"/>
          </w:tcPr>
          <w:p>
            <w:pPr>
              <w:spacing w:after="0"/>
              <w:rPr>
                <w:sz w:val="15"/>
                <w:szCs w:val="15"/>
                <w:color w:val="auto"/>
              </w:rPr>
            </w:pPr>
          </w:p>
        </w:tc>
        <w:tc>
          <w:tcPr>
            <w:tcW w:w="960" w:type="dxa"/>
            <w:vAlign w:val="bottom"/>
            <w:tcBorders>
              <w:right w:val="single" w:sz="8" w:color="2D53A6"/>
            </w:tcBorders>
            <w:vMerge w:val="continue"/>
            <w:shd w:val="clear" w:color="auto" w:fill="2D53A6"/>
          </w:tcPr>
          <w:p>
            <w:pPr>
              <w:spacing w:after="0"/>
              <w:rPr>
                <w:sz w:val="15"/>
                <w:szCs w:val="15"/>
                <w:color w:val="auto"/>
              </w:rPr>
            </w:pPr>
          </w:p>
        </w:tc>
        <w:tc>
          <w:tcPr>
            <w:tcW w:w="1540" w:type="dxa"/>
            <w:vAlign w:val="bottom"/>
            <w:tcBorders>
              <w:right w:val="single" w:sz="8" w:color="2D53A6"/>
            </w:tcBorders>
            <w:vMerge w:val="continue"/>
            <w:shd w:val="clear" w:color="auto" w:fill="2D53A6"/>
          </w:tcPr>
          <w:p>
            <w:pPr>
              <w:spacing w:after="0"/>
              <w:rPr>
                <w:sz w:val="15"/>
                <w:szCs w:val="15"/>
                <w:color w:val="auto"/>
              </w:rPr>
            </w:pPr>
          </w:p>
        </w:tc>
        <w:tc>
          <w:tcPr>
            <w:tcW w:w="12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Term</w:t>
            </w:r>
          </w:p>
        </w:tc>
        <w:tc>
          <w:tcPr>
            <w:tcW w:w="660" w:type="dxa"/>
            <w:vAlign w:val="bottom"/>
            <w:tcBorders>
              <w:right w:val="single" w:sz="8" w:color="2D53A6"/>
            </w:tcBorders>
            <w:vMerge w:val="continue"/>
            <w:shd w:val="clear" w:color="auto" w:fill="2D53A6"/>
          </w:tcPr>
          <w:p>
            <w:pPr>
              <w:spacing w:after="0"/>
              <w:rPr>
                <w:sz w:val="15"/>
                <w:szCs w:val="15"/>
                <w:color w:val="auto"/>
              </w:rPr>
            </w:pPr>
          </w:p>
        </w:tc>
        <w:tc>
          <w:tcPr>
            <w:tcW w:w="680" w:type="dxa"/>
            <w:vAlign w:val="bottom"/>
            <w:tcBorders>
              <w:right w:val="single" w:sz="8" w:color="2D53A6"/>
            </w:tcBorders>
            <w:vMerge w:val="continue"/>
            <w:shd w:val="clear" w:color="auto" w:fill="2D53A6"/>
          </w:tcPr>
          <w:p>
            <w:pPr>
              <w:spacing w:after="0"/>
              <w:rPr>
                <w:sz w:val="15"/>
                <w:szCs w:val="15"/>
                <w:color w:val="auto"/>
              </w:rPr>
            </w:pPr>
          </w:p>
        </w:tc>
        <w:tc>
          <w:tcPr>
            <w:tcW w:w="660" w:type="dxa"/>
            <w:vAlign w:val="bottom"/>
            <w:tcBorders>
              <w:right w:val="single" w:sz="8" w:color="2D53A6"/>
            </w:tcBorders>
            <w:vMerge w:val="continue"/>
            <w:shd w:val="clear" w:color="auto" w:fill="2D53A6"/>
          </w:tcPr>
          <w:p>
            <w:pPr>
              <w:spacing w:after="0"/>
              <w:rPr>
                <w:sz w:val="15"/>
                <w:szCs w:val="15"/>
                <w:color w:val="auto"/>
              </w:rPr>
            </w:pPr>
          </w:p>
        </w:tc>
        <w:tc>
          <w:tcPr>
            <w:tcW w:w="2780" w:type="dxa"/>
            <w:vAlign w:val="bottom"/>
            <w:vMerge w:val="continue"/>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840" w:type="dxa"/>
            <w:vAlign w:val="bottom"/>
            <w:tcBorders>
              <w:right w:val="single" w:sz="8" w:color="2D53A6"/>
            </w:tcBorders>
            <w:shd w:val="clear" w:color="auto" w:fill="2D53A6"/>
          </w:tcPr>
          <w:p>
            <w:pPr>
              <w:spacing w:after="0"/>
              <w:rPr>
                <w:sz w:val="3"/>
                <w:szCs w:val="3"/>
                <w:color w:val="auto"/>
              </w:rPr>
            </w:pPr>
          </w:p>
        </w:tc>
        <w:tc>
          <w:tcPr>
            <w:tcW w:w="920" w:type="dxa"/>
            <w:vAlign w:val="bottom"/>
            <w:tcBorders>
              <w:right w:val="single" w:sz="8" w:color="2D53A6"/>
            </w:tcBorders>
            <w:shd w:val="clear" w:color="auto" w:fill="2D53A6"/>
          </w:tcPr>
          <w:p>
            <w:pPr>
              <w:spacing w:after="0"/>
              <w:rPr>
                <w:sz w:val="3"/>
                <w:szCs w:val="3"/>
                <w:color w:val="auto"/>
              </w:rPr>
            </w:pPr>
          </w:p>
        </w:tc>
        <w:tc>
          <w:tcPr>
            <w:tcW w:w="960" w:type="dxa"/>
            <w:vAlign w:val="bottom"/>
            <w:tcBorders>
              <w:right w:val="single" w:sz="8" w:color="2D53A6"/>
            </w:tcBorders>
            <w:shd w:val="clear" w:color="auto" w:fill="2D53A6"/>
          </w:tcPr>
          <w:p>
            <w:pPr>
              <w:spacing w:after="0"/>
              <w:rPr>
                <w:sz w:val="3"/>
                <w:szCs w:val="3"/>
                <w:color w:val="auto"/>
              </w:rPr>
            </w:pPr>
          </w:p>
        </w:tc>
        <w:tc>
          <w:tcPr>
            <w:tcW w:w="1540" w:type="dxa"/>
            <w:vAlign w:val="bottom"/>
            <w:tcBorders>
              <w:right w:val="single" w:sz="8" w:color="2D53A6"/>
            </w:tcBorders>
            <w:shd w:val="clear" w:color="auto" w:fill="2D53A6"/>
          </w:tcPr>
          <w:p>
            <w:pPr>
              <w:spacing w:after="0"/>
              <w:rPr>
                <w:sz w:val="3"/>
                <w:szCs w:val="3"/>
                <w:color w:val="auto"/>
              </w:rPr>
            </w:pPr>
          </w:p>
        </w:tc>
        <w:tc>
          <w:tcPr>
            <w:tcW w:w="1200" w:type="dxa"/>
            <w:vAlign w:val="bottom"/>
            <w:tcBorders>
              <w:right w:val="single" w:sz="8" w:color="2D53A6"/>
            </w:tcBorders>
            <w:vMerge w:val="continue"/>
            <w:shd w:val="clear" w:color="auto" w:fill="2D53A6"/>
          </w:tcPr>
          <w:p>
            <w:pPr>
              <w:spacing w:after="0"/>
              <w:rPr>
                <w:sz w:val="3"/>
                <w:szCs w:val="3"/>
                <w:color w:val="auto"/>
              </w:rPr>
            </w:pPr>
          </w:p>
        </w:tc>
        <w:tc>
          <w:tcPr>
            <w:tcW w:w="660" w:type="dxa"/>
            <w:vAlign w:val="bottom"/>
            <w:tcBorders>
              <w:right w:val="single" w:sz="8" w:color="2D53A6"/>
            </w:tcBorders>
            <w:shd w:val="clear" w:color="auto" w:fill="2D53A6"/>
          </w:tcPr>
          <w:p>
            <w:pPr>
              <w:spacing w:after="0"/>
              <w:rPr>
                <w:sz w:val="3"/>
                <w:szCs w:val="3"/>
                <w:color w:val="auto"/>
              </w:rPr>
            </w:pPr>
          </w:p>
        </w:tc>
        <w:tc>
          <w:tcPr>
            <w:tcW w:w="680" w:type="dxa"/>
            <w:vAlign w:val="bottom"/>
            <w:tcBorders>
              <w:right w:val="single" w:sz="8" w:color="2D53A6"/>
            </w:tcBorders>
            <w:shd w:val="clear" w:color="auto" w:fill="2D53A6"/>
          </w:tcPr>
          <w:p>
            <w:pPr>
              <w:spacing w:after="0"/>
              <w:rPr>
                <w:sz w:val="3"/>
                <w:szCs w:val="3"/>
                <w:color w:val="auto"/>
              </w:rPr>
            </w:pPr>
          </w:p>
        </w:tc>
        <w:tc>
          <w:tcPr>
            <w:tcW w:w="660" w:type="dxa"/>
            <w:vAlign w:val="bottom"/>
            <w:tcBorders>
              <w:right w:val="single" w:sz="8" w:color="2D53A6"/>
            </w:tcBorders>
            <w:shd w:val="clear" w:color="auto" w:fill="2D53A6"/>
          </w:tcPr>
          <w:p>
            <w:pPr>
              <w:spacing w:after="0"/>
              <w:rPr>
                <w:sz w:val="3"/>
                <w:szCs w:val="3"/>
                <w:color w:val="auto"/>
              </w:rPr>
            </w:pPr>
          </w:p>
        </w:tc>
        <w:tc>
          <w:tcPr>
            <w:tcW w:w="2780" w:type="dxa"/>
            <w:vAlign w:val="bottom"/>
            <w:shd w:val="clear" w:color="auto" w:fill="2D53A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840" w:type="dxa"/>
            <w:vAlign w:val="bottom"/>
            <w:tcBorders>
              <w:right w:val="single" w:sz="8" w:color="2D53A6"/>
            </w:tcBorders>
            <w:shd w:val="clear" w:color="auto" w:fill="2D53A6"/>
          </w:tcPr>
          <w:p>
            <w:pPr>
              <w:spacing w:after="0"/>
              <w:rPr>
                <w:sz w:val="21"/>
                <w:szCs w:val="21"/>
                <w:color w:val="auto"/>
              </w:rPr>
            </w:pPr>
          </w:p>
        </w:tc>
        <w:tc>
          <w:tcPr>
            <w:tcW w:w="920" w:type="dxa"/>
            <w:vAlign w:val="bottom"/>
            <w:tcBorders>
              <w:right w:val="single" w:sz="8" w:color="2D53A6"/>
            </w:tcBorders>
            <w:shd w:val="clear" w:color="auto" w:fill="2D53A6"/>
          </w:tcPr>
          <w:p>
            <w:pPr>
              <w:spacing w:after="0"/>
              <w:rPr>
                <w:sz w:val="21"/>
                <w:szCs w:val="21"/>
                <w:color w:val="auto"/>
              </w:rPr>
            </w:pPr>
          </w:p>
        </w:tc>
        <w:tc>
          <w:tcPr>
            <w:tcW w:w="960" w:type="dxa"/>
            <w:vAlign w:val="bottom"/>
            <w:tcBorders>
              <w:right w:val="single" w:sz="8" w:color="2D53A6"/>
            </w:tcBorders>
            <w:shd w:val="clear" w:color="auto" w:fill="2D53A6"/>
          </w:tcPr>
          <w:p>
            <w:pPr>
              <w:spacing w:after="0"/>
              <w:rPr>
                <w:sz w:val="21"/>
                <w:szCs w:val="21"/>
                <w:color w:val="auto"/>
              </w:rPr>
            </w:pPr>
          </w:p>
        </w:tc>
        <w:tc>
          <w:tcPr>
            <w:tcW w:w="1540" w:type="dxa"/>
            <w:vAlign w:val="bottom"/>
            <w:tcBorders>
              <w:right w:val="single" w:sz="8" w:color="2D53A6"/>
            </w:tcBorders>
            <w:shd w:val="clear" w:color="auto" w:fill="2D53A6"/>
          </w:tcPr>
          <w:p>
            <w:pPr>
              <w:spacing w:after="0"/>
              <w:rPr>
                <w:sz w:val="21"/>
                <w:szCs w:val="21"/>
                <w:color w:val="auto"/>
              </w:rPr>
            </w:pPr>
          </w:p>
        </w:tc>
        <w:tc>
          <w:tcPr>
            <w:tcW w:w="12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Expires</w:t>
            </w:r>
          </w:p>
        </w:tc>
        <w:tc>
          <w:tcPr>
            <w:tcW w:w="660" w:type="dxa"/>
            <w:vAlign w:val="bottom"/>
            <w:tcBorders>
              <w:right w:val="single" w:sz="8" w:color="2D53A6"/>
            </w:tcBorders>
            <w:shd w:val="clear" w:color="auto" w:fill="2D53A6"/>
          </w:tcPr>
          <w:p>
            <w:pPr>
              <w:spacing w:after="0"/>
              <w:rPr>
                <w:sz w:val="21"/>
                <w:szCs w:val="21"/>
                <w:color w:val="auto"/>
              </w:rPr>
            </w:pPr>
          </w:p>
        </w:tc>
        <w:tc>
          <w:tcPr>
            <w:tcW w:w="680" w:type="dxa"/>
            <w:vAlign w:val="bottom"/>
            <w:tcBorders>
              <w:right w:val="single" w:sz="8" w:color="2D53A6"/>
            </w:tcBorders>
            <w:shd w:val="clear" w:color="auto" w:fill="2D53A6"/>
          </w:tcPr>
          <w:p>
            <w:pPr>
              <w:spacing w:after="0"/>
              <w:rPr>
                <w:sz w:val="21"/>
                <w:szCs w:val="21"/>
                <w:color w:val="auto"/>
              </w:rPr>
            </w:pPr>
          </w:p>
        </w:tc>
        <w:tc>
          <w:tcPr>
            <w:tcW w:w="660" w:type="dxa"/>
            <w:vAlign w:val="bottom"/>
            <w:tcBorders>
              <w:right w:val="single" w:sz="8" w:color="2D53A6"/>
            </w:tcBorders>
            <w:shd w:val="clear" w:color="auto" w:fill="2D53A6"/>
          </w:tcPr>
          <w:p>
            <w:pPr>
              <w:spacing w:after="0"/>
              <w:rPr>
                <w:sz w:val="21"/>
                <w:szCs w:val="21"/>
                <w:color w:val="auto"/>
              </w:rPr>
            </w:pPr>
          </w:p>
        </w:tc>
        <w:tc>
          <w:tcPr>
            <w:tcW w:w="2780" w:type="dxa"/>
            <w:vAlign w:val="bottom"/>
            <w:shd w:val="clear" w:color="auto" w:fill="2D53A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William E. Bendush</w:t>
            </w:r>
          </w:p>
        </w:tc>
        <w:tc>
          <w:tcPr>
            <w:tcW w:w="9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74</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2011</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12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1 -- 2023</w:t>
            </w:r>
          </w:p>
        </w:tc>
        <w:tc>
          <w:tcPr>
            <w:tcW w:w="660" w:type="dxa"/>
            <w:vAlign w:val="bottom"/>
            <w:tcBorders>
              <w:bottom w:val="single" w:sz="8" w:color="2D53A6"/>
              <w:right w:val="single" w:sz="8" w:color="2D53A6"/>
            </w:tcBorders>
          </w:tcPr>
          <w:p>
            <w:pPr>
              <w:ind w:left="200"/>
              <w:spacing w:after="0"/>
              <w:rPr>
                <w:sz w:val="20"/>
                <w:szCs w:val="20"/>
                <w:color w:val="auto"/>
              </w:rPr>
            </w:pPr>
            <w:r>
              <w:rPr>
                <w:rFonts w:ascii="Arial" w:cs="Arial" w:eastAsia="Arial" w:hAnsi="Arial"/>
                <w:sz w:val="18"/>
                <w:szCs w:val="18"/>
                <w:color w:val="auto"/>
              </w:rPr>
              <w:t>C+</w:t>
            </w:r>
          </w:p>
        </w:tc>
        <w:tc>
          <w:tcPr>
            <w:tcW w:w="680" w:type="dxa"/>
            <w:vAlign w:val="bottom"/>
            <w:tcBorders>
              <w:bottom w:val="single" w:sz="8" w:color="2D53A6"/>
              <w:right w:val="single" w:sz="8" w:color="2D53A6"/>
            </w:tcBorders>
          </w:tcPr>
          <w:p>
            <w:pPr>
              <w:spacing w:after="0"/>
              <w:rPr>
                <w:sz w:val="18"/>
                <w:szCs w:val="18"/>
                <w:color w:val="auto"/>
              </w:rPr>
            </w:pP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M</w:t>
            </w:r>
          </w:p>
        </w:tc>
        <w:tc>
          <w:tcPr>
            <w:tcW w:w="27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4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Nina L. Richardson</w:t>
            </w:r>
          </w:p>
        </w:tc>
        <w:tc>
          <w:tcPr>
            <w:tcW w:w="9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89"/>
              </w:rPr>
              <w:t>64</w:t>
            </w:r>
          </w:p>
        </w:tc>
        <w:tc>
          <w:tcPr>
            <w:tcW w:w="9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89"/>
              </w:rPr>
              <w:t>2019</w:t>
            </w:r>
          </w:p>
        </w:tc>
        <w:tc>
          <w:tcPr>
            <w:tcW w:w="15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12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1"/>
              </w:rPr>
              <w:t>1 -- 2023</w:t>
            </w:r>
          </w:p>
        </w:tc>
        <w:tc>
          <w:tcPr>
            <w:tcW w:w="660" w:type="dxa"/>
            <w:vAlign w:val="bottom"/>
            <w:tcBorders>
              <w:right w:val="single" w:sz="8" w:color="2D53A6"/>
            </w:tcBorders>
            <w:shd w:val="clear" w:color="auto" w:fill="E6E6E6"/>
          </w:tcPr>
          <w:p>
            <w:pPr>
              <w:spacing w:after="0"/>
              <w:rPr>
                <w:sz w:val="16"/>
                <w:szCs w:val="16"/>
                <w:color w:val="auto"/>
              </w:rPr>
            </w:pP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M</w:t>
            </w:r>
          </w:p>
        </w:tc>
        <w:tc>
          <w:tcPr>
            <w:tcW w:w="660" w:type="dxa"/>
            <w:vAlign w:val="bottom"/>
            <w:tcBorders>
              <w:right w:val="single" w:sz="8" w:color="2D53A6"/>
            </w:tcBorders>
            <w:shd w:val="clear" w:color="auto" w:fill="E6E6E6"/>
          </w:tcPr>
          <w:p>
            <w:pPr>
              <w:spacing w:after="0"/>
              <w:rPr>
                <w:sz w:val="16"/>
                <w:szCs w:val="16"/>
                <w:color w:val="auto"/>
              </w:rPr>
            </w:pPr>
          </w:p>
        </w:tc>
        <w:tc>
          <w:tcPr>
            <w:tcW w:w="2780" w:type="dxa"/>
            <w:vAlign w:val="bottom"/>
            <w:shd w:val="clear" w:color="auto" w:fill="E6E6E6"/>
          </w:tcPr>
          <w:p>
            <w:pPr>
              <w:spacing w:after="0" w:line="195" w:lineRule="exact"/>
              <w:rPr>
                <w:sz w:val="20"/>
                <w:szCs w:val="20"/>
                <w:color w:val="auto"/>
              </w:rPr>
            </w:pPr>
            <w:r>
              <w:rPr>
                <w:rFonts w:ascii="Arial" w:cs="Arial" w:eastAsia="Arial" w:hAnsi="Arial"/>
                <w:sz w:val="18"/>
                <w:szCs w:val="18"/>
                <w:color w:val="auto"/>
                <w:w w:val="98"/>
              </w:rPr>
              <w:t>Resideo Technologies, Inc., Silicon</w:t>
            </w:r>
          </w:p>
        </w:tc>
        <w:tc>
          <w:tcPr>
            <w:tcW w:w="0" w:type="dxa"/>
            <w:vAlign w:val="bottom"/>
          </w:tcPr>
          <w:p>
            <w:pPr>
              <w:spacing w:after="0"/>
              <w:rPr>
                <w:sz w:val="1"/>
                <w:szCs w:val="1"/>
                <w:color w:val="auto"/>
              </w:rPr>
            </w:pPr>
          </w:p>
        </w:tc>
      </w:tr>
      <w:tr>
        <w:trPr>
          <w:trHeight w:val="122"/>
        </w:trPr>
        <w:tc>
          <w:tcPr>
            <w:tcW w:w="1840" w:type="dxa"/>
            <w:vAlign w:val="bottom"/>
            <w:tcBorders>
              <w:right w:val="single" w:sz="8" w:color="2D53A6"/>
            </w:tcBorders>
            <w:vMerge w:val="continue"/>
            <w:shd w:val="clear" w:color="auto" w:fill="E6E6E6"/>
          </w:tcPr>
          <w:p>
            <w:pPr>
              <w:spacing w:after="0"/>
              <w:rPr>
                <w:sz w:val="10"/>
                <w:szCs w:val="10"/>
                <w:color w:val="auto"/>
              </w:rPr>
            </w:pPr>
          </w:p>
        </w:tc>
        <w:tc>
          <w:tcPr>
            <w:tcW w:w="920" w:type="dxa"/>
            <w:vAlign w:val="bottom"/>
            <w:tcBorders>
              <w:right w:val="single" w:sz="8" w:color="2D53A6"/>
            </w:tcBorders>
            <w:vMerge w:val="continue"/>
            <w:shd w:val="clear" w:color="auto" w:fill="E6E6E6"/>
          </w:tcPr>
          <w:p>
            <w:pPr>
              <w:spacing w:after="0"/>
              <w:rPr>
                <w:sz w:val="10"/>
                <w:szCs w:val="10"/>
                <w:color w:val="auto"/>
              </w:rPr>
            </w:pPr>
          </w:p>
        </w:tc>
        <w:tc>
          <w:tcPr>
            <w:tcW w:w="960" w:type="dxa"/>
            <w:vAlign w:val="bottom"/>
            <w:tcBorders>
              <w:right w:val="single" w:sz="8" w:color="2D53A6"/>
            </w:tcBorders>
            <w:vMerge w:val="continue"/>
            <w:shd w:val="clear" w:color="auto" w:fill="E6E6E6"/>
          </w:tcPr>
          <w:p>
            <w:pPr>
              <w:spacing w:after="0"/>
              <w:rPr>
                <w:sz w:val="10"/>
                <w:szCs w:val="10"/>
                <w:color w:val="auto"/>
              </w:rPr>
            </w:pPr>
          </w:p>
        </w:tc>
        <w:tc>
          <w:tcPr>
            <w:tcW w:w="1540" w:type="dxa"/>
            <w:vAlign w:val="bottom"/>
            <w:tcBorders>
              <w:right w:val="single" w:sz="8" w:color="2D53A6"/>
            </w:tcBorders>
            <w:vMerge w:val="continue"/>
            <w:shd w:val="clear" w:color="auto" w:fill="E6E6E6"/>
          </w:tcPr>
          <w:p>
            <w:pPr>
              <w:spacing w:after="0"/>
              <w:rPr>
                <w:sz w:val="10"/>
                <w:szCs w:val="10"/>
                <w:color w:val="auto"/>
              </w:rPr>
            </w:pPr>
          </w:p>
        </w:tc>
        <w:tc>
          <w:tcPr>
            <w:tcW w:w="1200" w:type="dxa"/>
            <w:vAlign w:val="bottom"/>
            <w:tcBorders>
              <w:right w:val="single" w:sz="8" w:color="2D53A6"/>
            </w:tcBorders>
            <w:vMerge w:val="continue"/>
            <w:shd w:val="clear" w:color="auto" w:fill="E6E6E6"/>
          </w:tcPr>
          <w:p>
            <w:pPr>
              <w:spacing w:after="0"/>
              <w:rPr>
                <w:sz w:val="10"/>
                <w:szCs w:val="10"/>
                <w:color w:val="auto"/>
              </w:rPr>
            </w:pPr>
          </w:p>
        </w:tc>
        <w:tc>
          <w:tcPr>
            <w:tcW w:w="660" w:type="dxa"/>
            <w:vAlign w:val="bottom"/>
            <w:tcBorders>
              <w:right w:val="single" w:sz="8" w:color="2D53A6"/>
            </w:tcBorders>
            <w:shd w:val="clear" w:color="auto" w:fill="E6E6E6"/>
          </w:tcPr>
          <w:p>
            <w:pPr>
              <w:spacing w:after="0"/>
              <w:rPr>
                <w:sz w:val="10"/>
                <w:szCs w:val="10"/>
                <w:color w:val="auto"/>
              </w:rPr>
            </w:pPr>
          </w:p>
        </w:tc>
        <w:tc>
          <w:tcPr>
            <w:tcW w:w="680" w:type="dxa"/>
            <w:vAlign w:val="bottom"/>
            <w:tcBorders>
              <w:right w:val="single" w:sz="8" w:color="2D53A6"/>
            </w:tcBorders>
            <w:vMerge w:val="continue"/>
            <w:shd w:val="clear" w:color="auto" w:fill="E6E6E6"/>
          </w:tcPr>
          <w:p>
            <w:pPr>
              <w:spacing w:after="0"/>
              <w:rPr>
                <w:sz w:val="10"/>
                <w:szCs w:val="10"/>
                <w:color w:val="auto"/>
              </w:rPr>
            </w:pPr>
          </w:p>
        </w:tc>
        <w:tc>
          <w:tcPr>
            <w:tcW w:w="660" w:type="dxa"/>
            <w:vAlign w:val="bottom"/>
            <w:tcBorders>
              <w:right w:val="single" w:sz="8" w:color="2D53A6"/>
            </w:tcBorders>
            <w:shd w:val="clear" w:color="auto" w:fill="E6E6E6"/>
          </w:tcPr>
          <w:p>
            <w:pPr>
              <w:spacing w:after="0"/>
              <w:rPr>
                <w:sz w:val="10"/>
                <w:szCs w:val="10"/>
                <w:color w:val="auto"/>
              </w:rPr>
            </w:pPr>
          </w:p>
        </w:tc>
        <w:tc>
          <w:tcPr>
            <w:tcW w:w="2780" w:type="dxa"/>
            <w:vAlign w:val="bottom"/>
            <w:vMerge w:val="restart"/>
            <w:shd w:val="clear" w:color="auto" w:fill="E6E6E6"/>
          </w:tcPr>
          <w:p>
            <w:pPr>
              <w:spacing w:after="0"/>
              <w:rPr>
                <w:sz w:val="20"/>
                <w:szCs w:val="20"/>
                <w:color w:val="auto"/>
              </w:rPr>
            </w:pPr>
            <w:r>
              <w:rPr>
                <w:rFonts w:ascii="Arial" w:cs="Arial" w:eastAsia="Arial" w:hAnsi="Arial"/>
                <w:sz w:val="18"/>
                <w:szCs w:val="18"/>
                <w:color w:val="auto"/>
              </w:rPr>
              <w:t>Laboratories Inc.</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2D53A6"/>
              <w:right w:val="single" w:sz="8" w:color="2D53A6"/>
            </w:tcBorders>
            <w:shd w:val="clear" w:color="auto" w:fill="E6E6E6"/>
          </w:tcPr>
          <w:p>
            <w:pPr>
              <w:spacing w:after="0"/>
              <w:rPr>
                <w:sz w:val="9"/>
                <w:szCs w:val="9"/>
                <w:color w:val="auto"/>
              </w:rPr>
            </w:pPr>
          </w:p>
        </w:tc>
        <w:tc>
          <w:tcPr>
            <w:tcW w:w="920" w:type="dxa"/>
            <w:vAlign w:val="bottom"/>
            <w:tcBorders>
              <w:bottom w:val="single" w:sz="8" w:color="2D53A6"/>
              <w:right w:val="single" w:sz="8" w:color="2D53A6"/>
            </w:tcBorders>
            <w:shd w:val="clear" w:color="auto" w:fill="E6E6E6"/>
          </w:tcPr>
          <w:p>
            <w:pPr>
              <w:spacing w:after="0"/>
              <w:rPr>
                <w:sz w:val="9"/>
                <w:szCs w:val="9"/>
                <w:color w:val="auto"/>
              </w:rPr>
            </w:pPr>
          </w:p>
        </w:tc>
        <w:tc>
          <w:tcPr>
            <w:tcW w:w="960" w:type="dxa"/>
            <w:vAlign w:val="bottom"/>
            <w:tcBorders>
              <w:bottom w:val="single" w:sz="8" w:color="2D53A6"/>
              <w:right w:val="single" w:sz="8" w:color="2D53A6"/>
            </w:tcBorders>
            <w:shd w:val="clear" w:color="auto" w:fill="E6E6E6"/>
          </w:tcPr>
          <w:p>
            <w:pPr>
              <w:spacing w:after="0"/>
              <w:rPr>
                <w:sz w:val="9"/>
                <w:szCs w:val="9"/>
                <w:color w:val="auto"/>
              </w:rPr>
            </w:pPr>
          </w:p>
        </w:tc>
        <w:tc>
          <w:tcPr>
            <w:tcW w:w="1540" w:type="dxa"/>
            <w:vAlign w:val="bottom"/>
            <w:tcBorders>
              <w:bottom w:val="single" w:sz="8" w:color="2D53A6"/>
              <w:right w:val="single" w:sz="8" w:color="2D53A6"/>
            </w:tcBorders>
            <w:shd w:val="clear" w:color="auto" w:fill="E6E6E6"/>
          </w:tcPr>
          <w:p>
            <w:pPr>
              <w:spacing w:after="0"/>
              <w:rPr>
                <w:sz w:val="9"/>
                <w:szCs w:val="9"/>
                <w:color w:val="auto"/>
              </w:rPr>
            </w:pPr>
          </w:p>
        </w:tc>
        <w:tc>
          <w:tcPr>
            <w:tcW w:w="1200" w:type="dxa"/>
            <w:vAlign w:val="bottom"/>
            <w:tcBorders>
              <w:bottom w:val="single" w:sz="8" w:color="2D53A6"/>
              <w:right w:val="single" w:sz="8" w:color="2D53A6"/>
            </w:tcBorders>
            <w:shd w:val="clear" w:color="auto" w:fill="E6E6E6"/>
          </w:tcPr>
          <w:p>
            <w:pPr>
              <w:spacing w:after="0"/>
              <w:rPr>
                <w:sz w:val="9"/>
                <w:szCs w:val="9"/>
                <w:color w:val="auto"/>
              </w:rPr>
            </w:pPr>
          </w:p>
        </w:tc>
        <w:tc>
          <w:tcPr>
            <w:tcW w:w="660" w:type="dxa"/>
            <w:vAlign w:val="bottom"/>
            <w:tcBorders>
              <w:bottom w:val="single" w:sz="8" w:color="2D53A6"/>
              <w:right w:val="single" w:sz="8" w:color="2D53A6"/>
            </w:tcBorders>
            <w:shd w:val="clear" w:color="auto" w:fill="E6E6E6"/>
          </w:tcPr>
          <w:p>
            <w:pPr>
              <w:spacing w:after="0"/>
              <w:rPr>
                <w:sz w:val="9"/>
                <w:szCs w:val="9"/>
                <w:color w:val="auto"/>
              </w:rPr>
            </w:pPr>
          </w:p>
        </w:tc>
        <w:tc>
          <w:tcPr>
            <w:tcW w:w="680" w:type="dxa"/>
            <w:vAlign w:val="bottom"/>
            <w:tcBorders>
              <w:bottom w:val="single" w:sz="8" w:color="2D53A6"/>
              <w:right w:val="single" w:sz="8" w:color="2D53A6"/>
            </w:tcBorders>
            <w:shd w:val="clear" w:color="auto" w:fill="E6E6E6"/>
          </w:tcPr>
          <w:p>
            <w:pPr>
              <w:spacing w:after="0"/>
              <w:rPr>
                <w:sz w:val="9"/>
                <w:szCs w:val="9"/>
                <w:color w:val="auto"/>
              </w:rPr>
            </w:pPr>
          </w:p>
        </w:tc>
        <w:tc>
          <w:tcPr>
            <w:tcW w:w="660" w:type="dxa"/>
            <w:vAlign w:val="bottom"/>
            <w:tcBorders>
              <w:bottom w:val="single" w:sz="8" w:color="2D53A6"/>
              <w:right w:val="single" w:sz="8" w:color="2D53A6"/>
            </w:tcBorders>
            <w:shd w:val="clear" w:color="auto" w:fill="E6E6E6"/>
          </w:tcPr>
          <w:p>
            <w:pPr>
              <w:spacing w:after="0"/>
              <w:rPr>
                <w:sz w:val="9"/>
                <w:szCs w:val="9"/>
                <w:color w:val="auto"/>
              </w:rPr>
            </w:pPr>
          </w:p>
        </w:tc>
        <w:tc>
          <w:tcPr>
            <w:tcW w:w="2780" w:type="dxa"/>
            <w:vAlign w:val="bottom"/>
            <w:tcBorders>
              <w:bottom w:val="single" w:sz="8" w:color="2D53A6"/>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2D53A6"/>
            </w:tcBorders>
            <w:gridSpan w:val="3"/>
          </w:tcPr>
          <w:p>
            <w:pPr>
              <w:spacing w:after="0"/>
              <w:rPr>
                <w:sz w:val="20"/>
                <w:szCs w:val="20"/>
                <w:color w:val="auto"/>
              </w:rPr>
            </w:pPr>
            <w:r>
              <w:rPr>
                <w:rFonts w:ascii="Arial" w:cs="Arial" w:eastAsia="Arial" w:hAnsi="Arial"/>
                <w:sz w:val="18"/>
                <w:szCs w:val="18"/>
                <w:i w:val="1"/>
                <w:iCs w:val="1"/>
                <w:color w:val="auto"/>
                <w:w w:val="94"/>
              </w:rPr>
              <w:t>Other Directors Not Standing for Election in 2023</w:t>
            </w:r>
          </w:p>
        </w:tc>
        <w:tc>
          <w:tcPr>
            <w:tcW w:w="1540" w:type="dxa"/>
            <w:vAlign w:val="bottom"/>
            <w:tcBorders>
              <w:bottom w:val="single" w:sz="8" w:color="2D53A6"/>
            </w:tcBorders>
          </w:tcPr>
          <w:p>
            <w:pPr>
              <w:spacing w:after="0"/>
              <w:rPr>
                <w:sz w:val="18"/>
                <w:szCs w:val="18"/>
                <w:color w:val="auto"/>
              </w:rPr>
            </w:pPr>
          </w:p>
        </w:tc>
        <w:tc>
          <w:tcPr>
            <w:tcW w:w="1200" w:type="dxa"/>
            <w:vAlign w:val="bottom"/>
            <w:tcBorders>
              <w:bottom w:val="single" w:sz="8" w:color="2D53A6"/>
            </w:tcBorders>
          </w:tcPr>
          <w:p>
            <w:pPr>
              <w:spacing w:after="0"/>
              <w:rPr>
                <w:sz w:val="18"/>
                <w:szCs w:val="18"/>
                <w:color w:val="auto"/>
              </w:rPr>
            </w:pPr>
          </w:p>
        </w:tc>
        <w:tc>
          <w:tcPr>
            <w:tcW w:w="660" w:type="dxa"/>
            <w:vAlign w:val="bottom"/>
            <w:tcBorders>
              <w:bottom w:val="single" w:sz="8" w:color="2D53A6"/>
            </w:tcBorders>
          </w:tcPr>
          <w:p>
            <w:pPr>
              <w:spacing w:after="0"/>
              <w:rPr>
                <w:sz w:val="18"/>
                <w:szCs w:val="18"/>
                <w:color w:val="auto"/>
              </w:rPr>
            </w:pPr>
          </w:p>
        </w:tc>
        <w:tc>
          <w:tcPr>
            <w:tcW w:w="680" w:type="dxa"/>
            <w:vAlign w:val="bottom"/>
            <w:tcBorders>
              <w:bottom w:val="single" w:sz="8" w:color="2D53A6"/>
            </w:tcBorders>
          </w:tcPr>
          <w:p>
            <w:pPr>
              <w:spacing w:after="0"/>
              <w:rPr>
                <w:sz w:val="18"/>
                <w:szCs w:val="18"/>
                <w:color w:val="auto"/>
              </w:rPr>
            </w:pPr>
          </w:p>
        </w:tc>
        <w:tc>
          <w:tcPr>
            <w:tcW w:w="660" w:type="dxa"/>
            <w:vAlign w:val="bottom"/>
            <w:tcBorders>
              <w:bottom w:val="single" w:sz="8" w:color="2D53A6"/>
            </w:tcBorders>
          </w:tcPr>
          <w:p>
            <w:pPr>
              <w:spacing w:after="0"/>
              <w:rPr>
                <w:sz w:val="18"/>
                <w:szCs w:val="18"/>
                <w:color w:val="auto"/>
              </w:rPr>
            </w:pPr>
          </w:p>
        </w:tc>
        <w:tc>
          <w:tcPr>
            <w:tcW w:w="27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Steven J. Bilodeau</w:t>
            </w:r>
          </w:p>
        </w:tc>
        <w:tc>
          <w:tcPr>
            <w:tcW w:w="9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64</w:t>
            </w:r>
          </w:p>
        </w:tc>
        <w:tc>
          <w:tcPr>
            <w:tcW w:w="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2009</w:t>
            </w:r>
          </w:p>
        </w:tc>
        <w:tc>
          <w:tcPr>
            <w:tcW w:w="15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12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3 -- 2025</w:t>
            </w: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C</w:t>
            </w:r>
          </w:p>
        </w:tc>
        <w:tc>
          <w:tcPr>
            <w:tcW w:w="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M</w:t>
            </w:r>
          </w:p>
        </w:tc>
        <w:tc>
          <w:tcPr>
            <w:tcW w:w="278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Andrew M. Caggia</w:t>
            </w:r>
          </w:p>
        </w:tc>
        <w:tc>
          <w:tcPr>
            <w:tcW w:w="9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74</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2014</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12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2 -- 2024</w:t>
            </w:r>
          </w:p>
        </w:tc>
        <w:tc>
          <w:tcPr>
            <w:tcW w:w="6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M+</w:t>
            </w:r>
          </w:p>
        </w:tc>
        <w:tc>
          <w:tcPr>
            <w:tcW w:w="680" w:type="dxa"/>
            <w:vAlign w:val="bottom"/>
            <w:tcBorders>
              <w:bottom w:val="single" w:sz="8" w:color="2D53A6"/>
              <w:right w:val="single" w:sz="8" w:color="2D53A6"/>
            </w:tcBorders>
          </w:tcPr>
          <w:p>
            <w:pPr>
              <w:spacing w:after="0"/>
              <w:rPr>
                <w:sz w:val="18"/>
                <w:szCs w:val="18"/>
                <w:color w:val="auto"/>
              </w:rPr>
            </w:pP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C</w:t>
            </w:r>
          </w:p>
        </w:tc>
        <w:tc>
          <w:tcPr>
            <w:tcW w:w="27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James A. Donahue</w:t>
            </w:r>
          </w:p>
        </w:tc>
        <w:tc>
          <w:tcPr>
            <w:tcW w:w="9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74</w:t>
            </w:r>
          </w:p>
        </w:tc>
        <w:tc>
          <w:tcPr>
            <w:tcW w:w="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1999</w:t>
            </w:r>
          </w:p>
        </w:tc>
        <w:tc>
          <w:tcPr>
            <w:tcW w:w="15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5"/>
              </w:rPr>
              <w:t>No</w:t>
            </w:r>
          </w:p>
        </w:tc>
        <w:tc>
          <w:tcPr>
            <w:tcW w:w="12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3 -- 2025</w:t>
            </w: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68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278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Yon Y. Jorden</w:t>
            </w:r>
          </w:p>
        </w:tc>
        <w:tc>
          <w:tcPr>
            <w:tcW w:w="9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68</w:t>
            </w:r>
          </w:p>
        </w:tc>
        <w:tc>
          <w:tcPr>
            <w:tcW w:w="9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5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12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2 -- 2024</w:t>
            </w:r>
          </w:p>
        </w:tc>
        <w:tc>
          <w:tcPr>
            <w:tcW w:w="660" w:type="dxa"/>
            <w:vAlign w:val="bottom"/>
            <w:tcBorders>
              <w:right w:val="single" w:sz="8" w:color="2D53A6"/>
            </w:tcBorders>
            <w:vMerge w:val="restart"/>
          </w:tcPr>
          <w:p>
            <w:pPr>
              <w:ind w:left="180"/>
              <w:spacing w:after="0"/>
              <w:rPr>
                <w:sz w:val="20"/>
                <w:szCs w:val="20"/>
                <w:color w:val="auto"/>
              </w:rPr>
            </w:pPr>
            <w:r>
              <w:rPr>
                <w:rFonts w:ascii="Arial" w:cs="Arial" w:eastAsia="Arial" w:hAnsi="Arial"/>
                <w:sz w:val="18"/>
                <w:szCs w:val="18"/>
                <w:color w:val="auto"/>
              </w:rPr>
              <w:t>M+</w:t>
            </w:r>
          </w:p>
        </w:tc>
        <w:tc>
          <w:tcPr>
            <w:tcW w:w="68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tcPr>
          <w:p>
            <w:pPr>
              <w:spacing w:after="0"/>
              <w:rPr>
                <w:sz w:val="16"/>
                <w:szCs w:val="16"/>
                <w:color w:val="auto"/>
              </w:rPr>
            </w:pPr>
          </w:p>
        </w:tc>
        <w:tc>
          <w:tcPr>
            <w:tcW w:w="2780" w:type="dxa"/>
            <w:vAlign w:val="bottom"/>
          </w:tcPr>
          <w:p>
            <w:pPr>
              <w:spacing w:after="0" w:line="195" w:lineRule="exact"/>
              <w:rPr>
                <w:sz w:val="20"/>
                <w:szCs w:val="20"/>
                <w:color w:val="auto"/>
              </w:rPr>
            </w:pPr>
            <w:r>
              <w:rPr>
                <w:rFonts w:ascii="Arial" w:cs="Arial" w:eastAsia="Arial" w:hAnsi="Arial"/>
                <w:sz w:val="18"/>
                <w:szCs w:val="18"/>
                <w:color w:val="auto"/>
                <w:w w:val="92"/>
              </w:rPr>
              <w:t>Alignment Healthcare, Inc., Capstone</w:t>
            </w:r>
          </w:p>
        </w:tc>
        <w:tc>
          <w:tcPr>
            <w:tcW w:w="0" w:type="dxa"/>
            <w:vAlign w:val="bottom"/>
          </w:tcPr>
          <w:p>
            <w:pPr>
              <w:spacing w:after="0"/>
              <w:rPr>
                <w:sz w:val="1"/>
                <w:szCs w:val="1"/>
                <w:color w:val="auto"/>
              </w:rPr>
            </w:pPr>
          </w:p>
        </w:tc>
      </w:tr>
      <w:tr>
        <w:trPr>
          <w:trHeight w:val="122"/>
        </w:trPr>
        <w:tc>
          <w:tcPr>
            <w:tcW w:w="1840" w:type="dxa"/>
            <w:vAlign w:val="bottom"/>
            <w:tcBorders>
              <w:right w:val="single" w:sz="8" w:color="2D53A6"/>
            </w:tcBorders>
            <w:vMerge w:val="continue"/>
          </w:tcPr>
          <w:p>
            <w:pPr>
              <w:spacing w:after="0"/>
              <w:rPr>
                <w:sz w:val="10"/>
                <w:szCs w:val="10"/>
                <w:color w:val="auto"/>
              </w:rPr>
            </w:pPr>
          </w:p>
        </w:tc>
        <w:tc>
          <w:tcPr>
            <w:tcW w:w="920" w:type="dxa"/>
            <w:vAlign w:val="bottom"/>
            <w:tcBorders>
              <w:right w:val="single" w:sz="8" w:color="2D53A6"/>
            </w:tcBorders>
            <w:vMerge w:val="continue"/>
          </w:tcPr>
          <w:p>
            <w:pPr>
              <w:spacing w:after="0"/>
              <w:rPr>
                <w:sz w:val="10"/>
                <w:szCs w:val="10"/>
                <w:color w:val="auto"/>
              </w:rPr>
            </w:pPr>
          </w:p>
        </w:tc>
        <w:tc>
          <w:tcPr>
            <w:tcW w:w="960" w:type="dxa"/>
            <w:vAlign w:val="bottom"/>
            <w:tcBorders>
              <w:right w:val="single" w:sz="8" w:color="2D53A6"/>
            </w:tcBorders>
            <w:vMerge w:val="continue"/>
          </w:tcPr>
          <w:p>
            <w:pPr>
              <w:spacing w:after="0"/>
              <w:rPr>
                <w:sz w:val="10"/>
                <w:szCs w:val="10"/>
                <w:color w:val="auto"/>
              </w:rPr>
            </w:pPr>
          </w:p>
        </w:tc>
        <w:tc>
          <w:tcPr>
            <w:tcW w:w="1540" w:type="dxa"/>
            <w:vAlign w:val="bottom"/>
            <w:tcBorders>
              <w:right w:val="single" w:sz="8" w:color="2D53A6"/>
            </w:tcBorders>
            <w:vMerge w:val="continue"/>
          </w:tcPr>
          <w:p>
            <w:pPr>
              <w:spacing w:after="0"/>
              <w:rPr>
                <w:sz w:val="10"/>
                <w:szCs w:val="10"/>
                <w:color w:val="auto"/>
              </w:rPr>
            </w:pPr>
          </w:p>
        </w:tc>
        <w:tc>
          <w:tcPr>
            <w:tcW w:w="120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680" w:type="dxa"/>
            <w:vAlign w:val="bottom"/>
            <w:tcBorders>
              <w:right w:val="single" w:sz="8" w:color="2D53A6"/>
            </w:tcBorders>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2780" w:type="dxa"/>
            <w:vAlign w:val="bottom"/>
            <w:vMerge w:val="restart"/>
          </w:tcPr>
          <w:p>
            <w:pPr>
              <w:spacing w:after="0"/>
              <w:rPr>
                <w:sz w:val="20"/>
                <w:szCs w:val="20"/>
                <w:color w:val="auto"/>
              </w:rPr>
            </w:pPr>
            <w:r>
              <w:rPr>
                <w:rFonts w:ascii="Arial" w:cs="Arial" w:eastAsia="Arial" w:hAnsi="Arial"/>
                <w:sz w:val="18"/>
                <w:szCs w:val="18"/>
                <w:color w:val="auto"/>
              </w:rPr>
              <w:t>Green Energy Corp.</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2D53A6"/>
              <w:right w:val="single" w:sz="8" w:color="2D53A6"/>
            </w:tcBorders>
          </w:tcPr>
          <w:p>
            <w:pPr>
              <w:spacing w:after="0"/>
              <w:rPr>
                <w:sz w:val="9"/>
                <w:szCs w:val="9"/>
                <w:color w:val="auto"/>
              </w:rPr>
            </w:pPr>
          </w:p>
        </w:tc>
        <w:tc>
          <w:tcPr>
            <w:tcW w:w="920" w:type="dxa"/>
            <w:vAlign w:val="bottom"/>
            <w:tcBorders>
              <w:bottom w:val="single" w:sz="8" w:color="2D53A6"/>
              <w:right w:val="single" w:sz="8" w:color="2D53A6"/>
            </w:tcBorders>
          </w:tcPr>
          <w:p>
            <w:pPr>
              <w:spacing w:after="0"/>
              <w:rPr>
                <w:sz w:val="9"/>
                <w:szCs w:val="9"/>
                <w:color w:val="auto"/>
              </w:rPr>
            </w:pPr>
          </w:p>
        </w:tc>
        <w:tc>
          <w:tcPr>
            <w:tcW w:w="960" w:type="dxa"/>
            <w:vAlign w:val="bottom"/>
            <w:tcBorders>
              <w:bottom w:val="single" w:sz="8" w:color="2D53A6"/>
              <w:right w:val="single" w:sz="8" w:color="2D53A6"/>
            </w:tcBorders>
          </w:tcPr>
          <w:p>
            <w:pPr>
              <w:spacing w:after="0"/>
              <w:rPr>
                <w:sz w:val="9"/>
                <w:szCs w:val="9"/>
                <w:color w:val="auto"/>
              </w:rPr>
            </w:pPr>
          </w:p>
        </w:tc>
        <w:tc>
          <w:tcPr>
            <w:tcW w:w="1540" w:type="dxa"/>
            <w:vAlign w:val="bottom"/>
            <w:tcBorders>
              <w:bottom w:val="single" w:sz="8" w:color="2D53A6"/>
              <w:right w:val="single" w:sz="8" w:color="2D53A6"/>
            </w:tcBorders>
          </w:tcPr>
          <w:p>
            <w:pPr>
              <w:spacing w:after="0"/>
              <w:rPr>
                <w:sz w:val="9"/>
                <w:szCs w:val="9"/>
                <w:color w:val="auto"/>
              </w:rPr>
            </w:pPr>
          </w:p>
        </w:tc>
        <w:tc>
          <w:tcPr>
            <w:tcW w:w="120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8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278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8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Andreas W. Mattes</w:t>
            </w:r>
          </w:p>
        </w:tc>
        <w:tc>
          <w:tcPr>
            <w:tcW w:w="9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61</w:t>
            </w:r>
          </w:p>
        </w:tc>
        <w:tc>
          <w:tcPr>
            <w:tcW w:w="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2022</w:t>
            </w:r>
          </w:p>
        </w:tc>
        <w:tc>
          <w:tcPr>
            <w:tcW w:w="15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12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3 -- 2025</w:t>
            </w: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M</w:t>
            </w: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278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9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53</w:t>
            </w:r>
          </w:p>
        </w:tc>
        <w:tc>
          <w:tcPr>
            <w:tcW w:w="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2014</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5"/>
              </w:rPr>
              <w:t>No</w:t>
            </w:r>
          </w:p>
        </w:tc>
        <w:tc>
          <w:tcPr>
            <w:tcW w:w="12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2 -- 2024</w:t>
            </w:r>
          </w:p>
        </w:tc>
        <w:tc>
          <w:tcPr>
            <w:tcW w:w="660" w:type="dxa"/>
            <w:vAlign w:val="bottom"/>
            <w:tcBorders>
              <w:bottom w:val="single" w:sz="8" w:color="2D53A6"/>
              <w:right w:val="single" w:sz="8" w:color="2D53A6"/>
            </w:tcBorders>
          </w:tcPr>
          <w:p>
            <w:pPr>
              <w:spacing w:after="0"/>
              <w:rPr>
                <w:sz w:val="18"/>
                <w:szCs w:val="18"/>
                <w:color w:val="auto"/>
              </w:rPr>
            </w:pPr>
          </w:p>
        </w:tc>
        <w:tc>
          <w:tcPr>
            <w:tcW w:w="680" w:type="dxa"/>
            <w:vAlign w:val="bottom"/>
            <w:tcBorders>
              <w:bottom w:val="single" w:sz="8" w:color="2D53A6"/>
              <w:right w:val="single" w:sz="8" w:color="2D53A6"/>
            </w:tcBorders>
          </w:tcPr>
          <w:p>
            <w:pPr>
              <w:spacing w:after="0"/>
              <w:rPr>
                <w:sz w:val="18"/>
                <w:szCs w:val="18"/>
                <w:color w:val="auto"/>
              </w:rPr>
            </w:pPr>
          </w:p>
        </w:tc>
        <w:tc>
          <w:tcPr>
            <w:tcW w:w="660" w:type="dxa"/>
            <w:vAlign w:val="bottom"/>
            <w:tcBorders>
              <w:bottom w:val="single" w:sz="8" w:color="2D53A6"/>
              <w:right w:val="single" w:sz="8" w:color="2D53A6"/>
            </w:tcBorders>
          </w:tcPr>
          <w:p>
            <w:pPr>
              <w:spacing w:after="0"/>
              <w:rPr>
                <w:sz w:val="18"/>
                <w:szCs w:val="18"/>
                <w:color w:val="auto"/>
              </w:rPr>
            </w:pPr>
          </w:p>
        </w:tc>
        <w:tc>
          <w:tcPr>
            <w:tcW w:w="278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Celestica Inc.</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Independence is determined annually by the board of directors in accordance with the company’s corporate governance guidelines and Nasdaq rules.</w:t>
      </w:r>
    </w:p>
    <w:p>
      <w:pPr>
        <w:sectPr>
          <w:pgSz w:w="11900" w:h="16838" w:orient="portrait"/>
          <w:cols w:equalWidth="0" w:num="1">
            <w:col w:w="11240"/>
          </w:cols>
          <w:pgMar w:left="320" w:top="57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 -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 Compensation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NGC - Nominating and Governance Committee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 -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 Member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 Also qualifies as an audit committee financial expert (as determined based on SEC rules)</w:t>
      </w:r>
    </w:p>
    <w:p>
      <w:pPr>
        <w:spacing w:after="0" w:line="200" w:lineRule="exact"/>
        <w:rPr>
          <w:sz w:val="20"/>
          <w:szCs w:val="20"/>
          <w:color w:val="auto"/>
        </w:rPr>
      </w:pPr>
    </w:p>
    <w:p>
      <w:pPr>
        <w:sectPr>
          <w:pgSz w:w="11900" w:h="16838" w:orient="portrait"/>
          <w:cols w:equalWidth="0" w:num="2">
            <w:col w:w="3460" w:space="160"/>
            <w:col w:w="7620"/>
          </w:cols>
          <w:pgMar w:left="320" w:top="571"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Director Key Requirements, Skills and Experience Highlights</w:t>
      </w: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46"/>
        </w:trPr>
        <w:tc>
          <w:tcPr>
            <w:tcW w:w="486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w w:val="95"/>
              </w:rPr>
              <w:t>Key Qualifications, Skills and Experiences of our Directors</w:t>
            </w:r>
          </w:p>
        </w:tc>
        <w:tc>
          <w:tcPr>
            <w:tcW w:w="780" w:type="dxa"/>
            <w:vAlign w:val="bottom"/>
            <w:tcBorders>
              <w:bottom w:val="single" w:sz="8" w:color="2D53A6"/>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w w:val="90"/>
              </w:rPr>
              <w:t>Bendush</w:t>
            </w:r>
          </w:p>
        </w:tc>
        <w:tc>
          <w:tcPr>
            <w:tcW w:w="780" w:type="dxa"/>
            <w:vAlign w:val="bottom"/>
            <w:tcBorders>
              <w:bottom w:val="single" w:sz="8" w:color="2D53A6"/>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w w:val="92"/>
              </w:rPr>
              <w:t>Bilodeau</w:t>
            </w:r>
          </w:p>
        </w:tc>
        <w:tc>
          <w:tcPr>
            <w:tcW w:w="78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Caggia</w:t>
            </w:r>
          </w:p>
        </w:tc>
        <w:tc>
          <w:tcPr>
            <w:tcW w:w="800" w:type="dxa"/>
            <w:vAlign w:val="bottom"/>
            <w:tcBorders>
              <w:bottom w:val="single" w:sz="8" w:color="2D53A6"/>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w w:val="93"/>
              </w:rPr>
              <w:t>Donahue</w:t>
            </w:r>
          </w:p>
        </w:tc>
        <w:tc>
          <w:tcPr>
            <w:tcW w:w="7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Jorden</w:t>
            </w:r>
          </w:p>
        </w:tc>
        <w:tc>
          <w:tcPr>
            <w:tcW w:w="80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Mattes</w:t>
            </w:r>
          </w:p>
        </w:tc>
        <w:tc>
          <w:tcPr>
            <w:tcW w:w="760" w:type="dxa"/>
            <w:vAlign w:val="bottom"/>
            <w:tcBorders>
              <w:bottom w:val="single" w:sz="8" w:color="2D53A6"/>
              <w:right w:val="single" w:sz="8" w:color="2D53A6"/>
            </w:tcBorders>
            <w:shd w:val="clear" w:color="auto" w:fill="2D53A6"/>
          </w:tcPr>
          <w:p>
            <w:pPr>
              <w:jc w:val="center"/>
              <w:spacing w:after="0" w:line="207" w:lineRule="exact"/>
              <w:rPr>
                <w:sz w:val="20"/>
                <w:szCs w:val="20"/>
                <w:color w:val="auto"/>
              </w:rPr>
            </w:pPr>
            <w:r>
              <w:rPr>
                <w:rFonts w:ascii="Arial" w:cs="Arial" w:eastAsia="Arial" w:hAnsi="Arial"/>
                <w:sz w:val="18"/>
                <w:szCs w:val="18"/>
                <w:b w:val="1"/>
                <w:bCs w:val="1"/>
                <w:color w:val="FFFFFF"/>
                <w:w w:val="96"/>
              </w:rPr>
              <w:t>M</w:t>
            </w:r>
            <w:r>
              <w:rPr>
                <w:rFonts w:ascii="MS PGothic" w:cs="MS PGothic" w:eastAsia="MS PGothic" w:hAnsi="MS PGothic"/>
                <w:sz w:val="18"/>
                <w:szCs w:val="18"/>
                <w:color w:val="FFFFFF"/>
                <w:w w:val="96"/>
              </w:rPr>
              <w:t>✔</w:t>
            </w:r>
            <w:r>
              <w:rPr>
                <w:rFonts w:ascii="Arial" w:cs="Arial" w:eastAsia="Arial" w:hAnsi="Arial"/>
                <w:sz w:val="18"/>
                <w:szCs w:val="18"/>
                <w:b w:val="1"/>
                <w:bCs w:val="1"/>
                <w:color w:val="FFFFFF"/>
                <w:w w:val="96"/>
              </w:rPr>
              <w:t>ller</w:t>
            </w:r>
          </w:p>
        </w:tc>
        <w:tc>
          <w:tcPr>
            <w:tcW w:w="92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Richardson</w:t>
            </w:r>
          </w:p>
        </w:tc>
        <w:tc>
          <w:tcPr>
            <w:tcW w:w="0" w:type="dxa"/>
            <w:vAlign w:val="bottom"/>
          </w:tcPr>
          <w:p>
            <w:pPr>
              <w:spacing w:after="0"/>
              <w:rPr>
                <w:sz w:val="1"/>
                <w:szCs w:val="1"/>
                <w:color w:val="auto"/>
              </w:rPr>
            </w:pPr>
          </w:p>
        </w:tc>
      </w:tr>
      <w:tr>
        <w:trPr>
          <w:trHeight w:val="182"/>
        </w:trPr>
        <w:tc>
          <w:tcPr>
            <w:tcW w:w="4860" w:type="dxa"/>
            <w:vAlign w:val="bottom"/>
            <w:tcBorders>
              <w:right w:val="single" w:sz="8" w:color="2D53A6"/>
            </w:tcBorders>
          </w:tcPr>
          <w:p>
            <w:pPr>
              <w:spacing w:after="0" w:line="182" w:lineRule="exact"/>
              <w:rPr>
                <w:sz w:val="20"/>
                <w:szCs w:val="20"/>
                <w:color w:val="auto"/>
              </w:rPr>
            </w:pPr>
            <w:r>
              <w:rPr>
                <w:rFonts w:ascii="Arial" w:cs="Arial" w:eastAsia="Arial" w:hAnsi="Arial"/>
                <w:sz w:val="18"/>
                <w:szCs w:val="18"/>
                <w:b w:val="1"/>
                <w:bCs w:val="1"/>
                <w:color w:val="auto"/>
                <w:w w:val="96"/>
              </w:rPr>
              <w:t xml:space="preserve">Industry Knowledge </w:t>
            </w:r>
            <w:r>
              <w:rPr>
                <w:rFonts w:ascii="Arial" w:cs="Arial" w:eastAsia="Arial" w:hAnsi="Arial"/>
                <w:sz w:val="18"/>
                <w:szCs w:val="18"/>
                <w:color w:val="auto"/>
                <w:w w:val="96"/>
              </w:rPr>
              <w:t>– Knowledge of and experience with our</w:t>
            </w:r>
          </w:p>
        </w:tc>
        <w:tc>
          <w:tcPr>
            <w:tcW w:w="7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8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w w:val="96"/>
              </w:rPr>
              <w:t>semiconductor equipment and broader semiconductor markets</w:t>
            </w:r>
          </w:p>
        </w:tc>
        <w:tc>
          <w:tcPr>
            <w:tcW w:w="780" w:type="dxa"/>
            <w:vAlign w:val="bottom"/>
            <w:tcBorders>
              <w:right w:val="single" w:sz="8" w:color="2D53A6"/>
            </w:tcBorders>
            <w:vMerge w:val="continue"/>
          </w:tcPr>
          <w:p>
            <w:pPr>
              <w:spacing w:after="0"/>
              <w:rPr>
                <w:sz w:val="10"/>
                <w:szCs w:val="10"/>
                <w:color w:val="auto"/>
              </w:rPr>
            </w:pPr>
          </w:p>
        </w:tc>
        <w:tc>
          <w:tcPr>
            <w:tcW w:w="780" w:type="dxa"/>
            <w:vAlign w:val="bottom"/>
            <w:tcBorders>
              <w:right w:val="single" w:sz="8" w:color="2D53A6"/>
            </w:tcBorders>
            <w:vMerge w:val="continue"/>
          </w:tcPr>
          <w:p>
            <w:pPr>
              <w:spacing w:after="0"/>
              <w:rPr>
                <w:sz w:val="10"/>
                <w:szCs w:val="10"/>
                <w:color w:val="auto"/>
              </w:rPr>
            </w:pPr>
          </w:p>
        </w:tc>
        <w:tc>
          <w:tcPr>
            <w:tcW w:w="780" w:type="dxa"/>
            <w:vAlign w:val="bottom"/>
            <w:tcBorders>
              <w:right w:val="single" w:sz="8" w:color="2D53A6"/>
            </w:tcBorders>
            <w:vMerge w:val="continue"/>
          </w:tcPr>
          <w:p>
            <w:pPr>
              <w:spacing w:after="0"/>
              <w:rPr>
                <w:sz w:val="10"/>
                <w:szCs w:val="10"/>
                <w:color w:val="auto"/>
              </w:rPr>
            </w:pPr>
          </w:p>
        </w:tc>
        <w:tc>
          <w:tcPr>
            <w:tcW w:w="800" w:type="dxa"/>
            <w:vAlign w:val="bottom"/>
            <w:tcBorders>
              <w:right w:val="single" w:sz="8" w:color="2D53A6"/>
            </w:tcBorders>
            <w:vMerge w:val="continue"/>
          </w:tcPr>
          <w:p>
            <w:pPr>
              <w:spacing w:after="0"/>
              <w:rPr>
                <w:sz w:val="10"/>
                <w:szCs w:val="10"/>
                <w:color w:val="auto"/>
              </w:rPr>
            </w:pPr>
          </w:p>
        </w:tc>
        <w:tc>
          <w:tcPr>
            <w:tcW w:w="760" w:type="dxa"/>
            <w:vAlign w:val="bottom"/>
            <w:tcBorders>
              <w:right w:val="single" w:sz="8" w:color="2D53A6"/>
            </w:tcBorders>
            <w:vMerge w:val="continue"/>
          </w:tcPr>
          <w:p>
            <w:pPr>
              <w:spacing w:after="0"/>
              <w:rPr>
                <w:sz w:val="10"/>
                <w:szCs w:val="10"/>
                <w:color w:val="auto"/>
              </w:rPr>
            </w:pPr>
          </w:p>
        </w:tc>
        <w:tc>
          <w:tcPr>
            <w:tcW w:w="800" w:type="dxa"/>
            <w:vAlign w:val="bottom"/>
            <w:tcBorders>
              <w:right w:val="single" w:sz="8" w:color="2D53A6"/>
            </w:tcBorders>
            <w:vMerge w:val="continue"/>
          </w:tcPr>
          <w:p>
            <w:pPr>
              <w:spacing w:after="0"/>
              <w:rPr>
                <w:sz w:val="10"/>
                <w:szCs w:val="10"/>
                <w:color w:val="auto"/>
              </w:rPr>
            </w:pPr>
          </w:p>
        </w:tc>
        <w:tc>
          <w:tcPr>
            <w:tcW w:w="760" w:type="dxa"/>
            <w:vAlign w:val="bottom"/>
            <w:tcBorders>
              <w:right w:val="single" w:sz="8" w:color="2D53A6"/>
            </w:tcBorders>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tcBorders>
              <w:bottom w:val="single" w:sz="8" w:color="2D53A6"/>
              <w:right w:val="single" w:sz="8" w:color="2D53A6"/>
            </w:tcBorders>
            <w:vMerge w:val="continue"/>
          </w:tcPr>
          <w:p>
            <w:pPr>
              <w:spacing w:after="0"/>
              <w:rPr>
                <w:sz w:val="9"/>
                <w:szCs w:val="9"/>
                <w:color w:val="auto"/>
              </w:rPr>
            </w:pPr>
          </w:p>
        </w:tc>
        <w:tc>
          <w:tcPr>
            <w:tcW w:w="780" w:type="dxa"/>
            <w:vAlign w:val="bottom"/>
            <w:tcBorders>
              <w:bottom w:val="single" w:sz="8" w:color="2D53A6"/>
              <w:right w:val="single" w:sz="8" w:color="2D53A6"/>
            </w:tcBorders>
          </w:tcPr>
          <w:p>
            <w:pPr>
              <w:spacing w:after="0"/>
              <w:rPr>
                <w:sz w:val="9"/>
                <w:szCs w:val="9"/>
                <w:color w:val="auto"/>
              </w:rPr>
            </w:pPr>
          </w:p>
        </w:tc>
        <w:tc>
          <w:tcPr>
            <w:tcW w:w="780" w:type="dxa"/>
            <w:vAlign w:val="bottom"/>
            <w:tcBorders>
              <w:bottom w:val="single" w:sz="8" w:color="2D53A6"/>
              <w:right w:val="single" w:sz="8" w:color="2D53A6"/>
            </w:tcBorders>
          </w:tcPr>
          <w:p>
            <w:pPr>
              <w:spacing w:after="0"/>
              <w:rPr>
                <w:sz w:val="9"/>
                <w:szCs w:val="9"/>
                <w:color w:val="auto"/>
              </w:rPr>
            </w:pPr>
          </w:p>
        </w:tc>
        <w:tc>
          <w:tcPr>
            <w:tcW w:w="780" w:type="dxa"/>
            <w:vAlign w:val="bottom"/>
            <w:tcBorders>
              <w:bottom w:val="single" w:sz="8" w:color="2D53A6"/>
              <w:right w:val="single" w:sz="8" w:color="2D53A6"/>
            </w:tcBorders>
          </w:tcPr>
          <w:p>
            <w:pPr>
              <w:spacing w:after="0"/>
              <w:rPr>
                <w:sz w:val="9"/>
                <w:szCs w:val="9"/>
                <w:color w:val="auto"/>
              </w:rPr>
            </w:pPr>
          </w:p>
        </w:tc>
        <w:tc>
          <w:tcPr>
            <w:tcW w:w="800" w:type="dxa"/>
            <w:vAlign w:val="bottom"/>
            <w:tcBorders>
              <w:bottom w:val="single" w:sz="8" w:color="2D53A6"/>
              <w:right w:val="single" w:sz="8" w:color="2D53A6"/>
            </w:tcBorders>
          </w:tcPr>
          <w:p>
            <w:pPr>
              <w:spacing w:after="0"/>
              <w:rPr>
                <w:sz w:val="9"/>
                <w:szCs w:val="9"/>
                <w:color w:val="auto"/>
              </w:rPr>
            </w:pPr>
          </w:p>
        </w:tc>
        <w:tc>
          <w:tcPr>
            <w:tcW w:w="760" w:type="dxa"/>
            <w:vAlign w:val="bottom"/>
            <w:tcBorders>
              <w:bottom w:val="single" w:sz="8" w:color="2D53A6"/>
              <w:right w:val="single" w:sz="8" w:color="2D53A6"/>
            </w:tcBorders>
          </w:tcPr>
          <w:p>
            <w:pPr>
              <w:spacing w:after="0"/>
              <w:rPr>
                <w:sz w:val="9"/>
                <w:szCs w:val="9"/>
                <w:color w:val="auto"/>
              </w:rPr>
            </w:pPr>
          </w:p>
        </w:tc>
        <w:tc>
          <w:tcPr>
            <w:tcW w:w="800" w:type="dxa"/>
            <w:vAlign w:val="bottom"/>
            <w:tcBorders>
              <w:bottom w:val="single" w:sz="8" w:color="2D53A6"/>
              <w:right w:val="single" w:sz="8" w:color="2D53A6"/>
            </w:tcBorders>
          </w:tcPr>
          <w:p>
            <w:pPr>
              <w:spacing w:after="0"/>
              <w:rPr>
                <w:sz w:val="9"/>
                <w:szCs w:val="9"/>
                <w:color w:val="auto"/>
              </w:rPr>
            </w:pPr>
          </w:p>
        </w:tc>
        <w:tc>
          <w:tcPr>
            <w:tcW w:w="760" w:type="dxa"/>
            <w:vAlign w:val="bottom"/>
            <w:tcBorders>
              <w:bottom w:val="single" w:sz="8" w:color="2D53A6"/>
              <w:right w:val="single" w:sz="8" w:color="2D53A6"/>
            </w:tcBorders>
          </w:tcPr>
          <w:p>
            <w:pPr>
              <w:spacing w:after="0"/>
              <w:rPr>
                <w:sz w:val="9"/>
                <w:szCs w:val="9"/>
                <w:color w:val="auto"/>
              </w:rPr>
            </w:pPr>
          </w:p>
        </w:tc>
        <w:tc>
          <w:tcPr>
            <w:tcW w:w="92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3"/>
              </w:rPr>
              <w:t xml:space="preserve">Public Company Board Experience </w:t>
            </w:r>
            <w:r>
              <w:rPr>
                <w:rFonts w:ascii="Arial" w:cs="Arial" w:eastAsia="Arial" w:hAnsi="Arial"/>
                <w:sz w:val="18"/>
                <w:szCs w:val="18"/>
                <w:color w:val="auto"/>
                <w:w w:val="93"/>
              </w:rPr>
              <w:t>– Experience as current or</w:t>
            </w: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8"/>
              </w:rPr>
              <w:t>former member of other public company boards in technology</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8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w w:val="95"/>
              </w:rPr>
              <w:t>industries; experience with board governance requirements and</w:t>
            </w: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800" w:type="dxa"/>
            <w:vAlign w:val="bottom"/>
            <w:tcBorders>
              <w:right w:val="single" w:sz="8" w:color="2D53A6"/>
            </w:tcBorders>
            <w:vMerge w:val="continue"/>
            <w:shd w:val="clear" w:color="auto" w:fill="E6E6E6"/>
          </w:tcPr>
          <w:p>
            <w:pPr>
              <w:spacing w:after="0"/>
              <w:rPr>
                <w:sz w:val="10"/>
                <w:szCs w:val="10"/>
                <w:color w:val="auto"/>
              </w:rPr>
            </w:pPr>
          </w:p>
        </w:tc>
        <w:tc>
          <w:tcPr>
            <w:tcW w:w="760" w:type="dxa"/>
            <w:vAlign w:val="bottom"/>
            <w:tcBorders>
              <w:right w:val="single" w:sz="8" w:color="2D53A6"/>
            </w:tcBorders>
            <w:vMerge w:val="continue"/>
            <w:shd w:val="clear" w:color="auto" w:fill="E6E6E6"/>
          </w:tcPr>
          <w:p>
            <w:pPr>
              <w:spacing w:after="0"/>
              <w:rPr>
                <w:sz w:val="10"/>
                <w:szCs w:val="10"/>
                <w:color w:val="auto"/>
              </w:rPr>
            </w:pPr>
          </w:p>
        </w:tc>
        <w:tc>
          <w:tcPr>
            <w:tcW w:w="800" w:type="dxa"/>
            <w:vAlign w:val="bottom"/>
            <w:tcBorders>
              <w:right w:val="single" w:sz="8" w:color="2D53A6"/>
            </w:tcBorders>
            <w:vMerge w:val="continue"/>
            <w:shd w:val="clear" w:color="auto" w:fill="E6E6E6"/>
          </w:tcPr>
          <w:p>
            <w:pPr>
              <w:spacing w:after="0"/>
              <w:rPr>
                <w:sz w:val="10"/>
                <w:szCs w:val="10"/>
                <w:color w:val="auto"/>
              </w:rPr>
            </w:pPr>
          </w:p>
        </w:tc>
        <w:tc>
          <w:tcPr>
            <w:tcW w:w="760" w:type="dxa"/>
            <w:vAlign w:val="bottom"/>
            <w:tcBorders>
              <w:right w:val="single" w:sz="8" w:color="2D53A6"/>
            </w:tcBorders>
            <w:vMerge w:val="continue"/>
            <w:shd w:val="clear" w:color="auto" w:fill="E6E6E6"/>
          </w:tcPr>
          <w:p>
            <w:pPr>
              <w:spacing w:after="0"/>
              <w:rPr>
                <w:sz w:val="10"/>
                <w:szCs w:val="10"/>
                <w:color w:val="auto"/>
              </w:rPr>
            </w:pPr>
          </w:p>
        </w:tc>
        <w:tc>
          <w:tcPr>
            <w:tcW w:w="92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860" w:type="dxa"/>
            <w:vAlign w:val="bottom"/>
            <w:tcBorders>
              <w:right w:val="single" w:sz="8" w:color="2D53A6"/>
            </w:tcBorders>
            <w:vMerge w:val="continue"/>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800" w:type="dxa"/>
            <w:vAlign w:val="bottom"/>
            <w:tcBorders>
              <w:right w:val="single" w:sz="8" w:color="2D53A6"/>
            </w:tcBorders>
            <w:shd w:val="clear" w:color="auto" w:fill="E6E6E6"/>
          </w:tcPr>
          <w:p>
            <w:pPr>
              <w:spacing w:after="0"/>
              <w:rPr>
                <w:sz w:val="8"/>
                <w:szCs w:val="8"/>
                <w:color w:val="auto"/>
              </w:rPr>
            </w:pPr>
          </w:p>
        </w:tc>
        <w:tc>
          <w:tcPr>
            <w:tcW w:w="760" w:type="dxa"/>
            <w:vAlign w:val="bottom"/>
            <w:tcBorders>
              <w:right w:val="single" w:sz="8" w:color="2D53A6"/>
            </w:tcBorders>
            <w:shd w:val="clear" w:color="auto" w:fill="E6E6E6"/>
          </w:tcPr>
          <w:p>
            <w:pPr>
              <w:spacing w:after="0"/>
              <w:rPr>
                <w:sz w:val="8"/>
                <w:szCs w:val="8"/>
                <w:color w:val="auto"/>
              </w:rPr>
            </w:pPr>
          </w:p>
        </w:tc>
        <w:tc>
          <w:tcPr>
            <w:tcW w:w="800" w:type="dxa"/>
            <w:vAlign w:val="bottom"/>
            <w:tcBorders>
              <w:right w:val="single" w:sz="8" w:color="2D53A6"/>
            </w:tcBorders>
            <w:shd w:val="clear" w:color="auto" w:fill="E6E6E6"/>
          </w:tcPr>
          <w:p>
            <w:pPr>
              <w:spacing w:after="0"/>
              <w:rPr>
                <w:sz w:val="8"/>
                <w:szCs w:val="8"/>
                <w:color w:val="auto"/>
              </w:rPr>
            </w:pPr>
          </w:p>
        </w:tc>
        <w:tc>
          <w:tcPr>
            <w:tcW w:w="760" w:type="dxa"/>
            <w:vAlign w:val="bottom"/>
            <w:tcBorders>
              <w:right w:val="single" w:sz="8" w:color="2D53A6"/>
            </w:tcBorders>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practices</w:t>
            </w: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92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9"/>
              </w:rPr>
              <w:t xml:space="preserve">Leadership Experience </w:t>
            </w:r>
            <w:r>
              <w:rPr>
                <w:rFonts w:ascii="Arial" w:cs="Arial" w:eastAsia="Arial" w:hAnsi="Arial"/>
                <w:sz w:val="18"/>
                <w:szCs w:val="18"/>
                <w:color w:val="auto"/>
                <w:w w:val="99"/>
              </w:rPr>
              <w:t>– Experience as a current or former</w:t>
            </w: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6"/>
              </w:rPr>
              <w:t>chief executive officer (“CEO”), president, chief financial officer</w:t>
            </w:r>
          </w:p>
        </w:tc>
        <w:tc>
          <w:tcPr>
            <w:tcW w:w="7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8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(“CFO”), chief operating officer and/or general manager of a</w:t>
            </w:r>
          </w:p>
        </w:tc>
        <w:tc>
          <w:tcPr>
            <w:tcW w:w="780" w:type="dxa"/>
            <w:vAlign w:val="bottom"/>
            <w:tcBorders>
              <w:right w:val="single" w:sz="8" w:color="2D53A6"/>
            </w:tcBorders>
            <w:vMerge w:val="continue"/>
          </w:tcPr>
          <w:p>
            <w:pPr>
              <w:spacing w:after="0"/>
              <w:rPr>
                <w:sz w:val="10"/>
                <w:szCs w:val="10"/>
                <w:color w:val="auto"/>
              </w:rPr>
            </w:pPr>
          </w:p>
        </w:tc>
        <w:tc>
          <w:tcPr>
            <w:tcW w:w="780" w:type="dxa"/>
            <w:vAlign w:val="bottom"/>
            <w:tcBorders>
              <w:right w:val="single" w:sz="8" w:color="2D53A6"/>
            </w:tcBorders>
            <w:vMerge w:val="continue"/>
          </w:tcPr>
          <w:p>
            <w:pPr>
              <w:spacing w:after="0"/>
              <w:rPr>
                <w:sz w:val="10"/>
                <w:szCs w:val="10"/>
                <w:color w:val="auto"/>
              </w:rPr>
            </w:pPr>
          </w:p>
        </w:tc>
        <w:tc>
          <w:tcPr>
            <w:tcW w:w="780" w:type="dxa"/>
            <w:vAlign w:val="bottom"/>
            <w:tcBorders>
              <w:right w:val="single" w:sz="8" w:color="2D53A6"/>
            </w:tcBorders>
            <w:vMerge w:val="continue"/>
          </w:tcPr>
          <w:p>
            <w:pPr>
              <w:spacing w:after="0"/>
              <w:rPr>
                <w:sz w:val="10"/>
                <w:szCs w:val="10"/>
                <w:color w:val="auto"/>
              </w:rPr>
            </w:pPr>
          </w:p>
        </w:tc>
        <w:tc>
          <w:tcPr>
            <w:tcW w:w="800" w:type="dxa"/>
            <w:vAlign w:val="bottom"/>
            <w:tcBorders>
              <w:right w:val="single" w:sz="8" w:color="2D53A6"/>
            </w:tcBorders>
            <w:vMerge w:val="continue"/>
          </w:tcPr>
          <w:p>
            <w:pPr>
              <w:spacing w:after="0"/>
              <w:rPr>
                <w:sz w:val="10"/>
                <w:szCs w:val="10"/>
                <w:color w:val="auto"/>
              </w:rPr>
            </w:pPr>
          </w:p>
        </w:tc>
        <w:tc>
          <w:tcPr>
            <w:tcW w:w="760" w:type="dxa"/>
            <w:vAlign w:val="bottom"/>
            <w:tcBorders>
              <w:right w:val="single" w:sz="8" w:color="2D53A6"/>
            </w:tcBorders>
            <w:vMerge w:val="continue"/>
          </w:tcPr>
          <w:p>
            <w:pPr>
              <w:spacing w:after="0"/>
              <w:rPr>
                <w:sz w:val="10"/>
                <w:szCs w:val="10"/>
                <w:color w:val="auto"/>
              </w:rPr>
            </w:pPr>
          </w:p>
        </w:tc>
        <w:tc>
          <w:tcPr>
            <w:tcW w:w="800" w:type="dxa"/>
            <w:vAlign w:val="bottom"/>
            <w:tcBorders>
              <w:right w:val="single" w:sz="8" w:color="2D53A6"/>
            </w:tcBorders>
            <w:vMerge w:val="continue"/>
          </w:tcPr>
          <w:p>
            <w:pPr>
              <w:spacing w:after="0"/>
              <w:rPr>
                <w:sz w:val="10"/>
                <w:szCs w:val="10"/>
                <w:color w:val="auto"/>
              </w:rPr>
            </w:pPr>
          </w:p>
        </w:tc>
        <w:tc>
          <w:tcPr>
            <w:tcW w:w="760" w:type="dxa"/>
            <w:vAlign w:val="bottom"/>
            <w:tcBorders>
              <w:right w:val="single" w:sz="8" w:color="2D53A6"/>
            </w:tcBorders>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860" w:type="dxa"/>
            <w:vAlign w:val="bottom"/>
            <w:tcBorders>
              <w:right w:val="single" w:sz="8" w:color="2D53A6"/>
            </w:tcBorders>
            <w:vMerge w:val="continue"/>
          </w:tcPr>
          <w:p>
            <w:pPr>
              <w:spacing w:after="0"/>
              <w:rPr>
                <w:sz w:val="8"/>
                <w:szCs w:val="8"/>
                <w:color w:val="auto"/>
              </w:rPr>
            </w:pPr>
          </w:p>
        </w:tc>
        <w:tc>
          <w:tcPr>
            <w:tcW w:w="780" w:type="dxa"/>
            <w:vAlign w:val="bottom"/>
            <w:tcBorders>
              <w:right w:val="single" w:sz="8" w:color="2D53A6"/>
            </w:tcBorders>
          </w:tcPr>
          <w:p>
            <w:pPr>
              <w:spacing w:after="0"/>
              <w:rPr>
                <w:sz w:val="8"/>
                <w:szCs w:val="8"/>
                <w:color w:val="auto"/>
              </w:rPr>
            </w:pPr>
          </w:p>
        </w:tc>
        <w:tc>
          <w:tcPr>
            <w:tcW w:w="780" w:type="dxa"/>
            <w:vAlign w:val="bottom"/>
            <w:tcBorders>
              <w:right w:val="single" w:sz="8" w:color="2D53A6"/>
            </w:tcBorders>
          </w:tcPr>
          <w:p>
            <w:pPr>
              <w:spacing w:after="0"/>
              <w:rPr>
                <w:sz w:val="8"/>
                <w:szCs w:val="8"/>
                <w:color w:val="auto"/>
              </w:rPr>
            </w:pPr>
          </w:p>
        </w:tc>
        <w:tc>
          <w:tcPr>
            <w:tcW w:w="780" w:type="dxa"/>
            <w:vAlign w:val="bottom"/>
            <w:tcBorders>
              <w:right w:val="single" w:sz="8" w:color="2D53A6"/>
            </w:tcBorders>
          </w:tcPr>
          <w:p>
            <w:pPr>
              <w:spacing w:after="0"/>
              <w:rPr>
                <w:sz w:val="8"/>
                <w:szCs w:val="8"/>
                <w:color w:val="auto"/>
              </w:rPr>
            </w:pPr>
          </w:p>
        </w:tc>
        <w:tc>
          <w:tcPr>
            <w:tcW w:w="800" w:type="dxa"/>
            <w:vAlign w:val="bottom"/>
            <w:tcBorders>
              <w:right w:val="single" w:sz="8" w:color="2D53A6"/>
            </w:tcBorders>
          </w:tcPr>
          <w:p>
            <w:pPr>
              <w:spacing w:after="0"/>
              <w:rPr>
                <w:sz w:val="8"/>
                <w:szCs w:val="8"/>
                <w:color w:val="auto"/>
              </w:rPr>
            </w:pPr>
          </w:p>
        </w:tc>
        <w:tc>
          <w:tcPr>
            <w:tcW w:w="760" w:type="dxa"/>
            <w:vAlign w:val="bottom"/>
            <w:tcBorders>
              <w:right w:val="single" w:sz="8" w:color="2D53A6"/>
            </w:tcBorders>
          </w:tcPr>
          <w:p>
            <w:pPr>
              <w:spacing w:after="0"/>
              <w:rPr>
                <w:sz w:val="8"/>
                <w:szCs w:val="8"/>
                <w:color w:val="auto"/>
              </w:rPr>
            </w:pPr>
          </w:p>
        </w:tc>
        <w:tc>
          <w:tcPr>
            <w:tcW w:w="800" w:type="dxa"/>
            <w:vAlign w:val="bottom"/>
            <w:tcBorders>
              <w:right w:val="single" w:sz="8" w:color="2D53A6"/>
            </w:tcBorders>
          </w:tcPr>
          <w:p>
            <w:pPr>
              <w:spacing w:after="0"/>
              <w:rPr>
                <w:sz w:val="8"/>
                <w:szCs w:val="8"/>
                <w:color w:val="auto"/>
              </w:rPr>
            </w:pPr>
          </w:p>
        </w:tc>
        <w:tc>
          <w:tcPr>
            <w:tcW w:w="760" w:type="dxa"/>
            <w:vAlign w:val="bottom"/>
            <w:tcBorders>
              <w:right w:val="single" w:sz="8" w:color="2D53A6"/>
            </w:tcBorders>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significant business</w:t>
            </w: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92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1"/>
              </w:rPr>
              <w:t xml:space="preserve">Customer/Deep Technology Knowledge </w:t>
            </w:r>
            <w:r>
              <w:rPr>
                <w:rFonts w:ascii="Arial" w:cs="Arial" w:eastAsia="Arial" w:hAnsi="Arial"/>
                <w:sz w:val="18"/>
                <w:szCs w:val="18"/>
                <w:color w:val="auto"/>
                <w:w w:val="91"/>
              </w:rPr>
              <w:t>– Deep knowledge and</w:t>
            </w: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understanding of semiconductor equipment technologies,</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3"/>
              </w:rPr>
              <w:t>including an understanding of our customers’ markets and needs</w:t>
            </w: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92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0"/>
              </w:rPr>
              <w:t xml:space="preserve">Global Business Experience </w:t>
            </w:r>
            <w:r>
              <w:rPr>
                <w:rFonts w:ascii="Arial" w:cs="Arial" w:eastAsia="Arial" w:hAnsi="Arial"/>
                <w:sz w:val="18"/>
                <w:szCs w:val="18"/>
                <w:color w:val="auto"/>
                <w:w w:val="90"/>
              </w:rPr>
              <w:t>– Experience as a current or former</w:t>
            </w: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business executive of a business with significant global</w:t>
            </w: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operations and customer base</w:t>
            </w: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92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9"/>
              </w:rPr>
              <w:t xml:space="preserve">Finance and Accounting </w:t>
            </w:r>
            <w:r>
              <w:rPr>
                <w:rFonts w:ascii="Arial" w:cs="Arial" w:eastAsia="Arial" w:hAnsi="Arial"/>
                <w:sz w:val="18"/>
                <w:szCs w:val="18"/>
                <w:color w:val="auto"/>
                <w:w w:val="99"/>
              </w:rPr>
              <w:t>– Experience as current or former</w:t>
            </w: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9"/>
              </w:rPr>
              <w:t>public company executive directly responsible for accounting</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operations and financial reporting with a level of complexity</w:t>
            </w: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780" w:type="dxa"/>
            <w:vAlign w:val="bottom"/>
            <w:tcBorders>
              <w:right w:val="single" w:sz="8" w:color="2D53A6"/>
            </w:tcBorders>
            <w:shd w:val="clear" w:color="auto" w:fill="E6E6E6"/>
          </w:tcPr>
          <w:p>
            <w:pPr>
              <w:spacing w:after="0"/>
              <w:rPr>
                <w:sz w:val="10"/>
                <w:szCs w:val="10"/>
                <w:color w:val="auto"/>
              </w:rPr>
            </w:pP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800" w:type="dxa"/>
            <w:vAlign w:val="bottom"/>
            <w:tcBorders>
              <w:right w:val="single" w:sz="8" w:color="2D53A6"/>
            </w:tcBorders>
            <w:vMerge w:val="continue"/>
            <w:shd w:val="clear" w:color="auto" w:fill="E6E6E6"/>
          </w:tcPr>
          <w:p>
            <w:pPr>
              <w:spacing w:after="0"/>
              <w:rPr>
                <w:sz w:val="10"/>
                <w:szCs w:val="10"/>
                <w:color w:val="auto"/>
              </w:rPr>
            </w:pPr>
          </w:p>
        </w:tc>
        <w:tc>
          <w:tcPr>
            <w:tcW w:w="760" w:type="dxa"/>
            <w:vAlign w:val="bottom"/>
            <w:tcBorders>
              <w:right w:val="single" w:sz="8" w:color="2D53A6"/>
            </w:tcBorders>
            <w:vMerge w:val="continue"/>
            <w:shd w:val="clear" w:color="auto" w:fill="E6E6E6"/>
          </w:tcPr>
          <w:p>
            <w:pPr>
              <w:spacing w:after="0"/>
              <w:rPr>
                <w:sz w:val="10"/>
                <w:szCs w:val="10"/>
                <w:color w:val="auto"/>
              </w:rPr>
            </w:pPr>
          </w:p>
        </w:tc>
        <w:tc>
          <w:tcPr>
            <w:tcW w:w="800" w:type="dxa"/>
            <w:vAlign w:val="bottom"/>
            <w:tcBorders>
              <w:right w:val="single" w:sz="8" w:color="2D53A6"/>
            </w:tcBorders>
            <w:shd w:val="clear" w:color="auto" w:fill="E6E6E6"/>
          </w:tcPr>
          <w:p>
            <w:pPr>
              <w:spacing w:after="0"/>
              <w:rPr>
                <w:sz w:val="10"/>
                <w:szCs w:val="10"/>
                <w:color w:val="auto"/>
              </w:rPr>
            </w:pPr>
          </w:p>
        </w:tc>
        <w:tc>
          <w:tcPr>
            <w:tcW w:w="760" w:type="dxa"/>
            <w:vAlign w:val="bottom"/>
            <w:tcBorders>
              <w:right w:val="single" w:sz="8" w:color="2D53A6"/>
            </w:tcBorders>
            <w:shd w:val="clear" w:color="auto" w:fill="E6E6E6"/>
          </w:tcPr>
          <w:p>
            <w:pPr>
              <w:spacing w:after="0"/>
              <w:rPr>
                <w:sz w:val="10"/>
                <w:szCs w:val="10"/>
                <w:color w:val="auto"/>
              </w:rPr>
            </w:pPr>
          </w:p>
        </w:tc>
        <w:tc>
          <w:tcPr>
            <w:tcW w:w="92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860" w:type="dxa"/>
            <w:vAlign w:val="bottom"/>
            <w:tcBorders>
              <w:right w:val="single" w:sz="8" w:color="2D53A6"/>
            </w:tcBorders>
            <w:vMerge w:val="continue"/>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800" w:type="dxa"/>
            <w:vAlign w:val="bottom"/>
            <w:tcBorders>
              <w:right w:val="single" w:sz="8" w:color="2D53A6"/>
            </w:tcBorders>
            <w:shd w:val="clear" w:color="auto" w:fill="E6E6E6"/>
          </w:tcPr>
          <w:p>
            <w:pPr>
              <w:spacing w:after="0"/>
              <w:rPr>
                <w:sz w:val="8"/>
                <w:szCs w:val="8"/>
                <w:color w:val="auto"/>
              </w:rPr>
            </w:pPr>
          </w:p>
        </w:tc>
        <w:tc>
          <w:tcPr>
            <w:tcW w:w="760" w:type="dxa"/>
            <w:vAlign w:val="bottom"/>
            <w:tcBorders>
              <w:right w:val="single" w:sz="8" w:color="2D53A6"/>
            </w:tcBorders>
            <w:shd w:val="clear" w:color="auto" w:fill="E6E6E6"/>
          </w:tcPr>
          <w:p>
            <w:pPr>
              <w:spacing w:after="0"/>
              <w:rPr>
                <w:sz w:val="8"/>
                <w:szCs w:val="8"/>
                <w:color w:val="auto"/>
              </w:rPr>
            </w:pPr>
          </w:p>
        </w:tc>
        <w:tc>
          <w:tcPr>
            <w:tcW w:w="800" w:type="dxa"/>
            <w:vAlign w:val="bottom"/>
            <w:tcBorders>
              <w:right w:val="single" w:sz="8" w:color="2D53A6"/>
            </w:tcBorders>
            <w:shd w:val="clear" w:color="auto" w:fill="E6E6E6"/>
          </w:tcPr>
          <w:p>
            <w:pPr>
              <w:spacing w:after="0"/>
              <w:rPr>
                <w:sz w:val="8"/>
                <w:szCs w:val="8"/>
                <w:color w:val="auto"/>
              </w:rPr>
            </w:pPr>
          </w:p>
        </w:tc>
        <w:tc>
          <w:tcPr>
            <w:tcW w:w="760" w:type="dxa"/>
            <w:vAlign w:val="bottom"/>
            <w:tcBorders>
              <w:right w:val="single" w:sz="8" w:color="2D53A6"/>
            </w:tcBorders>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comparable to the company</w:t>
            </w: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92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3"/>
              </w:rPr>
              <w:t xml:space="preserve">Operations </w:t>
            </w:r>
            <w:r>
              <w:rPr>
                <w:rFonts w:ascii="Arial" w:cs="Arial" w:eastAsia="Arial" w:hAnsi="Arial"/>
                <w:sz w:val="18"/>
                <w:szCs w:val="18"/>
                <w:color w:val="auto"/>
                <w:w w:val="93"/>
              </w:rPr>
              <w:t>– Experience as a current or former senior executive</w:t>
            </w: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6"/>
              </w:rPr>
              <w:t>in operational roles, with complex global operations and supply</w:t>
            </w:r>
          </w:p>
        </w:tc>
        <w:tc>
          <w:tcPr>
            <w:tcW w:w="780" w:type="dxa"/>
            <w:vAlign w:val="bottom"/>
            <w:tcBorders>
              <w:right w:val="single" w:sz="8" w:color="2D53A6"/>
            </w:tcBorders>
          </w:tcPr>
          <w:p>
            <w:pPr>
              <w:spacing w:after="0"/>
              <w:rPr>
                <w:sz w:val="18"/>
                <w:szCs w:val="18"/>
                <w:color w:val="auto"/>
              </w:rPr>
            </w:pP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spacing w:after="0"/>
              <w:rPr>
                <w:sz w:val="18"/>
                <w:szCs w:val="18"/>
                <w:color w:val="auto"/>
              </w:rPr>
            </w:pPr>
          </w:p>
        </w:tc>
        <w:tc>
          <w:tcPr>
            <w:tcW w:w="8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spacing w:after="0"/>
              <w:rPr>
                <w:sz w:val="18"/>
                <w:szCs w:val="18"/>
                <w:color w:val="auto"/>
              </w:rPr>
            </w:pPr>
          </w:p>
        </w:tc>
        <w:tc>
          <w:tcPr>
            <w:tcW w:w="8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chain</w:t>
            </w: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92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3"/>
              </w:rPr>
              <w:t xml:space="preserve">Human Capital Management Experience </w:t>
            </w:r>
            <w:r>
              <w:rPr>
                <w:rFonts w:ascii="Arial" w:cs="Arial" w:eastAsia="Arial" w:hAnsi="Arial"/>
                <w:sz w:val="18"/>
                <w:szCs w:val="18"/>
                <w:color w:val="auto"/>
                <w:w w:val="93"/>
              </w:rPr>
              <w:t>– Experience serving</w:t>
            </w: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as a member of the compensation committee of a public</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4"/>
              </w:rPr>
              <w:t>company, head of human resources, or as direct manager of the</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7"/>
              </w:rPr>
              <w:t>head of human resources, or other experience in setting HCM</w:t>
            </w:r>
          </w:p>
        </w:tc>
        <w:tc>
          <w:tcPr>
            <w:tcW w:w="7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policies in large organizations, including recruiting, retention,</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compensation, organizational planning and leadership</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development</w:t>
            </w: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92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9"/>
              </w:rPr>
              <w:t>Mergers and Acquisitions (</w:t>
            </w:r>
            <w:r>
              <w:rPr>
                <w:rFonts w:ascii="Arial" w:cs="Arial" w:eastAsia="Arial" w:hAnsi="Arial"/>
                <w:sz w:val="18"/>
                <w:szCs w:val="18"/>
                <w:color w:val="auto"/>
                <w:w w:val="99"/>
              </w:rPr>
              <w:t>“</w:t>
            </w:r>
            <w:r>
              <w:rPr>
                <w:rFonts w:ascii="Arial" w:cs="Arial" w:eastAsia="Arial" w:hAnsi="Arial"/>
                <w:sz w:val="18"/>
                <w:szCs w:val="18"/>
                <w:b w:val="1"/>
                <w:bCs w:val="1"/>
                <w:color w:val="auto"/>
                <w:w w:val="99"/>
              </w:rPr>
              <w:t>M&amp;A</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Experience </w:t>
            </w:r>
            <w:r>
              <w:rPr>
                <w:rFonts w:ascii="Arial" w:cs="Arial" w:eastAsia="Arial" w:hAnsi="Arial"/>
                <w:sz w:val="18"/>
                <w:szCs w:val="18"/>
                <w:color w:val="auto"/>
                <w:w w:val="99"/>
              </w:rPr>
              <w:t>– M&amp;A and</w:t>
            </w: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78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800" w:type="dxa"/>
            <w:vAlign w:val="bottom"/>
            <w:tcBorders>
              <w:right w:val="single" w:sz="8" w:color="2D53A6"/>
            </w:tcBorders>
          </w:tcPr>
          <w:p>
            <w:pPr>
              <w:spacing w:after="0"/>
              <w:rPr>
                <w:sz w:val="16"/>
                <w:szCs w:val="16"/>
                <w:color w:val="auto"/>
              </w:rPr>
            </w:pPr>
          </w:p>
        </w:tc>
        <w:tc>
          <w:tcPr>
            <w:tcW w:w="760" w:type="dxa"/>
            <w:vAlign w:val="bottom"/>
            <w:tcBorders>
              <w:right w:val="single" w:sz="8" w:color="2D53A6"/>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5"/>
              </w:rPr>
              <w:t>integration experience (including buy- and sell-side) as a public</w:t>
            </w: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company officer</w:t>
            </w: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78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800" w:type="dxa"/>
            <w:vAlign w:val="bottom"/>
            <w:tcBorders>
              <w:bottom w:val="single" w:sz="8" w:color="2D53A6"/>
              <w:right w:val="single" w:sz="8" w:color="2D53A6"/>
            </w:tcBorders>
          </w:tcPr>
          <w:p>
            <w:pPr>
              <w:spacing w:after="0"/>
              <w:rPr>
                <w:sz w:val="20"/>
                <w:szCs w:val="20"/>
                <w:color w:val="auto"/>
              </w:rPr>
            </w:pPr>
          </w:p>
        </w:tc>
        <w:tc>
          <w:tcPr>
            <w:tcW w:w="760" w:type="dxa"/>
            <w:vAlign w:val="bottom"/>
            <w:tcBorders>
              <w:bottom w:val="single" w:sz="8" w:color="2D53A6"/>
              <w:right w:val="single" w:sz="8" w:color="2D53A6"/>
            </w:tcBorders>
          </w:tcPr>
          <w:p>
            <w:pPr>
              <w:spacing w:after="0"/>
              <w:rPr>
                <w:sz w:val="20"/>
                <w:szCs w:val="20"/>
                <w:color w:val="auto"/>
              </w:rPr>
            </w:pPr>
          </w:p>
        </w:tc>
        <w:tc>
          <w:tcPr>
            <w:tcW w:w="92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rPr>
              <w:t xml:space="preserve">Risk Management Experience </w:t>
            </w:r>
            <w:r>
              <w:rPr>
                <w:rFonts w:ascii="Arial" w:cs="Arial" w:eastAsia="Arial" w:hAnsi="Arial"/>
                <w:sz w:val="18"/>
                <w:szCs w:val="18"/>
                <w:color w:val="auto"/>
              </w:rPr>
              <w:t>– Experience serving as a</w:t>
            </w: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78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800" w:type="dxa"/>
            <w:vAlign w:val="bottom"/>
            <w:tcBorders>
              <w:right w:val="single" w:sz="8" w:color="2D53A6"/>
            </w:tcBorders>
            <w:shd w:val="clear" w:color="auto" w:fill="E6E6E6"/>
          </w:tcPr>
          <w:p>
            <w:pPr>
              <w:spacing w:after="0"/>
              <w:rPr>
                <w:sz w:val="16"/>
                <w:szCs w:val="16"/>
                <w:color w:val="auto"/>
              </w:rPr>
            </w:pPr>
          </w:p>
        </w:tc>
        <w:tc>
          <w:tcPr>
            <w:tcW w:w="760" w:type="dxa"/>
            <w:vAlign w:val="bottom"/>
            <w:tcBorders>
              <w:right w:val="single" w:sz="8" w:color="2D53A6"/>
            </w:tcBorders>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6"/>
              </w:rPr>
              <w:t>member of the audit committee of a public company, or directly</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7"/>
              </w:rPr>
              <w:t>overseeing enterprise risk management or business continuity</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8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w w:val="92"/>
              </w:rPr>
              <w:t>planning in a large organization, or other experience in managing</w:t>
            </w: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780" w:type="dxa"/>
            <w:vAlign w:val="bottom"/>
            <w:tcBorders>
              <w:right w:val="single" w:sz="8" w:color="2D53A6"/>
            </w:tcBorders>
            <w:vMerge w:val="continue"/>
            <w:shd w:val="clear" w:color="auto" w:fill="E6E6E6"/>
          </w:tcPr>
          <w:p>
            <w:pPr>
              <w:spacing w:after="0"/>
              <w:rPr>
                <w:sz w:val="10"/>
                <w:szCs w:val="10"/>
                <w:color w:val="auto"/>
              </w:rPr>
            </w:pPr>
          </w:p>
        </w:tc>
        <w:tc>
          <w:tcPr>
            <w:tcW w:w="800" w:type="dxa"/>
            <w:vAlign w:val="bottom"/>
            <w:tcBorders>
              <w:right w:val="single" w:sz="8" w:color="2D53A6"/>
            </w:tcBorders>
            <w:vMerge w:val="continue"/>
            <w:shd w:val="clear" w:color="auto" w:fill="E6E6E6"/>
          </w:tcPr>
          <w:p>
            <w:pPr>
              <w:spacing w:after="0"/>
              <w:rPr>
                <w:sz w:val="10"/>
                <w:szCs w:val="10"/>
                <w:color w:val="auto"/>
              </w:rPr>
            </w:pPr>
          </w:p>
        </w:tc>
        <w:tc>
          <w:tcPr>
            <w:tcW w:w="760" w:type="dxa"/>
            <w:vAlign w:val="bottom"/>
            <w:tcBorders>
              <w:right w:val="single" w:sz="8" w:color="2D53A6"/>
            </w:tcBorders>
            <w:vMerge w:val="continue"/>
            <w:shd w:val="clear" w:color="auto" w:fill="E6E6E6"/>
          </w:tcPr>
          <w:p>
            <w:pPr>
              <w:spacing w:after="0"/>
              <w:rPr>
                <w:sz w:val="10"/>
                <w:szCs w:val="10"/>
                <w:color w:val="auto"/>
              </w:rPr>
            </w:pPr>
          </w:p>
        </w:tc>
        <w:tc>
          <w:tcPr>
            <w:tcW w:w="800" w:type="dxa"/>
            <w:vAlign w:val="bottom"/>
            <w:tcBorders>
              <w:right w:val="single" w:sz="8" w:color="2D53A6"/>
            </w:tcBorders>
            <w:vMerge w:val="continue"/>
            <w:shd w:val="clear" w:color="auto" w:fill="E6E6E6"/>
          </w:tcPr>
          <w:p>
            <w:pPr>
              <w:spacing w:after="0"/>
              <w:rPr>
                <w:sz w:val="10"/>
                <w:szCs w:val="10"/>
                <w:color w:val="auto"/>
              </w:rPr>
            </w:pPr>
          </w:p>
        </w:tc>
        <w:tc>
          <w:tcPr>
            <w:tcW w:w="760" w:type="dxa"/>
            <w:vAlign w:val="bottom"/>
            <w:tcBorders>
              <w:right w:val="single" w:sz="8" w:color="2D53A6"/>
            </w:tcBorders>
            <w:vMerge w:val="continue"/>
            <w:shd w:val="clear" w:color="auto" w:fill="E6E6E6"/>
          </w:tcPr>
          <w:p>
            <w:pPr>
              <w:spacing w:after="0"/>
              <w:rPr>
                <w:sz w:val="10"/>
                <w:szCs w:val="10"/>
                <w:color w:val="auto"/>
              </w:rPr>
            </w:pPr>
          </w:p>
        </w:tc>
        <w:tc>
          <w:tcPr>
            <w:tcW w:w="92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860" w:type="dxa"/>
            <w:vAlign w:val="bottom"/>
            <w:tcBorders>
              <w:right w:val="single" w:sz="8" w:color="2D53A6"/>
            </w:tcBorders>
            <w:vMerge w:val="continue"/>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780" w:type="dxa"/>
            <w:vAlign w:val="bottom"/>
            <w:tcBorders>
              <w:right w:val="single" w:sz="8" w:color="2D53A6"/>
            </w:tcBorders>
            <w:shd w:val="clear" w:color="auto" w:fill="E6E6E6"/>
          </w:tcPr>
          <w:p>
            <w:pPr>
              <w:spacing w:after="0"/>
              <w:rPr>
                <w:sz w:val="8"/>
                <w:szCs w:val="8"/>
                <w:color w:val="auto"/>
              </w:rPr>
            </w:pPr>
          </w:p>
        </w:tc>
        <w:tc>
          <w:tcPr>
            <w:tcW w:w="800" w:type="dxa"/>
            <w:vAlign w:val="bottom"/>
            <w:tcBorders>
              <w:right w:val="single" w:sz="8" w:color="2D53A6"/>
            </w:tcBorders>
            <w:shd w:val="clear" w:color="auto" w:fill="E6E6E6"/>
          </w:tcPr>
          <w:p>
            <w:pPr>
              <w:spacing w:after="0"/>
              <w:rPr>
                <w:sz w:val="8"/>
                <w:szCs w:val="8"/>
                <w:color w:val="auto"/>
              </w:rPr>
            </w:pPr>
          </w:p>
        </w:tc>
        <w:tc>
          <w:tcPr>
            <w:tcW w:w="760" w:type="dxa"/>
            <w:vAlign w:val="bottom"/>
            <w:tcBorders>
              <w:right w:val="single" w:sz="8" w:color="2D53A6"/>
            </w:tcBorders>
            <w:shd w:val="clear" w:color="auto" w:fill="E6E6E6"/>
          </w:tcPr>
          <w:p>
            <w:pPr>
              <w:spacing w:after="0"/>
              <w:rPr>
                <w:sz w:val="8"/>
                <w:szCs w:val="8"/>
                <w:color w:val="auto"/>
              </w:rPr>
            </w:pPr>
          </w:p>
        </w:tc>
        <w:tc>
          <w:tcPr>
            <w:tcW w:w="800" w:type="dxa"/>
            <w:vAlign w:val="bottom"/>
            <w:tcBorders>
              <w:right w:val="single" w:sz="8" w:color="2D53A6"/>
            </w:tcBorders>
            <w:shd w:val="clear" w:color="auto" w:fill="E6E6E6"/>
          </w:tcPr>
          <w:p>
            <w:pPr>
              <w:spacing w:after="0"/>
              <w:rPr>
                <w:sz w:val="8"/>
                <w:szCs w:val="8"/>
                <w:color w:val="auto"/>
              </w:rPr>
            </w:pPr>
          </w:p>
        </w:tc>
        <w:tc>
          <w:tcPr>
            <w:tcW w:w="760" w:type="dxa"/>
            <w:vAlign w:val="bottom"/>
            <w:tcBorders>
              <w:right w:val="single" w:sz="8" w:color="2D53A6"/>
            </w:tcBorders>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3"/>
              </w:rPr>
              <w:t>risk at the enterprise level or in a senior compliance or regulatory</w:t>
            </w: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78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800" w:type="dxa"/>
            <w:vAlign w:val="bottom"/>
            <w:tcBorders>
              <w:right w:val="single" w:sz="8" w:color="2D53A6"/>
            </w:tcBorders>
            <w:shd w:val="clear" w:color="auto" w:fill="E6E6E6"/>
          </w:tcPr>
          <w:p>
            <w:pPr>
              <w:spacing w:after="0"/>
              <w:rPr>
                <w:sz w:val="18"/>
                <w:szCs w:val="18"/>
                <w:color w:val="auto"/>
              </w:rPr>
            </w:pPr>
          </w:p>
        </w:tc>
        <w:tc>
          <w:tcPr>
            <w:tcW w:w="760" w:type="dxa"/>
            <w:vAlign w:val="bottom"/>
            <w:tcBorders>
              <w:right w:val="single" w:sz="8" w:color="2D53A6"/>
            </w:tcBorders>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role</w:t>
            </w: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78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800" w:type="dxa"/>
            <w:vAlign w:val="bottom"/>
            <w:tcBorders>
              <w:bottom w:val="single" w:sz="8" w:color="2D53A6"/>
              <w:right w:val="single" w:sz="8" w:color="2D53A6"/>
            </w:tcBorders>
            <w:shd w:val="clear" w:color="auto" w:fill="E6E6E6"/>
          </w:tcPr>
          <w:p>
            <w:pPr>
              <w:spacing w:after="0"/>
              <w:rPr>
                <w:sz w:val="20"/>
                <w:szCs w:val="20"/>
                <w:color w:val="auto"/>
              </w:rPr>
            </w:pPr>
          </w:p>
        </w:tc>
        <w:tc>
          <w:tcPr>
            <w:tcW w:w="760" w:type="dxa"/>
            <w:vAlign w:val="bottom"/>
            <w:tcBorders>
              <w:bottom w:val="single" w:sz="8" w:color="2D53A6"/>
              <w:right w:val="single" w:sz="8" w:color="2D53A6"/>
            </w:tcBorders>
            <w:shd w:val="clear" w:color="auto" w:fill="E6E6E6"/>
          </w:tcPr>
          <w:p>
            <w:pPr>
              <w:spacing w:after="0"/>
              <w:rPr>
                <w:sz w:val="20"/>
                <w:szCs w:val="20"/>
                <w:color w:val="auto"/>
              </w:rPr>
            </w:pPr>
          </w:p>
        </w:tc>
        <w:tc>
          <w:tcPr>
            <w:tcW w:w="92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6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Additional Qualifications and Information</w:t>
            </w:r>
          </w:p>
        </w:tc>
        <w:tc>
          <w:tcPr>
            <w:tcW w:w="780" w:type="dxa"/>
            <w:vAlign w:val="bottom"/>
            <w:tcBorders>
              <w:right w:val="single" w:sz="8" w:color="2D53A6"/>
            </w:tcBorders>
            <w:shd w:val="clear" w:color="auto" w:fill="2D53A6"/>
          </w:tcPr>
          <w:p>
            <w:pPr>
              <w:spacing w:after="0"/>
              <w:rPr>
                <w:sz w:val="21"/>
                <w:szCs w:val="21"/>
                <w:color w:val="auto"/>
              </w:rPr>
            </w:pPr>
          </w:p>
        </w:tc>
        <w:tc>
          <w:tcPr>
            <w:tcW w:w="780" w:type="dxa"/>
            <w:vAlign w:val="bottom"/>
            <w:tcBorders>
              <w:right w:val="single" w:sz="8" w:color="2D53A6"/>
            </w:tcBorders>
            <w:shd w:val="clear" w:color="auto" w:fill="2D53A6"/>
          </w:tcPr>
          <w:p>
            <w:pPr>
              <w:spacing w:after="0"/>
              <w:rPr>
                <w:sz w:val="21"/>
                <w:szCs w:val="21"/>
                <w:color w:val="auto"/>
              </w:rPr>
            </w:pPr>
          </w:p>
        </w:tc>
        <w:tc>
          <w:tcPr>
            <w:tcW w:w="780" w:type="dxa"/>
            <w:vAlign w:val="bottom"/>
            <w:tcBorders>
              <w:right w:val="single" w:sz="8" w:color="2D53A6"/>
            </w:tcBorders>
            <w:shd w:val="clear" w:color="auto" w:fill="2D53A6"/>
          </w:tcPr>
          <w:p>
            <w:pPr>
              <w:spacing w:after="0"/>
              <w:rPr>
                <w:sz w:val="21"/>
                <w:szCs w:val="21"/>
                <w:color w:val="auto"/>
              </w:rPr>
            </w:pPr>
          </w:p>
        </w:tc>
        <w:tc>
          <w:tcPr>
            <w:tcW w:w="800" w:type="dxa"/>
            <w:vAlign w:val="bottom"/>
            <w:tcBorders>
              <w:right w:val="single" w:sz="8" w:color="2D53A6"/>
            </w:tcBorders>
            <w:shd w:val="clear" w:color="auto" w:fill="2D53A6"/>
          </w:tcPr>
          <w:p>
            <w:pPr>
              <w:spacing w:after="0"/>
              <w:rPr>
                <w:sz w:val="21"/>
                <w:szCs w:val="21"/>
                <w:color w:val="auto"/>
              </w:rPr>
            </w:pPr>
          </w:p>
        </w:tc>
        <w:tc>
          <w:tcPr>
            <w:tcW w:w="760" w:type="dxa"/>
            <w:vAlign w:val="bottom"/>
            <w:tcBorders>
              <w:right w:val="single" w:sz="8" w:color="2D53A6"/>
            </w:tcBorders>
            <w:shd w:val="clear" w:color="auto" w:fill="2D53A6"/>
          </w:tcPr>
          <w:p>
            <w:pPr>
              <w:spacing w:after="0"/>
              <w:rPr>
                <w:sz w:val="21"/>
                <w:szCs w:val="21"/>
                <w:color w:val="auto"/>
              </w:rPr>
            </w:pPr>
          </w:p>
        </w:tc>
        <w:tc>
          <w:tcPr>
            <w:tcW w:w="800" w:type="dxa"/>
            <w:vAlign w:val="bottom"/>
            <w:tcBorders>
              <w:right w:val="single" w:sz="8" w:color="2D53A6"/>
            </w:tcBorders>
            <w:shd w:val="clear" w:color="auto" w:fill="2D53A6"/>
          </w:tcPr>
          <w:p>
            <w:pPr>
              <w:spacing w:after="0"/>
              <w:rPr>
                <w:sz w:val="21"/>
                <w:szCs w:val="21"/>
                <w:color w:val="auto"/>
              </w:rPr>
            </w:pPr>
          </w:p>
        </w:tc>
        <w:tc>
          <w:tcPr>
            <w:tcW w:w="760" w:type="dxa"/>
            <w:vAlign w:val="bottom"/>
            <w:tcBorders>
              <w:right w:val="single" w:sz="8" w:color="2D53A6"/>
            </w:tcBorders>
            <w:shd w:val="clear" w:color="auto" w:fill="2D53A6"/>
          </w:tcPr>
          <w:p>
            <w:pPr>
              <w:spacing w:after="0"/>
              <w:rPr>
                <w:sz w:val="21"/>
                <w:szCs w:val="21"/>
                <w:color w:val="auto"/>
              </w:rPr>
            </w:pPr>
          </w:p>
        </w:tc>
        <w:tc>
          <w:tcPr>
            <w:tcW w:w="920" w:type="dxa"/>
            <w:vAlign w:val="bottom"/>
            <w:shd w:val="clear" w:color="auto" w:fill="2D53A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2D53A6"/>
              <w:right w:val="single" w:sz="8" w:color="2D53A6"/>
            </w:tcBorders>
          </w:tcPr>
          <w:p>
            <w:pPr>
              <w:spacing w:after="0" w:line="216" w:lineRule="exact"/>
              <w:rPr>
                <w:sz w:val="20"/>
                <w:szCs w:val="20"/>
                <w:color w:val="auto"/>
              </w:rPr>
            </w:pPr>
            <w:r>
              <w:rPr>
                <w:rFonts w:ascii="Arial" w:cs="Arial" w:eastAsia="Arial" w:hAnsi="Arial"/>
                <w:sz w:val="16"/>
                <w:szCs w:val="16"/>
                <w:b w:val="1"/>
                <w:bCs w:val="1"/>
                <w:color w:val="auto"/>
              </w:rPr>
              <w:t xml:space="preserve">Tenure on Cohu Board (years) </w:t>
            </w:r>
            <w:r>
              <w:rPr>
                <w:rFonts w:ascii="Arial" w:cs="Arial" w:eastAsia="Arial" w:hAnsi="Arial"/>
                <w:sz w:val="25"/>
                <w:szCs w:val="25"/>
                <w:b w:val="1"/>
                <w:bCs w:val="1"/>
                <w:color w:val="auto"/>
                <w:vertAlign w:val="superscript"/>
              </w:rPr>
              <w:t>(1)</w:t>
            </w:r>
          </w:p>
        </w:tc>
        <w:tc>
          <w:tcPr>
            <w:tcW w:w="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12</w:t>
            </w:r>
          </w:p>
        </w:tc>
        <w:tc>
          <w:tcPr>
            <w:tcW w:w="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14</w:t>
            </w:r>
          </w:p>
        </w:tc>
        <w:tc>
          <w:tcPr>
            <w:tcW w:w="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79"/>
              </w:rPr>
              <w:t>9</w:t>
            </w:r>
          </w:p>
        </w:tc>
        <w:tc>
          <w:tcPr>
            <w:tcW w:w="8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24</w:t>
            </w:r>
          </w:p>
        </w:tc>
        <w:tc>
          <w:tcPr>
            <w:tcW w:w="7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79"/>
              </w:rPr>
              <w:t>2</w:t>
            </w:r>
          </w:p>
        </w:tc>
        <w:tc>
          <w:tcPr>
            <w:tcW w:w="8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9</w:t>
            </w:r>
          </w:p>
        </w:tc>
        <w:tc>
          <w:tcPr>
            <w:tcW w:w="9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b w:val="1"/>
                <w:bCs w:val="1"/>
                <w:color w:val="auto"/>
              </w:rPr>
              <w:t xml:space="preserve">Other Current Public Company Boards </w:t>
            </w:r>
            <w:r>
              <w:rPr>
                <w:rFonts w:ascii="Arial" w:cs="Arial" w:eastAsia="Arial" w:hAnsi="Arial"/>
                <w:sz w:val="24"/>
                <w:szCs w:val="24"/>
                <w:b w:val="1"/>
                <w:bCs w:val="1"/>
                <w:color w:val="auto"/>
                <w:vertAlign w:val="superscript"/>
              </w:rPr>
              <w:t>(2)</w:t>
            </w:r>
          </w:p>
        </w:tc>
        <w:tc>
          <w:tcPr>
            <w:tcW w:w="780" w:type="dxa"/>
            <w:vAlign w:val="bottom"/>
            <w:tcBorders>
              <w:bottom w:val="single" w:sz="8" w:color="2D53A6"/>
              <w:right w:val="single" w:sz="8" w:color="2D53A6"/>
            </w:tcBorders>
            <w:shd w:val="clear" w:color="auto" w:fill="E6E6E6"/>
          </w:tcPr>
          <w:p>
            <w:pPr>
              <w:spacing w:after="0"/>
              <w:rPr>
                <w:sz w:val="18"/>
                <w:szCs w:val="18"/>
                <w:color w:val="auto"/>
              </w:rPr>
            </w:pPr>
          </w:p>
        </w:tc>
        <w:tc>
          <w:tcPr>
            <w:tcW w:w="780" w:type="dxa"/>
            <w:vAlign w:val="bottom"/>
            <w:tcBorders>
              <w:bottom w:val="single" w:sz="8" w:color="2D53A6"/>
              <w:right w:val="single" w:sz="8" w:color="2D53A6"/>
            </w:tcBorders>
            <w:shd w:val="clear" w:color="auto" w:fill="E6E6E6"/>
          </w:tcPr>
          <w:p>
            <w:pPr>
              <w:spacing w:after="0"/>
              <w:rPr>
                <w:sz w:val="18"/>
                <w:szCs w:val="18"/>
                <w:color w:val="auto"/>
              </w:rPr>
            </w:pPr>
          </w:p>
        </w:tc>
        <w:tc>
          <w:tcPr>
            <w:tcW w:w="780" w:type="dxa"/>
            <w:vAlign w:val="bottom"/>
            <w:tcBorders>
              <w:bottom w:val="single" w:sz="8" w:color="2D53A6"/>
              <w:right w:val="single" w:sz="8" w:color="2D53A6"/>
            </w:tcBorders>
            <w:shd w:val="clear" w:color="auto" w:fill="E6E6E6"/>
          </w:tcPr>
          <w:p>
            <w:pPr>
              <w:spacing w:after="0"/>
              <w:rPr>
                <w:sz w:val="18"/>
                <w:szCs w:val="18"/>
                <w:color w:val="auto"/>
              </w:rPr>
            </w:pPr>
          </w:p>
        </w:tc>
        <w:tc>
          <w:tcPr>
            <w:tcW w:w="800" w:type="dxa"/>
            <w:vAlign w:val="bottom"/>
            <w:tcBorders>
              <w:bottom w:val="single" w:sz="8" w:color="2D53A6"/>
              <w:right w:val="single" w:sz="8" w:color="2D53A6"/>
            </w:tcBorders>
            <w:shd w:val="clear" w:color="auto" w:fill="E6E6E6"/>
          </w:tcPr>
          <w:p>
            <w:pPr>
              <w:spacing w:after="0"/>
              <w:rPr>
                <w:sz w:val="18"/>
                <w:szCs w:val="18"/>
                <w:color w:val="auto"/>
              </w:rPr>
            </w:pPr>
          </w:p>
        </w:tc>
        <w:tc>
          <w:tcPr>
            <w:tcW w:w="7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2</w:t>
            </w:r>
          </w:p>
        </w:tc>
        <w:tc>
          <w:tcPr>
            <w:tcW w:w="800" w:type="dxa"/>
            <w:vAlign w:val="bottom"/>
            <w:tcBorders>
              <w:bottom w:val="single" w:sz="8" w:color="2D53A6"/>
              <w:right w:val="single" w:sz="8" w:color="2D53A6"/>
            </w:tcBorders>
            <w:shd w:val="clear" w:color="auto" w:fill="E6E6E6"/>
          </w:tcPr>
          <w:p>
            <w:pPr>
              <w:spacing w:after="0"/>
              <w:rPr>
                <w:sz w:val="18"/>
                <w:szCs w:val="18"/>
                <w:color w:val="auto"/>
              </w:rPr>
            </w:pPr>
          </w:p>
        </w:tc>
        <w:tc>
          <w:tcPr>
            <w:tcW w:w="7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411"/>
        </w:trPr>
        <w:tc>
          <w:tcPr>
            <w:tcW w:w="4860" w:type="dxa"/>
            <w:vAlign w:val="bottom"/>
          </w:tcPr>
          <w:p>
            <w:pPr>
              <w:spacing w:after="0"/>
              <w:rPr>
                <w:sz w:val="20"/>
                <w:szCs w:val="20"/>
                <w:color w:val="auto"/>
              </w:rPr>
            </w:pPr>
            <w:r>
              <w:rPr>
                <w:rFonts w:ascii="Arial" w:cs="Arial" w:eastAsia="Arial" w:hAnsi="Arial"/>
                <w:sz w:val="18"/>
                <w:szCs w:val="18"/>
                <w:color w:val="auto"/>
              </w:rPr>
              <w:t>(1) Measured as of 2023 annual meeting.</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(2) As of March 17, 2023.</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2D53A6"/>
        </w:rPr>
        <w:t>Director Demographic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028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Cohu is committed to diversity, equity, inclusion and full compliance with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applicable laws and regulations governing employment.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We endeavor to create a culture where everyone feels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welcomed, valued and respected.</w:t>
      </w:r>
    </w:p>
    <w:p>
      <w:pPr>
        <w:spacing w:after="0" w:line="200" w:lineRule="exact"/>
        <w:rPr>
          <w:sz w:val="20"/>
          <w:szCs w:val="20"/>
          <w:color w:val="auto"/>
        </w:rPr>
      </w:pP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Board values ethnic, cultural, gender, economic, professional and educational diversity in evaluating new Board candidates and seeks to incorporate a wide range of these attributes within Cohu’s Board. The following matrix provides self-disclosed gender and ethnic/racial diversity information regarding our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Cohu Board Diversity Matrix (as of 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Size: 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Borders>
              <w:top w:val="single" w:sz="8" w:color="2D53A6"/>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Total Number of Directors</w:t>
            </w:r>
          </w:p>
        </w:tc>
        <w:tc>
          <w:tcPr>
            <w:tcW w:w="1400" w:type="dxa"/>
            <w:vAlign w:val="bottom"/>
            <w:tcBorders>
              <w:top w:val="single" w:sz="8" w:color="2D53A6"/>
              <w:bottom w:val="single" w:sz="8" w:color="2D53A6"/>
              <w:right w:val="single" w:sz="8" w:color="E6E6E6"/>
            </w:tcBorders>
            <w:shd w:val="clear" w:color="auto" w:fill="E6E6E6"/>
          </w:tcPr>
          <w:p>
            <w:pPr>
              <w:spacing w:after="0"/>
              <w:rPr>
                <w:sz w:val="19"/>
                <w:szCs w:val="19"/>
                <w:color w:val="auto"/>
              </w:rPr>
            </w:pPr>
          </w:p>
        </w:tc>
        <w:tc>
          <w:tcPr>
            <w:tcW w:w="1080" w:type="dxa"/>
            <w:vAlign w:val="bottom"/>
            <w:tcBorders>
              <w:top w:val="single" w:sz="8" w:color="2D53A6"/>
              <w:bottom w:val="single" w:sz="8" w:color="2D53A6"/>
            </w:tcBorders>
            <w:shd w:val="clear" w:color="auto" w:fill="E6E6E6"/>
          </w:tcPr>
          <w:p>
            <w:pPr>
              <w:spacing w:after="0"/>
              <w:rPr>
                <w:sz w:val="19"/>
                <w:szCs w:val="19"/>
                <w:color w:val="auto"/>
              </w:rPr>
            </w:pPr>
          </w:p>
        </w:tc>
        <w:tc>
          <w:tcPr>
            <w:tcW w:w="1580" w:type="dxa"/>
            <w:vAlign w:val="bottom"/>
            <w:tcBorders>
              <w:top w:val="single" w:sz="8" w:color="2D53A6"/>
              <w:bottom w:val="single" w:sz="8" w:color="2D53A6"/>
              <w:right w:val="single" w:sz="8" w:color="E6E6E6"/>
            </w:tcBorders>
            <w:gridSpan w:val="2"/>
            <w:shd w:val="clear" w:color="auto" w:fill="E6E6E6"/>
          </w:tcPr>
          <w:p>
            <w:pPr>
              <w:jc w:val="right"/>
              <w:ind w:right="1230"/>
              <w:spacing w:after="0"/>
              <w:rPr>
                <w:sz w:val="20"/>
                <w:szCs w:val="20"/>
                <w:color w:val="auto"/>
              </w:rPr>
            </w:pPr>
            <w:r>
              <w:rPr>
                <w:rFonts w:ascii="Arial" w:cs="Arial" w:eastAsia="Arial" w:hAnsi="Arial"/>
                <w:sz w:val="18"/>
                <w:szCs w:val="18"/>
                <w:b w:val="1"/>
                <w:bCs w:val="1"/>
                <w:color w:val="auto"/>
              </w:rPr>
              <w:t>8</w:t>
            </w:r>
          </w:p>
        </w:tc>
        <w:tc>
          <w:tcPr>
            <w:tcW w:w="1320" w:type="dxa"/>
            <w:vAlign w:val="bottom"/>
            <w:tcBorders>
              <w:top w:val="single" w:sz="8" w:color="2D53A6"/>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b w:val="1"/>
                <w:bCs w:val="1"/>
                <w:color w:val="auto"/>
              </w:rPr>
              <w:t>Gender</w:t>
            </w:r>
          </w:p>
        </w:tc>
        <w:tc>
          <w:tcPr>
            <w:tcW w:w="1400" w:type="dxa"/>
            <w:vAlign w:val="bottom"/>
            <w:tcBorders>
              <w:right w:val="single" w:sz="8" w:color="2D53A6"/>
            </w:tcBorders>
            <w:vMerge w:val="restart"/>
          </w:tcPr>
          <w:p>
            <w:pPr>
              <w:ind w:left="480"/>
              <w:spacing w:after="0"/>
              <w:rPr>
                <w:sz w:val="20"/>
                <w:szCs w:val="20"/>
                <w:color w:val="auto"/>
              </w:rPr>
            </w:pPr>
            <w:r>
              <w:rPr>
                <w:rFonts w:ascii="Arial" w:cs="Arial" w:eastAsia="Arial" w:hAnsi="Arial"/>
                <w:sz w:val="18"/>
                <w:szCs w:val="18"/>
                <w:b w:val="1"/>
                <w:bCs w:val="1"/>
                <w:color w:val="auto"/>
              </w:rPr>
              <w:t>Male</w:t>
            </w:r>
          </w:p>
        </w:tc>
        <w:tc>
          <w:tcPr>
            <w:tcW w:w="10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Female</w:t>
            </w:r>
          </w:p>
        </w:tc>
        <w:tc>
          <w:tcPr>
            <w:tcW w:w="260" w:type="dxa"/>
            <w:vAlign w:val="bottom"/>
            <w:tcBorders>
              <w:right w:val="single" w:sz="8" w:color="2D53A6"/>
            </w:tcBorders>
          </w:tcPr>
          <w:p>
            <w:pPr>
              <w:spacing w:after="0"/>
              <w:rPr>
                <w:sz w:val="16"/>
                <w:szCs w:val="16"/>
                <w:color w:val="auto"/>
              </w:rPr>
            </w:pPr>
          </w:p>
        </w:tc>
        <w:tc>
          <w:tcPr>
            <w:tcW w:w="13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b w:val="1"/>
                <w:bCs w:val="1"/>
                <w:color w:val="auto"/>
                <w:w w:val="92"/>
              </w:rPr>
              <w:t>Non-Binary</w:t>
            </w:r>
          </w:p>
        </w:tc>
        <w:tc>
          <w:tcPr>
            <w:tcW w:w="13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Gender</w:t>
            </w:r>
          </w:p>
        </w:tc>
        <w:tc>
          <w:tcPr>
            <w:tcW w:w="0" w:type="dxa"/>
            <w:vAlign w:val="bottom"/>
          </w:tcPr>
          <w:p>
            <w:pPr>
              <w:spacing w:after="0"/>
              <w:rPr>
                <w:sz w:val="1"/>
                <w:szCs w:val="1"/>
                <w:color w:val="auto"/>
              </w:rPr>
            </w:pPr>
          </w:p>
        </w:tc>
      </w:tr>
      <w:tr>
        <w:trPr>
          <w:trHeight w:val="126"/>
        </w:trPr>
        <w:tc>
          <w:tcPr>
            <w:tcW w:w="5860" w:type="dxa"/>
            <w:vAlign w:val="bottom"/>
            <w:tcBorders>
              <w:right w:val="single" w:sz="8" w:color="2D53A6"/>
            </w:tcBorders>
            <w:vMerge w:val="continue"/>
          </w:tcPr>
          <w:p>
            <w:pPr>
              <w:spacing w:after="0"/>
              <w:rPr>
                <w:sz w:val="10"/>
                <w:szCs w:val="10"/>
                <w:color w:val="auto"/>
              </w:rPr>
            </w:pPr>
          </w:p>
        </w:tc>
        <w:tc>
          <w:tcPr>
            <w:tcW w:w="1400" w:type="dxa"/>
            <w:vAlign w:val="bottom"/>
            <w:tcBorders>
              <w:right w:val="single" w:sz="8" w:color="2D53A6"/>
            </w:tcBorders>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260" w:type="dxa"/>
            <w:vAlign w:val="bottom"/>
            <w:tcBorders>
              <w:right w:val="single" w:sz="8" w:color="2D53A6"/>
            </w:tcBorders>
          </w:tcPr>
          <w:p>
            <w:pPr>
              <w:spacing w:after="0"/>
              <w:rPr>
                <w:sz w:val="10"/>
                <w:szCs w:val="10"/>
                <w:color w:val="auto"/>
              </w:rPr>
            </w:pPr>
          </w:p>
        </w:tc>
        <w:tc>
          <w:tcPr>
            <w:tcW w:w="1320" w:type="dxa"/>
            <w:vAlign w:val="bottom"/>
            <w:tcBorders>
              <w:right w:val="single" w:sz="8" w:color="2D53A6"/>
            </w:tcBorders>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Undisclosed</w:t>
            </w:r>
          </w:p>
        </w:tc>
        <w:tc>
          <w:tcPr>
            <w:tcW w:w="0" w:type="dxa"/>
            <w:vAlign w:val="bottom"/>
          </w:tcPr>
          <w:p>
            <w:pPr>
              <w:spacing w:after="0"/>
              <w:rPr>
                <w:sz w:val="1"/>
                <w:szCs w:val="1"/>
                <w:color w:val="auto"/>
              </w:rPr>
            </w:pPr>
          </w:p>
        </w:tc>
      </w:tr>
      <w:tr>
        <w:trPr>
          <w:trHeight w:val="108"/>
        </w:trPr>
        <w:tc>
          <w:tcPr>
            <w:tcW w:w="5860" w:type="dxa"/>
            <w:vAlign w:val="bottom"/>
            <w:tcBorders>
              <w:bottom w:val="single" w:sz="8" w:color="2D53A6"/>
              <w:right w:val="single" w:sz="8" w:color="2D53A6"/>
            </w:tcBorders>
          </w:tcPr>
          <w:p>
            <w:pPr>
              <w:spacing w:after="0"/>
              <w:rPr>
                <w:sz w:val="9"/>
                <w:szCs w:val="9"/>
                <w:color w:val="auto"/>
              </w:rPr>
            </w:pPr>
          </w:p>
        </w:tc>
        <w:tc>
          <w:tcPr>
            <w:tcW w:w="1400" w:type="dxa"/>
            <w:vAlign w:val="bottom"/>
            <w:tcBorders>
              <w:bottom w:val="single" w:sz="8" w:color="2D53A6"/>
              <w:right w:val="single" w:sz="8" w:color="2D53A6"/>
            </w:tcBorders>
          </w:tcPr>
          <w:p>
            <w:pPr>
              <w:spacing w:after="0"/>
              <w:rPr>
                <w:sz w:val="9"/>
                <w:szCs w:val="9"/>
                <w:color w:val="auto"/>
              </w:rPr>
            </w:pPr>
          </w:p>
        </w:tc>
        <w:tc>
          <w:tcPr>
            <w:tcW w:w="1080" w:type="dxa"/>
            <w:vAlign w:val="bottom"/>
            <w:tcBorders>
              <w:bottom w:val="single" w:sz="8" w:color="2D53A6"/>
            </w:tcBorders>
          </w:tcPr>
          <w:p>
            <w:pPr>
              <w:spacing w:after="0"/>
              <w:rPr>
                <w:sz w:val="9"/>
                <w:szCs w:val="9"/>
                <w:color w:val="auto"/>
              </w:rPr>
            </w:pPr>
          </w:p>
        </w:tc>
        <w:tc>
          <w:tcPr>
            <w:tcW w:w="260" w:type="dxa"/>
            <w:vAlign w:val="bottom"/>
            <w:tcBorders>
              <w:bottom w:val="single" w:sz="8" w:color="2D53A6"/>
              <w:right w:val="single" w:sz="8" w:color="2D53A6"/>
            </w:tcBorders>
          </w:tcPr>
          <w:p>
            <w:pPr>
              <w:spacing w:after="0"/>
              <w:rPr>
                <w:sz w:val="9"/>
                <w:szCs w:val="9"/>
                <w:color w:val="auto"/>
              </w:rPr>
            </w:pPr>
          </w:p>
        </w:tc>
        <w:tc>
          <w:tcPr>
            <w:tcW w:w="1320" w:type="dxa"/>
            <w:vAlign w:val="bottom"/>
            <w:tcBorders>
              <w:bottom w:val="single" w:sz="8" w:color="2D53A6"/>
              <w:right w:val="single" w:sz="8" w:color="2D53A6"/>
            </w:tcBorders>
          </w:tcPr>
          <w:p>
            <w:pPr>
              <w:spacing w:after="0"/>
              <w:rPr>
                <w:sz w:val="9"/>
                <w:szCs w:val="9"/>
                <w:color w:val="auto"/>
              </w:rPr>
            </w:pPr>
          </w:p>
        </w:tc>
        <w:tc>
          <w:tcPr>
            <w:tcW w:w="132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Number of directors based on gender identity</w:t>
            </w:r>
          </w:p>
        </w:tc>
        <w:tc>
          <w:tcPr>
            <w:tcW w:w="14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9"/>
              </w:rPr>
              <w:t>6</w:t>
            </w:r>
          </w:p>
        </w:tc>
        <w:tc>
          <w:tcPr>
            <w:tcW w:w="1080" w:type="dxa"/>
            <w:vAlign w:val="bottom"/>
            <w:tcBorders>
              <w:bottom w:val="single" w:sz="8" w:color="2D53A6"/>
            </w:tcBorders>
            <w:shd w:val="clear" w:color="auto" w:fill="E6E6E6"/>
          </w:tcPr>
          <w:p>
            <w:pPr>
              <w:jc w:val="center"/>
              <w:ind w:left="110"/>
              <w:spacing w:after="0"/>
              <w:rPr>
                <w:sz w:val="20"/>
                <w:szCs w:val="20"/>
                <w:color w:val="auto"/>
              </w:rPr>
            </w:pPr>
            <w:r>
              <w:rPr>
                <w:rFonts w:ascii="Arial" w:cs="Arial" w:eastAsia="Arial" w:hAnsi="Arial"/>
                <w:sz w:val="18"/>
                <w:szCs w:val="18"/>
                <w:b w:val="1"/>
                <w:bCs w:val="1"/>
                <w:color w:val="auto"/>
                <w:w w:val="79"/>
              </w:rPr>
              <w:t>2</w:t>
            </w:r>
          </w:p>
        </w:tc>
        <w:tc>
          <w:tcPr>
            <w:tcW w:w="260" w:type="dxa"/>
            <w:vAlign w:val="bottom"/>
            <w:tcBorders>
              <w:bottom w:val="single" w:sz="8" w:color="2D53A6"/>
              <w:right w:val="single" w:sz="8" w:color="2D53A6"/>
            </w:tcBorders>
            <w:shd w:val="clear" w:color="auto" w:fill="E6E6E6"/>
          </w:tcPr>
          <w:p>
            <w:pPr>
              <w:spacing w:after="0"/>
              <w:rPr>
                <w:sz w:val="18"/>
                <w:szCs w:val="18"/>
                <w:color w:val="auto"/>
              </w:rPr>
            </w:pPr>
          </w:p>
        </w:tc>
        <w:tc>
          <w:tcPr>
            <w:tcW w:w="13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1"/>
        </w:trPr>
        <w:tc>
          <w:tcPr>
            <w:tcW w:w="586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1400" w:type="dxa"/>
            <w:vAlign w:val="bottom"/>
            <w:tcBorders>
              <w:bottom w:val="single" w:sz="8" w:color="2D53A6"/>
            </w:tcBorders>
          </w:tcPr>
          <w:p>
            <w:pPr>
              <w:spacing w:after="0"/>
              <w:rPr>
                <w:sz w:val="19"/>
                <w:szCs w:val="19"/>
                <w:color w:val="auto"/>
              </w:rPr>
            </w:pPr>
          </w:p>
        </w:tc>
        <w:tc>
          <w:tcPr>
            <w:tcW w:w="1080" w:type="dxa"/>
            <w:vAlign w:val="bottom"/>
            <w:tcBorders>
              <w:bottom w:val="single" w:sz="8" w:color="2D53A6"/>
            </w:tcBorders>
          </w:tcPr>
          <w:p>
            <w:pPr>
              <w:spacing w:after="0"/>
              <w:rPr>
                <w:sz w:val="19"/>
                <w:szCs w:val="19"/>
                <w:color w:val="auto"/>
              </w:rPr>
            </w:pPr>
          </w:p>
        </w:tc>
        <w:tc>
          <w:tcPr>
            <w:tcW w:w="260" w:type="dxa"/>
            <w:vAlign w:val="bottom"/>
            <w:tcBorders>
              <w:bottom w:val="single" w:sz="8" w:color="2D53A6"/>
            </w:tcBorders>
          </w:tcPr>
          <w:p>
            <w:pPr>
              <w:spacing w:after="0"/>
              <w:rPr>
                <w:sz w:val="19"/>
                <w:szCs w:val="19"/>
                <w:color w:val="auto"/>
              </w:rPr>
            </w:pPr>
          </w:p>
        </w:tc>
        <w:tc>
          <w:tcPr>
            <w:tcW w:w="1320" w:type="dxa"/>
            <w:vAlign w:val="bottom"/>
            <w:tcBorders>
              <w:bottom w:val="single" w:sz="8" w:color="2D53A6"/>
            </w:tcBorders>
          </w:tcPr>
          <w:p>
            <w:pPr>
              <w:spacing w:after="0"/>
              <w:rPr>
                <w:sz w:val="19"/>
                <w:szCs w:val="19"/>
                <w:color w:val="auto"/>
              </w:rPr>
            </w:pPr>
          </w:p>
        </w:tc>
        <w:tc>
          <w:tcPr>
            <w:tcW w:w="132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E6E6E6"/>
              <w:bottom w:val="single" w:sz="8" w:color="2D53A6"/>
              <w:right w:val="single" w:sz="8" w:color="2D53A6"/>
            </w:tcBorders>
            <w:shd w:val="clear" w:color="auto" w:fill="E6E6E6"/>
          </w:tcPr>
          <w:p>
            <w:pPr>
              <w:ind w:left="180"/>
              <w:spacing w:after="0" w:line="189" w:lineRule="exact"/>
              <w:rPr>
                <w:sz w:val="20"/>
                <w:szCs w:val="20"/>
                <w:color w:val="auto"/>
              </w:rPr>
            </w:pPr>
            <w:r>
              <w:rPr>
                <w:rFonts w:ascii="Arial" w:cs="Arial" w:eastAsia="Arial" w:hAnsi="Arial"/>
                <w:sz w:val="18"/>
                <w:szCs w:val="18"/>
                <w:color w:val="auto"/>
              </w:rPr>
              <w:t>African American or Black</w:t>
            </w:r>
          </w:p>
        </w:tc>
        <w:tc>
          <w:tcPr>
            <w:tcW w:w="1400" w:type="dxa"/>
            <w:vAlign w:val="bottom"/>
            <w:tcBorders>
              <w:top w:val="single" w:sz="8" w:color="E6E6E6"/>
              <w:bottom w:val="single" w:sz="8" w:color="2D53A6"/>
              <w:right w:val="single" w:sz="8" w:color="2D53A6"/>
            </w:tcBorders>
            <w:shd w:val="clear" w:color="auto" w:fill="E6E6E6"/>
          </w:tcPr>
          <w:p>
            <w:pPr>
              <w:jc w:val="center"/>
              <w:spacing w:after="0" w:line="189"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2D53A6"/>
              <w:bottom w:val="single" w:sz="8" w:color="2D53A6"/>
            </w:tcBorders>
            <w:shd w:val="clear" w:color="auto" w:fill="E6E6E6"/>
          </w:tcPr>
          <w:p>
            <w:pPr>
              <w:jc w:val="center"/>
              <w:ind w:left="130"/>
              <w:spacing w:after="0" w:line="189"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2D53A6"/>
              <w:bottom w:val="single" w:sz="8" w:color="2D53A6"/>
              <w:right w:val="single" w:sz="8" w:color="2D53A6"/>
            </w:tcBorders>
            <w:shd w:val="clear" w:color="auto" w:fill="E6E6E6"/>
          </w:tcPr>
          <w:p>
            <w:pPr>
              <w:spacing w:after="0"/>
              <w:rPr>
                <w:sz w:val="18"/>
                <w:szCs w:val="18"/>
                <w:color w:val="auto"/>
              </w:rPr>
            </w:pPr>
          </w:p>
        </w:tc>
        <w:tc>
          <w:tcPr>
            <w:tcW w:w="1320" w:type="dxa"/>
            <w:vAlign w:val="bottom"/>
            <w:tcBorders>
              <w:top w:val="single" w:sz="8" w:color="E6E6E6"/>
              <w:bottom w:val="single" w:sz="8" w:color="2D53A6"/>
              <w:right w:val="single" w:sz="8" w:color="2D53A6"/>
            </w:tcBorders>
            <w:shd w:val="clear" w:color="auto" w:fill="E6E6E6"/>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E6E6E6"/>
              <w:bottom w:val="single" w:sz="8" w:color="2D53A6"/>
            </w:tcBorders>
            <w:shd w:val="clear" w:color="auto" w:fill="E6E6E6"/>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3"/>
        </w:trPr>
        <w:tc>
          <w:tcPr>
            <w:tcW w:w="5860" w:type="dxa"/>
            <w:vAlign w:val="bottom"/>
            <w:tcBorders>
              <w:bottom w:val="single" w:sz="8" w:color="2D53A6"/>
              <w:right w:val="single" w:sz="8" w:color="2D53A6"/>
            </w:tcBorders>
          </w:tcPr>
          <w:p>
            <w:pPr>
              <w:ind w:left="180"/>
              <w:spacing w:after="0" w:line="193" w:lineRule="exact"/>
              <w:rPr>
                <w:sz w:val="20"/>
                <w:szCs w:val="20"/>
                <w:color w:val="auto"/>
              </w:rPr>
            </w:pPr>
            <w:r>
              <w:rPr>
                <w:rFonts w:ascii="Arial" w:cs="Arial" w:eastAsia="Arial" w:hAnsi="Arial"/>
                <w:sz w:val="18"/>
                <w:szCs w:val="18"/>
                <w:color w:val="auto"/>
              </w:rPr>
              <w:t>Alaskan Native or Native American</w:t>
            </w:r>
          </w:p>
        </w:tc>
        <w:tc>
          <w:tcPr>
            <w:tcW w:w="1400" w:type="dxa"/>
            <w:vAlign w:val="bottom"/>
            <w:tcBorders>
              <w:bottom w:val="single" w:sz="8" w:color="2D53A6"/>
              <w:right w:val="single" w:sz="8" w:color="2D53A6"/>
            </w:tcBorders>
          </w:tcPr>
          <w:p>
            <w:pPr>
              <w:jc w:val="center"/>
              <w:spacing w:after="0" w:line="19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2D53A6"/>
            </w:tcBorders>
          </w:tcPr>
          <w:p>
            <w:pPr>
              <w:jc w:val="center"/>
              <w:ind w:left="130"/>
              <w:spacing w:after="0" w:line="193"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2D53A6"/>
              <w:right w:val="single" w:sz="8" w:color="2D53A6"/>
            </w:tcBorders>
          </w:tcPr>
          <w:p>
            <w:pPr>
              <w:spacing w:after="0"/>
              <w:rPr>
                <w:sz w:val="16"/>
                <w:szCs w:val="16"/>
                <w:color w:val="auto"/>
              </w:rPr>
            </w:pPr>
          </w:p>
        </w:tc>
        <w:tc>
          <w:tcPr>
            <w:tcW w:w="1320" w:type="dxa"/>
            <w:vAlign w:val="bottom"/>
            <w:tcBorders>
              <w:bottom w:val="single" w:sz="8" w:color="2D53A6"/>
              <w:right w:val="single" w:sz="8" w:color="2D53A6"/>
            </w:tcBorders>
          </w:tcPr>
          <w:p>
            <w:pPr>
              <w:jc w:val="center"/>
              <w:spacing w:after="0" w:line="19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tcPr>
          <w:p>
            <w:pPr>
              <w:jc w:val="center"/>
              <w:spacing w:after="0" w:line="19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2D53A6"/>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Asian</w:t>
            </w:r>
          </w:p>
        </w:tc>
        <w:tc>
          <w:tcPr>
            <w:tcW w:w="14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2D53A6"/>
            </w:tcBorders>
            <w:shd w:val="clear" w:color="auto" w:fill="E6E6E6"/>
          </w:tcPr>
          <w:p>
            <w:pPr>
              <w:jc w:val="center"/>
              <w:ind w:left="110"/>
              <w:spacing w:after="0"/>
              <w:rPr>
                <w:sz w:val="20"/>
                <w:szCs w:val="20"/>
                <w:color w:val="auto"/>
              </w:rPr>
            </w:pPr>
            <w:r>
              <w:rPr>
                <w:rFonts w:ascii="Arial" w:cs="Arial" w:eastAsia="Arial" w:hAnsi="Arial"/>
                <w:sz w:val="18"/>
                <w:szCs w:val="18"/>
                <w:b w:val="1"/>
                <w:bCs w:val="1"/>
                <w:color w:val="auto"/>
                <w:w w:val="79"/>
              </w:rPr>
              <w:t>1</w:t>
            </w:r>
          </w:p>
        </w:tc>
        <w:tc>
          <w:tcPr>
            <w:tcW w:w="260" w:type="dxa"/>
            <w:vAlign w:val="bottom"/>
            <w:tcBorders>
              <w:bottom w:val="single" w:sz="8" w:color="2D53A6"/>
              <w:right w:val="single" w:sz="8" w:color="2D53A6"/>
            </w:tcBorders>
            <w:shd w:val="clear" w:color="auto" w:fill="E6E6E6"/>
          </w:tcPr>
          <w:p>
            <w:pPr>
              <w:spacing w:after="0"/>
              <w:rPr>
                <w:sz w:val="18"/>
                <w:szCs w:val="18"/>
                <w:color w:val="auto"/>
              </w:rPr>
            </w:pPr>
          </w:p>
        </w:tc>
        <w:tc>
          <w:tcPr>
            <w:tcW w:w="13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Hispanic or Latinx</w:t>
            </w:r>
          </w:p>
        </w:tc>
        <w:tc>
          <w:tcPr>
            <w:tcW w:w="14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80" w:type="dxa"/>
            <w:vAlign w:val="bottom"/>
            <w:tcBorders>
              <w:bottom w:val="single" w:sz="8" w:color="2D53A6"/>
            </w:tcBorders>
          </w:tcPr>
          <w:p>
            <w:pPr>
              <w:jc w:val="center"/>
              <w:ind w:lef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2D53A6"/>
              <w:right w:val="single" w:sz="8" w:color="2D53A6"/>
            </w:tcBorders>
          </w:tcPr>
          <w:p>
            <w:pPr>
              <w:spacing w:after="0"/>
              <w:rPr>
                <w:sz w:val="18"/>
                <w:szCs w:val="18"/>
                <w:color w:val="auto"/>
              </w:rPr>
            </w:pPr>
          </w:p>
        </w:tc>
        <w:tc>
          <w:tcPr>
            <w:tcW w:w="13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2D53A6"/>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Native Hawaiian or Pacific Islander</w:t>
            </w:r>
          </w:p>
        </w:tc>
        <w:tc>
          <w:tcPr>
            <w:tcW w:w="14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2D53A6"/>
            </w:tcBorders>
            <w:shd w:val="clear" w:color="auto" w:fill="E6E6E6"/>
          </w:tcPr>
          <w:p>
            <w:pPr>
              <w:jc w:val="center"/>
              <w:ind w:lef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2D53A6"/>
              <w:right w:val="single" w:sz="8" w:color="2D53A6"/>
            </w:tcBorders>
            <w:shd w:val="clear" w:color="auto" w:fill="E6E6E6"/>
          </w:tcPr>
          <w:p>
            <w:pPr>
              <w:spacing w:after="0"/>
              <w:rPr>
                <w:sz w:val="18"/>
                <w:szCs w:val="18"/>
                <w:color w:val="auto"/>
              </w:rPr>
            </w:pPr>
          </w:p>
        </w:tc>
        <w:tc>
          <w:tcPr>
            <w:tcW w:w="13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White</w:t>
            </w:r>
          </w:p>
        </w:tc>
        <w:tc>
          <w:tcPr>
            <w:tcW w:w="14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080" w:type="dxa"/>
            <w:vAlign w:val="bottom"/>
            <w:tcBorders>
              <w:bottom w:val="single" w:sz="8" w:color="2D53A6"/>
            </w:tcBorders>
          </w:tcPr>
          <w:p>
            <w:pPr>
              <w:jc w:val="center"/>
              <w:ind w:left="110"/>
              <w:spacing w:after="0"/>
              <w:rPr>
                <w:sz w:val="20"/>
                <w:szCs w:val="20"/>
                <w:color w:val="auto"/>
              </w:rPr>
            </w:pPr>
            <w:r>
              <w:rPr>
                <w:rFonts w:ascii="Arial" w:cs="Arial" w:eastAsia="Arial" w:hAnsi="Arial"/>
                <w:sz w:val="18"/>
                <w:szCs w:val="18"/>
                <w:b w:val="1"/>
                <w:bCs w:val="1"/>
                <w:color w:val="auto"/>
                <w:w w:val="79"/>
              </w:rPr>
              <w:t>1</w:t>
            </w:r>
          </w:p>
        </w:tc>
        <w:tc>
          <w:tcPr>
            <w:tcW w:w="260" w:type="dxa"/>
            <w:vAlign w:val="bottom"/>
            <w:tcBorders>
              <w:bottom w:val="single" w:sz="8" w:color="2D53A6"/>
              <w:right w:val="single" w:sz="8" w:color="2D53A6"/>
            </w:tcBorders>
          </w:tcPr>
          <w:p>
            <w:pPr>
              <w:spacing w:after="0"/>
              <w:rPr>
                <w:sz w:val="18"/>
                <w:szCs w:val="18"/>
                <w:color w:val="auto"/>
              </w:rPr>
            </w:pPr>
          </w:p>
        </w:tc>
        <w:tc>
          <w:tcPr>
            <w:tcW w:w="13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2D53A6"/>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Two or More Races or Ethnicities</w:t>
            </w:r>
          </w:p>
        </w:tc>
        <w:tc>
          <w:tcPr>
            <w:tcW w:w="14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2D53A6"/>
            </w:tcBorders>
            <w:shd w:val="clear" w:color="auto" w:fill="E6E6E6"/>
          </w:tcPr>
          <w:p>
            <w:pPr>
              <w:jc w:val="center"/>
              <w:ind w:lef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2D53A6"/>
              <w:right w:val="single" w:sz="8" w:color="2D53A6"/>
            </w:tcBorders>
            <w:shd w:val="clear" w:color="auto" w:fill="E6E6E6"/>
          </w:tcPr>
          <w:p>
            <w:pPr>
              <w:spacing w:after="0"/>
              <w:rPr>
                <w:sz w:val="18"/>
                <w:szCs w:val="18"/>
                <w:color w:val="auto"/>
              </w:rPr>
            </w:pPr>
          </w:p>
        </w:tc>
        <w:tc>
          <w:tcPr>
            <w:tcW w:w="13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LGBTQ+</w:t>
            </w:r>
          </w:p>
        </w:tc>
        <w:tc>
          <w:tcPr>
            <w:tcW w:w="1400" w:type="dxa"/>
            <w:vAlign w:val="bottom"/>
            <w:tcBorders>
              <w:bottom w:val="single" w:sz="8" w:color="2D53A6"/>
            </w:tcBorders>
          </w:tcPr>
          <w:p>
            <w:pPr>
              <w:spacing w:after="0"/>
              <w:rPr>
                <w:sz w:val="18"/>
                <w:szCs w:val="18"/>
                <w:color w:val="auto"/>
              </w:rPr>
            </w:pPr>
          </w:p>
        </w:tc>
        <w:tc>
          <w:tcPr>
            <w:tcW w:w="1080" w:type="dxa"/>
            <w:vAlign w:val="bottom"/>
            <w:tcBorders>
              <w:bottom w:val="single" w:sz="8" w:color="2D53A6"/>
            </w:tcBorders>
          </w:tcPr>
          <w:p>
            <w:pPr>
              <w:spacing w:after="0"/>
              <w:rPr>
                <w:sz w:val="18"/>
                <w:szCs w:val="18"/>
                <w:color w:val="auto"/>
              </w:rPr>
            </w:pPr>
          </w:p>
        </w:tc>
        <w:tc>
          <w:tcPr>
            <w:tcW w:w="1580" w:type="dxa"/>
            <w:vAlign w:val="bottom"/>
            <w:tcBorders>
              <w:bottom w:val="single" w:sz="8" w:color="2D53A6"/>
            </w:tcBorders>
            <w:gridSpan w:val="2"/>
          </w:tcPr>
          <w:p>
            <w:pPr>
              <w:jc w:val="right"/>
              <w:ind w:right="1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2D53A6"/>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Demographic Background Undisclosed</w:t>
            </w:r>
          </w:p>
        </w:tc>
        <w:tc>
          <w:tcPr>
            <w:tcW w:w="1400" w:type="dxa"/>
            <w:vAlign w:val="bottom"/>
            <w:tcBorders>
              <w:bottom w:val="single" w:sz="8" w:color="2D53A6"/>
              <w:right w:val="single" w:sz="8" w:color="E6E6E6"/>
            </w:tcBorders>
            <w:shd w:val="clear" w:color="auto" w:fill="E6E6E6"/>
          </w:tcPr>
          <w:p>
            <w:pPr>
              <w:spacing w:after="0"/>
              <w:rPr>
                <w:sz w:val="18"/>
                <w:szCs w:val="18"/>
                <w:color w:val="auto"/>
              </w:rPr>
            </w:pPr>
          </w:p>
        </w:tc>
        <w:tc>
          <w:tcPr>
            <w:tcW w:w="1080" w:type="dxa"/>
            <w:vAlign w:val="bottom"/>
            <w:tcBorders>
              <w:bottom w:val="single" w:sz="8" w:color="2D53A6"/>
            </w:tcBorders>
            <w:shd w:val="clear" w:color="auto" w:fill="E6E6E6"/>
          </w:tcPr>
          <w:p>
            <w:pPr>
              <w:spacing w:after="0"/>
              <w:rPr>
                <w:sz w:val="18"/>
                <w:szCs w:val="18"/>
                <w:color w:val="auto"/>
              </w:rPr>
            </w:pPr>
          </w:p>
        </w:tc>
        <w:tc>
          <w:tcPr>
            <w:tcW w:w="1580" w:type="dxa"/>
            <w:vAlign w:val="bottom"/>
            <w:tcBorders>
              <w:bottom w:val="single" w:sz="8" w:color="2D53A6"/>
              <w:right w:val="single" w:sz="8" w:color="E6E6E6"/>
            </w:tcBorders>
            <w:gridSpan w:val="2"/>
            <w:shd w:val="clear" w:color="auto" w:fill="E6E6E6"/>
          </w:tcPr>
          <w:p>
            <w:pPr>
              <w:jc w:val="right"/>
              <w:ind w:right="1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D53A6"/>
        </w:rPr>
        <w:t>Board Diversity</w:t>
      </w:r>
    </w:p>
    <w:p>
      <w:pPr>
        <w:spacing w:after="0" w:line="198" w:lineRule="exact"/>
        <w:rPr>
          <w:sz w:val="20"/>
          <w:szCs w:val="20"/>
          <w:color w:val="auto"/>
        </w:rPr>
      </w:pPr>
    </w:p>
    <w:p>
      <w:pPr>
        <w:ind w:left="2380"/>
        <w:spacing w:after="0"/>
        <w:rPr>
          <w:sz w:val="20"/>
          <w:szCs w:val="20"/>
          <w:color w:val="auto"/>
        </w:rPr>
      </w:pPr>
      <w:r>
        <w:rPr>
          <w:rFonts w:ascii="Arial" w:cs="Arial" w:eastAsia="Arial" w:hAnsi="Arial"/>
          <w:sz w:val="32"/>
          <w:szCs w:val="32"/>
          <w:b w:val="1"/>
          <w:bCs w:val="1"/>
          <w:color w:val="2D53A6"/>
        </w:rPr>
        <w:t>2 of 8</w:t>
      </w:r>
    </w:p>
    <w:p>
      <w:pPr>
        <w:spacing w:after="0" w:line="24"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Directors are female,</w:t>
      </w:r>
    </w:p>
    <w:p>
      <w:pPr>
        <w:ind w:left="2380"/>
        <w:spacing w:after="0"/>
        <w:rPr>
          <w:sz w:val="20"/>
          <w:szCs w:val="20"/>
          <w:color w:val="auto"/>
        </w:rPr>
      </w:pPr>
      <w:r>
        <w:rPr>
          <w:rFonts w:ascii="Arial" w:cs="Arial" w:eastAsia="Arial" w:hAnsi="Arial"/>
          <w:sz w:val="22"/>
          <w:szCs w:val="22"/>
          <w:b w:val="1"/>
          <w:bCs w:val="1"/>
          <w:color w:val="auto"/>
        </w:rPr>
        <w:t>Or 25%</w:t>
      </w:r>
    </w:p>
    <w:p>
      <w:pPr>
        <w:spacing w:after="0" w:line="168" w:lineRule="exact"/>
        <w:rPr>
          <w:sz w:val="20"/>
          <w:szCs w:val="20"/>
          <w:color w:val="auto"/>
        </w:rPr>
      </w:pPr>
    </w:p>
    <w:p>
      <w:pPr>
        <w:ind w:left="2380"/>
        <w:spacing w:after="0"/>
        <w:rPr>
          <w:sz w:val="20"/>
          <w:szCs w:val="20"/>
          <w:color w:val="auto"/>
        </w:rPr>
      </w:pPr>
      <w:r>
        <w:rPr>
          <w:rFonts w:ascii="Arial" w:cs="Arial" w:eastAsia="Arial" w:hAnsi="Arial"/>
          <w:sz w:val="32"/>
          <w:szCs w:val="32"/>
          <w:b w:val="1"/>
          <w:bCs w:val="1"/>
          <w:color w:val="2D53A6"/>
        </w:rPr>
        <w:t>2 of 8</w:t>
      </w:r>
    </w:p>
    <w:p>
      <w:pPr>
        <w:spacing w:after="0" w:line="24"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Directors are ethnically/racially diverse</w:t>
      </w:r>
    </w:p>
    <w:p>
      <w:pPr>
        <w:ind w:left="2380"/>
        <w:spacing w:after="0"/>
        <w:rPr>
          <w:sz w:val="20"/>
          <w:szCs w:val="20"/>
          <w:color w:val="auto"/>
        </w:rPr>
      </w:pPr>
      <w:r>
        <w:rPr>
          <w:rFonts w:ascii="Arial" w:cs="Arial" w:eastAsia="Arial" w:hAnsi="Arial"/>
          <w:sz w:val="22"/>
          <w:szCs w:val="22"/>
          <w:b w:val="1"/>
          <w:bCs w:val="1"/>
          <w:color w:val="auto"/>
        </w:rPr>
        <w:t>Or 25%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2D53A6"/>
        </w:rPr>
        <w:t>Corporate Governance Highlights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9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Board and Other Governance Information</w:t>
            </w:r>
          </w:p>
        </w:tc>
        <w:tc>
          <w:tcPr>
            <w:tcW w:w="132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As of March 17,</w:t>
            </w:r>
          </w:p>
        </w:tc>
        <w:tc>
          <w:tcPr>
            <w:tcW w:w="0" w:type="dxa"/>
            <w:vAlign w:val="bottom"/>
          </w:tcPr>
          <w:p>
            <w:pPr>
              <w:spacing w:after="0"/>
              <w:rPr>
                <w:sz w:val="1"/>
                <w:szCs w:val="1"/>
                <w:color w:val="auto"/>
              </w:rPr>
            </w:pPr>
          </w:p>
        </w:tc>
      </w:tr>
      <w:tr>
        <w:trPr>
          <w:trHeight w:val="126"/>
        </w:trPr>
        <w:tc>
          <w:tcPr>
            <w:tcW w:w="9920" w:type="dxa"/>
            <w:vAlign w:val="bottom"/>
            <w:tcBorders>
              <w:right w:val="single" w:sz="8" w:color="2D53A6"/>
            </w:tcBorders>
            <w:vMerge w:val="continue"/>
            <w:shd w:val="clear" w:color="auto" w:fill="2D53A6"/>
          </w:tcPr>
          <w:p>
            <w:pPr>
              <w:spacing w:after="0"/>
              <w:rPr>
                <w:sz w:val="10"/>
                <w:szCs w:val="10"/>
                <w:color w:val="auto"/>
              </w:rPr>
            </w:pPr>
          </w:p>
        </w:tc>
        <w:tc>
          <w:tcPr>
            <w:tcW w:w="132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2023</w:t>
            </w:r>
          </w:p>
        </w:tc>
        <w:tc>
          <w:tcPr>
            <w:tcW w:w="0" w:type="dxa"/>
            <w:vAlign w:val="bottom"/>
          </w:tcPr>
          <w:p>
            <w:pPr>
              <w:spacing w:after="0"/>
              <w:rPr>
                <w:sz w:val="1"/>
                <w:szCs w:val="1"/>
                <w:color w:val="auto"/>
              </w:rPr>
            </w:pPr>
          </w:p>
        </w:tc>
      </w:tr>
      <w:tr>
        <w:trPr>
          <w:trHeight w:val="122"/>
        </w:trPr>
        <w:tc>
          <w:tcPr>
            <w:tcW w:w="9920" w:type="dxa"/>
            <w:vAlign w:val="bottom"/>
            <w:tcBorders>
              <w:right w:val="single" w:sz="8" w:color="2D53A6"/>
            </w:tcBorders>
            <w:shd w:val="clear" w:color="auto" w:fill="2D53A6"/>
          </w:tcPr>
          <w:p>
            <w:pPr>
              <w:spacing w:after="0"/>
              <w:rPr>
                <w:sz w:val="10"/>
                <w:szCs w:val="10"/>
                <w:color w:val="auto"/>
              </w:rPr>
            </w:pPr>
          </w:p>
        </w:tc>
        <w:tc>
          <w:tcPr>
            <w:tcW w:w="132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Size of Board</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Number of Independent Directors</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Number of Directors Who Attended ≥ 75% of Meetings</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Limitations on Other Public Board and Committee Memberships</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Hedging and Pledging Prohibited</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Voting Standard of Election of Directors</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Majority</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Plurality Voting Carveout for Contested Elections</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Separate Chair and CEO</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Lead Independent Director</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Independent Directors Meet Without Management Present</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Annual Board and Committee Self-Evaluations</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Annual Independent Director Evaluation of CEO</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Risk Oversight by Full Board and Committees</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Commitment to Board Diversity</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Significant Board Engagement - 30 Board and Committee meetings held in 2022</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Code of Ethics Applicable to Directors</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Stockholder Engagement Program</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Poison Pill</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0"/>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Board Oversight of Sustainability</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Publication of Annual Sustainability Report on Our Website</w:t>
            </w:r>
          </w:p>
        </w:tc>
        <w:tc>
          <w:tcPr>
            <w:tcW w:w="13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Board Oversight of Cybersecurity Risks</w:t>
            </w:r>
          </w:p>
        </w:tc>
        <w:tc>
          <w:tcPr>
            <w:tcW w:w="13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426"/>
        </w:trPr>
        <w:tc>
          <w:tcPr>
            <w:tcW w:w="9920" w:type="dxa"/>
            <w:vAlign w:val="bottom"/>
          </w:tcPr>
          <w:p>
            <w:pPr>
              <w:ind w:left="5580"/>
              <w:spacing w:after="0"/>
              <w:rPr>
                <w:sz w:val="20"/>
                <w:szCs w:val="20"/>
                <w:color w:val="auto"/>
              </w:rPr>
            </w:pPr>
            <w:r>
              <w:rPr>
                <w:rFonts w:ascii="Arial" w:cs="Arial" w:eastAsia="Arial" w:hAnsi="Arial"/>
                <w:sz w:val="18"/>
                <w:szCs w:val="18"/>
                <w:color w:val="auto"/>
              </w:rPr>
              <w:t>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9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2D53A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28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w:t>
      </w:r>
    </w:p>
    <w:p>
      <w:pPr>
        <w:spacing w:after="0" w:line="200" w:lineRule="exact"/>
        <w:rPr>
          <w:sz w:val="20"/>
          <w:szCs w:val="20"/>
          <w:color w:val="auto"/>
        </w:rPr>
      </w:pPr>
    </w:p>
    <w:p>
      <w:pPr>
        <w:spacing w:after="0" w:line="25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 Our executive compensation program is designed to pay for performance with 100% of the annual Short-Term Incentive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(STI) tied to company financial, strategic, and operational performance metrics and 50% of the Long-Term Incentive (LTI) program tied to relative total shareholder return (“TSR”) performance. Beginning in 2023, 60% of the LTI program will be tied to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428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Balance of Annual and Long-Term Incentives </w:t>
      </w:r>
      <w:r>
        <w:rPr>
          <w:rFonts w:ascii="Arial" w:cs="Arial" w:eastAsia="Arial" w:hAnsi="Arial"/>
          <w:sz w:val="18"/>
          <w:szCs w:val="18"/>
          <w:color w:val="auto"/>
        </w:rPr>
        <w:t>- Our incentive programs provide a balance of annual and long-term incentives.</w:t>
      </w:r>
    </w:p>
    <w:p>
      <w:pPr>
        <w:spacing w:after="0" w:line="200" w:lineRule="exact"/>
        <w:rPr>
          <w:sz w:val="20"/>
          <w:szCs w:val="20"/>
          <w:color w:val="auto"/>
        </w:rPr>
      </w:pPr>
    </w:p>
    <w:p>
      <w:pPr>
        <w:spacing w:after="0" w:line="25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Different Performance Metrics for Annual and Long-Term Incentive Programs </w:t>
      </w:r>
      <w:r>
        <w:rPr>
          <w:rFonts w:ascii="Arial" w:cs="Arial" w:eastAsia="Arial" w:hAnsi="Arial"/>
          <w:sz w:val="18"/>
          <w:szCs w:val="18"/>
          <w:color w:val="auto"/>
        </w:rPr>
        <w:t>- Our annual and long-term incentive programs use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65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7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Absolute and Relative Performance Metrics </w:t>
      </w:r>
      <w:r>
        <w:rPr>
          <w:rFonts w:ascii="Arial" w:cs="Arial" w:eastAsia="Arial" w:hAnsi="Arial"/>
          <w:sz w:val="18"/>
          <w:szCs w:val="18"/>
          <w:color w:val="auto"/>
        </w:rPr>
        <w:t>- Our annual and long-term incentive programs for executive officers include the use of absolute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performance factors.</w:t>
      </w:r>
    </w:p>
    <w:p>
      <w:pPr>
        <w:spacing w:after="0" w:line="3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Three-Year Performance Period for Our Long-Term Incentive Program </w:t>
      </w:r>
      <w:r>
        <w:rPr>
          <w:rFonts w:ascii="Arial" w:cs="Arial" w:eastAsia="Arial" w:hAnsi="Arial"/>
          <w:sz w:val="18"/>
          <w:szCs w:val="18"/>
          <w:color w:val="auto"/>
        </w:rPr>
        <w:t>- Our current long-term incentive program is designed to pay for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428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Capped Amounts </w:t>
      </w:r>
      <w:r>
        <w:rPr>
          <w:rFonts w:ascii="Arial" w:cs="Arial" w:eastAsia="Arial" w:hAnsi="Arial"/>
          <w:sz w:val="18"/>
          <w:szCs w:val="18"/>
          <w:color w:val="auto"/>
        </w:rPr>
        <w:t>- Amounts that can be earned under the annual and long-term incentive programs are capped.</w:t>
      </w:r>
    </w:p>
    <w:p>
      <w:pPr>
        <w:spacing w:after="0" w:line="200" w:lineRule="exact"/>
        <w:rPr>
          <w:sz w:val="20"/>
          <w:szCs w:val="20"/>
          <w:color w:val="auto"/>
        </w:rPr>
      </w:pPr>
    </w:p>
    <w:p>
      <w:pPr>
        <w:spacing w:after="0" w:line="255" w:lineRule="exact"/>
        <w:rPr>
          <w:sz w:val="20"/>
          <w:szCs w:val="20"/>
          <w:color w:val="auto"/>
        </w:rPr>
      </w:pPr>
    </w:p>
    <w:p>
      <w:pPr>
        <w:spacing w:after="0" w:line="199" w:lineRule="auto"/>
        <w:rPr>
          <w:sz w:val="20"/>
          <w:szCs w:val="20"/>
          <w:color w:val="auto"/>
        </w:rPr>
      </w:pPr>
      <w:r>
        <w:rPr>
          <w:rFonts w:ascii="Arial" w:cs="Arial" w:eastAsia="Arial" w:hAnsi="Arial"/>
          <w:sz w:val="18"/>
          <w:szCs w:val="18"/>
          <w:b w:val="1"/>
          <w:bCs w:val="1"/>
          <w:color w:val="auto"/>
        </w:rPr>
        <w:t xml:space="preserve">Minimum Amounts </w:t>
      </w:r>
      <w:r>
        <w:rPr>
          <w:rFonts w:ascii="Arial" w:cs="Arial" w:eastAsia="Arial" w:hAnsi="Arial"/>
          <w:sz w:val="18"/>
          <w:szCs w:val="18"/>
          <w:color w:val="auto"/>
        </w:rPr>
        <w:t>- Amounts under the annual and long-term incentive programs</w:t>
      </w:r>
      <w:r>
        <w:rPr>
          <w:rFonts w:ascii="Arial" w:cs="Arial" w:eastAsia="Arial" w:hAnsi="Arial"/>
          <w:sz w:val="18"/>
          <w:szCs w:val="18"/>
          <w:b w:val="1"/>
          <w:bCs w:val="1"/>
          <w:color w:val="auto"/>
        </w:rPr>
        <w:t xml:space="preserve"> </w:t>
      </w:r>
      <w:r>
        <w:rPr>
          <w:rFonts w:ascii="Arial" w:cs="Arial" w:eastAsia="Arial" w:hAnsi="Arial"/>
          <w:sz w:val="29"/>
          <w:szCs w:val="29"/>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guaranteed minimum and can effectively be “zero”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for unsatisfactory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565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Compensation Recoupment/Clawback Policy </w:t>
      </w:r>
      <w:r>
        <w:rPr>
          <w:rFonts w:ascii="Arial" w:cs="Arial" w:eastAsia="Arial" w:hAnsi="Arial"/>
          <w:sz w:val="18"/>
          <w:szCs w:val="18"/>
          <w:color w:val="auto"/>
        </w:rPr>
        <w:t>- We have a policy pursuant to which incentive compensation awarded to our executive officers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recoupment under certain circumstances if our financial results are restated.</w:t>
      </w:r>
    </w:p>
    <w:p>
      <w:pPr>
        <w:spacing w:after="0" w:line="39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 We have stock ownership guidelines for each of our executive officers and certain other senior executives; each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has met their individual ownership level under the current program or has a period of time remaining under the guidelines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565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8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Independent Compensation Advisor </w:t>
      </w:r>
      <w:r>
        <w:rPr>
          <w:rFonts w:ascii="Arial" w:cs="Arial" w:eastAsia="Arial" w:hAnsi="Arial"/>
          <w:sz w:val="18"/>
          <w:szCs w:val="18"/>
          <w:color w:val="auto"/>
        </w:rPr>
        <w:t>- The Compensation Committee benefits from its utilization of an independent compensation advisor,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by the committee, that provides no other services to the Company.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Say-on-Pay </w:t>
      </w:r>
      <w:r>
        <w:rPr>
          <w:rFonts w:ascii="Arial" w:cs="Arial" w:eastAsia="Arial" w:hAnsi="Arial"/>
          <w:sz w:val="18"/>
          <w:szCs w:val="18"/>
          <w:color w:val="auto"/>
        </w:rPr>
        <w:t>- We annually seek an advisory stockholder vote to approve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5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Stockholder Engagement </w:t>
      </w:r>
      <w:r>
        <w:rPr>
          <w:rFonts w:ascii="Arial" w:cs="Arial" w:eastAsia="Arial" w:hAnsi="Arial"/>
          <w:sz w:val="18"/>
          <w:szCs w:val="18"/>
          <w:color w:val="auto"/>
        </w:rPr>
        <w:t>- We engage with stockholders regularly and stockholder advisory firms on an as needed basis to obtain feedback concerning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w:t>
      </w:r>
    </w:p>
    <w:p>
      <w:pPr>
        <w:spacing w:after="0" w:line="395" w:lineRule="exact"/>
        <w:rPr>
          <w:sz w:val="20"/>
          <w:szCs w:val="20"/>
          <w:color w:val="auto"/>
        </w:rPr>
      </w:pPr>
    </w:p>
    <w:p>
      <w:pPr>
        <w:ind w:left="5580" w:right="1060" w:hanging="5572"/>
        <w:spacing w:after="0" w:line="527" w:lineRule="auto"/>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long-term incentive program was modified in 2021 and, among other changes, a lower achievement minimum of 25% was removed.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What We Don</w:t>
      </w:r>
      <w:r>
        <w:rPr>
          <w:rFonts w:ascii="Arial" w:cs="Arial" w:eastAsia="Arial" w:hAnsi="Arial"/>
          <w:sz w:val="18"/>
          <w:szCs w:val="18"/>
          <w:color w:val="FFFFFF"/>
        </w:rPr>
        <w:t>’</w:t>
      </w:r>
      <w:r>
        <w:rPr>
          <w:rFonts w:ascii="Arial" w:cs="Arial" w:eastAsia="Arial" w:hAnsi="Arial"/>
          <w:sz w:val="18"/>
          <w:szCs w:val="18"/>
          <w:b w:val="1"/>
          <w:bCs w:val="1"/>
          <w:color w:val="FFFFFF"/>
        </w:rPr>
        <w:t>t Do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Single-Trigger Change in Control Provisions </w:t>
      </w:r>
      <w:r>
        <w:rPr>
          <w:rFonts w:ascii="Arial" w:cs="Arial" w:eastAsia="Arial" w:hAnsi="Arial"/>
          <w:sz w:val="18"/>
          <w:szCs w:val="18"/>
          <w:color w:val="auto"/>
        </w:rPr>
        <w:t>- Our executive change in control policy does not have single-trigger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Repricing </w:t>
      </w:r>
      <w:r>
        <w:rPr>
          <w:rFonts w:ascii="Arial" w:cs="Arial" w:eastAsia="Arial" w:hAnsi="Arial"/>
          <w:sz w:val="18"/>
          <w:szCs w:val="18"/>
          <w:color w:val="auto"/>
        </w:rPr>
        <w:t>- Our stock incentive plans prohibit option repricing without stockholder approval.</w:t>
      </w:r>
    </w:p>
    <w:p>
      <w:pPr>
        <w:spacing w:after="0" w:line="200" w:lineRule="exact"/>
        <w:rPr>
          <w:sz w:val="20"/>
          <w:szCs w:val="20"/>
          <w:color w:val="auto"/>
        </w:rPr>
      </w:pPr>
    </w:p>
    <w:p>
      <w:pPr>
        <w:spacing w:after="0" w:line="25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 We prohibit our employees, including our executive officers and directors, from hedging or pledging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65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7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Defined Benefit Pension Plans </w:t>
      </w:r>
      <w:r>
        <w:rPr>
          <w:rFonts w:ascii="Arial" w:cs="Arial" w:eastAsia="Arial" w:hAnsi="Arial"/>
          <w:sz w:val="18"/>
          <w:szCs w:val="18"/>
          <w:color w:val="auto"/>
        </w:rPr>
        <w:t>- We do not currently offer, nor do we have plans to provide, defined benefit pension arrangements for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 We provide minimal perquisites and other personal benefits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702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Tax Reimbursements </w:t>
      </w:r>
      <w:r>
        <w:rPr>
          <w:rFonts w:ascii="Arial" w:cs="Arial" w:eastAsia="Arial" w:hAnsi="Arial"/>
          <w:sz w:val="18"/>
          <w:szCs w:val="18"/>
          <w:color w:val="auto"/>
        </w:rPr>
        <w:t>- We do not provide any tax reimbursement or gross-up payments on any severance or change in control payments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Section 280G excise taxes), perquisites or other personal benefits, other than immaterial COBRA reimbursements, standard relocation benefits and tax equalization agreements related to expatriate assignments.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0" w:right="41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2D53A6"/>
        </w:rPr>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028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Cohu is focused on making a positive contribution to society by creating products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that enable healthier lifestyles, greater longevity and a more habitable planet.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Cohu has evaluated its sustainability initiatives under a framework promulgated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by the Sustainability Accounting Standards Board (“SASB”).</w:t>
      </w:r>
    </w:p>
    <w:p>
      <w:pPr>
        <w:spacing w:after="0" w:line="200" w:lineRule="exact"/>
        <w:rPr>
          <w:sz w:val="20"/>
          <w:szCs w:val="20"/>
          <w:color w:val="auto"/>
        </w:rPr>
      </w:pP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2022 environmental, health and safety highlights include:</w:t>
      </w:r>
    </w:p>
    <w:p>
      <w:pPr>
        <w:spacing w:after="0" w:line="192" w:lineRule="exact"/>
        <w:rPr>
          <w:sz w:val="20"/>
          <w:szCs w:val="20"/>
          <w:color w:val="auto"/>
        </w:rPr>
      </w:pPr>
    </w:p>
    <w:p>
      <w:pPr>
        <w:ind w:left="660" w:hanging="328"/>
        <w:spacing w:after="0" w:line="21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Continued to increase our transparency through the publication of corporate Sustainability and Human Capital reports, and also submitted our data to CDP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published our consolidated EEO-1 report. These reports are available on our website at </w:t>
      </w:r>
      <w:r>
        <w:rPr>
          <w:rFonts w:ascii="Arial" w:cs="Arial" w:eastAsia="Arial" w:hAnsi="Arial"/>
          <w:sz w:val="18"/>
          <w:szCs w:val="18"/>
          <w:u w:val="single" w:color="auto"/>
          <w:color w:val="auto"/>
        </w:rPr>
        <w:t>https:// www.cohu.com/corporate-responsibility.</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operating sites have on-site solar power and our Kolbermoor, Germany building is certified as a “KfW Efficiency House 70” energy efficient building.</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our assisted reality customer support system, used for remote technical support and training, we avoided 486K km in employee travel.</w:t>
      </w:r>
    </w:p>
    <w:p>
      <w:pPr>
        <w:spacing w:after="0" w:line="32" w:lineRule="exact"/>
        <w:rPr>
          <w:rFonts w:ascii="Arial" w:cs="Arial" w:eastAsia="Arial" w:hAnsi="Arial"/>
          <w:sz w:val="16"/>
          <w:szCs w:val="16"/>
          <w:color w:val="auto"/>
        </w:rPr>
      </w:pPr>
    </w:p>
    <w:p>
      <w:pPr>
        <w:ind w:left="660" w:right="1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Hired a greater percentage of female employees than our current 29% representation, and 40% of U.S. employees identify as from underrepresented communities.</w:t>
      </w:r>
    </w:p>
    <w:p>
      <w:pPr>
        <w:ind w:left="660" w:right="3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Returned approximately 4.5% of profits globally to eligible non-executive employees, which driven by our strong 2022, amounted to a record $7.9 million.</w:t>
      </w:r>
    </w:p>
    <w:p>
      <w:pPr>
        <w:ind w:left="660" w:right="7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Provided more than 46,700 cumulative training hours to employees globally, investing approximately $866,000 in training, seminars and educational assistance fees.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Continued our excellent employee safety record, with a 2022 global recordable incident rate of 0.24, which is 60% below our industry benchmark.</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Energy and Waste Management</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132715</wp:posOffset>
            </wp:positionV>
            <wp:extent cx="480060" cy="462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0060" cy="4629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149860</wp:posOffset>
            </wp:positionV>
            <wp:extent cx="522605" cy="420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2605" cy="420370"/>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060"/>
        <w:spacing w:after="0"/>
        <w:rPr>
          <w:sz w:val="20"/>
          <w:szCs w:val="20"/>
          <w:color w:val="auto"/>
        </w:rPr>
      </w:pPr>
      <w:r>
        <w:rPr>
          <w:rFonts w:ascii="Arial" w:cs="Arial" w:eastAsia="Arial" w:hAnsi="Arial"/>
          <w:sz w:val="16"/>
          <w:szCs w:val="16"/>
          <w:b w:val="1"/>
          <w:bCs w:val="1"/>
          <w:color w:val="auto"/>
        </w:rPr>
        <w:t>Use of Renewable Energy</w:t>
      </w:r>
    </w:p>
    <w:p>
      <w:pPr>
        <w:spacing w:after="0" w:line="50" w:lineRule="exact"/>
        <w:rPr>
          <w:sz w:val="20"/>
          <w:szCs w:val="20"/>
          <w:color w:val="auto"/>
        </w:rPr>
      </w:pPr>
    </w:p>
    <w:p>
      <w:pPr>
        <w:jc w:val="center"/>
        <w:ind w:left="306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4"/>
          <w:szCs w:val="14"/>
          <w:b w:val="1"/>
          <w:bCs w:val="1"/>
          <w:color w:val="auto"/>
        </w:rPr>
        <w:t>(2)</w:t>
      </w:r>
      <w:r>
        <w:rPr>
          <w:rFonts w:ascii="Arial" w:cs="Arial" w:eastAsia="Arial" w:hAnsi="Arial"/>
          <w:sz w:val="18"/>
          <w:szCs w:val="18"/>
          <w:b w:val="1"/>
          <w:bCs w:val="1"/>
          <w:color w:val="auto"/>
        </w:rPr>
        <w:t xml:space="preserve">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151765</wp:posOffset>
            </wp:positionV>
            <wp:extent cx="480060"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060" cy="44577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160020</wp:posOffset>
            </wp:positionV>
            <wp:extent cx="480060" cy="419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 cy="419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240"/>
        <w:spacing w:after="0"/>
        <w:rPr>
          <w:sz w:val="20"/>
          <w:szCs w:val="20"/>
          <w:color w:val="auto"/>
        </w:rPr>
      </w:pPr>
      <w:r>
        <w:rPr>
          <w:rFonts w:ascii="Arial" w:cs="Arial" w:eastAsia="Arial" w:hAnsi="Arial"/>
          <w:sz w:val="18"/>
          <w:szCs w:val="18"/>
          <w:b w:val="1"/>
          <w:bCs w:val="1"/>
          <w:color w:val="auto"/>
        </w:rPr>
        <w:t>Scope 1/2 Emissions</w:t>
      </w:r>
    </w:p>
    <w:p>
      <w:pPr>
        <w:spacing w:after="0" w:line="27" w:lineRule="exact"/>
        <w:rPr>
          <w:sz w:val="20"/>
          <w:szCs w:val="20"/>
          <w:color w:val="auto"/>
        </w:rPr>
      </w:pPr>
    </w:p>
    <w:p>
      <w:pPr>
        <w:jc w:val="center"/>
        <w:ind w:right="3240"/>
        <w:spacing w:after="0"/>
        <w:rPr>
          <w:sz w:val="20"/>
          <w:szCs w:val="20"/>
          <w:color w:val="auto"/>
        </w:rPr>
      </w:pPr>
      <w:r>
        <w:rPr>
          <w:rFonts w:ascii="Arial" w:cs="Arial" w:eastAsia="Arial" w:hAnsi="Arial"/>
          <w:sz w:val="16"/>
          <w:szCs w:val="16"/>
          <w:b w:val="1"/>
          <w:bCs w:val="1"/>
          <w:color w:val="auto"/>
        </w:rPr>
        <w:t>10,760 Metric Tons CO2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157480</wp:posOffset>
            </wp:positionV>
            <wp:extent cx="497205" cy="462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7205" cy="46291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380" w:space="720"/>
            <w:col w:w="5100"/>
          </w:cols>
          <w:pgMar w:left="320" w:top="57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1900" w:type="dxa"/>
            <w:vAlign w:val="bottom"/>
            <w:vMerge w:val="restart"/>
          </w:tcPr>
          <w:p>
            <w:pPr>
              <w:jc w:val="center"/>
              <w:ind w:right="610"/>
              <w:spacing w:after="0"/>
              <w:rPr>
                <w:sz w:val="20"/>
                <w:szCs w:val="20"/>
                <w:color w:val="auto"/>
              </w:rPr>
            </w:pPr>
            <w:r>
              <w:rPr>
                <w:rFonts w:ascii="Arial" w:cs="Arial" w:eastAsia="Arial" w:hAnsi="Arial"/>
                <w:sz w:val="18"/>
                <w:szCs w:val="18"/>
                <w:b w:val="1"/>
                <w:bCs w:val="1"/>
                <w:color w:val="auto"/>
                <w:w w:val="87"/>
              </w:rPr>
              <w:t>Waste Recycled</w:t>
            </w:r>
          </w:p>
        </w:tc>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0"/>
              </w:rPr>
              <w:t>Hazardous Waste</w:t>
            </w:r>
          </w:p>
        </w:tc>
        <w:tc>
          <w:tcPr>
            <w:tcW w:w="202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90"/>
              </w:rPr>
              <w:t>Hazardous Waste</w:t>
            </w: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4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All Disposed of in Accordance With</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00" w:type="dxa"/>
            <w:vAlign w:val="bottom"/>
            <w:vMerge w:val="restart"/>
          </w:tcPr>
          <w:p>
            <w:pPr>
              <w:jc w:val="center"/>
              <w:ind w:right="610"/>
              <w:spacing w:after="0"/>
              <w:rPr>
                <w:sz w:val="20"/>
                <w:szCs w:val="20"/>
                <w:color w:val="auto"/>
              </w:rPr>
            </w:pPr>
            <w:r>
              <w:rPr>
                <w:rFonts w:ascii="Arial" w:cs="Arial" w:eastAsia="Arial" w:hAnsi="Arial"/>
                <w:sz w:val="18"/>
                <w:szCs w:val="18"/>
                <w:b w:val="1"/>
                <w:bCs w:val="1"/>
                <w:color w:val="auto"/>
                <w:w w:val="97"/>
              </w:rPr>
              <w:t>+19% YoY</w:t>
            </w:r>
          </w:p>
        </w:tc>
        <w:tc>
          <w:tcPr>
            <w:tcW w:w="4840" w:type="dxa"/>
            <w:vAlign w:val="bottom"/>
            <w:vMerge w:val="continue"/>
          </w:tcPr>
          <w:p>
            <w:pPr>
              <w:spacing w:after="0"/>
              <w:rPr>
                <w:sz w:val="9"/>
                <w:szCs w:val="9"/>
                <w:color w:val="auto"/>
              </w:rPr>
            </w:pPr>
          </w:p>
        </w:tc>
        <w:tc>
          <w:tcPr>
            <w:tcW w:w="202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88"/>
              </w:rPr>
              <w:t>No Spills</w:t>
            </w:r>
          </w:p>
        </w:tc>
        <w:tc>
          <w:tcPr>
            <w:tcW w:w="0" w:type="dxa"/>
            <w:vAlign w:val="bottom"/>
          </w:tcPr>
          <w:p>
            <w:pPr>
              <w:spacing w:after="0"/>
              <w:rPr>
                <w:sz w:val="1"/>
                <w:szCs w:val="1"/>
                <w:color w:val="auto"/>
              </w:rPr>
            </w:pPr>
          </w:p>
        </w:tc>
      </w:tr>
      <w:tr>
        <w:trPr>
          <w:trHeight w:val="126"/>
        </w:trPr>
        <w:tc>
          <w:tcPr>
            <w:tcW w:w="1900" w:type="dxa"/>
            <w:vAlign w:val="bottom"/>
            <w:vMerge w:val="continue"/>
          </w:tcPr>
          <w:p>
            <w:pPr>
              <w:spacing w:after="0"/>
              <w:rPr>
                <w:sz w:val="10"/>
                <w:szCs w:val="10"/>
                <w:color w:val="auto"/>
              </w:rPr>
            </w:pPr>
          </w:p>
        </w:tc>
        <w:tc>
          <w:tcPr>
            <w:tcW w:w="4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 xml:space="preserve">Local Laws and Regulations </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39% Recycled</w:t>
            </w: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484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CDP, formerly the Carbon Disclosure Project, is a third-party global disclosure system for environmental reporting.</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percentage of electricity consumed from renewable sources.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2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Sustainability Strategies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Business and Governance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Corporate responsibility is an integral part of our business strategy and operating philosophy. A firm commitment to ethical behavior is embedded in our business processes and practices. During 2022, we had: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bribery/corruption claims, including no legal proceedings or monetary losses related to bribery/corruption claims</w:t>
      </w:r>
    </w:p>
    <w:p>
      <w:pPr>
        <w:spacing w:after="0" w:line="23" w:lineRule="exact"/>
        <w:rPr>
          <w:sz w:val="20"/>
          <w:szCs w:val="20"/>
          <w:color w:val="auto"/>
        </w:rPr>
      </w:pPr>
    </w:p>
    <w:p>
      <w:pPr>
        <w:ind w:right="1620"/>
        <w:spacing w:after="0" w:line="260" w:lineRule="auto"/>
        <w:rPr>
          <w:sz w:val="20"/>
          <w:szCs w:val="20"/>
          <w:color w:val="auto"/>
        </w:rPr>
      </w:pPr>
      <w:r>
        <w:rPr>
          <w:rFonts w:ascii="Arial" w:cs="Arial" w:eastAsia="Arial" w:hAnsi="Arial"/>
          <w:sz w:val="18"/>
          <w:szCs w:val="18"/>
          <w:color w:val="auto"/>
        </w:rPr>
        <w:t>●No anti-competitive behavior claims, including no legal proceedings or monetary losses related to anti-competitive behavior claims ●No direct monetary contribution to political campaigns or lobbying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25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2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Cohu is committed to diversity, equity, inclusion, and full compliance with all applicable laws and regulations governing employment. We endeavor to create a culture where everyone feels welcomed, valued and respected. 40% of our U.S. employees identify as from underrepresented communities. Globally, 29% of our employees are female. In 2022, 33% of our new hires were female and 53% of our U.S. new hires identify as from underrepresented communities. At year-end 2022, Cohu had two female members on its Board of Directors (25% of the Board) and two of eight members identify as from underrepresented communities (25% of the Board).</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support the development of our workforce, we provided more than 46,700 cumulative training hours to employees globally, investing approximately $866,000 in training, seminars and educational assistance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Responsible Supply Chain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2022 Energy and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1055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0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 of electrical energy usage was from renewable energy sources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Scope 1/2 Emissions were 10,760 Metric Tons CO2-e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Non-hazardous waste recycled +19% YoY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hazardous waste disposed of in accordance with local laws and regulations – 39% recycled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hazardous waste spills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Invested in two LED lighting conversion projects increasing the number of operating sites that utilize approximately 100% LED lighting to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Protecting and Improving our Planet</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partner with our employees to encourage consideration of the health of our Earth. We promote recycling, the use of reusable water bottles, and a bike-to-work program. We have installed energy saving technology for lighting and heating, source green electricity and self-produce energy by photovoltaic systems at certain locations. We are ISO 14001-certified at our facility in Kolbermoor, Germany.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Energy Renewable and Energy Efficient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02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Giving Back to our Communities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Cohu’s employees, all over the world, take great pride in the volunteer work they do with local charities, schools, and other non-profit organizations. We support and partner with our employees participating in philanthropy including charitable activities, educational and financial support, and blood donation drives.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Enabling Life-Saving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977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Cohu is proud to support the manufacture and testing of our customers’ semiconductor components and technologies used across many industries, including healthcare. Our test handlers, test interface solutions and semiconductor tester systems are utilized by our customers in the manufacturing of semiconductors used in life-saving medical devices and applications: patient monitors, ventilators, IR thermometers, digital x-rays, rapid sepsis testing, biometers to measure contact-less temperature.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17" w:name="page18"/>
    <w:bookmarkEnd w:id="17"/>
    <w:p>
      <w:pPr>
        <w:ind w:left="340"/>
        <w:spacing w:after="0"/>
        <w:rPr>
          <w:sz w:val="20"/>
          <w:szCs w:val="20"/>
          <w:color w:val="auto"/>
        </w:rPr>
      </w:pPr>
      <w:r>
        <w:rPr>
          <w:rFonts w:ascii="Arial" w:cs="Arial" w:eastAsia="Arial" w:hAnsi="Arial"/>
          <w:sz w:val="32"/>
          <w:szCs w:val="32"/>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Security Ownership of Certain Beneficial Owners and Management</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following table sets forth certain information regarding beneficial ownership of Cohu’s common stock as of March 16, 2023, by (i) each stockholder who has reported or is known by Cohu to have beneficial ownership of more than 5% of our common stock; (ii) each director of Cohu; (iii) each NEO included in the “2022 Summary Compensation Table”; and (iv) all directors and named executive officers as a group. Unless otherwise noted below, the address of each person listed on the table is c/o Cohu, Inc., 12367 Crosthwaite Circle, Poway, California 92064-6817. Beneficial ownership is determined in accordance with the rules of the SEC and includes voting or investment power with respect to the securities. We deem shares of common stock that may be acquired by an individual or group within 60 days of March 16, 2023,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47,228,231 shares of common stock outstanding on March 16, 2023.</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720" w:type="dxa"/>
            <w:vAlign w:val="bottom"/>
            <w:tcBorders>
              <w:left w:val="single" w:sz="8" w:color="2D53A6"/>
            </w:tcBorders>
            <w:shd w:val="clear" w:color="auto" w:fill="2D53A6"/>
          </w:tcPr>
          <w:p>
            <w:pPr>
              <w:spacing w:after="0"/>
              <w:rPr>
                <w:sz w:val="18"/>
                <w:szCs w:val="18"/>
                <w:color w:val="auto"/>
              </w:rPr>
            </w:pPr>
          </w:p>
        </w:tc>
        <w:tc>
          <w:tcPr>
            <w:tcW w:w="40" w:type="dxa"/>
            <w:vAlign w:val="bottom"/>
            <w:tcBorders>
              <w:right w:val="single" w:sz="8" w:color="2D53A6"/>
            </w:tcBorders>
            <w:shd w:val="clear" w:color="auto" w:fill="2D53A6"/>
          </w:tcPr>
          <w:p>
            <w:pPr>
              <w:spacing w:after="0"/>
              <w:rPr>
                <w:sz w:val="18"/>
                <w:szCs w:val="18"/>
                <w:color w:val="auto"/>
              </w:rPr>
            </w:pP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Beneficially</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Common</w:t>
            </w:r>
          </w:p>
        </w:tc>
        <w:tc>
          <w:tcPr>
            <w:tcW w:w="162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vMerge w:val="restart"/>
            <w:shd w:val="clear" w:color="auto" w:fill="2D53A6"/>
          </w:tcPr>
          <w:p>
            <w:pPr>
              <w:jc w:val="right"/>
              <w:ind w:right="310"/>
              <w:spacing w:after="0"/>
              <w:rPr>
                <w:sz w:val="20"/>
                <w:szCs w:val="20"/>
                <w:color w:val="auto"/>
              </w:rPr>
            </w:pPr>
            <w:r>
              <w:rPr>
                <w:rFonts w:ascii="Arial" w:cs="Arial" w:eastAsia="Arial" w:hAnsi="Arial"/>
                <w:sz w:val="18"/>
                <w:szCs w:val="18"/>
                <w:b w:val="1"/>
                <w:bCs w:val="1"/>
                <w:color w:val="FFFFFF"/>
              </w:rPr>
              <w:t>Percent of</w:t>
            </w:r>
          </w:p>
        </w:tc>
        <w:tc>
          <w:tcPr>
            <w:tcW w:w="0" w:type="dxa"/>
            <w:vAlign w:val="bottom"/>
          </w:tcPr>
          <w:p>
            <w:pPr>
              <w:spacing w:after="0"/>
              <w:rPr>
                <w:sz w:val="1"/>
                <w:szCs w:val="1"/>
                <w:color w:val="auto"/>
              </w:rPr>
            </w:pPr>
          </w:p>
        </w:tc>
      </w:tr>
      <w:tr>
        <w:trPr>
          <w:trHeight w:val="108"/>
        </w:trPr>
        <w:tc>
          <w:tcPr>
            <w:tcW w:w="4720" w:type="dxa"/>
            <w:vAlign w:val="bottom"/>
            <w:tcBorders>
              <w:left w:val="single" w:sz="8" w:color="2D53A6"/>
            </w:tcBorders>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Name and address of beneficial owner</w:t>
            </w:r>
          </w:p>
        </w:tc>
        <w:tc>
          <w:tcPr>
            <w:tcW w:w="4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owned</w:t>
            </w:r>
          </w:p>
        </w:tc>
        <w:tc>
          <w:tcPr>
            <w:tcW w:w="16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4"/>
              </w:rPr>
              <w:t>stock</w:t>
            </w:r>
          </w:p>
        </w:tc>
        <w:tc>
          <w:tcPr>
            <w:tcW w:w="1620" w:type="dxa"/>
            <w:vAlign w:val="bottom"/>
            <w:tcBorders>
              <w:right w:val="single" w:sz="8" w:color="2D53A6"/>
            </w:tcBorders>
            <w:vMerge w:val="restart"/>
            <w:shd w:val="clear" w:color="auto" w:fill="2D53A6"/>
          </w:tcPr>
          <w:p>
            <w:pPr>
              <w:jc w:val="right"/>
              <w:ind w:right="550"/>
              <w:spacing w:after="0"/>
              <w:rPr>
                <w:sz w:val="20"/>
                <w:szCs w:val="20"/>
                <w:color w:val="auto"/>
              </w:rPr>
            </w:pPr>
            <w:r>
              <w:rPr>
                <w:rFonts w:ascii="Arial" w:cs="Arial" w:eastAsia="Arial" w:hAnsi="Arial"/>
                <w:sz w:val="18"/>
                <w:szCs w:val="18"/>
                <w:b w:val="1"/>
                <w:bCs w:val="1"/>
                <w:color w:val="FFFFFF"/>
              </w:rPr>
              <w:t>Total</w:t>
            </w:r>
          </w:p>
        </w:tc>
        <w:tc>
          <w:tcPr>
            <w:tcW w:w="156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20" w:type="dxa"/>
            <w:vAlign w:val="bottom"/>
            <w:tcBorders>
              <w:left w:val="single" w:sz="8" w:color="2D53A6"/>
            </w:tcBorders>
            <w:vMerge w:val="continue"/>
            <w:shd w:val="clear" w:color="auto" w:fill="2D53A6"/>
          </w:tcPr>
          <w:p>
            <w:pPr>
              <w:spacing w:after="0"/>
              <w:rPr>
                <w:sz w:val="9"/>
                <w:szCs w:val="9"/>
                <w:color w:val="auto"/>
              </w:rPr>
            </w:pPr>
          </w:p>
        </w:tc>
        <w:tc>
          <w:tcPr>
            <w:tcW w:w="40" w:type="dxa"/>
            <w:vAlign w:val="bottom"/>
            <w:tcBorders>
              <w:right w:val="single" w:sz="8" w:color="2D53A6"/>
            </w:tcBorders>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680" w:type="dxa"/>
            <w:vAlign w:val="bottom"/>
            <w:tcBorders>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560" w:type="dxa"/>
            <w:vAlign w:val="bottom"/>
            <w:tcBorders>
              <w:right w:val="single" w:sz="8" w:color="2D53A6"/>
            </w:tcBorders>
            <w:vMerge w:val="restart"/>
            <w:shd w:val="clear" w:color="auto" w:fill="2D53A6"/>
          </w:tcPr>
          <w:p>
            <w:pPr>
              <w:jc w:val="right"/>
              <w:ind w:right="410"/>
              <w:spacing w:after="0" w:line="288" w:lineRule="exact"/>
              <w:rPr>
                <w:sz w:val="20"/>
                <w:szCs w:val="20"/>
                <w:color w:val="auto"/>
              </w:rPr>
            </w:pPr>
            <w:r>
              <w:rPr>
                <w:rFonts w:ascii="Arial" w:cs="Arial" w:eastAsia="Arial" w:hAnsi="Arial"/>
                <w:sz w:val="18"/>
                <w:szCs w:val="18"/>
                <w:b w:val="1"/>
                <w:bCs w:val="1"/>
                <w:color w:val="FFFFFF"/>
              </w:rPr>
              <w:t xml:space="preserve">class </w:t>
            </w:r>
            <w:r>
              <w:rPr>
                <w:rFonts w:ascii="Arial" w:cs="Arial" w:eastAsia="Arial" w:hAnsi="Arial"/>
                <w:sz w:val="29"/>
                <w:szCs w:val="29"/>
                <w:b w:val="1"/>
                <w:bCs w:val="1"/>
                <w:color w:val="FFFFFF"/>
                <w:vertAlign w:val="superscript"/>
              </w:rPr>
              <w:t>(2)</w:t>
            </w:r>
          </w:p>
        </w:tc>
        <w:tc>
          <w:tcPr>
            <w:tcW w:w="0" w:type="dxa"/>
            <w:vAlign w:val="bottom"/>
          </w:tcPr>
          <w:p>
            <w:pPr>
              <w:spacing w:after="0"/>
              <w:rPr>
                <w:sz w:val="1"/>
                <w:szCs w:val="1"/>
                <w:color w:val="auto"/>
              </w:rPr>
            </w:pPr>
          </w:p>
        </w:tc>
      </w:tr>
      <w:tr>
        <w:trPr>
          <w:trHeight w:val="180"/>
        </w:trPr>
        <w:tc>
          <w:tcPr>
            <w:tcW w:w="4720" w:type="dxa"/>
            <w:vAlign w:val="bottom"/>
            <w:tcBorders>
              <w:left w:val="single" w:sz="8" w:color="2D53A6"/>
            </w:tcBorders>
            <w:shd w:val="clear" w:color="auto" w:fill="2D53A6"/>
          </w:tcPr>
          <w:p>
            <w:pPr>
              <w:spacing w:after="0"/>
              <w:rPr>
                <w:sz w:val="15"/>
                <w:szCs w:val="15"/>
                <w:color w:val="auto"/>
              </w:rPr>
            </w:pPr>
          </w:p>
        </w:tc>
        <w:tc>
          <w:tcPr>
            <w:tcW w:w="40" w:type="dxa"/>
            <w:vAlign w:val="bottom"/>
            <w:tcBorders>
              <w:right w:val="single" w:sz="8" w:color="2D53A6"/>
            </w:tcBorders>
            <w:shd w:val="clear" w:color="auto" w:fill="2D53A6"/>
          </w:tcPr>
          <w:p>
            <w:pPr>
              <w:spacing w:after="0"/>
              <w:rPr>
                <w:sz w:val="15"/>
                <w:szCs w:val="15"/>
                <w:color w:val="auto"/>
              </w:rPr>
            </w:pP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common stock</w:t>
            </w:r>
          </w:p>
        </w:tc>
        <w:tc>
          <w:tcPr>
            <w:tcW w:w="1680" w:type="dxa"/>
            <w:vAlign w:val="bottom"/>
            <w:tcBorders>
              <w:right w:val="single" w:sz="8" w:color="2D53A6"/>
            </w:tcBorders>
            <w:vMerge w:val="restart"/>
            <w:shd w:val="clear" w:color="auto" w:fill="2D53A6"/>
          </w:tcPr>
          <w:p>
            <w:pPr>
              <w:jc w:val="center"/>
              <w:spacing w:after="0" w:line="231" w:lineRule="exact"/>
              <w:rPr>
                <w:sz w:val="20"/>
                <w:szCs w:val="20"/>
                <w:color w:val="auto"/>
              </w:rPr>
            </w:pPr>
            <w:r>
              <w:rPr>
                <w:rFonts w:ascii="Arial" w:cs="Arial" w:eastAsia="Arial" w:hAnsi="Arial"/>
                <w:sz w:val="16"/>
                <w:szCs w:val="16"/>
                <w:b w:val="1"/>
                <w:bCs w:val="1"/>
                <w:color w:val="FFFFFF"/>
                <w:w w:val="94"/>
              </w:rPr>
              <w:t xml:space="preserve">equivalents </w:t>
            </w:r>
            <w:r>
              <w:rPr>
                <w:rFonts w:ascii="Arial" w:cs="Arial" w:eastAsia="Arial" w:hAnsi="Arial"/>
                <w:sz w:val="26"/>
                <w:szCs w:val="26"/>
                <w:b w:val="1"/>
                <w:bCs w:val="1"/>
                <w:color w:val="FFFFFF"/>
                <w:w w:val="94"/>
                <w:vertAlign w:val="superscript"/>
              </w:rPr>
              <w:t>(1)</w:t>
            </w:r>
          </w:p>
        </w:tc>
        <w:tc>
          <w:tcPr>
            <w:tcW w:w="1620" w:type="dxa"/>
            <w:vAlign w:val="bottom"/>
            <w:tcBorders>
              <w:right w:val="single" w:sz="8" w:color="2D53A6"/>
            </w:tcBorders>
            <w:shd w:val="clear" w:color="auto" w:fill="2D53A6"/>
          </w:tcPr>
          <w:p>
            <w:pPr>
              <w:spacing w:after="0"/>
              <w:rPr>
                <w:sz w:val="15"/>
                <w:szCs w:val="15"/>
                <w:color w:val="auto"/>
              </w:rPr>
            </w:pPr>
          </w:p>
        </w:tc>
        <w:tc>
          <w:tcPr>
            <w:tcW w:w="1560" w:type="dxa"/>
            <w:vAlign w:val="bottom"/>
            <w:tcBorders>
              <w:right w:val="single" w:sz="8" w:color="2D53A6"/>
            </w:tcBorders>
            <w:vMerge w:val="continue"/>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20" w:type="dxa"/>
            <w:vAlign w:val="bottom"/>
            <w:tcBorders>
              <w:left w:val="single" w:sz="8" w:color="2D53A6"/>
            </w:tcBorders>
            <w:shd w:val="clear" w:color="auto" w:fill="2D53A6"/>
          </w:tcPr>
          <w:p>
            <w:pPr>
              <w:spacing w:after="0"/>
              <w:rPr>
                <w:sz w:val="5"/>
                <w:szCs w:val="5"/>
                <w:color w:val="auto"/>
              </w:rPr>
            </w:pPr>
          </w:p>
        </w:tc>
        <w:tc>
          <w:tcPr>
            <w:tcW w:w="40" w:type="dxa"/>
            <w:vAlign w:val="bottom"/>
            <w:tcBorders>
              <w:bottom w:val="single" w:sz="8" w:color="2D53A6"/>
              <w:right w:val="single" w:sz="8" w:color="2D53A6"/>
            </w:tcBorders>
            <w:shd w:val="clear" w:color="auto" w:fill="2D53A6"/>
          </w:tcPr>
          <w:p>
            <w:pPr>
              <w:spacing w:after="0"/>
              <w:rPr>
                <w:sz w:val="5"/>
                <w:szCs w:val="5"/>
                <w:color w:val="auto"/>
              </w:rPr>
            </w:pPr>
          </w:p>
        </w:tc>
        <w:tc>
          <w:tcPr>
            <w:tcW w:w="1620" w:type="dxa"/>
            <w:vAlign w:val="bottom"/>
            <w:tcBorders>
              <w:bottom w:val="single" w:sz="8" w:color="2D53A6"/>
              <w:right w:val="single" w:sz="8" w:color="2D53A6"/>
            </w:tcBorders>
            <w:vMerge w:val="continue"/>
            <w:shd w:val="clear" w:color="auto" w:fill="2D53A6"/>
          </w:tcPr>
          <w:p>
            <w:pPr>
              <w:spacing w:after="0"/>
              <w:rPr>
                <w:sz w:val="5"/>
                <w:szCs w:val="5"/>
                <w:color w:val="auto"/>
              </w:rPr>
            </w:pPr>
          </w:p>
        </w:tc>
        <w:tc>
          <w:tcPr>
            <w:tcW w:w="1680" w:type="dxa"/>
            <w:vAlign w:val="bottom"/>
            <w:tcBorders>
              <w:right w:val="single" w:sz="8" w:color="2D53A6"/>
            </w:tcBorders>
            <w:vMerge w:val="continue"/>
            <w:shd w:val="clear" w:color="auto" w:fill="2D53A6"/>
          </w:tcPr>
          <w:p>
            <w:pPr>
              <w:spacing w:after="0"/>
              <w:rPr>
                <w:sz w:val="5"/>
                <w:szCs w:val="5"/>
                <w:color w:val="auto"/>
              </w:rPr>
            </w:pPr>
          </w:p>
        </w:tc>
        <w:tc>
          <w:tcPr>
            <w:tcW w:w="1620" w:type="dxa"/>
            <w:vAlign w:val="bottom"/>
            <w:tcBorders>
              <w:bottom w:val="single" w:sz="8" w:color="2D53A6"/>
              <w:right w:val="single" w:sz="8" w:color="2D53A6"/>
            </w:tcBorders>
            <w:shd w:val="clear" w:color="auto" w:fill="2D53A6"/>
          </w:tcPr>
          <w:p>
            <w:pPr>
              <w:spacing w:after="0"/>
              <w:rPr>
                <w:sz w:val="5"/>
                <w:szCs w:val="5"/>
                <w:color w:val="auto"/>
              </w:rPr>
            </w:pPr>
          </w:p>
        </w:tc>
        <w:tc>
          <w:tcPr>
            <w:tcW w:w="1560" w:type="dxa"/>
            <w:vAlign w:val="bottom"/>
            <w:tcBorders>
              <w:right w:val="single" w:sz="8" w:color="2D53A6"/>
            </w:tcBorders>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720" w:type="dxa"/>
            <w:vAlign w:val="bottom"/>
            <w:tcBorders>
              <w:left w:val="single" w:sz="8" w:color="2D53A6"/>
            </w:tcBorders>
          </w:tcPr>
          <w:p>
            <w:pPr>
              <w:ind w:left="20"/>
              <w:spacing w:after="0" w:line="182" w:lineRule="exact"/>
              <w:rPr>
                <w:sz w:val="20"/>
                <w:szCs w:val="20"/>
                <w:color w:val="auto"/>
              </w:rPr>
            </w:pPr>
            <w:r>
              <w:rPr>
                <w:rFonts w:ascii="Arial" w:cs="Arial" w:eastAsia="Arial" w:hAnsi="Arial"/>
                <w:sz w:val="14"/>
                <w:szCs w:val="14"/>
                <w:color w:val="auto"/>
              </w:rPr>
              <w:t xml:space="preserve">BlackRock, Inc. </w:t>
            </w:r>
            <w:r>
              <w:rPr>
                <w:rFonts w:ascii="Arial" w:cs="Arial" w:eastAsia="Arial" w:hAnsi="Arial"/>
                <w:sz w:val="21"/>
                <w:szCs w:val="21"/>
                <w:color w:val="auto"/>
                <w:vertAlign w:val="superscript"/>
              </w:rPr>
              <w:t>(3)</w:t>
            </w:r>
          </w:p>
        </w:tc>
        <w:tc>
          <w:tcPr>
            <w:tcW w:w="40" w:type="dxa"/>
            <w:vAlign w:val="bottom"/>
            <w:tcBorders>
              <w:right w:val="single" w:sz="8" w:color="2D53A6"/>
            </w:tcBorders>
          </w:tcPr>
          <w:p>
            <w:pPr>
              <w:spacing w:after="0"/>
              <w:rPr>
                <w:sz w:val="15"/>
                <w:szCs w:val="15"/>
                <w:color w:val="auto"/>
              </w:rPr>
            </w:pPr>
          </w:p>
        </w:tc>
        <w:tc>
          <w:tcPr>
            <w:tcW w:w="1620" w:type="dxa"/>
            <w:vAlign w:val="bottom"/>
            <w:tcBorders>
              <w:right w:val="single" w:sz="8" w:color="2D53A6"/>
            </w:tcBorders>
          </w:tcPr>
          <w:p>
            <w:pPr>
              <w:jc w:val="right"/>
              <w:spacing w:after="0" w:line="182" w:lineRule="exact"/>
              <w:rPr>
                <w:sz w:val="20"/>
                <w:szCs w:val="20"/>
                <w:color w:val="auto"/>
              </w:rPr>
            </w:pPr>
            <w:r>
              <w:rPr>
                <w:rFonts w:ascii="Arial" w:cs="Arial" w:eastAsia="Arial" w:hAnsi="Arial"/>
                <w:sz w:val="18"/>
                <w:szCs w:val="18"/>
                <w:color w:val="auto"/>
              </w:rPr>
              <w:t>7,555,033</w:t>
            </w:r>
          </w:p>
        </w:tc>
        <w:tc>
          <w:tcPr>
            <w:tcW w:w="1680" w:type="dxa"/>
            <w:vAlign w:val="bottom"/>
            <w:tcBorders>
              <w:right w:val="single" w:sz="8" w:color="2D53A6"/>
            </w:tcBorders>
          </w:tcPr>
          <w:p>
            <w:pPr>
              <w:jc w:val="right"/>
              <w:spacing w:after="0" w:line="182" w:lineRule="exact"/>
              <w:rPr>
                <w:sz w:val="20"/>
                <w:szCs w:val="20"/>
                <w:color w:val="auto"/>
              </w:rPr>
            </w:pPr>
            <w:r>
              <w:rPr>
                <w:rFonts w:ascii="Arial" w:cs="Arial" w:eastAsia="Arial" w:hAnsi="Arial"/>
                <w:sz w:val="18"/>
                <w:szCs w:val="18"/>
                <w:color w:val="auto"/>
              </w:rPr>
              <w:t>-</w:t>
            </w:r>
          </w:p>
        </w:tc>
        <w:tc>
          <w:tcPr>
            <w:tcW w:w="1620" w:type="dxa"/>
            <w:vAlign w:val="bottom"/>
            <w:tcBorders>
              <w:right w:val="single" w:sz="8" w:color="2D53A6"/>
            </w:tcBorders>
          </w:tcPr>
          <w:p>
            <w:pPr>
              <w:jc w:val="right"/>
              <w:spacing w:after="0" w:line="182" w:lineRule="exact"/>
              <w:rPr>
                <w:sz w:val="20"/>
                <w:szCs w:val="20"/>
                <w:color w:val="auto"/>
              </w:rPr>
            </w:pPr>
            <w:r>
              <w:rPr>
                <w:rFonts w:ascii="Arial" w:cs="Arial" w:eastAsia="Arial" w:hAnsi="Arial"/>
                <w:sz w:val="18"/>
                <w:szCs w:val="18"/>
                <w:color w:val="auto"/>
              </w:rPr>
              <w:t>7,555,033</w:t>
            </w:r>
          </w:p>
        </w:tc>
        <w:tc>
          <w:tcPr>
            <w:tcW w:w="1560" w:type="dxa"/>
            <w:vAlign w:val="bottom"/>
            <w:tcBorders>
              <w:right w:val="single" w:sz="8" w:color="2D53A6"/>
            </w:tcBorders>
          </w:tcPr>
          <w:p>
            <w:pPr>
              <w:jc w:val="right"/>
              <w:spacing w:after="0" w:line="182" w:lineRule="exact"/>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30"/>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55 East 52nd Street, New York, NY 10055</w:t>
            </w:r>
          </w:p>
        </w:tc>
        <w:tc>
          <w:tcPr>
            <w:tcW w:w="1620" w:type="dxa"/>
            <w:vAlign w:val="bottom"/>
            <w:tcBorders>
              <w:bottom w:val="single" w:sz="8" w:color="2D53A6"/>
              <w:right w:val="single" w:sz="8" w:color="2D53A6"/>
            </w:tcBorders>
          </w:tcPr>
          <w:p>
            <w:pPr>
              <w:spacing w:after="0"/>
              <w:rPr>
                <w:sz w:val="20"/>
                <w:szCs w:val="20"/>
                <w:color w:val="auto"/>
              </w:rPr>
            </w:pPr>
          </w:p>
        </w:tc>
        <w:tc>
          <w:tcPr>
            <w:tcW w:w="1680" w:type="dxa"/>
            <w:vAlign w:val="bottom"/>
            <w:tcBorders>
              <w:bottom w:val="single" w:sz="8" w:color="2D53A6"/>
              <w:right w:val="single" w:sz="8" w:color="2D53A6"/>
            </w:tcBorders>
          </w:tcPr>
          <w:p>
            <w:pPr>
              <w:spacing w:after="0"/>
              <w:rPr>
                <w:sz w:val="20"/>
                <w:szCs w:val="20"/>
                <w:color w:val="auto"/>
              </w:rPr>
            </w:pPr>
          </w:p>
        </w:tc>
        <w:tc>
          <w:tcPr>
            <w:tcW w:w="1620" w:type="dxa"/>
            <w:vAlign w:val="bottom"/>
            <w:tcBorders>
              <w:bottom w:val="single" w:sz="8" w:color="2D53A6"/>
              <w:right w:val="single" w:sz="8" w:color="2D53A6"/>
            </w:tcBorders>
          </w:tcPr>
          <w:p>
            <w:pPr>
              <w:spacing w:after="0"/>
              <w:rPr>
                <w:sz w:val="20"/>
                <w:szCs w:val="20"/>
                <w:color w:val="auto"/>
              </w:rPr>
            </w:pPr>
          </w:p>
        </w:tc>
        <w:tc>
          <w:tcPr>
            <w:tcW w:w="1560" w:type="dxa"/>
            <w:vAlign w:val="bottom"/>
            <w:tcBorders>
              <w:bottom w:val="single" w:sz="8" w:color="2D53A6"/>
              <w:right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60" w:type="dxa"/>
            <w:vAlign w:val="bottom"/>
            <w:tcBorders>
              <w:left w:val="single" w:sz="8" w:color="2D53A6"/>
              <w:right w:val="single" w:sz="8" w:color="2D53A6"/>
            </w:tcBorders>
            <w:gridSpan w:val="2"/>
            <w:shd w:val="clear" w:color="auto" w:fill="E6E6E6"/>
          </w:tcPr>
          <w:p>
            <w:pPr>
              <w:ind w:left="20"/>
              <w:spacing w:after="0" w:line="210" w:lineRule="exact"/>
              <w:rPr>
                <w:sz w:val="20"/>
                <w:szCs w:val="20"/>
                <w:color w:val="auto"/>
              </w:rPr>
            </w:pPr>
            <w:r>
              <w:rPr>
                <w:rFonts w:ascii="Arial" w:cs="Arial" w:eastAsia="Arial" w:hAnsi="Arial"/>
                <w:sz w:val="15"/>
                <w:szCs w:val="15"/>
                <w:color w:val="auto"/>
              </w:rPr>
              <w:t xml:space="preserve">Dimensional Fund Advisors LP </w:t>
            </w:r>
            <w:r>
              <w:rPr>
                <w:rFonts w:ascii="Arial" w:cs="Arial" w:eastAsia="Arial" w:hAnsi="Arial"/>
                <w:sz w:val="24"/>
                <w:szCs w:val="24"/>
                <w:color w:val="auto"/>
                <w:vertAlign w:val="superscript"/>
              </w:rPr>
              <w:t>(4)</w:t>
            </w:r>
          </w:p>
        </w:tc>
        <w:tc>
          <w:tcPr>
            <w:tcW w:w="16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2,866,000</w:t>
            </w:r>
          </w:p>
        </w:tc>
        <w:tc>
          <w:tcPr>
            <w:tcW w:w="16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2,866,000</w:t>
            </w:r>
          </w:p>
        </w:tc>
        <w:tc>
          <w:tcPr>
            <w:tcW w:w="156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6300 Bee Cave Road, Austin, TX 78746</w:t>
            </w:r>
          </w:p>
        </w:tc>
        <w:tc>
          <w:tcPr>
            <w:tcW w:w="1620" w:type="dxa"/>
            <w:vAlign w:val="bottom"/>
            <w:tcBorders>
              <w:bottom w:val="single" w:sz="8" w:color="2D53A6"/>
              <w:right w:val="single" w:sz="8" w:color="2D53A6"/>
            </w:tcBorders>
            <w:shd w:val="clear" w:color="auto" w:fill="E6E6E6"/>
          </w:tcPr>
          <w:p>
            <w:pPr>
              <w:spacing w:after="0"/>
              <w:rPr>
                <w:sz w:val="18"/>
                <w:szCs w:val="18"/>
                <w:color w:val="auto"/>
              </w:rPr>
            </w:pPr>
          </w:p>
        </w:tc>
        <w:tc>
          <w:tcPr>
            <w:tcW w:w="1680" w:type="dxa"/>
            <w:vAlign w:val="bottom"/>
            <w:tcBorders>
              <w:bottom w:val="single" w:sz="8" w:color="2D53A6"/>
              <w:right w:val="single" w:sz="8" w:color="2D53A6"/>
            </w:tcBorders>
            <w:shd w:val="clear" w:color="auto" w:fill="E6E6E6"/>
          </w:tcPr>
          <w:p>
            <w:pPr>
              <w:spacing w:after="0"/>
              <w:rPr>
                <w:sz w:val="18"/>
                <w:szCs w:val="18"/>
                <w:color w:val="auto"/>
              </w:rPr>
            </w:pPr>
          </w:p>
        </w:tc>
        <w:tc>
          <w:tcPr>
            <w:tcW w:w="1620" w:type="dxa"/>
            <w:vAlign w:val="bottom"/>
            <w:tcBorders>
              <w:bottom w:val="single" w:sz="8" w:color="2D53A6"/>
              <w:right w:val="single" w:sz="8" w:color="2D53A6"/>
            </w:tcBorders>
            <w:shd w:val="clear" w:color="auto" w:fill="E6E6E6"/>
          </w:tcPr>
          <w:p>
            <w:pPr>
              <w:spacing w:after="0"/>
              <w:rPr>
                <w:sz w:val="18"/>
                <w:szCs w:val="18"/>
                <w:color w:val="auto"/>
              </w:rPr>
            </w:pPr>
          </w:p>
        </w:tc>
        <w:tc>
          <w:tcPr>
            <w:tcW w:w="1560" w:type="dxa"/>
            <w:vAlign w:val="bottom"/>
            <w:tcBorders>
              <w:bottom w:val="single" w:sz="8" w:color="2D53A6"/>
              <w:right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60" w:type="dxa"/>
            <w:vAlign w:val="bottom"/>
            <w:tcBorders>
              <w:left w:val="single" w:sz="8" w:color="2D53A6"/>
              <w:right w:val="single" w:sz="8" w:color="2D53A6"/>
            </w:tcBorders>
            <w:gridSpan w:val="2"/>
          </w:tcPr>
          <w:p>
            <w:pPr>
              <w:ind w:left="20"/>
              <w:spacing w:after="0" w:line="195" w:lineRule="exact"/>
              <w:rPr>
                <w:sz w:val="20"/>
                <w:szCs w:val="20"/>
                <w:color w:val="auto"/>
              </w:rPr>
            </w:pPr>
            <w:r>
              <w:rPr>
                <w:rFonts w:ascii="Arial" w:cs="Arial" w:eastAsia="Arial" w:hAnsi="Arial"/>
                <w:sz w:val="14"/>
                <w:szCs w:val="14"/>
                <w:color w:val="auto"/>
              </w:rPr>
              <w:t xml:space="preserve">The Vanguard Group </w:t>
            </w:r>
            <w:r>
              <w:rPr>
                <w:rFonts w:ascii="Arial" w:cs="Arial" w:eastAsia="Arial" w:hAnsi="Arial"/>
                <w:sz w:val="22"/>
                <w:szCs w:val="22"/>
                <w:color w:val="auto"/>
                <w:vertAlign w:val="superscript"/>
              </w:rPr>
              <w:t>(5)</w:t>
            </w:r>
          </w:p>
        </w:tc>
        <w:tc>
          <w:tcPr>
            <w:tcW w:w="16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3,544,328</w:t>
            </w:r>
          </w:p>
        </w:tc>
        <w:tc>
          <w:tcPr>
            <w:tcW w:w="16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6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3,544,328</w:t>
            </w:r>
          </w:p>
        </w:tc>
        <w:tc>
          <w:tcPr>
            <w:tcW w:w="156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100 Vanguard Blvd. Malvern, PA 19355</w:t>
            </w:r>
          </w:p>
        </w:tc>
        <w:tc>
          <w:tcPr>
            <w:tcW w:w="1620" w:type="dxa"/>
            <w:vAlign w:val="bottom"/>
            <w:tcBorders>
              <w:bottom w:val="single" w:sz="8" w:color="2D53A6"/>
              <w:right w:val="single" w:sz="8" w:color="2D53A6"/>
            </w:tcBorders>
          </w:tcPr>
          <w:p>
            <w:pPr>
              <w:spacing w:after="0"/>
              <w:rPr>
                <w:sz w:val="20"/>
                <w:szCs w:val="20"/>
                <w:color w:val="auto"/>
              </w:rPr>
            </w:pPr>
          </w:p>
        </w:tc>
        <w:tc>
          <w:tcPr>
            <w:tcW w:w="1680" w:type="dxa"/>
            <w:vAlign w:val="bottom"/>
            <w:tcBorders>
              <w:bottom w:val="single" w:sz="8" w:color="2D53A6"/>
              <w:right w:val="single" w:sz="8" w:color="2D53A6"/>
            </w:tcBorders>
          </w:tcPr>
          <w:p>
            <w:pPr>
              <w:spacing w:after="0"/>
              <w:rPr>
                <w:sz w:val="20"/>
                <w:szCs w:val="20"/>
                <w:color w:val="auto"/>
              </w:rPr>
            </w:pPr>
          </w:p>
        </w:tc>
        <w:tc>
          <w:tcPr>
            <w:tcW w:w="1620" w:type="dxa"/>
            <w:vAlign w:val="bottom"/>
            <w:tcBorders>
              <w:bottom w:val="single" w:sz="8" w:color="2D53A6"/>
              <w:right w:val="single" w:sz="8" w:color="2D53A6"/>
            </w:tcBorders>
          </w:tcPr>
          <w:p>
            <w:pPr>
              <w:spacing w:after="0"/>
              <w:rPr>
                <w:sz w:val="20"/>
                <w:szCs w:val="20"/>
                <w:color w:val="auto"/>
              </w:rPr>
            </w:pPr>
          </w:p>
        </w:tc>
        <w:tc>
          <w:tcPr>
            <w:tcW w:w="1560" w:type="dxa"/>
            <w:vAlign w:val="bottom"/>
            <w:tcBorders>
              <w:bottom w:val="single" w:sz="8" w:color="2D53A6"/>
              <w:right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right w:val="single" w:sz="8" w:color="2D53A6"/>
            </w:tcBorders>
            <w:gridSpan w:val="2"/>
            <w:shd w:val="clear" w:color="auto" w:fill="E6E6E6"/>
          </w:tcPr>
          <w:p>
            <w:pPr>
              <w:ind w:left="20"/>
              <w:spacing w:after="0" w:line="210" w:lineRule="exact"/>
              <w:rPr>
                <w:sz w:val="20"/>
                <w:szCs w:val="20"/>
                <w:color w:val="auto"/>
              </w:rPr>
            </w:pPr>
            <w:r>
              <w:rPr>
                <w:rFonts w:ascii="Arial" w:cs="Arial" w:eastAsia="Arial" w:hAnsi="Arial"/>
                <w:sz w:val="15"/>
                <w:szCs w:val="15"/>
                <w:color w:val="auto"/>
              </w:rPr>
              <w:t xml:space="preserve">Victory Capital Management Inc. </w:t>
            </w:r>
            <w:r>
              <w:rPr>
                <w:rFonts w:ascii="Arial" w:cs="Arial" w:eastAsia="Arial" w:hAnsi="Arial"/>
                <w:sz w:val="24"/>
                <w:szCs w:val="24"/>
                <w:color w:val="auto"/>
                <w:vertAlign w:val="superscript"/>
              </w:rPr>
              <w:t>(6)</w:t>
            </w:r>
          </w:p>
        </w:tc>
        <w:tc>
          <w:tcPr>
            <w:tcW w:w="16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3,034,729</w:t>
            </w:r>
          </w:p>
        </w:tc>
        <w:tc>
          <w:tcPr>
            <w:tcW w:w="16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3,034,729</w:t>
            </w:r>
          </w:p>
        </w:tc>
        <w:tc>
          <w:tcPr>
            <w:tcW w:w="156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4900 Tiedeman Rd. 4th Floor Brooklyn, OH 44144</w:t>
            </w:r>
          </w:p>
        </w:tc>
        <w:tc>
          <w:tcPr>
            <w:tcW w:w="1620" w:type="dxa"/>
            <w:vAlign w:val="bottom"/>
            <w:tcBorders>
              <w:bottom w:val="single" w:sz="8" w:color="2D53A6"/>
              <w:right w:val="single" w:sz="8" w:color="2D53A6"/>
            </w:tcBorders>
            <w:shd w:val="clear" w:color="auto" w:fill="E6E6E6"/>
          </w:tcPr>
          <w:p>
            <w:pPr>
              <w:spacing w:after="0"/>
              <w:rPr>
                <w:sz w:val="18"/>
                <w:szCs w:val="18"/>
                <w:color w:val="auto"/>
              </w:rPr>
            </w:pPr>
          </w:p>
        </w:tc>
        <w:tc>
          <w:tcPr>
            <w:tcW w:w="1680" w:type="dxa"/>
            <w:vAlign w:val="bottom"/>
            <w:tcBorders>
              <w:bottom w:val="single" w:sz="8" w:color="2D53A6"/>
              <w:right w:val="single" w:sz="8" w:color="2D53A6"/>
            </w:tcBorders>
            <w:shd w:val="clear" w:color="auto" w:fill="E6E6E6"/>
          </w:tcPr>
          <w:p>
            <w:pPr>
              <w:spacing w:after="0"/>
              <w:rPr>
                <w:sz w:val="18"/>
                <w:szCs w:val="18"/>
                <w:color w:val="auto"/>
              </w:rPr>
            </w:pPr>
          </w:p>
        </w:tc>
        <w:tc>
          <w:tcPr>
            <w:tcW w:w="1620" w:type="dxa"/>
            <w:vAlign w:val="bottom"/>
            <w:tcBorders>
              <w:bottom w:val="single" w:sz="8" w:color="2D53A6"/>
              <w:right w:val="single" w:sz="8" w:color="2D53A6"/>
            </w:tcBorders>
            <w:shd w:val="clear" w:color="auto" w:fill="E6E6E6"/>
          </w:tcPr>
          <w:p>
            <w:pPr>
              <w:spacing w:after="0"/>
              <w:rPr>
                <w:sz w:val="18"/>
                <w:szCs w:val="18"/>
                <w:color w:val="auto"/>
              </w:rPr>
            </w:pPr>
          </w:p>
        </w:tc>
        <w:tc>
          <w:tcPr>
            <w:tcW w:w="1560" w:type="dxa"/>
            <w:vAlign w:val="bottom"/>
            <w:tcBorders>
              <w:bottom w:val="single" w:sz="8" w:color="2D53A6"/>
              <w:right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William E. Bendush</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33,816</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5,091</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38,907</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line="210" w:lineRule="exact"/>
              <w:rPr>
                <w:sz w:val="20"/>
                <w:szCs w:val="20"/>
                <w:color w:val="auto"/>
              </w:rPr>
            </w:pPr>
            <w:r>
              <w:rPr>
                <w:rFonts w:ascii="Arial" w:cs="Arial" w:eastAsia="Arial" w:hAnsi="Arial"/>
                <w:sz w:val="15"/>
                <w:szCs w:val="15"/>
                <w:color w:val="auto"/>
              </w:rPr>
              <w:t xml:space="preserve">Steven J. Bilodeau </w:t>
            </w:r>
            <w:r>
              <w:rPr>
                <w:rFonts w:ascii="Arial" w:cs="Arial" w:eastAsia="Arial" w:hAnsi="Arial"/>
                <w:sz w:val="24"/>
                <w:szCs w:val="24"/>
                <w:color w:val="auto"/>
                <w:vertAlign w:val="superscript"/>
              </w:rPr>
              <w:t>(7)</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52,799</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5,091</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57,890</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Christopher G. Bohrson</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33,515</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31,868</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65,383</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line="210" w:lineRule="exact"/>
              <w:rPr>
                <w:sz w:val="20"/>
                <w:szCs w:val="20"/>
                <w:color w:val="auto"/>
              </w:rPr>
            </w:pPr>
            <w:r>
              <w:rPr>
                <w:rFonts w:ascii="Arial" w:cs="Arial" w:eastAsia="Arial" w:hAnsi="Arial"/>
                <w:sz w:val="15"/>
                <w:szCs w:val="15"/>
                <w:color w:val="auto"/>
              </w:rPr>
              <w:t xml:space="preserve">Andrew M. Caggia </w:t>
            </w:r>
            <w:r>
              <w:rPr>
                <w:rFonts w:ascii="Arial" w:cs="Arial" w:eastAsia="Arial" w:hAnsi="Arial"/>
                <w:sz w:val="24"/>
                <w:szCs w:val="24"/>
                <w:color w:val="auto"/>
                <w:vertAlign w:val="superscript"/>
              </w:rPr>
              <w:t>(8)</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42,630</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5,091</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47,721</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James A. Donahue</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371,057</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5,091</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376,148</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Yon Y. Jorden</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4,345</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6,436</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10,781</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Jeffrey D. Jones</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155,716</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49,993</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205,709</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Thomas D. Kampfer</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11,252</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23,145</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34,397</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Ian P. Lawee</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15,889</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18,768</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34,657</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Andreas W. Mattes</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tcPr>
          <w:p>
            <w:pPr>
              <w:ind w:left="20"/>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289,350</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149,290</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438,640</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left w:val="single" w:sz="8" w:color="2D53A6"/>
              <w:bottom w:val="single" w:sz="8" w:color="2D53A6"/>
              <w:right w:val="single" w:sz="8" w:color="2D53A6"/>
            </w:tcBorders>
            <w:gridSpan w:val="2"/>
            <w:shd w:val="clear" w:color="auto" w:fill="E6E6E6"/>
          </w:tcPr>
          <w:p>
            <w:pPr>
              <w:ind w:left="20"/>
              <w:spacing w:after="0" w:line="210" w:lineRule="exact"/>
              <w:rPr>
                <w:sz w:val="20"/>
                <w:szCs w:val="20"/>
                <w:color w:val="auto"/>
              </w:rPr>
            </w:pPr>
            <w:r>
              <w:rPr>
                <w:rFonts w:ascii="Arial" w:cs="Arial" w:eastAsia="Arial" w:hAnsi="Arial"/>
                <w:sz w:val="15"/>
                <w:szCs w:val="15"/>
                <w:color w:val="auto"/>
              </w:rPr>
              <w:t xml:space="preserve">Nina L. Richardson </w:t>
            </w:r>
            <w:r>
              <w:rPr>
                <w:rFonts w:ascii="Arial" w:cs="Arial" w:eastAsia="Arial" w:hAnsi="Arial"/>
                <w:sz w:val="24"/>
                <w:szCs w:val="24"/>
                <w:color w:val="auto"/>
                <w:vertAlign w:val="superscript"/>
              </w:rPr>
              <w:t>(9)</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20,992</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5,091</w:t>
            </w:r>
          </w:p>
        </w:tc>
        <w:tc>
          <w:tcPr>
            <w:tcW w:w="16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26,083</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760" w:type="dxa"/>
            <w:vAlign w:val="bottom"/>
            <w:tcBorders>
              <w:left w:val="single" w:sz="8" w:color="2D53A6"/>
              <w:right w:val="single" w:sz="8" w:color="2D53A6"/>
            </w:tcBorders>
            <w:gridSpan w:val="2"/>
          </w:tcPr>
          <w:p>
            <w:pPr>
              <w:ind w:left="20"/>
              <w:spacing w:after="0" w:line="195" w:lineRule="exact"/>
              <w:rPr>
                <w:sz w:val="20"/>
                <w:szCs w:val="20"/>
                <w:color w:val="auto"/>
              </w:rPr>
            </w:pPr>
            <w:r>
              <w:rPr>
                <w:rFonts w:ascii="Arial" w:cs="Arial" w:eastAsia="Arial" w:hAnsi="Arial"/>
                <w:sz w:val="18"/>
                <w:szCs w:val="18"/>
                <w:color w:val="auto"/>
              </w:rPr>
              <w:t>All directors and executive officers</w:t>
            </w:r>
          </w:p>
        </w:tc>
        <w:tc>
          <w:tcPr>
            <w:tcW w:w="1620" w:type="dxa"/>
            <w:vAlign w:val="bottom"/>
            <w:tcBorders>
              <w:right w:val="single" w:sz="8" w:color="2D53A6"/>
            </w:tcBorders>
          </w:tcPr>
          <w:p>
            <w:pPr>
              <w:spacing w:after="0"/>
              <w:rPr>
                <w:sz w:val="16"/>
                <w:szCs w:val="16"/>
                <w:color w:val="auto"/>
              </w:rPr>
            </w:pPr>
          </w:p>
        </w:tc>
        <w:tc>
          <w:tcPr>
            <w:tcW w:w="1680" w:type="dxa"/>
            <w:vAlign w:val="bottom"/>
            <w:tcBorders>
              <w:right w:val="single" w:sz="8" w:color="2D53A6"/>
            </w:tcBorders>
          </w:tcPr>
          <w:p>
            <w:pPr>
              <w:spacing w:after="0"/>
              <w:rPr>
                <w:sz w:val="16"/>
                <w:szCs w:val="16"/>
                <w:color w:val="auto"/>
              </w:rPr>
            </w:pPr>
          </w:p>
        </w:tc>
        <w:tc>
          <w:tcPr>
            <w:tcW w:w="1620" w:type="dxa"/>
            <w:vAlign w:val="bottom"/>
            <w:tcBorders>
              <w:right w:val="single" w:sz="8" w:color="2D53A6"/>
            </w:tcBorders>
          </w:tcPr>
          <w:p>
            <w:pPr>
              <w:spacing w:after="0"/>
              <w:rPr>
                <w:sz w:val="16"/>
                <w:szCs w:val="16"/>
                <w:color w:val="auto"/>
              </w:rPr>
            </w:pPr>
          </w:p>
        </w:tc>
        <w:tc>
          <w:tcPr>
            <w:tcW w:w="1560" w:type="dxa"/>
            <w:vAlign w:val="bottom"/>
            <w:tcBorders>
              <w:right w:val="single" w:sz="8" w:color="2D53A6"/>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color w:val="auto"/>
              </w:rPr>
              <w:t>as a group (12 persons)</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1,031,361</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304,955</w:t>
            </w:r>
          </w:p>
        </w:tc>
        <w:tc>
          <w:tcPr>
            <w:tcW w:w="16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1,336,316</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right="6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issuable upon exercise of stock options and restricted stock units and performance stock units held by directors and executive officers that were exercisable or will otherwise vest on or within 60 days of March 16, 2023. For employees, restricted stock units and performance stock units vest net of the statutory tax withholding requirements to be paid by us on behalf of such employees and, as a result, the actual number of shares received after taxes will be fewer.</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Computed on the basis of 47,228,231 shares of Cohu common stock outstanding as of March 16, 2023, plus, with respect to each person holding options and restricted stock units and performance stock units that were exercisable or will otherwise vest on or within 60 days of March 16, 2023, the number of shares of Cohu common stock issuable upon exercise or vesting thereof.</w:t>
      </w:r>
    </w:p>
    <w:p>
      <w:pPr>
        <w:spacing w:after="0" w:line="1"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According to Schedule 13G/A filed with the SEC on January 26, 2023, BlackRock, Inc. reported that its affiliated companies collectively had sole voting and dispositive power with respect to 7,451,561 and 7,555,033 shares, respectively, and no shared voting or dispositive power with respect to these shares.</w:t>
      </w:r>
    </w:p>
    <w:p>
      <w:pPr>
        <w:spacing w:after="0" w:line="1" w:lineRule="exact"/>
        <w:rPr>
          <w:rFonts w:ascii="Arial" w:cs="Arial" w:eastAsia="Arial" w:hAnsi="Arial"/>
          <w:sz w:val="18"/>
          <w:szCs w:val="18"/>
          <w:color w:val="auto"/>
        </w:rPr>
      </w:pPr>
    </w:p>
    <w:p>
      <w:pPr>
        <w:ind w:left="340" w:right="180" w:hanging="332"/>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10, 2023, Dimensional Fund Advisors LP reported that it had sole voting and dispositive power with respect to 2,823,633 and 2,866,000 shares, respectively, and no shared voting or dispositive power with respect to these shares.</w:t>
      </w:r>
    </w:p>
    <w:p>
      <w:pPr>
        <w:spacing w:after="0" w:line="1" w:lineRule="exact"/>
        <w:rPr>
          <w:rFonts w:ascii="Arial" w:cs="Arial" w:eastAsia="Arial" w:hAnsi="Arial"/>
          <w:sz w:val="16"/>
          <w:szCs w:val="16"/>
          <w:color w:val="auto"/>
        </w:rPr>
      </w:pPr>
    </w:p>
    <w:p>
      <w:pPr>
        <w:jc w:val="both"/>
        <w:ind w:left="340" w:right="40" w:hanging="332"/>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According to Schedule 13G/A filed with the Securities SEC on February 9, 2023, The Vanguard Group reported that it had sole dispositive power with respect to 3,499,320 shares, and no sole voting power, and shared voting and dispositive power with respect to 53,292 and 95,008 shares, respectively.</w:t>
      </w:r>
    </w:p>
    <w:p>
      <w:pPr>
        <w:spacing w:after="0" w:line="1" w:lineRule="exact"/>
        <w:rPr>
          <w:rFonts w:ascii="Arial" w:cs="Arial" w:eastAsia="Arial" w:hAnsi="Arial"/>
          <w:sz w:val="16"/>
          <w:szCs w:val="16"/>
          <w:color w:val="auto"/>
        </w:rPr>
      </w:pPr>
    </w:p>
    <w:p>
      <w:pPr>
        <w:ind w:left="340" w:right="80" w:hanging="332"/>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According to Schedule 13G filed with the Securities SEC on February 1, 2023, Victory Capital Management Inc. reported that it had sole voting and dispositive power with respect to 3,016,817 and 3,034,729 shares, respectively, and no shared voting or dispositive power with respect to these shares.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Beneficially owned common stock includes 33,466 deferred stock unit awards issued pursuant to the 2005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Beneficially owned common stock includes 32,630 deferred stock unit awards issued pursuant to the 2005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Beneficially owned common stock includes 11,992 deferred stock unit awards issued pursuant to the 2005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2D53A6"/>
        </w:rPr>
        <w:t>Delinquent Section 16(a) Reports</w:t>
      </w:r>
    </w:p>
    <w:p>
      <w:pPr>
        <w:spacing w:after="0" w:line="21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Based solely upon its review of the copies of such forms received by it, or written representations from certain reporting persons that no Forms 5 were required for such persons, Cohu believes that during the fiscal year ended December 31, 2022, its executive officers, directors and 10% stockholders timely complied with all Section 16(a) filing requirements, except: i) on March 31, 2022 a Form 4 was filed, two days late, for deferred stock units issued to Steven J. Bilodeau on March 26, 2022 for deferred first quarter 2022 board fees; and ii) on March 31, 2022 a Form 4 was filed, two days late, for deferred stock units issued to Andrew M. Caggia on March 26, 2022 for deferred first quarter 2022 board fees. In each case, the referenced individuals placed reasonable reliance on Cohu to timely file the Form 4s and the delays were caused by Cohu administrative errors. We have subsequently implemented additional process improvements regarding our filing procedures.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FFFFFF"/>
        </w:rPr>
        <w:t>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Corporate Governance</w:t>
      </w: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2D53A6"/>
        </w:rPr>
        <w:t>Code of Business Conduct and Ethics</w:t>
      </w:r>
    </w:p>
    <w:p>
      <w:pPr>
        <w:spacing w:after="0" w:line="2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We intend to make all required disclosures concerning any amendments to, or waivers from, our Code of Conduct on our website within four business days.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2D53A6"/>
        </w:rPr>
        <w:t>Board of Directors and Committees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2D53A6"/>
        </w:rPr>
        <w:t>Director Independence</w:t>
      </w:r>
    </w:p>
    <w:p>
      <w:pPr>
        <w:spacing w:after="0" w:line="21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Board has considered relationships, transactions and/or arrangements with each of the directors, and has determined that six (6) of its directors (75% of the Board), namely, Mses. Jorden and Richardson and Messrs. Bendush, Bilodeau, Caggia and Mattes, are independent directors in accordance with Nasdaq listing standards and SEC rules. In addition, the Board has also considered and determined that:</w:t>
      </w:r>
    </w:p>
    <w:p>
      <w:pPr>
        <w:spacing w:after="0" w:line="184" w:lineRule="exact"/>
        <w:rPr>
          <w:sz w:val="20"/>
          <w:szCs w:val="20"/>
          <w:color w:val="auto"/>
        </w:rPr>
      </w:pPr>
    </w:p>
    <w:p>
      <w:pPr>
        <w:ind w:left="980" w:right="18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and SEC rules.</w:t>
      </w:r>
    </w:p>
    <w:p>
      <w:pPr>
        <w:spacing w:after="0" w:line="1" w:lineRule="exact"/>
        <w:rPr>
          <w:rFonts w:ascii="Arial" w:cs="Arial" w:eastAsia="Arial" w:hAnsi="Arial"/>
          <w:sz w:val="18"/>
          <w:szCs w:val="18"/>
          <w:color w:val="auto"/>
        </w:rPr>
      </w:pPr>
    </w:p>
    <w:p>
      <w:pPr>
        <w:ind w:left="980" w:right="5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members of the Audit and Compensation Committees meet the additional independence requirements as required by Nasdaq listing standards and SEC rules.</w:t>
      </w:r>
    </w:p>
    <w:p>
      <w:pPr>
        <w:ind w:left="980" w:right="580" w:hanging="324"/>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members of the Audit Committee, currently Ms. Jorden and Messrs. Bendush and Caggia, qualify as an “audit committee financial expert” under SEC guidelines.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2D53A6"/>
        </w:rPr>
        <w:t>Board Structure and Committee Composition</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of the date of this proxy statement, our Board has eight (8)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2022,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of our continuing directors at that time virtually attended the 2022 Annual Meeting.</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table below breaks down committee membership, as of the date of this proxy statement, for each committee and each director.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 of Director</w:t>
            </w:r>
          </w:p>
        </w:tc>
        <w:tc>
          <w:tcPr>
            <w:tcW w:w="16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Audit</w:t>
            </w:r>
          </w:p>
        </w:tc>
        <w:tc>
          <w:tcPr>
            <w:tcW w:w="17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6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Nominating and</w:t>
            </w:r>
          </w:p>
        </w:tc>
        <w:tc>
          <w:tcPr>
            <w:tcW w:w="0" w:type="dxa"/>
            <w:vAlign w:val="bottom"/>
          </w:tcPr>
          <w:p>
            <w:pPr>
              <w:spacing w:after="0"/>
              <w:rPr>
                <w:sz w:val="1"/>
                <w:szCs w:val="1"/>
                <w:color w:val="auto"/>
              </w:rPr>
            </w:pPr>
          </w:p>
        </w:tc>
      </w:tr>
      <w:tr>
        <w:trPr>
          <w:trHeight w:val="126"/>
        </w:trPr>
        <w:tc>
          <w:tcPr>
            <w:tcW w:w="6200" w:type="dxa"/>
            <w:vAlign w:val="bottom"/>
            <w:tcBorders>
              <w:right w:val="single" w:sz="8" w:color="2D53A6"/>
            </w:tcBorders>
            <w:vMerge w:val="continue"/>
            <w:shd w:val="clear" w:color="auto" w:fill="2D53A6"/>
          </w:tcPr>
          <w:p>
            <w:pPr>
              <w:spacing w:after="0"/>
              <w:rPr>
                <w:sz w:val="10"/>
                <w:szCs w:val="10"/>
                <w:color w:val="auto"/>
              </w:rPr>
            </w:pPr>
          </w:p>
        </w:tc>
        <w:tc>
          <w:tcPr>
            <w:tcW w:w="1680" w:type="dxa"/>
            <w:vAlign w:val="bottom"/>
            <w:tcBorders>
              <w:right w:val="single" w:sz="8" w:color="2D53A6"/>
            </w:tcBorders>
            <w:vMerge w:val="continue"/>
            <w:shd w:val="clear" w:color="auto" w:fill="2D53A6"/>
          </w:tcPr>
          <w:p>
            <w:pPr>
              <w:spacing w:after="0"/>
              <w:rPr>
                <w:sz w:val="10"/>
                <w:szCs w:val="10"/>
                <w:color w:val="auto"/>
              </w:rPr>
            </w:pPr>
          </w:p>
        </w:tc>
        <w:tc>
          <w:tcPr>
            <w:tcW w:w="1700" w:type="dxa"/>
            <w:vAlign w:val="bottom"/>
            <w:tcBorders>
              <w:right w:val="single" w:sz="8" w:color="2D53A6"/>
            </w:tcBorders>
            <w:vMerge w:val="continue"/>
            <w:shd w:val="clear" w:color="auto" w:fill="2D53A6"/>
          </w:tcPr>
          <w:p>
            <w:pPr>
              <w:spacing w:after="0"/>
              <w:rPr>
                <w:sz w:val="10"/>
                <w:szCs w:val="10"/>
                <w:color w:val="auto"/>
              </w:rPr>
            </w:pPr>
          </w:p>
        </w:tc>
        <w:tc>
          <w:tcPr>
            <w:tcW w:w="16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Governance</w:t>
            </w:r>
          </w:p>
        </w:tc>
        <w:tc>
          <w:tcPr>
            <w:tcW w:w="0" w:type="dxa"/>
            <w:vAlign w:val="bottom"/>
          </w:tcPr>
          <w:p>
            <w:pPr>
              <w:spacing w:after="0"/>
              <w:rPr>
                <w:sz w:val="1"/>
                <w:szCs w:val="1"/>
                <w:color w:val="auto"/>
              </w:rPr>
            </w:pPr>
          </w:p>
        </w:tc>
      </w:tr>
      <w:tr>
        <w:trPr>
          <w:trHeight w:val="122"/>
        </w:trPr>
        <w:tc>
          <w:tcPr>
            <w:tcW w:w="6200" w:type="dxa"/>
            <w:vAlign w:val="bottom"/>
            <w:tcBorders>
              <w:right w:val="single" w:sz="8" w:color="2D53A6"/>
            </w:tcBorders>
            <w:shd w:val="clear" w:color="auto" w:fill="2D53A6"/>
          </w:tcPr>
          <w:p>
            <w:pPr>
              <w:spacing w:after="0"/>
              <w:rPr>
                <w:sz w:val="10"/>
                <w:szCs w:val="10"/>
                <w:color w:val="auto"/>
              </w:rPr>
            </w:pPr>
          </w:p>
        </w:tc>
        <w:tc>
          <w:tcPr>
            <w:tcW w:w="1680" w:type="dxa"/>
            <w:vAlign w:val="bottom"/>
            <w:tcBorders>
              <w:bottom w:val="single" w:sz="8" w:color="2D53A6"/>
              <w:right w:val="single" w:sz="8" w:color="2D53A6"/>
            </w:tcBorders>
            <w:shd w:val="clear" w:color="auto" w:fill="2D53A6"/>
          </w:tcPr>
          <w:p>
            <w:pPr>
              <w:spacing w:after="0"/>
              <w:rPr>
                <w:sz w:val="10"/>
                <w:szCs w:val="10"/>
                <w:color w:val="auto"/>
              </w:rPr>
            </w:pPr>
          </w:p>
        </w:tc>
        <w:tc>
          <w:tcPr>
            <w:tcW w:w="1700" w:type="dxa"/>
            <w:vAlign w:val="bottom"/>
            <w:tcBorders>
              <w:right w:val="single" w:sz="8" w:color="2D53A6"/>
            </w:tcBorders>
            <w:shd w:val="clear" w:color="auto" w:fill="2D53A6"/>
          </w:tcPr>
          <w:p>
            <w:pPr>
              <w:spacing w:after="0"/>
              <w:rPr>
                <w:sz w:val="10"/>
                <w:szCs w:val="10"/>
                <w:color w:val="auto"/>
              </w:rPr>
            </w:pPr>
          </w:p>
        </w:tc>
        <w:tc>
          <w:tcPr>
            <w:tcW w:w="16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b w:val="1"/>
                <w:bCs w:val="1"/>
                <w:i w:val="1"/>
                <w:iCs w:val="1"/>
                <w:color w:val="auto"/>
              </w:rPr>
              <w:t>Independent Directors:</w:t>
            </w:r>
          </w:p>
        </w:tc>
        <w:tc>
          <w:tcPr>
            <w:tcW w:w="1680" w:type="dxa"/>
            <w:vAlign w:val="bottom"/>
            <w:tcBorders>
              <w:bottom w:val="single" w:sz="8" w:color="2D53A6"/>
              <w:right w:val="single" w:sz="8" w:color="2D53A6"/>
            </w:tcBorders>
          </w:tcPr>
          <w:p>
            <w:pPr>
              <w:spacing w:after="0"/>
              <w:rPr>
                <w:sz w:val="17"/>
                <w:szCs w:val="17"/>
                <w:color w:val="auto"/>
              </w:rPr>
            </w:pPr>
          </w:p>
        </w:tc>
        <w:tc>
          <w:tcPr>
            <w:tcW w:w="1700" w:type="dxa"/>
            <w:vAlign w:val="bottom"/>
            <w:tcBorders>
              <w:bottom w:val="single" w:sz="8" w:color="2D53A6"/>
              <w:right w:val="single" w:sz="8" w:color="2D53A6"/>
            </w:tcBorders>
          </w:tcPr>
          <w:p>
            <w:pPr>
              <w:spacing w:after="0"/>
              <w:rPr>
                <w:sz w:val="17"/>
                <w:szCs w:val="17"/>
                <w:color w:val="auto"/>
              </w:rPr>
            </w:pPr>
          </w:p>
        </w:tc>
        <w:tc>
          <w:tcPr>
            <w:tcW w:w="1660" w:type="dxa"/>
            <w:vAlign w:val="bottom"/>
            <w:tcBorders>
              <w:bottom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William E. Bendush</w:t>
            </w:r>
          </w:p>
        </w:tc>
        <w:tc>
          <w:tcPr>
            <w:tcW w:w="1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Chair</w:t>
            </w:r>
          </w:p>
        </w:tc>
        <w:tc>
          <w:tcPr>
            <w:tcW w:w="1700" w:type="dxa"/>
            <w:vAlign w:val="bottom"/>
            <w:tcBorders>
              <w:bottom w:val="single" w:sz="8" w:color="2D53A6"/>
              <w:right w:val="single" w:sz="8" w:color="2D53A6"/>
            </w:tcBorders>
            <w:shd w:val="clear" w:color="auto" w:fill="E6E6E6"/>
          </w:tcPr>
          <w:p>
            <w:pPr>
              <w:spacing w:after="0"/>
              <w:rPr>
                <w:sz w:val="18"/>
                <w:szCs w:val="18"/>
                <w:color w:val="auto"/>
              </w:rPr>
            </w:pPr>
          </w:p>
        </w:tc>
        <w:tc>
          <w:tcPr>
            <w:tcW w:w="16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Steven J. Bilodeau </w:t>
            </w:r>
            <w:r>
              <w:rPr>
                <w:rFonts w:ascii="Arial" w:cs="Arial" w:eastAsia="Arial" w:hAnsi="Arial"/>
                <w:sz w:val="24"/>
                <w:szCs w:val="24"/>
                <w:color w:val="auto"/>
                <w:vertAlign w:val="superscript"/>
              </w:rPr>
              <w:t>(1)</w:t>
            </w:r>
          </w:p>
        </w:tc>
        <w:tc>
          <w:tcPr>
            <w:tcW w:w="1680" w:type="dxa"/>
            <w:vAlign w:val="bottom"/>
            <w:tcBorders>
              <w:bottom w:val="single" w:sz="8" w:color="2D53A6"/>
              <w:right w:val="single" w:sz="8" w:color="2D53A6"/>
            </w:tcBorders>
          </w:tcPr>
          <w:p>
            <w:pPr>
              <w:spacing w:after="0"/>
              <w:rPr>
                <w:sz w:val="18"/>
                <w:szCs w:val="18"/>
                <w:color w:val="auto"/>
              </w:rPr>
            </w:pPr>
          </w:p>
        </w:tc>
        <w:tc>
          <w:tcPr>
            <w:tcW w:w="1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2"/>
              </w:rPr>
              <w:t>Chair</w:t>
            </w:r>
          </w:p>
        </w:tc>
        <w:tc>
          <w:tcPr>
            <w:tcW w:w="16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Andrew M. Caggia</w:t>
            </w:r>
          </w:p>
        </w:tc>
        <w:tc>
          <w:tcPr>
            <w:tcW w:w="1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2D53A6"/>
              <w:right w:val="single" w:sz="8" w:color="2D53A6"/>
            </w:tcBorders>
            <w:shd w:val="clear" w:color="auto" w:fill="E6E6E6"/>
          </w:tcPr>
          <w:p>
            <w:pPr>
              <w:spacing w:after="0"/>
              <w:rPr>
                <w:sz w:val="18"/>
                <w:szCs w:val="18"/>
                <w:color w:val="auto"/>
              </w:rPr>
            </w:pPr>
          </w:p>
        </w:tc>
        <w:tc>
          <w:tcPr>
            <w:tcW w:w="16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Yon Y. Jorden</w:t>
            </w:r>
          </w:p>
        </w:tc>
        <w:tc>
          <w:tcPr>
            <w:tcW w:w="16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2D53A6"/>
              <w:right w:val="single" w:sz="8" w:color="2D53A6"/>
            </w:tcBorders>
          </w:tcPr>
          <w:p>
            <w:pPr>
              <w:spacing w:after="0"/>
              <w:rPr>
                <w:sz w:val="18"/>
                <w:szCs w:val="18"/>
                <w:color w:val="auto"/>
              </w:rPr>
            </w:pPr>
          </w:p>
        </w:tc>
        <w:tc>
          <w:tcPr>
            <w:tcW w:w="166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Andreas W. Mattes </w:t>
            </w:r>
            <w:r>
              <w:rPr>
                <w:rFonts w:ascii="Arial" w:cs="Arial" w:eastAsia="Arial" w:hAnsi="Arial"/>
                <w:sz w:val="24"/>
                <w:szCs w:val="24"/>
                <w:color w:val="auto"/>
                <w:vertAlign w:val="superscript"/>
              </w:rPr>
              <w:t>(2)</w:t>
            </w:r>
          </w:p>
        </w:tc>
        <w:tc>
          <w:tcPr>
            <w:tcW w:w="1680" w:type="dxa"/>
            <w:vAlign w:val="bottom"/>
            <w:tcBorders>
              <w:bottom w:val="single" w:sz="8" w:color="2D53A6"/>
              <w:right w:val="single" w:sz="8" w:color="2D53A6"/>
            </w:tcBorders>
            <w:shd w:val="clear" w:color="auto" w:fill="E6E6E6"/>
          </w:tcPr>
          <w:p>
            <w:pPr>
              <w:spacing w:after="0"/>
              <w:rPr>
                <w:sz w:val="18"/>
                <w:szCs w:val="18"/>
                <w:color w:val="auto"/>
              </w:rPr>
            </w:pPr>
          </w:p>
        </w:tc>
        <w:tc>
          <w:tcPr>
            <w:tcW w:w="1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Nina L. Richardson</w:t>
            </w:r>
          </w:p>
        </w:tc>
        <w:tc>
          <w:tcPr>
            <w:tcW w:w="1680" w:type="dxa"/>
            <w:vAlign w:val="bottom"/>
            <w:tcBorders>
              <w:bottom w:val="single" w:sz="8" w:color="2D53A6"/>
              <w:right w:val="single" w:sz="8" w:color="2D53A6"/>
            </w:tcBorders>
          </w:tcPr>
          <w:p>
            <w:pPr>
              <w:spacing w:after="0"/>
              <w:rPr>
                <w:sz w:val="18"/>
                <w:szCs w:val="18"/>
                <w:color w:val="auto"/>
              </w:rPr>
            </w:pPr>
          </w:p>
        </w:tc>
        <w:tc>
          <w:tcPr>
            <w:tcW w:w="1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shd w:val="clear" w:color="auto" w:fill="E6E6E6"/>
          </w:tcPr>
          <w:p>
            <w:pPr>
              <w:ind w:left="340"/>
              <w:spacing w:after="0"/>
              <w:rPr>
                <w:sz w:val="20"/>
                <w:szCs w:val="20"/>
                <w:color w:val="auto"/>
              </w:rPr>
            </w:pPr>
            <w:r>
              <w:rPr>
                <w:rFonts w:ascii="Arial" w:cs="Arial" w:eastAsia="Arial" w:hAnsi="Arial"/>
                <w:sz w:val="18"/>
                <w:szCs w:val="18"/>
                <w:color w:val="auto"/>
              </w:rPr>
              <w:t>Total committee size:</w:t>
            </w:r>
          </w:p>
        </w:tc>
        <w:tc>
          <w:tcPr>
            <w:tcW w:w="1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1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3</w:t>
            </w:r>
          </w:p>
        </w:tc>
        <w:tc>
          <w:tcPr>
            <w:tcW w:w="16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i w:val="1"/>
                <w:iCs w:val="1"/>
                <w:color w:val="auto"/>
              </w:rPr>
              <w:t>Other Directors:</w:t>
            </w:r>
          </w:p>
        </w:tc>
        <w:tc>
          <w:tcPr>
            <w:tcW w:w="1680" w:type="dxa"/>
            <w:vAlign w:val="bottom"/>
            <w:tcBorders>
              <w:bottom w:val="single" w:sz="8" w:color="2D53A6"/>
              <w:right w:val="single" w:sz="8" w:color="2D53A6"/>
            </w:tcBorders>
          </w:tcPr>
          <w:p>
            <w:pPr>
              <w:spacing w:after="0"/>
              <w:rPr>
                <w:sz w:val="18"/>
                <w:szCs w:val="18"/>
                <w:color w:val="auto"/>
              </w:rPr>
            </w:pPr>
          </w:p>
        </w:tc>
        <w:tc>
          <w:tcPr>
            <w:tcW w:w="1700" w:type="dxa"/>
            <w:vAlign w:val="bottom"/>
            <w:tcBorders>
              <w:bottom w:val="single" w:sz="8" w:color="2D53A6"/>
              <w:right w:val="single" w:sz="8" w:color="2D53A6"/>
            </w:tcBorders>
          </w:tcPr>
          <w:p>
            <w:pPr>
              <w:spacing w:after="0"/>
              <w:rPr>
                <w:sz w:val="18"/>
                <w:szCs w:val="18"/>
                <w:color w:val="auto"/>
              </w:rPr>
            </w:pPr>
          </w:p>
        </w:tc>
        <w:tc>
          <w:tcPr>
            <w:tcW w:w="166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James A. Donahue</w:t>
            </w:r>
          </w:p>
        </w:tc>
        <w:tc>
          <w:tcPr>
            <w:tcW w:w="1680" w:type="dxa"/>
            <w:vAlign w:val="bottom"/>
            <w:tcBorders>
              <w:bottom w:val="single" w:sz="8" w:color="2D53A6"/>
              <w:right w:val="single" w:sz="8" w:color="2D53A6"/>
            </w:tcBorders>
            <w:shd w:val="clear" w:color="auto" w:fill="E6E6E6"/>
          </w:tcPr>
          <w:p>
            <w:pPr>
              <w:spacing w:after="0"/>
              <w:rPr>
                <w:sz w:val="18"/>
                <w:szCs w:val="18"/>
                <w:color w:val="auto"/>
              </w:rPr>
            </w:pPr>
          </w:p>
        </w:tc>
        <w:tc>
          <w:tcPr>
            <w:tcW w:w="1700" w:type="dxa"/>
            <w:vAlign w:val="bottom"/>
            <w:tcBorders>
              <w:bottom w:val="single" w:sz="8" w:color="2D53A6"/>
              <w:right w:val="single" w:sz="8" w:color="2D53A6"/>
            </w:tcBorders>
            <w:shd w:val="clear" w:color="auto" w:fill="E6E6E6"/>
          </w:tcPr>
          <w:p>
            <w:pPr>
              <w:spacing w:after="0"/>
              <w:rPr>
                <w:sz w:val="18"/>
                <w:szCs w:val="18"/>
                <w:color w:val="auto"/>
              </w:rPr>
            </w:pPr>
          </w:p>
        </w:tc>
        <w:tc>
          <w:tcPr>
            <w:tcW w:w="166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680" w:type="dxa"/>
            <w:vAlign w:val="bottom"/>
            <w:tcBorders>
              <w:bottom w:val="single" w:sz="8" w:color="2D53A6"/>
              <w:right w:val="single" w:sz="8" w:color="2D53A6"/>
            </w:tcBorders>
          </w:tcPr>
          <w:p>
            <w:pPr>
              <w:spacing w:after="0"/>
              <w:rPr>
                <w:sz w:val="18"/>
                <w:szCs w:val="18"/>
                <w:color w:val="auto"/>
              </w:rPr>
            </w:pPr>
          </w:p>
        </w:tc>
        <w:tc>
          <w:tcPr>
            <w:tcW w:w="1700" w:type="dxa"/>
            <w:vAlign w:val="bottom"/>
            <w:tcBorders>
              <w:bottom w:val="single" w:sz="8" w:color="2D53A6"/>
              <w:right w:val="single" w:sz="8" w:color="2D53A6"/>
            </w:tcBorders>
          </w:tcPr>
          <w:p>
            <w:pPr>
              <w:spacing w:after="0"/>
              <w:rPr>
                <w:sz w:val="18"/>
                <w:szCs w:val="18"/>
                <w:color w:val="auto"/>
              </w:rPr>
            </w:pPr>
          </w:p>
        </w:tc>
        <w:tc>
          <w:tcPr>
            <w:tcW w:w="166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b w:val="1"/>
                <w:bCs w:val="1"/>
                <w:color w:val="auto"/>
              </w:rPr>
              <w:t>Number of Meetings in 2022</w:t>
            </w:r>
          </w:p>
        </w:tc>
        <w:tc>
          <w:tcPr>
            <w:tcW w:w="1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8</w:t>
            </w:r>
          </w:p>
        </w:tc>
        <w:tc>
          <w:tcPr>
            <w:tcW w:w="1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6</w:t>
            </w:r>
          </w:p>
        </w:tc>
        <w:tc>
          <w:tcPr>
            <w:tcW w:w="16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Mattes was appointed to the Board effective November 1, 2022 and joined the Compensation Committee at that time.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2D53A6"/>
        </w:rPr>
        <w:t>Audit Committee</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risk assessment and risk management.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report of the Audit Committee is set forth on page 50 and the charter of the Audit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2D53A6"/>
        </w:rPr>
        <w:t>Compensation Committee</w:t>
      </w:r>
    </w:p>
    <w:p>
      <w:pPr>
        <w:spacing w:after="0" w:line="2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Compensation Committee discharges the Board’s responsibilities relating to compensation of Cohu’s executives and directors and, among other things,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8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 xml:space="preserve">The report of the Compensation Committee is set forth on page 37. The charter of the Compensation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2D53A6"/>
        </w:rPr>
        <w:t>Nominating and Governance Committee</w:t>
      </w:r>
    </w:p>
    <w:p>
      <w:pPr>
        <w:spacing w:after="0" w:line="2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Nominating and Governance Committee identifies individuals qualified to become Board members and recommends to the Board candidates to be nominated for election as directors at Cohu’s annual meeting consistent with criteria the Committee deems appropriate, as approved by the Board; develops Cohu’s Corporate Governance Guidelines for approval by the Board, and reviews and recommends updates to such Guidelines, as appropriate; oversees the organization of the Board to discharge the Board’s duties and responsibilities properly and efficiently, including the annual evaluation of the Board and its committees;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 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and reviewing, overseeing and reporting to the Board on Cohu’s corporate responsibility and sustainability initiatives, including potential trends and impacts to Cohu’s business regarding environmental, social and governance issues. The Chair of the Nominating and Governance Committee receives communications directed to non-employee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Nominating and Governance Committee is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2D53A6"/>
        </w:rPr>
        <w:t>Board Leadership Structure</w:t>
      </w:r>
    </w:p>
    <w:p>
      <w:pPr>
        <w:spacing w:after="0" w:line="213"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As of the date of this proxy statement, our Board is currently comprised of six (6) independent directors, one (1) non-independent, non-executive director (Mr. Donahue, as the former CEO of Cohu), and one (1) executive director (Dr. M</w:t>
      </w:r>
      <w:r>
        <w:rPr>
          <w:rFonts w:ascii="MS PGothic" w:cs="MS PGothic" w:eastAsia="MS PGothic" w:hAnsi="MS PGothic"/>
          <w:sz w:val="17"/>
          <w:szCs w:val="17"/>
          <w:color w:val="auto"/>
        </w:rPr>
        <w:t>✔</w:t>
      </w:r>
      <w:r>
        <w:rPr>
          <w:rFonts w:ascii="Arial" w:cs="Arial" w:eastAsia="Arial" w:hAnsi="Arial"/>
          <w:sz w:val="17"/>
          <w:szCs w:val="17"/>
          <w:color w:val="auto"/>
        </w:rPr>
        <w:t>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206"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w:t>
      </w:r>
      <w:r>
        <w:rPr>
          <w:rFonts w:ascii="MS PGothic" w:cs="MS PGothic" w:eastAsia="MS PGothic" w:hAnsi="MS PGothic"/>
          <w:sz w:val="16"/>
          <w:szCs w:val="16"/>
          <w:color w:val="auto"/>
        </w:rPr>
        <w:t>✔</w:t>
      </w:r>
      <w:r>
        <w:rPr>
          <w:rFonts w:ascii="Arial" w:cs="Arial" w:eastAsia="Arial" w:hAnsi="Arial"/>
          <w:sz w:val="16"/>
          <w:szCs w:val="16"/>
          <w:color w:val="auto"/>
        </w:rPr>
        <w:t>ller serve as Cohu’s Chief Executive Officer and Mr. Donahue serve as Chairperson, in combination with Mr. Bilodeau’s service as Lead Independent Director, is in the best interests of Cohu and its stockholders.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 w:name="page23"/>
    <w:bookmarkEnd w:id="22"/>
    <w:p>
      <w:pPr>
        <w:ind w:right="660"/>
        <w:spacing w:after="0" w:line="311" w:lineRule="auto"/>
        <w:rPr>
          <w:sz w:val="20"/>
          <w:szCs w:val="20"/>
          <w:color w:val="auto"/>
        </w:rPr>
      </w:pPr>
      <w:r>
        <w:rPr>
          <w:rFonts w:ascii="Arial" w:cs="Arial" w:eastAsia="Arial" w:hAnsi="Arial"/>
          <w:sz w:val="16"/>
          <w:szCs w:val="16"/>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and performing such other duties and responsibilities as the Board may determine.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the date of this proxy statement, our Board has two (2) female members, or 25% of the Board, and two racially/ethnically diverse members, or 25% of the Board.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2D53A6"/>
        </w:rPr>
        <w:t>Risk Oversight</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and compliance and reporting levels. Five (5) of our directors have completed a course on cybersecurity and earned the CERT Certificate in Cybersecurity Oversight from the National Association of Corporate Directors (NACD).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risks.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2D53A6"/>
        </w:rPr>
        <w:t>Stockholder Nominees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and diversity on the Board and to address the membership criteria set forth under “Director Qualifications”.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Any stockholder nominations proposed for consideration by the Nominating and Governance Committee should include the nominee’s name and qualifications for Board membership and should be addressed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Poway, CA 92064-6817</w:t>
      </w:r>
    </w:p>
    <w:p>
      <w:pPr>
        <w:spacing w:after="0" w:line="2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addition, the bylaws of Cohu permit stockholders to nominate directors for consideration at an annual stockholder meeting. For a description of the process for nominating directors in accordance with Cohu’s bylaws, see “Stockholder Proposals - 2024 Annual Meeting” on page 53.</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2D53A6"/>
        </w:rPr>
        <w:t>Director Qualifications</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Cohu’s Corporate Governance Guidelines are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ethnic, cultural, gender,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Such process has resulted in four of the last five appointments to the Cohu Board, dating back to 2019, being female candidates. In 2022, Ms. Lynne Camp did not stand for reelection and thereafter the Board evaluated its needs and determined that it was in the best interests of the company to recruit a new board member with public technology company operating and chief executive officer experience. After an extensive search, Mr. Andreas Mattes was appointed to the Cohu Board, effective November 1, 2022. As demonstrated by our past recruitment actions, in future director searches, we will continue to broadly seek and consider diverse candidates that we believe best represent the interests of all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2D53A6"/>
        </w:rPr>
        <w:t>Identifying and Evaluating Nominees for Directors</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diversity,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2D53A6"/>
        </w:rPr>
        <w:t>Executive Sessions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Executive sessions of independent directors, without management and non-independent directors present, are held at least three times a year. The sessions may be scheduled or held on an impromptu basis, and are chaired by the Lead Independent Director or, in the absence of the Lead Independent Director, the Chair of the Nominating and Governance Committee or another independent director. Any independent director can request that an additional executive session be initiated or scheduled.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2D53A6"/>
        </w:rPr>
        <w:t>Communications with the Board</w:t>
      </w:r>
    </w:p>
    <w:p>
      <w:pPr>
        <w:spacing w:after="0" w:line="21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Individuals may communicate with the Board, including the non-employee directors, by submitting an e-mail to Cohu’s Board at corp@cohu.com or by sending a letter to the Cohu Board of Directors, c/o Corporate Secretary, Cohu, Inc., 12367 Crosthwaite Circle, Poway, California 92064-6817. Communications are distributed to our Board, or to individual directors as appropriate, depending on the facts and circumstances outlined in the communication.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2D53A6"/>
        </w:rPr>
        <w:t>Compensation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Directors who are employees of Cohu do not receive any additional compensation for their services as directors. During fiscal 2022, non-employee directors received an annual retainer, and Board committee Chairs and members received annual fees, all paid quarterly, as set forth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180" w:type="dxa"/>
            <w:vAlign w:val="bottom"/>
            <w:tcBorders>
              <w:right w:val="single" w:sz="8" w:color="2D53A6"/>
            </w:tcBorders>
            <w:shd w:val="clear" w:color="auto" w:fill="2D53A6"/>
          </w:tcPr>
          <w:p>
            <w:pPr>
              <w:spacing w:after="0"/>
              <w:rPr>
                <w:sz w:val="22"/>
                <w:szCs w:val="22"/>
                <w:color w:val="auto"/>
              </w:rPr>
            </w:pPr>
          </w:p>
        </w:tc>
        <w:tc>
          <w:tcPr>
            <w:tcW w:w="45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Compensation</w:t>
            </w:r>
          </w:p>
        </w:tc>
        <w:tc>
          <w:tcPr>
            <w:tcW w:w="1540" w:type="dxa"/>
            <w:vAlign w:val="bottom"/>
            <w:shd w:val="clear" w:color="auto" w:fill="2D53A6"/>
          </w:tcPr>
          <w:p>
            <w:pPr>
              <w:jc w:val="right"/>
              <w:ind w:right="570"/>
              <w:spacing w:after="0"/>
              <w:rPr>
                <w:sz w:val="20"/>
                <w:szCs w:val="20"/>
                <w:color w:val="auto"/>
              </w:rPr>
            </w:pPr>
            <w:r>
              <w:rPr>
                <w:rFonts w:ascii="Arial" w:cs="Arial" w:eastAsia="Arial" w:hAnsi="Arial"/>
                <w:sz w:val="18"/>
                <w:szCs w:val="18"/>
                <w:b w:val="1"/>
                <w:bCs w:val="1"/>
                <w:color w:val="FFFFFF"/>
              </w:rPr>
              <w:t>2022</w:t>
            </w:r>
          </w:p>
        </w:tc>
      </w:tr>
      <w:tr>
        <w:trPr>
          <w:trHeight w:val="226"/>
        </w:trPr>
        <w:tc>
          <w:tcPr>
            <w:tcW w:w="5180" w:type="dxa"/>
            <w:vAlign w:val="bottom"/>
            <w:tcBorders>
              <w:right w:val="single" w:sz="8" w:color="2D53A6"/>
            </w:tcBorders>
          </w:tcPr>
          <w:p>
            <w:pPr>
              <w:spacing w:after="0"/>
              <w:rPr>
                <w:sz w:val="19"/>
                <w:szCs w:val="19"/>
                <w:color w:val="auto"/>
              </w:rPr>
            </w:pP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Chairperson of the Board</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$95,000</w:t>
            </w:r>
          </w:p>
        </w:tc>
      </w:tr>
      <w:tr>
        <w:trPr>
          <w:trHeight w:val="223"/>
        </w:trPr>
        <w:tc>
          <w:tcPr>
            <w:tcW w:w="518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Annual Retainer</w:t>
            </w: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Lead Independent Director</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$75,000</w:t>
            </w:r>
          </w:p>
        </w:tc>
      </w:tr>
      <w:tr>
        <w:trPr>
          <w:trHeight w:val="223"/>
        </w:trPr>
        <w:tc>
          <w:tcPr>
            <w:tcW w:w="5180" w:type="dxa"/>
            <w:vAlign w:val="bottom"/>
            <w:tcBorders>
              <w:bottom w:val="single" w:sz="8" w:color="2D53A6"/>
              <w:right w:val="single" w:sz="8" w:color="2D53A6"/>
            </w:tcBorders>
          </w:tcPr>
          <w:p>
            <w:pPr>
              <w:spacing w:after="0"/>
              <w:rPr>
                <w:sz w:val="19"/>
                <w:szCs w:val="19"/>
                <w:color w:val="auto"/>
              </w:rPr>
            </w:pP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Other Directors</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$60,000</w:t>
            </w:r>
          </w:p>
        </w:tc>
      </w:tr>
      <w:tr>
        <w:trPr>
          <w:trHeight w:val="223"/>
        </w:trPr>
        <w:tc>
          <w:tcPr>
            <w:tcW w:w="5180" w:type="dxa"/>
            <w:vAlign w:val="bottom"/>
            <w:tcBorders>
              <w:right w:val="single" w:sz="8" w:color="2D53A6"/>
            </w:tcBorders>
          </w:tcPr>
          <w:p>
            <w:pPr>
              <w:spacing w:after="0"/>
              <w:rPr>
                <w:sz w:val="19"/>
                <w:szCs w:val="19"/>
                <w:color w:val="auto"/>
              </w:rPr>
            </w:pP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Audit Committee</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$25,000</w:t>
            </w:r>
          </w:p>
        </w:tc>
      </w:tr>
      <w:tr>
        <w:trPr>
          <w:trHeight w:val="223"/>
        </w:trPr>
        <w:tc>
          <w:tcPr>
            <w:tcW w:w="518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Annual Fees for Committee Chairs</w:t>
            </w: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Compensation Committee</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$16,500</w:t>
            </w:r>
          </w:p>
        </w:tc>
      </w:tr>
      <w:tr>
        <w:trPr>
          <w:trHeight w:val="223"/>
        </w:trPr>
        <w:tc>
          <w:tcPr>
            <w:tcW w:w="5180" w:type="dxa"/>
            <w:vAlign w:val="bottom"/>
            <w:tcBorders>
              <w:bottom w:val="single" w:sz="8" w:color="2D53A6"/>
              <w:right w:val="single" w:sz="8" w:color="2D53A6"/>
            </w:tcBorders>
          </w:tcPr>
          <w:p>
            <w:pPr>
              <w:spacing w:after="0"/>
              <w:rPr>
                <w:sz w:val="19"/>
                <w:szCs w:val="19"/>
                <w:color w:val="auto"/>
              </w:rPr>
            </w:pP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Nominating and Governance Committee</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23"/>
        </w:trPr>
        <w:tc>
          <w:tcPr>
            <w:tcW w:w="5180" w:type="dxa"/>
            <w:vAlign w:val="bottom"/>
            <w:tcBorders>
              <w:right w:val="single" w:sz="8" w:color="2D53A6"/>
            </w:tcBorders>
          </w:tcPr>
          <w:p>
            <w:pPr>
              <w:spacing w:after="0"/>
              <w:rPr>
                <w:sz w:val="19"/>
                <w:szCs w:val="19"/>
                <w:color w:val="auto"/>
              </w:rPr>
            </w:pP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Audit Committee</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23"/>
        </w:trPr>
        <w:tc>
          <w:tcPr>
            <w:tcW w:w="518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Annual Fees for Other Committee Members</w:t>
            </w: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Compensation Committee</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$7,500</w:t>
            </w:r>
          </w:p>
        </w:tc>
      </w:tr>
      <w:tr>
        <w:trPr>
          <w:trHeight w:val="223"/>
        </w:trPr>
        <w:tc>
          <w:tcPr>
            <w:tcW w:w="5180" w:type="dxa"/>
            <w:vAlign w:val="bottom"/>
            <w:tcBorders>
              <w:bottom w:val="single" w:sz="8" w:color="2D53A6"/>
              <w:right w:val="single" w:sz="8" w:color="2D53A6"/>
            </w:tcBorders>
          </w:tcPr>
          <w:p>
            <w:pPr>
              <w:spacing w:after="0"/>
              <w:rPr>
                <w:sz w:val="19"/>
                <w:szCs w:val="19"/>
                <w:color w:val="auto"/>
              </w:rPr>
            </w:pPr>
          </w:p>
        </w:tc>
        <w:tc>
          <w:tcPr>
            <w:tcW w:w="452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color w:val="auto"/>
              </w:rPr>
              <w:t>Nominating and Governance Committee</w:t>
            </w:r>
          </w:p>
        </w:tc>
        <w:tc>
          <w:tcPr>
            <w:tcW w:w="154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terms and conditions of the Cohu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which will be settled at a future date through the issuance of Cohu common stock upon the first to occur of cessation of service as a director for any reason, a change in control of Cohu or a future date selected at the time of deferral. Messrs. Bilodeau and Caggia elected to defer 100% of their 2022 cash-based non-employee director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for non-employee directors during 2022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5"/>
              </w:rPr>
              <w:t>Initial Appointment</w:t>
            </w:r>
          </w:p>
        </w:tc>
        <w:tc>
          <w:tcPr>
            <w:tcW w:w="8960" w:type="dxa"/>
            <w:vAlign w:val="bottom"/>
            <w:tcBorders>
              <w:top w:val="single" w:sz="8" w:color="2D53A6"/>
            </w:tcBorders>
          </w:tcPr>
          <w:p>
            <w:pPr>
              <w:ind w:left="160"/>
              <w:spacing w:after="0"/>
              <w:rPr>
                <w:sz w:val="20"/>
                <w:szCs w:val="20"/>
                <w:color w:val="auto"/>
              </w:rPr>
            </w:pPr>
            <w:r>
              <w:rPr>
                <w:rFonts w:ascii="Arial" w:cs="Arial" w:eastAsia="Arial" w:hAnsi="Arial"/>
                <w:sz w:val="18"/>
                <w:szCs w:val="18"/>
                <w:color w:val="auto"/>
                <w:w w:val="94"/>
              </w:rPr>
              <w:t>RSUs with a total value of $150,000, but the total value of such grant is prorated based on the period of time between</w:t>
            </w:r>
          </w:p>
        </w:tc>
        <w:tc>
          <w:tcPr>
            <w:tcW w:w="0" w:type="dxa"/>
            <w:vAlign w:val="bottom"/>
          </w:tcPr>
          <w:p>
            <w:pPr>
              <w:spacing w:after="0"/>
              <w:rPr>
                <w:sz w:val="1"/>
                <w:szCs w:val="1"/>
                <w:color w:val="auto"/>
              </w:rPr>
            </w:pPr>
          </w:p>
        </w:tc>
      </w:tr>
      <w:tr>
        <w:trPr>
          <w:trHeight w:val="122"/>
        </w:trPr>
        <w:tc>
          <w:tcPr>
            <w:tcW w:w="2280" w:type="dxa"/>
            <w:vAlign w:val="bottom"/>
            <w:tcBorders>
              <w:right w:val="single" w:sz="8" w:color="2D53A6"/>
            </w:tcBorders>
            <w:vMerge w:val="continue"/>
          </w:tcPr>
          <w:p>
            <w:pPr>
              <w:spacing w:after="0"/>
              <w:rPr>
                <w:sz w:val="10"/>
                <w:szCs w:val="10"/>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appointment as director and the next scheduled director annual equity grant date</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2D53A6"/>
              <w:right w:val="single" w:sz="8" w:color="2D53A6"/>
            </w:tcBorders>
          </w:tcPr>
          <w:p>
            <w:pPr>
              <w:spacing w:after="0"/>
              <w:rPr>
                <w:sz w:val="9"/>
                <w:szCs w:val="9"/>
                <w:color w:val="auto"/>
              </w:rPr>
            </w:pPr>
          </w:p>
        </w:tc>
        <w:tc>
          <w:tcPr>
            <w:tcW w:w="896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Annual Grants</w:t>
            </w:r>
          </w:p>
        </w:tc>
        <w:tc>
          <w:tcPr>
            <w:tcW w:w="8960" w:type="dxa"/>
            <w:vAlign w:val="bottom"/>
            <w:tcBorders>
              <w:bottom w:val="single" w:sz="8" w:color="2D53A6"/>
            </w:tcBorders>
            <w:shd w:val="clear" w:color="auto" w:fill="E6E6E6"/>
          </w:tcPr>
          <w:p>
            <w:pPr>
              <w:ind w:left="160"/>
              <w:spacing w:after="0"/>
              <w:rPr>
                <w:sz w:val="20"/>
                <w:szCs w:val="20"/>
                <w:color w:val="auto"/>
              </w:rPr>
            </w:pPr>
            <w:r>
              <w:rPr>
                <w:rFonts w:ascii="Arial" w:cs="Arial" w:eastAsia="Arial" w:hAnsi="Arial"/>
                <w:sz w:val="18"/>
                <w:szCs w:val="18"/>
                <w:color w:val="auto"/>
              </w:rPr>
              <w:t>RSUs with a total value of $150,000</w:t>
            </w:r>
          </w:p>
        </w:tc>
        <w:tc>
          <w:tcPr>
            <w:tcW w:w="0" w:type="dxa"/>
            <w:vAlign w:val="bottom"/>
          </w:tcPr>
          <w:p>
            <w:pPr>
              <w:spacing w:after="0"/>
              <w:rPr>
                <w:sz w:val="1"/>
                <w:szCs w:val="1"/>
                <w:color w:val="auto"/>
              </w:rPr>
            </w:pPr>
          </w:p>
        </w:tc>
      </w:tr>
      <w:tr>
        <w:trPr>
          <w:trHeight w:val="426"/>
        </w:trPr>
        <w:tc>
          <w:tcPr>
            <w:tcW w:w="2280" w:type="dxa"/>
            <w:vAlign w:val="bottom"/>
          </w:tcPr>
          <w:p>
            <w:pPr>
              <w:spacing w:after="0"/>
              <w:rPr>
                <w:sz w:val="24"/>
                <w:szCs w:val="24"/>
                <w:color w:val="auto"/>
              </w:rPr>
            </w:pPr>
          </w:p>
        </w:tc>
        <w:tc>
          <w:tcPr>
            <w:tcW w:w="8960" w:type="dxa"/>
            <w:vAlign w:val="bottom"/>
          </w:tcPr>
          <w:p>
            <w:pPr>
              <w:jc w:val="right"/>
              <w:ind w:right="54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7" w:right="339" w:bottom="1440" w:gutter="0" w:footer="0" w:header="0"/>
        </w:sectPr>
      </w:pPr>
    </w:p>
    <w:bookmarkStart w:id="25" w:name="page26"/>
    <w:bookmarkEnd w:id="25"/>
    <w:p>
      <w:pPr>
        <w:ind w:right="100"/>
        <w:spacing w:after="0" w:line="257" w:lineRule="auto"/>
        <w:rPr>
          <w:sz w:val="20"/>
          <w:szCs w:val="20"/>
          <w:color w:val="auto"/>
        </w:rPr>
      </w:pPr>
      <w:r>
        <w:rPr>
          <w:rFonts w:ascii="Arial" w:cs="Arial" w:eastAsia="Arial" w:hAnsi="Arial"/>
          <w:sz w:val="18"/>
          <w:szCs w:val="18"/>
          <w:color w:val="auto"/>
        </w:rPr>
        <w:t>Each RSU represents a contingent right to receive one share of Cohu common stock upon vesting. Assuming continued service on the Board, the RSUs granted to non-employee directors upon their initial appointment to the Board will vest over three years, and shares are issued in three equal annual installments beginning one year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May 4, 2022, 5,091 RSUs were awarded to each of Mses. Jorden and Richardson and Messrs. Bendush, Bilodeau, Caggia, and Donahue. Cohu will issue to each recipient, assuming continued service as a director, shares of Cohu common stock at the end of the required RSU vesting period. Mr. Mattes joined the Board on November 1, 2022 and received an initial grant of 2,714 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Benefits</w:t>
      </w:r>
    </w:p>
    <w:p>
      <w:pPr>
        <w:spacing w:after="0" w:line="225"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20" w:type="dxa"/>
            <w:vAlign w:val="bottom"/>
            <w:tcBorders>
              <w:right w:val="single" w:sz="8" w:color="2D53A6"/>
            </w:tcBorders>
            <w:shd w:val="clear" w:color="auto" w:fill="2D53A6"/>
          </w:tcPr>
          <w:p>
            <w:pPr>
              <w:spacing w:after="0"/>
              <w:rPr>
                <w:sz w:val="18"/>
                <w:szCs w:val="18"/>
                <w:color w:val="auto"/>
              </w:rPr>
            </w:pPr>
          </w:p>
        </w:tc>
        <w:tc>
          <w:tcPr>
            <w:tcW w:w="1680" w:type="dxa"/>
            <w:vAlign w:val="bottom"/>
            <w:tcBorders>
              <w:right w:val="single" w:sz="8" w:color="2D53A6"/>
            </w:tcBorders>
            <w:vMerge w:val="restart"/>
            <w:shd w:val="clear" w:color="auto" w:fill="2D53A6"/>
          </w:tcPr>
          <w:p>
            <w:pPr>
              <w:jc w:val="right"/>
              <w:ind w:right="170"/>
              <w:spacing w:after="0"/>
              <w:rPr>
                <w:sz w:val="20"/>
                <w:szCs w:val="20"/>
                <w:color w:val="auto"/>
              </w:rPr>
            </w:pPr>
            <w:r>
              <w:rPr>
                <w:rFonts w:ascii="Arial" w:cs="Arial" w:eastAsia="Arial" w:hAnsi="Arial"/>
                <w:sz w:val="18"/>
                <w:szCs w:val="18"/>
                <w:b w:val="1"/>
                <w:bCs w:val="1"/>
                <w:color w:val="FFFFFF"/>
              </w:rPr>
              <w:t>Fees Earned or</w:t>
            </w:r>
          </w:p>
        </w:tc>
        <w:tc>
          <w:tcPr>
            <w:tcW w:w="1680" w:type="dxa"/>
            <w:vAlign w:val="bottom"/>
            <w:vMerge w:val="restart"/>
            <w:shd w:val="clear" w:color="auto" w:fill="2D53A6"/>
          </w:tcPr>
          <w:p>
            <w:pPr>
              <w:jc w:val="right"/>
              <w:ind w:right="230"/>
              <w:spacing w:after="0"/>
              <w:rPr>
                <w:sz w:val="20"/>
                <w:szCs w:val="20"/>
                <w:color w:val="auto"/>
              </w:rPr>
            </w:pPr>
            <w:r>
              <w:rPr>
                <w:rFonts w:ascii="Arial" w:cs="Arial" w:eastAsia="Arial" w:hAnsi="Arial"/>
                <w:sz w:val="18"/>
                <w:szCs w:val="18"/>
                <w:b w:val="1"/>
                <w:bCs w:val="1"/>
                <w:color w:val="FFFFFF"/>
              </w:rPr>
              <w:t>Stock Awards</w:t>
            </w:r>
          </w:p>
        </w:tc>
        <w:tc>
          <w:tcPr>
            <w:tcW w:w="4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All Other</w:t>
            </w:r>
          </w:p>
        </w:tc>
        <w:tc>
          <w:tcPr>
            <w:tcW w:w="1660" w:type="dxa"/>
            <w:vAlign w:val="bottom"/>
            <w:shd w:val="clear" w:color="auto" w:fill="2D53A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w:t>
            </w:r>
          </w:p>
        </w:tc>
        <w:tc>
          <w:tcPr>
            <w:tcW w:w="1680" w:type="dxa"/>
            <w:vAlign w:val="bottom"/>
            <w:tcBorders>
              <w:right w:val="single" w:sz="8" w:color="2D53A6"/>
            </w:tcBorders>
            <w:vMerge w:val="continue"/>
            <w:shd w:val="clear" w:color="auto" w:fill="2D53A6"/>
          </w:tcPr>
          <w:p>
            <w:pPr>
              <w:spacing w:after="0"/>
              <w:rPr>
                <w:sz w:val="9"/>
                <w:szCs w:val="9"/>
                <w:color w:val="auto"/>
              </w:rPr>
            </w:pPr>
          </w:p>
        </w:tc>
        <w:tc>
          <w:tcPr>
            <w:tcW w:w="1680" w:type="dxa"/>
            <w:vAlign w:val="bottom"/>
            <w:vMerge w:val="continue"/>
            <w:shd w:val="clear" w:color="auto" w:fill="2D53A6"/>
          </w:tcPr>
          <w:p>
            <w:pPr>
              <w:spacing w:after="0"/>
              <w:rPr>
                <w:sz w:val="9"/>
                <w:szCs w:val="9"/>
                <w:color w:val="auto"/>
              </w:rPr>
            </w:pPr>
          </w:p>
        </w:tc>
        <w:tc>
          <w:tcPr>
            <w:tcW w:w="40" w:type="dxa"/>
            <w:vAlign w:val="bottom"/>
            <w:tcBorders>
              <w:right w:val="single" w:sz="8" w:color="2D53A6"/>
            </w:tcBorders>
            <w:shd w:val="clear" w:color="auto" w:fill="2D53A6"/>
          </w:tcPr>
          <w:p>
            <w:pPr>
              <w:spacing w:after="0"/>
              <w:rPr>
                <w:sz w:val="9"/>
                <w:szCs w:val="9"/>
                <w:color w:val="auto"/>
              </w:rPr>
            </w:pPr>
          </w:p>
        </w:tc>
        <w:tc>
          <w:tcPr>
            <w:tcW w:w="16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660" w:type="dxa"/>
            <w:vAlign w:val="bottom"/>
            <w:vMerge w:val="restart"/>
            <w:shd w:val="clear" w:color="auto" w:fill="2D53A6"/>
          </w:tcPr>
          <w:p>
            <w:pPr>
              <w:jc w:val="right"/>
              <w:ind w:right="430"/>
              <w:spacing w:after="0"/>
              <w:rPr>
                <w:sz w:val="20"/>
                <w:szCs w:val="20"/>
                <w:color w:val="auto"/>
              </w:rPr>
            </w:pPr>
            <w:r>
              <w:rPr>
                <w:rFonts w:ascii="Arial" w:cs="Arial" w:eastAsia="Arial" w:hAnsi="Arial"/>
                <w:sz w:val="18"/>
                <w:szCs w:val="18"/>
                <w:b w:val="1"/>
                <w:bCs w:val="1"/>
                <w:color w:val="FFFFFF"/>
              </w:rPr>
              <w:t>Total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Borders>
              <w:right w:val="single" w:sz="8" w:color="2D53A6"/>
            </w:tcBorders>
            <w:vMerge w:val="continue"/>
            <w:shd w:val="clear" w:color="auto" w:fill="2D53A6"/>
          </w:tcPr>
          <w:p>
            <w:pPr>
              <w:spacing w:after="0"/>
              <w:rPr>
                <w:sz w:val="9"/>
                <w:szCs w:val="9"/>
                <w:color w:val="auto"/>
              </w:rPr>
            </w:pPr>
          </w:p>
        </w:tc>
        <w:tc>
          <w:tcPr>
            <w:tcW w:w="1680" w:type="dxa"/>
            <w:vAlign w:val="bottom"/>
            <w:tcBorders>
              <w:right w:val="single" w:sz="8" w:color="2D53A6"/>
            </w:tcBorders>
            <w:vMerge w:val="restart"/>
            <w:shd w:val="clear" w:color="auto" w:fill="2D53A6"/>
          </w:tcPr>
          <w:p>
            <w:pPr>
              <w:jc w:val="right"/>
              <w:ind w:right="150"/>
              <w:spacing w:after="0"/>
              <w:rPr>
                <w:sz w:val="20"/>
                <w:szCs w:val="20"/>
                <w:color w:val="auto"/>
              </w:rPr>
            </w:pPr>
            <w:r>
              <w:rPr>
                <w:rFonts w:ascii="Arial" w:cs="Arial" w:eastAsia="Arial" w:hAnsi="Arial"/>
                <w:sz w:val="18"/>
                <w:szCs w:val="18"/>
                <w:b w:val="1"/>
                <w:bCs w:val="1"/>
                <w:color w:val="FFFFFF"/>
              </w:rPr>
              <w:t>Paid in Cash ($)</w:t>
            </w:r>
          </w:p>
        </w:tc>
        <w:tc>
          <w:tcPr>
            <w:tcW w:w="1680" w:type="dxa"/>
            <w:vAlign w:val="bottom"/>
            <w:vMerge w:val="restart"/>
            <w:shd w:val="clear" w:color="auto" w:fill="2D53A6"/>
          </w:tcPr>
          <w:p>
            <w:pPr>
              <w:jc w:val="right"/>
              <w:ind w:right="550"/>
              <w:spacing w:after="0" w:line="288"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29"/>
                <w:szCs w:val="29"/>
                <w:b w:val="1"/>
                <w:bCs w:val="1"/>
                <w:color w:val="FFFFFF"/>
                <w:vertAlign w:val="superscript"/>
              </w:rPr>
              <w:t>(1)</w:t>
            </w:r>
          </w:p>
        </w:tc>
        <w:tc>
          <w:tcPr>
            <w:tcW w:w="40" w:type="dxa"/>
            <w:vAlign w:val="bottom"/>
            <w:tcBorders>
              <w:right w:val="single" w:sz="8" w:color="2D53A6"/>
            </w:tcBorders>
            <w:shd w:val="clear" w:color="auto" w:fill="2D53A6"/>
          </w:tcPr>
          <w:p>
            <w:pPr>
              <w:spacing w:after="0"/>
              <w:rPr>
                <w:sz w:val="9"/>
                <w:szCs w:val="9"/>
                <w:color w:val="auto"/>
              </w:rPr>
            </w:pPr>
          </w:p>
        </w:tc>
        <w:tc>
          <w:tcPr>
            <w:tcW w:w="1660" w:type="dxa"/>
            <w:vAlign w:val="bottom"/>
            <w:tcBorders>
              <w:right w:val="single" w:sz="8" w:color="2D53A6"/>
            </w:tcBorders>
            <w:vMerge w:val="continue"/>
            <w:shd w:val="clear" w:color="auto" w:fill="2D53A6"/>
          </w:tcPr>
          <w:p>
            <w:pPr>
              <w:spacing w:after="0"/>
              <w:rPr>
                <w:sz w:val="9"/>
                <w:szCs w:val="9"/>
                <w:color w:val="auto"/>
              </w:rPr>
            </w:pPr>
          </w:p>
        </w:tc>
        <w:tc>
          <w:tcPr>
            <w:tcW w:w="16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520" w:type="dxa"/>
            <w:vAlign w:val="bottom"/>
            <w:tcBorders>
              <w:right w:val="single" w:sz="8" w:color="2D53A6"/>
            </w:tcBorders>
            <w:shd w:val="clear" w:color="auto" w:fill="2D53A6"/>
          </w:tcPr>
          <w:p>
            <w:pPr>
              <w:spacing w:after="0"/>
              <w:rPr>
                <w:sz w:val="15"/>
                <w:szCs w:val="15"/>
                <w:color w:val="auto"/>
              </w:rPr>
            </w:pPr>
          </w:p>
        </w:tc>
        <w:tc>
          <w:tcPr>
            <w:tcW w:w="1680" w:type="dxa"/>
            <w:vAlign w:val="bottom"/>
            <w:tcBorders>
              <w:right w:val="single" w:sz="8" w:color="2D53A6"/>
            </w:tcBorders>
            <w:vMerge w:val="continue"/>
            <w:shd w:val="clear" w:color="auto" w:fill="2D53A6"/>
          </w:tcPr>
          <w:p>
            <w:pPr>
              <w:spacing w:after="0"/>
              <w:rPr>
                <w:sz w:val="15"/>
                <w:szCs w:val="15"/>
                <w:color w:val="auto"/>
              </w:rPr>
            </w:pPr>
          </w:p>
        </w:tc>
        <w:tc>
          <w:tcPr>
            <w:tcW w:w="1680" w:type="dxa"/>
            <w:vAlign w:val="bottom"/>
            <w:vMerge w:val="continue"/>
            <w:shd w:val="clear" w:color="auto" w:fill="2D53A6"/>
          </w:tcPr>
          <w:p>
            <w:pPr>
              <w:spacing w:after="0"/>
              <w:rPr>
                <w:sz w:val="15"/>
                <w:szCs w:val="15"/>
                <w:color w:val="auto"/>
              </w:rPr>
            </w:pPr>
          </w:p>
        </w:tc>
        <w:tc>
          <w:tcPr>
            <w:tcW w:w="40" w:type="dxa"/>
            <w:vAlign w:val="bottom"/>
            <w:tcBorders>
              <w:right w:val="single" w:sz="8" w:color="2D53A6"/>
            </w:tcBorders>
            <w:shd w:val="clear" w:color="auto" w:fill="2D53A6"/>
          </w:tcPr>
          <w:p>
            <w:pPr>
              <w:spacing w:after="0"/>
              <w:rPr>
                <w:sz w:val="15"/>
                <w:szCs w:val="15"/>
                <w:color w:val="auto"/>
              </w:rPr>
            </w:pPr>
          </w:p>
        </w:tc>
        <w:tc>
          <w:tcPr>
            <w:tcW w:w="1660" w:type="dxa"/>
            <w:vAlign w:val="bottom"/>
            <w:tcBorders>
              <w:right w:val="single" w:sz="8" w:color="2D53A6"/>
            </w:tcBorders>
            <w:vMerge w:val="restart"/>
            <w:shd w:val="clear" w:color="auto" w:fill="2D53A6"/>
          </w:tcPr>
          <w:p>
            <w:pPr>
              <w:jc w:val="center"/>
              <w:spacing w:after="0" w:line="231" w:lineRule="exact"/>
              <w:rPr>
                <w:sz w:val="20"/>
                <w:szCs w:val="20"/>
                <w:color w:val="auto"/>
              </w:rPr>
            </w:pPr>
            <w:r>
              <w:rPr>
                <w:rFonts w:ascii="Arial" w:cs="Arial" w:eastAsia="Arial" w:hAnsi="Arial"/>
                <w:sz w:val="16"/>
                <w:szCs w:val="16"/>
                <w:b w:val="1"/>
                <w:bCs w:val="1"/>
                <w:color w:val="FFFFFF"/>
                <w:w w:val="97"/>
              </w:rPr>
              <w:t xml:space="preserve">($) </w:t>
            </w:r>
            <w:r>
              <w:rPr>
                <w:rFonts w:ascii="Arial" w:cs="Arial" w:eastAsia="Arial" w:hAnsi="Arial"/>
                <w:sz w:val="26"/>
                <w:szCs w:val="26"/>
                <w:b w:val="1"/>
                <w:bCs w:val="1"/>
                <w:color w:val="FFFFFF"/>
                <w:w w:val="97"/>
                <w:vertAlign w:val="superscript"/>
              </w:rPr>
              <w:t>(2)</w:t>
            </w:r>
          </w:p>
        </w:tc>
        <w:tc>
          <w:tcPr>
            <w:tcW w:w="1660" w:type="dxa"/>
            <w:vAlign w:val="bottom"/>
            <w:shd w:val="clear" w:color="auto" w:fill="2D53A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520" w:type="dxa"/>
            <w:vAlign w:val="bottom"/>
            <w:tcBorders>
              <w:right w:val="single" w:sz="8" w:color="2D53A6"/>
            </w:tcBorders>
            <w:shd w:val="clear" w:color="auto" w:fill="2D53A6"/>
          </w:tcPr>
          <w:p>
            <w:pPr>
              <w:spacing w:after="0"/>
              <w:rPr>
                <w:sz w:val="5"/>
                <w:szCs w:val="5"/>
                <w:color w:val="auto"/>
              </w:rPr>
            </w:pPr>
          </w:p>
        </w:tc>
        <w:tc>
          <w:tcPr>
            <w:tcW w:w="1680" w:type="dxa"/>
            <w:vAlign w:val="bottom"/>
            <w:tcBorders>
              <w:bottom w:val="single" w:sz="8" w:color="2D53A6"/>
              <w:right w:val="single" w:sz="8" w:color="2D53A6"/>
            </w:tcBorders>
            <w:shd w:val="clear" w:color="auto" w:fill="2D53A6"/>
          </w:tcPr>
          <w:p>
            <w:pPr>
              <w:spacing w:after="0"/>
              <w:rPr>
                <w:sz w:val="5"/>
                <w:szCs w:val="5"/>
                <w:color w:val="auto"/>
              </w:rPr>
            </w:pPr>
          </w:p>
        </w:tc>
        <w:tc>
          <w:tcPr>
            <w:tcW w:w="1680" w:type="dxa"/>
            <w:vAlign w:val="bottom"/>
            <w:shd w:val="clear" w:color="auto" w:fill="2D53A6"/>
          </w:tcPr>
          <w:p>
            <w:pPr>
              <w:spacing w:after="0"/>
              <w:rPr>
                <w:sz w:val="5"/>
                <w:szCs w:val="5"/>
                <w:color w:val="auto"/>
              </w:rPr>
            </w:pPr>
          </w:p>
        </w:tc>
        <w:tc>
          <w:tcPr>
            <w:tcW w:w="40" w:type="dxa"/>
            <w:vAlign w:val="bottom"/>
            <w:tcBorders>
              <w:bottom w:val="single" w:sz="8" w:color="2D53A6"/>
              <w:right w:val="single" w:sz="8" w:color="2D53A6"/>
            </w:tcBorders>
            <w:shd w:val="clear" w:color="auto" w:fill="2D53A6"/>
          </w:tcPr>
          <w:p>
            <w:pPr>
              <w:spacing w:after="0"/>
              <w:rPr>
                <w:sz w:val="5"/>
                <w:szCs w:val="5"/>
                <w:color w:val="auto"/>
              </w:rPr>
            </w:pPr>
          </w:p>
        </w:tc>
        <w:tc>
          <w:tcPr>
            <w:tcW w:w="1660" w:type="dxa"/>
            <w:vAlign w:val="bottom"/>
            <w:tcBorders>
              <w:bottom w:val="single" w:sz="8" w:color="2D53A6"/>
              <w:right w:val="single" w:sz="8" w:color="2D53A6"/>
            </w:tcBorders>
            <w:vMerge w:val="continue"/>
            <w:shd w:val="clear" w:color="auto" w:fill="2D53A6"/>
          </w:tcPr>
          <w:p>
            <w:pPr>
              <w:spacing w:after="0"/>
              <w:rPr>
                <w:sz w:val="5"/>
                <w:szCs w:val="5"/>
                <w:color w:val="auto"/>
              </w:rPr>
            </w:pPr>
          </w:p>
        </w:tc>
        <w:tc>
          <w:tcPr>
            <w:tcW w:w="1660" w:type="dxa"/>
            <w:vAlign w:val="bottom"/>
            <w:shd w:val="clear" w:color="auto" w:fill="2D53A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William E. Bendush</w:t>
            </w:r>
          </w:p>
        </w:tc>
        <w:tc>
          <w:tcPr>
            <w:tcW w:w="1680" w:type="dxa"/>
            <w:vAlign w:val="bottom"/>
            <w:tcBorders>
              <w:bottom w:val="single" w:sz="8" w:color="2D53A6"/>
              <w:right w:val="single" w:sz="8" w:color="2D53A6"/>
            </w:tcBorders>
          </w:tcPr>
          <w:p>
            <w:pPr>
              <w:jc w:val="right"/>
              <w:spacing w:after="0" w:line="196" w:lineRule="exact"/>
              <w:rPr>
                <w:sz w:val="20"/>
                <w:szCs w:val="20"/>
                <w:color w:val="auto"/>
              </w:rPr>
            </w:pPr>
            <w:r>
              <w:rPr>
                <w:rFonts w:ascii="Arial" w:cs="Arial" w:eastAsia="Arial" w:hAnsi="Arial"/>
                <w:sz w:val="18"/>
                <w:szCs w:val="18"/>
                <w:color w:val="auto"/>
              </w:rPr>
              <w:t>94,904</w:t>
            </w:r>
          </w:p>
        </w:tc>
        <w:tc>
          <w:tcPr>
            <w:tcW w:w="1680" w:type="dxa"/>
            <w:vAlign w:val="bottom"/>
            <w:tcBorders>
              <w:bottom w:val="single" w:sz="8" w:color="2D53A6"/>
            </w:tcBorders>
          </w:tcPr>
          <w:p>
            <w:pPr>
              <w:jc w:val="right"/>
              <w:spacing w:after="0" w:line="196" w:lineRule="exact"/>
              <w:rPr>
                <w:sz w:val="20"/>
                <w:szCs w:val="20"/>
                <w:color w:val="auto"/>
              </w:rPr>
            </w:pPr>
            <w:r>
              <w:rPr>
                <w:rFonts w:ascii="Arial" w:cs="Arial" w:eastAsia="Arial" w:hAnsi="Arial"/>
                <w:sz w:val="18"/>
                <w:szCs w:val="18"/>
                <w:color w:val="auto"/>
              </w:rPr>
              <w:t>149,981</w:t>
            </w:r>
          </w:p>
        </w:tc>
        <w:tc>
          <w:tcPr>
            <w:tcW w:w="40" w:type="dxa"/>
            <w:vAlign w:val="bottom"/>
            <w:tcBorders>
              <w:bottom w:val="single" w:sz="8" w:color="2D53A6"/>
              <w:right w:val="single" w:sz="8" w:color="2D53A6"/>
            </w:tcBorders>
          </w:tcPr>
          <w:p>
            <w:pPr>
              <w:spacing w:after="0"/>
              <w:rPr>
                <w:sz w:val="17"/>
                <w:szCs w:val="17"/>
                <w:color w:val="auto"/>
              </w:rPr>
            </w:pPr>
          </w:p>
        </w:tc>
        <w:tc>
          <w:tcPr>
            <w:tcW w:w="1660" w:type="dxa"/>
            <w:vAlign w:val="bottom"/>
            <w:tcBorders>
              <w:bottom w:val="single" w:sz="8" w:color="2D53A6"/>
              <w:right w:val="single" w:sz="8" w:color="2D53A6"/>
            </w:tcBorders>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tcPr>
          <w:p>
            <w:pPr>
              <w:jc w:val="right"/>
              <w:spacing w:after="0" w:line="196" w:lineRule="exact"/>
              <w:rPr>
                <w:sz w:val="20"/>
                <w:szCs w:val="20"/>
                <w:color w:val="auto"/>
              </w:rPr>
            </w:pPr>
            <w:r>
              <w:rPr>
                <w:rFonts w:ascii="Arial" w:cs="Arial" w:eastAsia="Arial" w:hAnsi="Arial"/>
                <w:sz w:val="18"/>
                <w:szCs w:val="18"/>
                <w:color w:val="auto"/>
              </w:rPr>
              <w:t>244,885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Steven J. Bilodeau </w:t>
            </w:r>
            <w:r>
              <w:rPr>
                <w:rFonts w:ascii="Arial" w:cs="Arial" w:eastAsia="Arial" w:hAnsi="Arial"/>
                <w:sz w:val="24"/>
                <w:szCs w:val="24"/>
                <w:color w:val="auto"/>
                <w:vertAlign w:val="superscript"/>
              </w:rPr>
              <w:t>(3)</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96,500</w:t>
            </w:r>
          </w:p>
        </w:tc>
        <w:tc>
          <w:tcPr>
            <w:tcW w:w="1720" w:type="dxa"/>
            <w:vAlign w:val="bottom"/>
            <w:tcBorders>
              <w:bottom w:val="single" w:sz="8" w:color="2D53A6"/>
              <w:right w:val="single" w:sz="8" w:color="2D53A6"/>
            </w:tcBorders>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149,981</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246,481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Andrew M. Caggia </w:t>
            </w:r>
            <w:r>
              <w:rPr>
                <w:rFonts w:ascii="Arial" w:cs="Arial" w:eastAsia="Arial" w:hAnsi="Arial"/>
                <w:sz w:val="24"/>
                <w:szCs w:val="24"/>
                <w:color w:val="auto"/>
                <w:vertAlign w:val="superscript"/>
              </w:rPr>
              <w:t>(3)</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80,000</w:t>
            </w:r>
          </w:p>
        </w:tc>
        <w:tc>
          <w:tcPr>
            <w:tcW w:w="1720" w:type="dxa"/>
            <w:vAlign w:val="bottom"/>
            <w:tcBorders>
              <w:bottom w:val="single" w:sz="8" w:color="2D53A6"/>
              <w:right w:val="single" w:sz="8" w:color="2D53A6"/>
            </w:tcBorders>
            <w:gridSpan w:val="2"/>
          </w:tcPr>
          <w:p>
            <w:pPr>
              <w:jc w:val="right"/>
              <w:ind w:right="40"/>
              <w:spacing w:after="0"/>
              <w:rPr>
                <w:sz w:val="20"/>
                <w:szCs w:val="20"/>
                <w:color w:val="auto"/>
              </w:rPr>
            </w:pPr>
            <w:r>
              <w:rPr>
                <w:rFonts w:ascii="Arial" w:cs="Arial" w:eastAsia="Arial" w:hAnsi="Arial"/>
                <w:sz w:val="18"/>
                <w:szCs w:val="18"/>
                <w:color w:val="auto"/>
              </w:rPr>
              <w:t>149,981</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229,981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Lynne J. Camp </w:t>
            </w:r>
            <w:r>
              <w:rPr>
                <w:rFonts w:ascii="Arial" w:cs="Arial" w:eastAsia="Arial" w:hAnsi="Arial"/>
                <w:sz w:val="24"/>
                <w:szCs w:val="24"/>
                <w:color w:val="auto"/>
                <w:vertAlign w:val="superscript"/>
              </w:rPr>
              <w:t>(4)</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24,663</w:t>
            </w:r>
          </w:p>
        </w:tc>
        <w:tc>
          <w:tcPr>
            <w:tcW w:w="1720" w:type="dxa"/>
            <w:vAlign w:val="bottom"/>
            <w:tcBorders>
              <w:bottom w:val="single" w:sz="8" w:color="2D53A6"/>
              <w:right w:val="single" w:sz="8" w:color="2D53A6"/>
            </w:tcBorders>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James A. Donahue</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95,000</w:t>
            </w:r>
          </w:p>
        </w:tc>
        <w:tc>
          <w:tcPr>
            <w:tcW w:w="1720" w:type="dxa"/>
            <w:vAlign w:val="bottom"/>
            <w:tcBorders>
              <w:bottom w:val="single" w:sz="8" w:color="2D53A6"/>
              <w:right w:val="single" w:sz="8" w:color="2D53A6"/>
            </w:tcBorders>
            <w:gridSpan w:val="2"/>
          </w:tcPr>
          <w:p>
            <w:pPr>
              <w:jc w:val="right"/>
              <w:ind w:right="40"/>
              <w:spacing w:after="0"/>
              <w:rPr>
                <w:sz w:val="20"/>
                <w:szCs w:val="20"/>
                <w:color w:val="auto"/>
              </w:rPr>
            </w:pPr>
            <w:r>
              <w:rPr>
                <w:rFonts w:ascii="Arial" w:cs="Arial" w:eastAsia="Arial" w:hAnsi="Arial"/>
                <w:sz w:val="18"/>
                <w:szCs w:val="18"/>
                <w:color w:val="auto"/>
              </w:rPr>
              <w:t>149,981</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32,561</w:t>
            </w:r>
          </w:p>
        </w:tc>
        <w:tc>
          <w:tcPr>
            <w:tcW w:w="16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277,542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Yon Y. Jorden</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70,000</w:t>
            </w:r>
          </w:p>
        </w:tc>
        <w:tc>
          <w:tcPr>
            <w:tcW w:w="1720" w:type="dxa"/>
            <w:vAlign w:val="bottom"/>
            <w:tcBorders>
              <w:bottom w:val="single" w:sz="8" w:color="2D53A6"/>
              <w:right w:val="single" w:sz="8" w:color="2D53A6"/>
            </w:tcBorders>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149,981</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219,981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Andreas W. Mattes </w:t>
            </w:r>
            <w:r>
              <w:rPr>
                <w:rFonts w:ascii="Arial" w:cs="Arial" w:eastAsia="Arial" w:hAnsi="Arial"/>
                <w:sz w:val="24"/>
                <w:szCs w:val="24"/>
                <w:color w:val="auto"/>
                <w:vertAlign w:val="superscript"/>
              </w:rPr>
              <w:t>(5)</w:t>
            </w:r>
          </w:p>
        </w:tc>
        <w:tc>
          <w:tcPr>
            <w:tcW w:w="16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10,848</w:t>
            </w:r>
          </w:p>
        </w:tc>
        <w:tc>
          <w:tcPr>
            <w:tcW w:w="1720" w:type="dxa"/>
            <w:vAlign w:val="bottom"/>
            <w:tcBorders>
              <w:bottom w:val="single" w:sz="8" w:color="2D53A6"/>
              <w:right w:val="single" w:sz="8" w:color="2D53A6"/>
            </w:tcBorders>
            <w:gridSpan w:val="2"/>
          </w:tcPr>
          <w:p>
            <w:pPr>
              <w:jc w:val="right"/>
              <w:ind w:right="40"/>
              <w:spacing w:after="0"/>
              <w:rPr>
                <w:sz w:val="20"/>
                <w:szCs w:val="20"/>
                <w:color w:val="auto"/>
              </w:rPr>
            </w:pPr>
            <w:r>
              <w:rPr>
                <w:rFonts w:ascii="Arial" w:cs="Arial" w:eastAsia="Arial" w:hAnsi="Arial"/>
                <w:sz w:val="18"/>
                <w:szCs w:val="18"/>
                <w:color w:val="auto"/>
              </w:rPr>
              <w:t>89,915</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100,763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Nina L. Richardson </w:t>
            </w:r>
            <w:r>
              <w:rPr>
                <w:rFonts w:ascii="Arial" w:cs="Arial" w:eastAsia="Arial" w:hAnsi="Arial"/>
                <w:sz w:val="24"/>
                <w:szCs w:val="24"/>
                <w:color w:val="auto"/>
                <w:vertAlign w:val="superscript"/>
              </w:rPr>
              <w:t>(3)</w:t>
            </w:r>
          </w:p>
        </w:tc>
        <w:tc>
          <w:tcPr>
            <w:tcW w:w="16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67,500</w:t>
            </w:r>
          </w:p>
        </w:tc>
        <w:tc>
          <w:tcPr>
            <w:tcW w:w="1720" w:type="dxa"/>
            <w:vAlign w:val="bottom"/>
            <w:tcBorders>
              <w:bottom w:val="single" w:sz="8" w:color="2D53A6"/>
              <w:right w:val="single" w:sz="8" w:color="2D53A6"/>
            </w:tcBorders>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149,981</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217,481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6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Amounts shown do not reflect compensation actually received by the directors. Instead, the amounts above are the grant date fair value for stock awards issued in the form of RSUs granted in fiscal 2022 calculated in accordance with FASB ASC Topic 718. The assumptions used to calculate the grant date fair value of the stock awards are set forth in Note 6, “Employee Benefit Plans”, included in Part IV, Item 15(a) of Cohu’s Annual Report on Form 10-K for the year ended December 31, 2022, filed with the SEC. The derived grant date fair value for the stock award is recognized, for financial statement purposes, over the number of days of service required for the award to vest in full. As of December 31, 2022, Mses. Jorden and Richardson had 7,781 and 5,091 unvested RSUs outstanding, respectively, and Messrs. Bendush, Bilodeau, Caggia, Donahue each had 5,091 unvested RSUs outstanding. Mr. Mattes had 2,714 unvested RSUs outstanding.</w:t>
      </w:r>
    </w:p>
    <w:p>
      <w:pPr>
        <w:spacing w:after="0" w:line="4" w:lineRule="exact"/>
        <w:rPr>
          <w:rFonts w:ascii="Arial" w:cs="Arial" w:eastAsia="Arial" w:hAnsi="Arial"/>
          <w:sz w:val="17"/>
          <w:szCs w:val="17"/>
          <w:color w:val="auto"/>
        </w:rPr>
      </w:pPr>
    </w:p>
    <w:p>
      <w:pPr>
        <w:ind w:left="340" w:right="30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shown for Mr. Donahue is for reimbursement of health insurance premiums and other medical costs for him and his spouse not covered by insurance.</w:t>
      </w:r>
    </w:p>
    <w:p>
      <w:pPr>
        <w:ind w:left="340" w:right="8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year ended December 31, 2022, Messrs. Bilodeau and Caggia elected to defer their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31, 2022, Ms. Richardson and Messrs. Bilodeau and Caggia had 11,992, 38,162 and 32,630 DSUs,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 Camp did not stand for re-election effective May 4, 2022, and fees shown above represent amounts earned prior to her departure from the Board.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Mattes was appointed to the Board effective November 1,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4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694055"/>
                    </a:xfrm>
                    <a:prstGeom prst="rect">
                      <a:avLst/>
                    </a:prstGeom>
                    <a:noFill/>
                  </pic:spPr>
                </pic:pic>
              </a:graphicData>
            </a:graphic>
          </wp:anchor>
        </w:drawing>
        <w:t>Compensation Matters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Executive Compensation and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Discussion and Analysis</w:t>
      </w:r>
    </w:p>
    <w:p>
      <w:pPr>
        <w:spacing w:after="0" w:line="21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This Compensation Discussion and Analysis (“CD&amp;A”) provides information regarding the 2022 compensation program for our Chief Executive Officer, Chief Financial Officer, and the next three most highly compensated executive officers of Cohu at the end of 2022. These individuals were: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650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Position(s)</w:t>
            </w:r>
          </w:p>
        </w:tc>
      </w:tr>
      <w:tr>
        <w:trPr>
          <w:trHeight w:val="216"/>
        </w:trPr>
        <w:tc>
          <w:tcPr>
            <w:tcW w:w="474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650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President and Chief Executive Officer (our “CEO”)</w:t>
            </w:r>
          </w:p>
        </w:tc>
      </w:tr>
      <w:tr>
        <w:trPr>
          <w:trHeight w:val="209"/>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650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10"/>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6500" w:type="dxa"/>
            <w:vAlign w:val="bottom"/>
            <w:tcBorders>
              <w:bottom w:val="single" w:sz="8" w:color="2D53A6"/>
            </w:tcBorders>
          </w:tcPr>
          <w:p>
            <w:pPr>
              <w:spacing w:after="0" w:line="210" w:lineRule="exact"/>
              <w:rPr>
                <w:sz w:val="20"/>
                <w:szCs w:val="20"/>
                <w:color w:val="auto"/>
              </w:rPr>
            </w:pPr>
            <w:r>
              <w:rPr>
                <w:rFonts w:ascii="Arial" w:cs="Arial" w:eastAsia="Arial" w:hAnsi="Arial"/>
                <w:sz w:val="15"/>
                <w:szCs w:val="15"/>
                <w:color w:val="auto"/>
              </w:rPr>
              <w:t xml:space="preserve">Senior Vice President and Chief Customer Officer </w:t>
            </w:r>
            <w:r>
              <w:rPr>
                <w:rFonts w:ascii="Arial" w:cs="Arial" w:eastAsia="Arial" w:hAnsi="Arial"/>
                <w:sz w:val="24"/>
                <w:szCs w:val="24"/>
                <w:color w:val="auto"/>
                <w:vertAlign w:val="superscript"/>
              </w:rPr>
              <w:t>(1)</w:t>
            </w:r>
          </w:p>
        </w:tc>
      </w:tr>
      <w:tr>
        <w:trPr>
          <w:trHeight w:val="209"/>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650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09"/>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650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Senior Vice President and General Manager, Semiconductor Test Group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On February 2, 2023, Mr. Bohrson’s title was changed to Senior Vice President and Chief Customer Officer.</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2022, and how we use our executive compensation program to drive performance. In addition, we explain how and why the Compensation Committee of our Board of Directors, referred to as our “Compensation Committee,” arrived at the specific compensation policies and decisions involving our NEOs during 2022.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2D53A6"/>
        </w:rPr>
        <w:t>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Business Highlights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2022 presented business challenges for us including the continuing impact of supply chain issues, a general slowdown in the market, and macro-economic pressures we have not faced in recent years. Despite these impediments, we delivered solid sales and outstanding profitability for the year including these highlights:</w:t>
      </w:r>
    </w:p>
    <w:p>
      <w:pPr>
        <w:spacing w:after="0" w:line="184" w:lineRule="exact"/>
        <w:rPr>
          <w:sz w:val="20"/>
          <w:szCs w:val="20"/>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Sales were strong at $812.8 million even with weakening market conditions in the second half of the year.</w:t>
      </w:r>
    </w:p>
    <w:p>
      <w:pPr>
        <w:spacing w:after="0" w:line="23" w:lineRule="exact"/>
        <w:rPr>
          <w:rFonts w:ascii="Arial" w:cs="Arial" w:eastAsia="Arial" w:hAnsi="Arial"/>
          <w:sz w:val="18"/>
          <w:szCs w:val="18"/>
          <w:color w:val="auto"/>
        </w:rPr>
      </w:pPr>
    </w:p>
    <w:p>
      <w:pPr>
        <w:ind w:left="980" w:hanging="324"/>
        <w:spacing w:after="0" w:line="218"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Gross margin improved by approximately 360 basis points over 2021 to approximately 47%</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the company delivered on business targets.</w:t>
      </w:r>
    </w:p>
    <w:p>
      <w:pPr>
        <w:ind w:left="980" w:right="220" w:hanging="324"/>
        <w:spacing w:after="0" w:line="191"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Increased profitability even with softening revenue levels resulted in Non-GAAP Pretax Income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increasing over the previous year record 21.6% of revenue in 2022.</w:t>
      </w:r>
    </w:p>
    <w:p>
      <w:pPr>
        <w:ind w:left="980" w:hanging="324"/>
        <w:spacing w:after="0" w:line="182"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Non-GAAP earnings per share were $2.91</w:t>
      </w:r>
      <w:r>
        <w:rPr>
          <w:rFonts w:ascii="Arial" w:cs="Arial" w:eastAsia="Arial" w:hAnsi="Arial"/>
          <w:sz w:val="28"/>
          <w:szCs w:val="28"/>
          <w:color w:val="auto"/>
          <w:vertAlign w:val="superscript"/>
        </w:rPr>
        <w:t>(1)</w:t>
      </w:r>
    </w:p>
    <w:p>
      <w:pPr>
        <w:ind w:left="980" w:right="100" w:hanging="324"/>
        <w:spacing w:after="0" w:line="258"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delivered outstanding operational execution in the face of continuing supply chain challenges, inflationary pressures on costs and general softening in the semiconductor equipment market.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GAAP to 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Executive Compensation Notable Actions</w:t>
      </w:r>
    </w:p>
    <w:p>
      <w:pPr>
        <w:spacing w:after="0" w:line="22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Consistent with our performance and the compensation objectives established for 2022, the Compensation Committee approved the following compensation actions for NEOs for 2022:</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Awarded our NEOs, including our CEO, annual cash incentives at 193% of their target annual cash incentive opportunity; and</w:t>
      </w:r>
    </w:p>
    <w:p>
      <w:pPr>
        <w:spacing w:after="0" w:line="36"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Granted long-term incentive compensation in the form of time-based vesting restricted stock units (“RSUs”) and performance share units (“PSUs”) to be earned based on our total stockholder return (“TSR”) relative to a preselected comparator group for a 3-year period from 2022 through 2024.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Pay for Performance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believes that the compensation of our NEOs for 2022 was reasonable and appropriate, was justified by our performance, and carefully balanced both time-based and performance-based compensation elements. 2022 compensation objectives for our NEOs were established in February 2022. The following chart illustrates the mix of elements of the target total direct compensation opportunity for our CEO for 2022 with 50% of his compensation performance based, 69% paid in the form of future equity opportunity and 31% cash. In March 2023, the Compensation Committee determined that the performance-based equity portion of the long-term incentive granted to the CEO and other NEOs would increase from 50% to 60% of the total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131445</wp:posOffset>
            </wp:positionV>
            <wp:extent cx="4131945" cy="3214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3194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Further, the compensation of our NEOs over the previous five years demonstrates the alignment between pay and performance. The variable cash compensation for our NEOs for each year from 2018 through 2022 varied from 33% to 193% of their target annual cash incentive opportunities based on our financial performance. For example:</w:t>
      </w:r>
    </w:p>
    <w:p>
      <w:pPr>
        <w:spacing w:after="0" w:line="184" w:lineRule="exact"/>
        <w:rPr>
          <w:sz w:val="20"/>
          <w:szCs w:val="20"/>
          <w:color w:val="auto"/>
        </w:rPr>
      </w:pPr>
    </w:p>
    <w:p>
      <w:pPr>
        <w:ind w:left="980" w:right="160" w:hanging="324"/>
        <w:spacing w:after="0" w:line="279"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2018, we delivered good results despite softening market conditions in the second half of the year, particularly in the mobility and automotive segments, and slowing growth in China consumer spending. We executed the transformative acquisition of Xcerra, doubling our sales and employee population, based on the last twelve months immediately preceding the acquisition. NEOs received variable cash compensation amounts ranging from 89% to 117% of their target annual cash incentive opportunities.</w:t>
      </w:r>
    </w:p>
    <w:p>
      <w:pPr>
        <w:spacing w:after="0" w:line="171" w:lineRule="exact"/>
        <w:rPr>
          <w:rFonts w:ascii="Arial" w:cs="Arial" w:eastAsia="Arial" w:hAnsi="Arial"/>
          <w:sz w:val="17"/>
          <w:szCs w:val="17"/>
          <w:color w:val="auto"/>
        </w:rPr>
      </w:pPr>
    </w:p>
    <w:p>
      <w:pPr>
        <w:ind w:left="980" w:right="30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2019 was a challenging year. Notwithstanding, Cohu still achieved its fourth consecutive year of sales growth in a weak semiconductor market while implementing the integration of Xcerra, delivering $40 million in annual run-rate cost synergies at year-end. This resulted in variable cash compensation to our NEOs ranging from 33% to 45% of their target annual cash incentive opportunities, which reflected the aggressive performance targets established for the 2019 plan year.</w:t>
      </w:r>
    </w:p>
    <w:p>
      <w:pPr>
        <w:spacing w:after="0" w:line="186"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2020 presented unique challenges due to the COVID-19 pandemic and the rapid ramp in business occurring in the second half of the year. Under the variable cash compensation program, NEOs including our CEO received 103% of their target annual cash incentive opportunities.</w:t>
      </w:r>
    </w:p>
    <w:p>
      <w:pPr>
        <w:spacing w:after="0" w:line="123" w:lineRule="exact"/>
        <w:rPr>
          <w:rFonts w:ascii="Arial" w:cs="Arial" w:eastAsia="Arial" w:hAnsi="Arial"/>
          <w:sz w:val="16"/>
          <w:szCs w:val="16"/>
          <w:color w:val="auto"/>
        </w:rPr>
      </w:pPr>
    </w:p>
    <w:p>
      <w:pPr>
        <w:ind w:left="980" w:right="10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2021 continued to pose COVID-19 pandemic related challenges yet Cohu still had record revenue, profitability and order levels resulting in the seventh consecutive year of sales growth. Due to this strong performance, NEOs including our CEO received 168% of their target annual cash incentive opportunities.</w:t>
      </w:r>
    </w:p>
    <w:p>
      <w:pPr>
        <w:spacing w:after="0" w:line="183" w:lineRule="exact"/>
        <w:rPr>
          <w:rFonts w:ascii="Arial" w:cs="Arial" w:eastAsia="Arial" w:hAnsi="Arial"/>
          <w:sz w:val="18"/>
          <w:szCs w:val="18"/>
          <w:color w:val="auto"/>
        </w:rPr>
      </w:pPr>
    </w:p>
    <w:p>
      <w:pPr>
        <w:jc w:val="both"/>
        <w:ind w:left="980" w:right="12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2022, as discussed previously, Cohu continued to face supply chain related challenges, inflationary cost pressures and a softening market, yet Cohu still achieved record profitability. Due to this robust performance in difficult market conditions, NEOs including our CEO received 193% of their target annual cash incentive opportunities.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1134110</wp:posOffset>
            </wp:positionH>
            <wp:positionV relativeFrom="page">
              <wp:posOffset>380365</wp:posOffset>
            </wp:positionV>
            <wp:extent cx="5288915" cy="4071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28891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2012, all NEOs have had some portion of their long-term incentive compensation based on PSUs that require achievement of business goals to earn a payout. Starting in 2015, the PSU portion of the long-term incentive program was earned based solely on our TSR relative to a pre-selected comparator group of companies. Effective with the 2021 PSU grants, awards will be earned based on our TSR relative to the Russell 2000 index as described in the “Long-Term Incentive Compensation” section that follows. The weighting of these PSUs in relation to time-based RSU grants has also evolved over the years and effective with the long-term incentive grants made in March 2023, 60% of each NEO’s total annual equity grant value will be awarded in PSUs and 40% will be awarded in RSUs. Since 2018, Our NEOs have historically earned from a low of 44% of their target PSU award to a high of 142% of their target PSU award.</w:t>
      </w:r>
    </w:p>
    <w:p>
      <w:pPr>
        <w:spacing w:after="0" w:line="195"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2022 we eliminated the 25% minimum number of PSUs that were guaranteed to vest, regardless of performance. This formula is described in detail in the section entitled “Long-Term Incentive Compensation” below.</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2022 Executive Compensation Policies and Practices</w:t>
      </w:r>
    </w:p>
    <w:p>
      <w:pPr>
        <w:spacing w:after="0" w:line="21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2022:</w:t>
      </w:r>
    </w:p>
    <w:p>
      <w:pPr>
        <w:spacing w:after="0" w:line="14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Compensation Committee</w:t>
      </w:r>
      <w:r>
        <w:rPr>
          <w:rFonts w:ascii="Arial" w:cs="Arial" w:eastAsia="Arial" w:hAnsi="Arial"/>
          <w:sz w:val="18"/>
          <w:szCs w:val="18"/>
          <w:color w:val="auto"/>
        </w:rPr>
        <w:t>. The Compensation Committee is comprised solely of independent directors.</w:t>
      </w:r>
    </w:p>
    <w:p>
      <w:pPr>
        <w:spacing w:after="0" w:line="23"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Compensation Committee Advisors</w:t>
      </w:r>
      <w:r>
        <w:rPr>
          <w:rFonts w:ascii="Arial" w:cs="Arial" w:eastAsia="Arial" w:hAnsi="Arial"/>
          <w:sz w:val="18"/>
          <w:szCs w:val="18"/>
          <w:color w:val="auto"/>
        </w:rPr>
        <w:t>. The Compensation Committee engaged its own compensation consultant to assist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compensation and governance reviews. This consultant performed no other consulting or services for us.</w:t>
      </w:r>
    </w:p>
    <w:p>
      <w:pPr>
        <w:ind w:left="980" w:right="44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conducts an annual review and approval of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including a review of our compensation peer group used for comparative purposes.</w:t>
      </w:r>
    </w:p>
    <w:p>
      <w:pPr>
        <w:ind w:left="980" w:right="340" w:hanging="324"/>
        <w:spacing w:after="0" w:line="290"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Compensation-Related Risk Review. </w:t>
      </w:r>
      <w:r>
        <w:rPr>
          <w:rFonts w:ascii="Arial" w:cs="Arial" w:eastAsia="Arial" w:hAnsi="Arial"/>
          <w:sz w:val="17"/>
          <w:szCs w:val="17"/>
          <w:color w:val="auto"/>
        </w:rPr>
        <w:t>The Compensation Committee conducts an annual review of our compensation-related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profile to ensure that compensation practices are not reasonably likely to have a material adverse effect on Cohu.</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jc w:val="both"/>
        <w:ind w:left="980" w:right="100" w:hanging="324"/>
        <w:spacing w:after="0" w:line="25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Executive Compensation Policies and Practices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philosophy and related corporate governance policies and practices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complemented by several specific compensation policies and practices that are designed to align our executive compensation with long-term stockholder interests, including the following:</w:t>
      </w:r>
    </w:p>
    <w:p>
      <w:pPr>
        <w:spacing w:after="0" w:line="1" w:lineRule="exact"/>
        <w:rPr>
          <w:rFonts w:ascii="Arial" w:cs="Arial" w:eastAsia="Arial" w:hAnsi="Arial"/>
          <w:sz w:val="18"/>
          <w:szCs w:val="18"/>
          <w:color w:val="auto"/>
        </w:rPr>
      </w:pPr>
    </w:p>
    <w:p>
      <w:pPr>
        <w:ind w:left="1300" w:right="40" w:hanging="320"/>
        <w:spacing w:after="0" w:line="265"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Compensation At-Risk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executive compensation program is designed so that a significant portion of compensation is “at risk” 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corporate performance, as well as equity-based to align the interests of our executive officers and stockholders.</w:t>
      </w:r>
    </w:p>
    <w:p>
      <w:pPr>
        <w:ind w:left="130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Defined Benefit Pension Plans. </w:t>
      </w:r>
      <w:r>
        <w:rPr>
          <w:rFonts w:ascii="Arial" w:cs="Arial" w:eastAsia="Arial" w:hAnsi="Arial"/>
          <w:sz w:val="18"/>
          <w:szCs w:val="18"/>
          <w:color w:val="auto"/>
        </w:rPr>
        <w:t>We do not currently offer, nor do we have plans to provide, defined benefit pension arrangements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officers.</w:t>
      </w: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Limited Perquisites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minimal perquisites and other personal benefits to our executive officers.</w:t>
      </w:r>
    </w:p>
    <w:p>
      <w:pPr>
        <w:spacing w:after="0" w:line="9" w:lineRule="exact"/>
        <w:rPr>
          <w:rFonts w:ascii="Arial" w:cs="Arial" w:eastAsia="Arial" w:hAnsi="Arial"/>
          <w:sz w:val="18"/>
          <w:szCs w:val="18"/>
          <w:color w:val="auto"/>
        </w:rPr>
      </w:pPr>
    </w:p>
    <w:p>
      <w:pPr>
        <w:jc w:val="both"/>
        <w:ind w:left="1300" w:right="58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No Tax Reimbursements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provide any tax or gross-up reimbursement payments on any severance or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perquisites or other personal benefits other than standard relocation benefits and tax equalization agreements related to expatriate assignments.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“Double-Trigger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Change-in-Control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change-in-control payments and benefits are based on a “double-trigger” arrangement (that is, they require both a change-in-control of Cohu plus a qualifying termination of employment before payments and benefits are paid), although the vesting of equity awards will accelerate in full if the awards are not assumed or replaced by an acquiring corporation.</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Performance-Based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performance-based short-term and long-term incentives and do not have common or overlapping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between these programs.</w:t>
      </w:r>
    </w:p>
    <w:p>
      <w:pPr>
        <w:ind w:left="1300" w:right="10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Incentive Compensation Recoupment Policy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compensation awarded to our executive officers is subject to recoupment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if our financial results are restated.</w:t>
      </w:r>
    </w:p>
    <w:p>
      <w:pPr>
        <w:ind w:left="1300" w:right="48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Multi-Year Vesting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awards granted to our executive officer’s vest or are earned over multi-year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current market practice and our retention objectives.</w:t>
      </w:r>
    </w:p>
    <w:p>
      <w:pPr>
        <w:ind w:left="1300" w:right="80" w:hanging="320"/>
        <w:spacing w:after="0" w:line="25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Hedging and Pledging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prohibit our employees, including our executive officers and directors, from hedging or pledging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Company securities.</w:t>
      </w:r>
    </w:p>
    <w:p>
      <w:pPr>
        <w:ind w:left="1300" w:right="420" w:hanging="320"/>
        <w:spacing w:after="0" w:line="260"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Stock Ownership Policy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 stock ownership policy for our executive officers and directors that require each of them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beneficially own a specified value of shares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Stockholder Advisory Vote on Executive Compensation</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our 2022 Annual Meeting of Stockholders, we conducted a stockholder advisory vote on the 2021 compensation of our NEOs (commonly known as a “Say-on-Pay” vote). Our stockholders approved, in a non-binding vote, the 2021 compensation of our NEOs, as disclosed in our proxy statement for the 2022 Annual Meeting of Stockholders, with approximately 99.6% of the votes cast in favor of the proposal.</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results of a previous stockholder advisory vote on the frequency of future stockholder advisory votes regarding the compensation of our NEOs (commonly known as a “Say-When-on-Pay” vote) conducted at our 2017 Annual Meeting of Stockholders, our Board of Directors determined that we will hold our Say-on-Pay votes on an annual basis. We will conduct a follow-on stockholder advisory vote on the frequency of future Say-on-Pay advisory votes at the 2023 Annual Meeting. See “</w:t>
      </w:r>
      <w:r>
        <w:rPr>
          <w:rFonts w:ascii="Arial" w:cs="Arial" w:eastAsia="Arial" w:hAnsi="Arial"/>
          <w:sz w:val="18"/>
          <w:szCs w:val="18"/>
          <w:i w:val="1"/>
          <w:iCs w:val="1"/>
          <w:color w:val="auto"/>
        </w:rPr>
        <w:t>Proposal No. 3: Advisory vote on the frequency of holding an advisory vote on Named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380365</wp:posOffset>
            </wp:positionV>
            <wp:extent cx="4946015" cy="255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494601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80" w:hanging="314"/>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Percentages shown are percentage of votes cast. Abstentions are treated as</w:t>
      </w:r>
    </w:p>
    <w:p>
      <w:pPr>
        <w:spacing w:after="0" w:line="23"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votes cast and have the effect of “Against” in respect to the Say-on-Pay proposal.</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Philosophy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intended to meet three principal objectives:</w:t>
      </w:r>
    </w:p>
    <w:p>
      <w:pPr>
        <w:spacing w:after="0" w:line="2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reward and retain our executive officers;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Motivate these individuals to achieve our short-term and long-term corporate goals that enhance stockholder value;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Support our core values and culture by promoting internal equity and external competitiveness.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meet these objectives, we have adopted the following overarching policies:</w:t>
      </w:r>
    </w:p>
    <w:p>
      <w:pPr>
        <w:spacing w:after="0" w:line="2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pay compensation that is competitive with the practices of other leading semiconductor equipment and similar technology companies; and</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pay for performance by:</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Providing a short-term incentive opportunity paid in cash that is based on challenging financial performance objectives for our executive officers; and</w:t>
      </w:r>
    </w:p>
    <w:p>
      <w:pPr>
        <w:ind w:left="1300" w:hanging="320"/>
        <w:spacing w:after="0" w:line="32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Providing long-term incentive opportunities in the form of a combination of RSU awards and PSU awards, that enable us to motivate and retain those executive officers with the leadership abilities necessary to create sustainable long-term value for our stockholders.</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Compensation-Setting Process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Role of the Compensation Committee</w:t>
      </w: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further described below. Based on its review and assessment, the Compensation Committee from time to time recommends changes in our executive compensation program.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ind w:right="120"/>
        <w:spacing w:after="0" w:line="279" w:lineRule="auto"/>
        <w:rPr>
          <w:sz w:val="20"/>
          <w:szCs w:val="20"/>
          <w:color w:val="auto"/>
        </w:rPr>
      </w:pPr>
      <w:r>
        <w:rPr>
          <w:rFonts w:ascii="Arial" w:cs="Arial" w:eastAsia="Arial" w:hAnsi="Arial"/>
          <w:sz w:val="17"/>
          <w:szCs w:val="17"/>
          <w:color w:val="auto"/>
        </w:rPr>
        <w:t>The Compensation Committee reviews our executive compensation program on an annual basis, including each of the elements of compensation provided under the program (other than deferred compensation and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corporate growth and other elements of financial performance.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including his or her achievement of management objectives.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the relevant competitive market data, as described below.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skill set, prior experience, and tenure of the executive officer.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role and responsibilities of the executive officer.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past and expected future contribution of the executive officer.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pay consistency for similar positions or skill levels within Cohu.</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External factors to attract and retain talent and overall market conditions.</w:t>
      </w:r>
    </w:p>
    <w:p>
      <w:pPr>
        <w:spacing w:after="0" w:line="21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Role of Management</w:t>
      </w:r>
    </w:p>
    <w:p>
      <w:pPr>
        <w:spacing w:after="0" w:line="213"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On occasion, the Compensation Committee meets with our CEO and/or our other executive officers and our Vice President of Human Resources to obtain information and recommendations with respect to our executive compensation program, policies, and practices, as well as the compensation arrangements of our executive officers. In 2022, the Compensation Committee met with Dr. M</w:t>
      </w:r>
      <w:r>
        <w:rPr>
          <w:rFonts w:ascii="MS PGothic" w:cs="MS PGothic" w:eastAsia="MS PGothic" w:hAnsi="MS PGothic"/>
          <w:sz w:val="17"/>
          <w:szCs w:val="17"/>
          <w:color w:val="auto"/>
        </w:rPr>
        <w:t>✔</w:t>
      </w:r>
      <w:r>
        <w:rPr>
          <w:rFonts w:ascii="Arial" w:cs="Arial" w:eastAsia="Arial" w:hAnsi="Arial"/>
          <w:sz w:val="17"/>
          <w:szCs w:val="17"/>
          <w:color w:val="auto"/>
        </w:rPr>
        <w:t>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20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2022,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Role of Compensation Consultant</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87"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Effective beginning in 2022, the Compensation Committee’s practice is to have Compensia prepare a comprehensive executive compensation analysis annually and directors compensation analysis in alternating years. In 2022, Compensia completed both the executive and director market assessments.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Compensia reports directly to the Compensation Committee. The Compensation Committee may replace Compensia or hire additional advisors at any time. Compensia does not provide any other services to us and receives compensation only with respect to the services provided to the Compensation Committee.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220"/>
        <w:spacing w:after="0" w:line="342" w:lineRule="auto"/>
        <w:rPr>
          <w:sz w:val="20"/>
          <w:szCs w:val="20"/>
          <w:color w:val="auto"/>
        </w:rPr>
      </w:pPr>
      <w:r>
        <w:rPr>
          <w:rFonts w:ascii="Arial" w:cs="Arial" w:eastAsia="Arial" w:hAnsi="Arial"/>
          <w:sz w:val="16"/>
          <w:szCs w:val="16"/>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Competitive Positioning</w:t>
      </w:r>
    </w:p>
    <w:p>
      <w:pPr>
        <w:spacing w:after="0" w:line="2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arriving at its compensation decisions for our executive officers, including our NEOs, for 2022,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0.4x – 2.5x revenue, 0.25 – 5.0x our market capitalization, and that had similar scope of operations, and which the Compensation Committee believed may compete with us for executive talent.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2022, the Compensation Committee revised the compensation peer group due to the acquisition of CMC Materials and the divestiture of Brooks Automation’s semiconductor business to a privately held entity, and consequently these two companies no longer met the relevant peer financial profile. To increase the compensation peer group size, the Compensation Committee added two new members: Alpha and Omega Semiconductor, and National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Commencing July 2022, the compensation peer group consists of the following 19 companies: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auto"/>
              </w:rPr>
              <w:t>Advanced Energy Industries</w:t>
            </w:r>
          </w:p>
        </w:tc>
        <w:tc>
          <w:tcPr>
            <w:tcW w:w="2520" w:type="dxa"/>
            <w:vAlign w:val="bottom"/>
            <w:tcBorders>
              <w:top w:val="single" w:sz="8" w:color="auto"/>
            </w:tcBorders>
            <w:shd w:val="clear" w:color="auto" w:fill="E6E6E6"/>
          </w:tcPr>
          <w:p>
            <w:pPr>
              <w:ind w:left="360"/>
              <w:spacing w:after="0"/>
              <w:rPr>
                <w:sz w:val="20"/>
                <w:szCs w:val="20"/>
                <w:color w:val="auto"/>
              </w:rPr>
            </w:pPr>
            <w:r>
              <w:rPr>
                <w:rFonts w:ascii="Arial" w:cs="Arial" w:eastAsia="Arial" w:hAnsi="Arial"/>
                <w:sz w:val="18"/>
                <w:szCs w:val="18"/>
                <w:color w:val="auto"/>
              </w:rPr>
              <w:t>FormFactor</w:t>
            </w:r>
          </w:p>
        </w:tc>
        <w:tc>
          <w:tcPr>
            <w:tcW w:w="2580" w:type="dxa"/>
            <w:vAlign w:val="bottom"/>
            <w:tcBorders>
              <w:top w:val="single" w:sz="8" w:color="auto"/>
            </w:tcBorders>
            <w:shd w:val="clear" w:color="auto" w:fill="E6E6E6"/>
          </w:tcPr>
          <w:p>
            <w:pPr>
              <w:ind w:left="560"/>
              <w:spacing w:after="0"/>
              <w:rPr>
                <w:sz w:val="20"/>
                <w:szCs w:val="20"/>
                <w:color w:val="auto"/>
              </w:rPr>
            </w:pPr>
            <w:r>
              <w:rPr>
                <w:rFonts w:ascii="Arial" w:cs="Arial" w:eastAsia="Arial" w:hAnsi="Arial"/>
                <w:sz w:val="18"/>
                <w:szCs w:val="18"/>
                <w:color w:val="auto"/>
              </w:rPr>
              <w:t>MaxLinear</w:t>
            </w:r>
          </w:p>
        </w:tc>
        <w:tc>
          <w:tcPr>
            <w:tcW w:w="3340" w:type="dxa"/>
            <w:vAlign w:val="bottom"/>
            <w:tcBorders>
              <w:top w:val="single" w:sz="8" w:color="auto"/>
            </w:tcBorders>
            <w:shd w:val="clear" w:color="auto" w:fill="E6E6E6"/>
          </w:tcPr>
          <w:p>
            <w:pPr>
              <w:ind w:left="500"/>
              <w:spacing w:after="0"/>
              <w:rPr>
                <w:sz w:val="20"/>
                <w:szCs w:val="20"/>
                <w:color w:val="auto"/>
              </w:rPr>
            </w:pPr>
            <w:r>
              <w:rPr>
                <w:rFonts w:ascii="Arial" w:cs="Arial" w:eastAsia="Arial" w:hAnsi="Arial"/>
                <w:sz w:val="18"/>
                <w:szCs w:val="18"/>
                <w:color w:val="auto"/>
              </w:rPr>
              <w:t>Photronics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Alpha and Omega Semiconductor</w:t>
            </w:r>
          </w:p>
        </w:tc>
        <w:tc>
          <w:tcPr>
            <w:tcW w:w="2520" w:type="dxa"/>
            <w:vAlign w:val="bottom"/>
          </w:tcPr>
          <w:p>
            <w:pPr>
              <w:ind w:left="360"/>
              <w:spacing w:after="0"/>
              <w:rPr>
                <w:sz w:val="20"/>
                <w:szCs w:val="20"/>
                <w:color w:val="auto"/>
              </w:rPr>
            </w:pPr>
            <w:r>
              <w:rPr>
                <w:rFonts w:ascii="Arial" w:cs="Arial" w:eastAsia="Arial" w:hAnsi="Arial"/>
                <w:sz w:val="18"/>
                <w:szCs w:val="18"/>
                <w:color w:val="auto"/>
              </w:rPr>
              <w:t>Harmonic</w:t>
            </w:r>
          </w:p>
        </w:tc>
        <w:tc>
          <w:tcPr>
            <w:tcW w:w="2580" w:type="dxa"/>
            <w:vAlign w:val="bottom"/>
          </w:tcPr>
          <w:p>
            <w:pPr>
              <w:ind w:left="560"/>
              <w:spacing w:after="0"/>
              <w:rPr>
                <w:sz w:val="20"/>
                <w:szCs w:val="20"/>
                <w:color w:val="auto"/>
              </w:rPr>
            </w:pPr>
            <w:r>
              <w:rPr>
                <w:rFonts w:ascii="Arial" w:cs="Arial" w:eastAsia="Arial" w:hAnsi="Arial"/>
                <w:sz w:val="18"/>
                <w:szCs w:val="18"/>
                <w:color w:val="auto"/>
              </w:rPr>
              <w:t>National Instruments</w:t>
            </w:r>
          </w:p>
        </w:tc>
        <w:tc>
          <w:tcPr>
            <w:tcW w:w="3340" w:type="dxa"/>
            <w:vAlign w:val="bottom"/>
          </w:tcPr>
          <w:p>
            <w:pPr>
              <w:ind w:left="500"/>
              <w:spacing w:after="0"/>
              <w:rPr>
                <w:sz w:val="20"/>
                <w:szCs w:val="20"/>
                <w:color w:val="auto"/>
              </w:rPr>
            </w:pPr>
            <w:r>
              <w:rPr>
                <w:rFonts w:ascii="Arial" w:cs="Arial" w:eastAsia="Arial" w:hAnsi="Arial"/>
                <w:sz w:val="18"/>
                <w:szCs w:val="18"/>
                <w:color w:val="auto"/>
              </w:rPr>
              <w:t>SMART Global Holdings</w:t>
            </w:r>
          </w:p>
        </w:tc>
        <w:tc>
          <w:tcPr>
            <w:tcW w:w="0" w:type="dxa"/>
            <w:vAlign w:val="bottom"/>
          </w:tcPr>
          <w:p>
            <w:pPr>
              <w:spacing w:after="0"/>
              <w:rPr>
                <w:sz w:val="1"/>
                <w:szCs w:val="1"/>
                <w:color w:val="auto"/>
              </w:rPr>
            </w:pPr>
          </w:p>
        </w:tc>
      </w:tr>
      <w:tr>
        <w:trPr>
          <w:trHeight w:val="216"/>
        </w:trPr>
        <w:tc>
          <w:tcPr>
            <w:tcW w:w="2800" w:type="dxa"/>
            <w:vAlign w:val="bottom"/>
            <w:shd w:val="clear" w:color="auto" w:fill="E6E6E6"/>
          </w:tcPr>
          <w:p>
            <w:pPr>
              <w:spacing w:after="0"/>
              <w:rPr>
                <w:sz w:val="20"/>
                <w:szCs w:val="20"/>
                <w:color w:val="auto"/>
              </w:rPr>
            </w:pPr>
            <w:r>
              <w:rPr>
                <w:rFonts w:ascii="Arial" w:cs="Arial" w:eastAsia="Arial" w:hAnsi="Arial"/>
                <w:sz w:val="18"/>
                <w:szCs w:val="18"/>
                <w:color w:val="auto"/>
              </w:rPr>
              <w:t>Axcelis Technologies</w:t>
            </w:r>
          </w:p>
        </w:tc>
        <w:tc>
          <w:tcPr>
            <w:tcW w:w="2520" w:type="dxa"/>
            <w:vAlign w:val="bottom"/>
            <w:shd w:val="clear" w:color="auto" w:fill="E6E6E6"/>
          </w:tcPr>
          <w:p>
            <w:pPr>
              <w:ind w:left="360"/>
              <w:spacing w:after="0"/>
              <w:rPr>
                <w:sz w:val="20"/>
                <w:szCs w:val="20"/>
                <w:color w:val="auto"/>
              </w:rPr>
            </w:pPr>
            <w:r>
              <w:rPr>
                <w:rFonts w:ascii="Arial" w:cs="Arial" w:eastAsia="Arial" w:hAnsi="Arial"/>
                <w:sz w:val="18"/>
                <w:szCs w:val="18"/>
                <w:color w:val="auto"/>
              </w:rPr>
              <w:t>Ichor Holdings</w:t>
            </w:r>
          </w:p>
        </w:tc>
        <w:tc>
          <w:tcPr>
            <w:tcW w:w="2580" w:type="dxa"/>
            <w:vAlign w:val="bottom"/>
            <w:shd w:val="clear" w:color="auto" w:fill="E6E6E6"/>
          </w:tcPr>
          <w:p>
            <w:pPr>
              <w:ind w:left="560"/>
              <w:spacing w:after="0"/>
              <w:rPr>
                <w:sz w:val="20"/>
                <w:szCs w:val="20"/>
                <w:color w:val="auto"/>
              </w:rPr>
            </w:pPr>
            <w:r>
              <w:rPr>
                <w:rFonts w:ascii="Arial" w:cs="Arial" w:eastAsia="Arial" w:hAnsi="Arial"/>
                <w:sz w:val="18"/>
                <w:szCs w:val="18"/>
                <w:color w:val="auto"/>
              </w:rPr>
              <w:t>Novanta</w:t>
            </w:r>
          </w:p>
        </w:tc>
        <w:tc>
          <w:tcPr>
            <w:tcW w:w="3340" w:type="dxa"/>
            <w:vAlign w:val="bottom"/>
            <w:shd w:val="clear" w:color="auto" w:fill="E6E6E6"/>
          </w:tcPr>
          <w:p>
            <w:pPr>
              <w:ind w:left="500"/>
              <w:spacing w:after="0"/>
              <w:rPr>
                <w:sz w:val="20"/>
                <w:szCs w:val="20"/>
                <w:color w:val="auto"/>
              </w:rPr>
            </w:pPr>
            <w:r>
              <w:rPr>
                <w:rFonts w:ascii="Arial" w:cs="Arial" w:eastAsia="Arial" w:hAnsi="Arial"/>
                <w:sz w:val="18"/>
                <w:szCs w:val="18"/>
                <w:color w:val="auto"/>
              </w:rPr>
              <w:t>Ultra Clean Holdings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Badger Meter</w:t>
            </w:r>
          </w:p>
        </w:tc>
        <w:tc>
          <w:tcPr>
            <w:tcW w:w="2520" w:type="dxa"/>
            <w:vAlign w:val="bottom"/>
          </w:tcPr>
          <w:p>
            <w:pPr>
              <w:ind w:left="360"/>
              <w:spacing w:after="0"/>
              <w:rPr>
                <w:sz w:val="20"/>
                <w:szCs w:val="20"/>
                <w:color w:val="auto"/>
              </w:rPr>
            </w:pPr>
            <w:r>
              <w:rPr>
                <w:rFonts w:ascii="Arial" w:cs="Arial" w:eastAsia="Arial" w:hAnsi="Arial"/>
                <w:sz w:val="18"/>
                <w:szCs w:val="18"/>
                <w:color w:val="auto"/>
              </w:rPr>
              <w:t>Kulicke &amp; Soffa</w:t>
            </w:r>
          </w:p>
        </w:tc>
        <w:tc>
          <w:tcPr>
            <w:tcW w:w="2580" w:type="dxa"/>
            <w:vAlign w:val="bottom"/>
          </w:tcPr>
          <w:p>
            <w:pPr>
              <w:ind w:left="560"/>
              <w:spacing w:after="0"/>
              <w:rPr>
                <w:sz w:val="20"/>
                <w:szCs w:val="20"/>
                <w:color w:val="auto"/>
              </w:rPr>
            </w:pPr>
            <w:r>
              <w:rPr>
                <w:rFonts w:ascii="Arial" w:cs="Arial" w:eastAsia="Arial" w:hAnsi="Arial"/>
                <w:sz w:val="18"/>
                <w:szCs w:val="18"/>
                <w:color w:val="auto"/>
              </w:rPr>
              <w:t>Onto Innovation</w:t>
            </w:r>
          </w:p>
        </w:tc>
        <w:tc>
          <w:tcPr>
            <w:tcW w:w="3340" w:type="dxa"/>
            <w:vAlign w:val="bottom"/>
          </w:tcPr>
          <w:p>
            <w:pPr>
              <w:ind w:left="500"/>
              <w:spacing w:after="0"/>
              <w:rPr>
                <w:sz w:val="20"/>
                <w:szCs w:val="20"/>
                <w:color w:val="auto"/>
              </w:rPr>
            </w:pPr>
            <w:r>
              <w:rPr>
                <w:rFonts w:ascii="Arial" w:cs="Arial" w:eastAsia="Arial" w:hAnsi="Arial"/>
                <w:sz w:val="18"/>
                <w:szCs w:val="18"/>
                <w:color w:val="auto"/>
              </w:rPr>
              <w:t>Veeco Instruments</w:t>
            </w:r>
          </w:p>
        </w:tc>
        <w:tc>
          <w:tcPr>
            <w:tcW w:w="0" w:type="dxa"/>
            <w:vAlign w:val="bottom"/>
          </w:tcPr>
          <w:p>
            <w:pPr>
              <w:spacing w:after="0"/>
              <w:rPr>
                <w:sz w:val="1"/>
                <w:szCs w:val="1"/>
                <w:color w:val="auto"/>
              </w:rPr>
            </w:pPr>
          </w:p>
        </w:tc>
      </w:tr>
      <w:tr>
        <w:trPr>
          <w:trHeight w:val="202"/>
        </w:trPr>
        <w:tc>
          <w:tcPr>
            <w:tcW w:w="2800" w:type="dxa"/>
            <w:vAlign w:val="bottom"/>
            <w:vMerge w:val="restart"/>
            <w:shd w:val="clear" w:color="auto" w:fill="E6E6E6"/>
          </w:tcPr>
          <w:p>
            <w:pPr>
              <w:spacing w:after="0"/>
              <w:rPr>
                <w:sz w:val="20"/>
                <w:szCs w:val="20"/>
                <w:color w:val="auto"/>
              </w:rPr>
            </w:pPr>
            <w:r>
              <w:rPr>
                <w:rFonts w:ascii="Arial" w:cs="Arial" w:eastAsia="Arial" w:hAnsi="Arial"/>
                <w:sz w:val="18"/>
                <w:szCs w:val="18"/>
                <w:color w:val="auto"/>
              </w:rPr>
              <w:t>Cirrus Logic</w:t>
            </w:r>
          </w:p>
        </w:tc>
        <w:tc>
          <w:tcPr>
            <w:tcW w:w="2520" w:type="dxa"/>
            <w:vAlign w:val="bottom"/>
            <w:shd w:val="clear" w:color="auto" w:fill="E6E6E6"/>
          </w:tcPr>
          <w:p>
            <w:pPr>
              <w:ind w:left="360"/>
              <w:spacing w:after="0" w:line="201" w:lineRule="exact"/>
              <w:rPr>
                <w:sz w:val="20"/>
                <w:szCs w:val="20"/>
                <w:color w:val="auto"/>
              </w:rPr>
            </w:pPr>
            <w:r>
              <w:rPr>
                <w:rFonts w:ascii="Arial" w:cs="Arial" w:eastAsia="Arial" w:hAnsi="Arial"/>
                <w:sz w:val="18"/>
                <w:szCs w:val="18"/>
                <w:color w:val="auto"/>
              </w:rPr>
              <w:t>MACOM Technology</w:t>
            </w:r>
          </w:p>
        </w:tc>
        <w:tc>
          <w:tcPr>
            <w:tcW w:w="2580" w:type="dxa"/>
            <w:vAlign w:val="bottom"/>
            <w:vMerge w:val="restart"/>
            <w:shd w:val="clear" w:color="auto" w:fill="E6E6E6"/>
          </w:tcPr>
          <w:p>
            <w:pPr>
              <w:ind w:left="560"/>
              <w:spacing w:after="0"/>
              <w:rPr>
                <w:sz w:val="20"/>
                <w:szCs w:val="20"/>
                <w:color w:val="auto"/>
              </w:rPr>
            </w:pPr>
            <w:r>
              <w:rPr>
                <w:rFonts w:ascii="Arial" w:cs="Arial" w:eastAsia="Arial" w:hAnsi="Arial"/>
                <w:sz w:val="18"/>
                <w:szCs w:val="18"/>
                <w:color w:val="auto"/>
              </w:rPr>
              <w:t>OSI Systems</w:t>
            </w:r>
          </w:p>
        </w:tc>
        <w:tc>
          <w:tcPr>
            <w:tcW w:w="3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shd w:val="clear" w:color="auto" w:fill="E6E6E6"/>
          </w:tcPr>
          <w:p>
            <w:pPr>
              <w:spacing w:after="0"/>
              <w:rPr>
                <w:sz w:val="10"/>
                <w:szCs w:val="10"/>
                <w:color w:val="auto"/>
              </w:rPr>
            </w:pPr>
          </w:p>
        </w:tc>
        <w:tc>
          <w:tcPr>
            <w:tcW w:w="2520" w:type="dxa"/>
            <w:vAlign w:val="bottom"/>
            <w:vMerge w:val="restart"/>
            <w:shd w:val="clear" w:color="auto" w:fill="E6E6E6"/>
          </w:tcPr>
          <w:p>
            <w:pPr>
              <w:ind w:left="360"/>
              <w:spacing w:after="0"/>
              <w:rPr>
                <w:sz w:val="20"/>
                <w:szCs w:val="20"/>
                <w:color w:val="auto"/>
              </w:rPr>
            </w:pPr>
            <w:r>
              <w:rPr>
                <w:rFonts w:ascii="Arial" w:cs="Arial" w:eastAsia="Arial" w:hAnsi="Arial"/>
                <w:sz w:val="18"/>
                <w:szCs w:val="18"/>
                <w:color w:val="auto"/>
              </w:rPr>
              <w:t>Solutions</w:t>
            </w:r>
          </w:p>
        </w:tc>
        <w:tc>
          <w:tcPr>
            <w:tcW w:w="2580" w:type="dxa"/>
            <w:vAlign w:val="bottom"/>
            <w:vMerge w:val="continue"/>
            <w:shd w:val="clear" w:color="auto" w:fill="E6E6E6"/>
          </w:tcPr>
          <w:p>
            <w:pPr>
              <w:spacing w:after="0"/>
              <w:rPr>
                <w:sz w:val="10"/>
                <w:szCs w:val="10"/>
                <w:color w:val="auto"/>
              </w:rPr>
            </w:pPr>
          </w:p>
        </w:tc>
        <w:tc>
          <w:tcPr>
            <w:tcW w:w="33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Borders>
              <w:bottom w:val="single" w:sz="8" w:color="auto"/>
            </w:tcBorders>
            <w:shd w:val="clear" w:color="auto" w:fill="E6E6E6"/>
          </w:tcPr>
          <w:p>
            <w:pPr>
              <w:spacing w:after="0"/>
              <w:rPr>
                <w:sz w:val="9"/>
                <w:szCs w:val="9"/>
                <w:color w:val="auto"/>
              </w:rPr>
            </w:pPr>
          </w:p>
        </w:tc>
        <w:tc>
          <w:tcPr>
            <w:tcW w:w="2520" w:type="dxa"/>
            <w:vAlign w:val="bottom"/>
            <w:tcBorders>
              <w:bottom w:val="single" w:sz="8" w:color="auto"/>
            </w:tcBorders>
            <w:vMerge w:val="continue"/>
            <w:shd w:val="clear" w:color="auto" w:fill="E6E6E6"/>
          </w:tcPr>
          <w:p>
            <w:pPr>
              <w:spacing w:after="0"/>
              <w:rPr>
                <w:sz w:val="9"/>
                <w:szCs w:val="9"/>
                <w:color w:val="auto"/>
              </w:rPr>
            </w:pPr>
          </w:p>
        </w:tc>
        <w:tc>
          <w:tcPr>
            <w:tcW w:w="2580" w:type="dxa"/>
            <w:vAlign w:val="bottom"/>
            <w:tcBorders>
              <w:bottom w:val="single" w:sz="8" w:color="auto"/>
            </w:tcBorders>
            <w:shd w:val="clear" w:color="auto" w:fill="E6E6E6"/>
          </w:tcPr>
          <w:p>
            <w:pPr>
              <w:spacing w:after="0"/>
              <w:rPr>
                <w:sz w:val="9"/>
                <w:szCs w:val="9"/>
                <w:color w:val="auto"/>
              </w:rPr>
            </w:pPr>
          </w:p>
        </w:tc>
        <w:tc>
          <w:tcPr>
            <w:tcW w:w="3340" w:type="dxa"/>
            <w:vAlign w:val="bottom"/>
            <w:tcBorders>
              <w:bottom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Generally, historical data on the compensation practices of the companies in the compensation peer group was gathered by Compensia from publicly available sources, including publicly available databases. Peer company data is gathered with respect to base salary, target annual incentive opportunities, equity awards (including stock options, RSU awards, and PSU awards), and long-term cash-based awards. In addition, similar data was gathered from the Radford High- Technology Executive Compensation survey for purposes of providing additional perspective in the case of executive positions where the compensation peer group offered a limited number of relevant data points.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Elements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six principal elements:</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incentive opportunities paid in cash;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compensation benefits;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Welfare and health benefits, including a Section 401(k) plan;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perquisites and other personal benefits.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Compensation Committee has selected these elements because each is considered necessary, appropriate and when combined are effective, and will continue to be effective, in achieving our compensation objectives.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Base Salary</w:t>
      </w:r>
    </w:p>
    <w:p>
      <w:pPr>
        <w:spacing w:after="0" w:line="21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The Compensation Committee reviews the base salaries of our executive officers, including our NEOs, annually and makes adjustments to base salaries as it determines to be necessary or appropriate.</w:t>
      </w:r>
    </w:p>
    <w:p>
      <w:pPr>
        <w:spacing w:after="0" w:line="138" w:lineRule="exact"/>
        <w:rPr>
          <w:sz w:val="20"/>
          <w:szCs w:val="20"/>
          <w:color w:val="auto"/>
        </w:rPr>
      </w:pPr>
    </w:p>
    <w:p>
      <w:pPr>
        <w:ind w:right="80"/>
        <w:spacing w:after="0" w:line="225" w:lineRule="exact"/>
        <w:rPr>
          <w:sz w:val="20"/>
          <w:szCs w:val="20"/>
          <w:color w:val="auto"/>
        </w:rPr>
      </w:pPr>
      <w:r>
        <w:rPr>
          <w:rFonts w:ascii="Arial" w:cs="Arial" w:eastAsia="Arial" w:hAnsi="Arial"/>
          <w:sz w:val="17"/>
          <w:szCs w:val="17"/>
          <w:color w:val="auto"/>
        </w:rPr>
        <w:t>On February 2, 2023, the Compensation Committee, based on the recommendations of Dr. M</w:t>
      </w:r>
      <w:r>
        <w:rPr>
          <w:rFonts w:ascii="MS PGothic" w:cs="MS PGothic" w:eastAsia="MS PGothic" w:hAnsi="MS PGothic"/>
          <w:sz w:val="17"/>
          <w:szCs w:val="17"/>
          <w:color w:val="auto"/>
        </w:rPr>
        <w:t>✔</w:t>
      </w:r>
      <w:r>
        <w:rPr>
          <w:rFonts w:ascii="Arial" w:cs="Arial" w:eastAsia="Arial" w:hAnsi="Arial"/>
          <w:sz w:val="17"/>
          <w:szCs w:val="17"/>
          <w:color w:val="auto"/>
        </w:rPr>
        <w:t>ller, except with respect to his own compensation, and a review of market salary data as well as other factors described above, approved the following base salary increases for our executive officers including our NEOs effective on February 2, 2023 or the subsequent scheduled pay period. The Compensation Committee determined that the following increases to our NEO’s base salaries were appropriate and consistent with market trends and to align to their responsibilities, contributions and the NEO’s individual performance in 2022. Mr. Bohrson’s increase also reflected his elevation to Chief Customer Officer status.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960" w:type="dxa"/>
            <w:vAlign w:val="bottom"/>
            <w:tcBorders>
              <w:right w:val="single" w:sz="8" w:color="2D53A6"/>
            </w:tcBorders>
            <w:shd w:val="clear" w:color="auto" w:fill="2D53A6"/>
          </w:tcPr>
          <w:p>
            <w:pPr>
              <w:ind w:left="780"/>
              <w:spacing w:after="0"/>
              <w:rPr>
                <w:sz w:val="20"/>
                <w:szCs w:val="20"/>
                <w:color w:val="auto"/>
              </w:rPr>
            </w:pPr>
            <w:r>
              <w:rPr>
                <w:rFonts w:ascii="Arial" w:cs="Arial" w:eastAsia="Arial" w:hAnsi="Arial"/>
                <w:sz w:val="18"/>
                <w:szCs w:val="18"/>
                <w:b w:val="1"/>
                <w:bCs w:val="1"/>
                <w:color w:val="FFFFFF"/>
              </w:rPr>
              <w:t>2022</w:t>
            </w:r>
          </w:p>
        </w:tc>
        <w:tc>
          <w:tcPr>
            <w:tcW w:w="1960" w:type="dxa"/>
            <w:vAlign w:val="bottom"/>
            <w:tcBorders>
              <w:right w:val="single" w:sz="8" w:color="2D53A6"/>
            </w:tcBorders>
            <w:shd w:val="clear" w:color="auto" w:fill="2D53A6"/>
          </w:tcPr>
          <w:p>
            <w:pPr>
              <w:jc w:val="right"/>
              <w:ind w:right="730"/>
              <w:spacing w:after="0"/>
              <w:rPr>
                <w:sz w:val="20"/>
                <w:szCs w:val="20"/>
                <w:color w:val="auto"/>
              </w:rPr>
            </w:pPr>
            <w:r>
              <w:rPr>
                <w:rFonts w:ascii="Arial" w:cs="Arial" w:eastAsia="Arial" w:hAnsi="Arial"/>
                <w:sz w:val="18"/>
                <w:szCs w:val="18"/>
                <w:b w:val="1"/>
                <w:bCs w:val="1"/>
                <w:color w:val="FFFFFF"/>
              </w:rPr>
              <w:t>2023</w:t>
            </w:r>
          </w:p>
        </w:tc>
        <w:tc>
          <w:tcPr>
            <w:tcW w:w="182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Percentage</w:t>
            </w:r>
          </w:p>
        </w:tc>
        <w:tc>
          <w:tcPr>
            <w:tcW w:w="0" w:type="dxa"/>
            <w:vAlign w:val="bottom"/>
          </w:tcPr>
          <w:p>
            <w:pPr>
              <w:spacing w:after="0"/>
              <w:rPr>
                <w:sz w:val="1"/>
                <w:szCs w:val="1"/>
                <w:color w:val="auto"/>
              </w:rPr>
            </w:pPr>
          </w:p>
        </w:tc>
      </w:tr>
      <w:tr>
        <w:trPr>
          <w:trHeight w:val="126"/>
        </w:trPr>
        <w:tc>
          <w:tcPr>
            <w:tcW w:w="5500" w:type="dxa"/>
            <w:vAlign w:val="bottom"/>
            <w:tcBorders>
              <w:right w:val="single" w:sz="8" w:color="2D53A6"/>
            </w:tcBorders>
            <w:vMerge w:val="continue"/>
            <w:shd w:val="clear" w:color="auto" w:fill="2D53A6"/>
          </w:tcPr>
          <w:p>
            <w:pPr>
              <w:spacing w:after="0"/>
              <w:rPr>
                <w:sz w:val="10"/>
                <w:szCs w:val="10"/>
                <w:color w:val="auto"/>
              </w:rPr>
            </w:pPr>
          </w:p>
        </w:tc>
        <w:tc>
          <w:tcPr>
            <w:tcW w:w="1960" w:type="dxa"/>
            <w:vAlign w:val="bottom"/>
            <w:tcBorders>
              <w:right w:val="single" w:sz="8" w:color="2D53A6"/>
            </w:tcBorders>
            <w:vMerge w:val="restart"/>
            <w:shd w:val="clear" w:color="auto" w:fill="2D53A6"/>
          </w:tcPr>
          <w:p>
            <w:pPr>
              <w:ind w:left="520"/>
              <w:spacing w:after="0"/>
              <w:rPr>
                <w:sz w:val="20"/>
                <w:szCs w:val="20"/>
                <w:color w:val="auto"/>
              </w:rPr>
            </w:pPr>
            <w:r>
              <w:rPr>
                <w:rFonts w:ascii="Arial" w:cs="Arial" w:eastAsia="Arial" w:hAnsi="Arial"/>
                <w:sz w:val="18"/>
                <w:szCs w:val="18"/>
                <w:b w:val="1"/>
                <w:bCs w:val="1"/>
                <w:color w:val="FFFFFF"/>
              </w:rPr>
              <w:t>Base Salary</w:t>
            </w:r>
          </w:p>
        </w:tc>
        <w:tc>
          <w:tcPr>
            <w:tcW w:w="1960" w:type="dxa"/>
            <w:vAlign w:val="bottom"/>
            <w:tcBorders>
              <w:right w:val="single" w:sz="8" w:color="2D53A6"/>
            </w:tcBorders>
            <w:vMerge w:val="restart"/>
            <w:shd w:val="clear" w:color="auto" w:fill="2D53A6"/>
          </w:tcPr>
          <w:p>
            <w:pPr>
              <w:jc w:val="right"/>
              <w:ind w:right="450"/>
              <w:spacing w:after="0"/>
              <w:rPr>
                <w:sz w:val="20"/>
                <w:szCs w:val="20"/>
                <w:color w:val="auto"/>
              </w:rPr>
            </w:pPr>
            <w:r>
              <w:rPr>
                <w:rFonts w:ascii="Arial" w:cs="Arial" w:eastAsia="Arial" w:hAnsi="Arial"/>
                <w:sz w:val="18"/>
                <w:szCs w:val="18"/>
                <w:b w:val="1"/>
                <w:bCs w:val="1"/>
                <w:color w:val="FFFFFF"/>
              </w:rPr>
              <w:t>Base Salary</w:t>
            </w:r>
          </w:p>
        </w:tc>
        <w:tc>
          <w:tcPr>
            <w:tcW w:w="182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Change</w:t>
            </w:r>
          </w:p>
        </w:tc>
        <w:tc>
          <w:tcPr>
            <w:tcW w:w="0" w:type="dxa"/>
            <w:vAlign w:val="bottom"/>
          </w:tcPr>
          <w:p>
            <w:pPr>
              <w:spacing w:after="0"/>
              <w:rPr>
                <w:sz w:val="1"/>
                <w:szCs w:val="1"/>
                <w:color w:val="auto"/>
              </w:rPr>
            </w:pPr>
          </w:p>
        </w:tc>
      </w:tr>
      <w:tr>
        <w:trPr>
          <w:trHeight w:val="126"/>
        </w:trPr>
        <w:tc>
          <w:tcPr>
            <w:tcW w:w="5500" w:type="dxa"/>
            <w:vAlign w:val="bottom"/>
            <w:tcBorders>
              <w:right w:val="single" w:sz="8" w:color="2D53A6"/>
            </w:tcBorders>
            <w:shd w:val="clear" w:color="auto" w:fill="2D53A6"/>
          </w:tcPr>
          <w:p>
            <w:pPr>
              <w:spacing w:after="0"/>
              <w:rPr>
                <w:sz w:val="10"/>
                <w:szCs w:val="10"/>
                <w:color w:val="auto"/>
              </w:rPr>
            </w:pPr>
          </w:p>
        </w:tc>
        <w:tc>
          <w:tcPr>
            <w:tcW w:w="1960" w:type="dxa"/>
            <w:vAlign w:val="bottom"/>
            <w:tcBorders>
              <w:bottom w:val="single" w:sz="8" w:color="2D53A6"/>
              <w:right w:val="single" w:sz="8" w:color="2D53A6"/>
            </w:tcBorders>
            <w:vMerge w:val="continue"/>
            <w:shd w:val="clear" w:color="auto" w:fill="2D53A6"/>
          </w:tcPr>
          <w:p>
            <w:pPr>
              <w:spacing w:after="0"/>
              <w:rPr>
                <w:sz w:val="10"/>
                <w:szCs w:val="10"/>
                <w:color w:val="auto"/>
              </w:rPr>
            </w:pPr>
          </w:p>
        </w:tc>
        <w:tc>
          <w:tcPr>
            <w:tcW w:w="1960" w:type="dxa"/>
            <w:vAlign w:val="bottom"/>
            <w:tcBorders>
              <w:right w:val="single" w:sz="8" w:color="2D53A6"/>
            </w:tcBorders>
            <w:vMerge w:val="continue"/>
            <w:shd w:val="clear" w:color="auto" w:fill="2D53A6"/>
          </w:tcPr>
          <w:p>
            <w:pPr>
              <w:spacing w:after="0"/>
              <w:rPr>
                <w:sz w:val="10"/>
                <w:szCs w:val="10"/>
                <w:color w:val="auto"/>
              </w:rPr>
            </w:pPr>
          </w:p>
        </w:tc>
        <w:tc>
          <w:tcPr>
            <w:tcW w:w="182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960" w:type="dxa"/>
            <w:vAlign w:val="bottom"/>
            <w:tcBorders>
              <w:bottom w:val="single" w:sz="8" w:color="2D53A6"/>
              <w:right w:val="single" w:sz="8" w:color="2D53A6"/>
            </w:tcBorders>
          </w:tcPr>
          <w:p>
            <w:pPr>
              <w:ind w:left="1260"/>
              <w:spacing w:after="0" w:line="196" w:lineRule="exact"/>
              <w:rPr>
                <w:sz w:val="20"/>
                <w:szCs w:val="20"/>
                <w:color w:val="auto"/>
              </w:rPr>
            </w:pPr>
            <w:r>
              <w:rPr>
                <w:rFonts w:ascii="Arial" w:cs="Arial" w:eastAsia="Arial" w:hAnsi="Arial"/>
                <w:sz w:val="18"/>
                <w:szCs w:val="18"/>
                <w:color w:val="auto"/>
                <w:w w:val="87"/>
              </w:rPr>
              <w:t>$675,000</w:t>
            </w:r>
          </w:p>
        </w:tc>
        <w:tc>
          <w:tcPr>
            <w:tcW w:w="1960" w:type="dxa"/>
            <w:vAlign w:val="bottom"/>
            <w:tcBorders>
              <w:bottom w:val="single" w:sz="8" w:color="2D53A6"/>
              <w:right w:val="single" w:sz="8" w:color="2D53A6"/>
            </w:tcBorders>
          </w:tcPr>
          <w:p>
            <w:pPr>
              <w:jc w:val="right"/>
              <w:spacing w:after="0" w:line="196" w:lineRule="exact"/>
              <w:rPr>
                <w:sz w:val="20"/>
                <w:szCs w:val="20"/>
                <w:color w:val="auto"/>
              </w:rPr>
            </w:pPr>
            <w:r>
              <w:rPr>
                <w:rFonts w:ascii="Arial" w:cs="Arial" w:eastAsia="Arial" w:hAnsi="Arial"/>
                <w:sz w:val="18"/>
                <w:szCs w:val="18"/>
                <w:color w:val="auto"/>
              </w:rPr>
              <w:t>$715,000</w:t>
            </w:r>
          </w:p>
        </w:tc>
        <w:tc>
          <w:tcPr>
            <w:tcW w:w="182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2D53A6"/>
              <w:right w:val="single" w:sz="8" w:color="2D53A6"/>
            </w:tcBorders>
            <w:shd w:val="clear" w:color="auto" w:fill="E6E6E6"/>
          </w:tcPr>
          <w:p>
            <w:pPr>
              <w:ind w:left="1260"/>
              <w:spacing w:after="0"/>
              <w:rPr>
                <w:sz w:val="20"/>
                <w:szCs w:val="20"/>
                <w:color w:val="auto"/>
              </w:rPr>
            </w:pPr>
            <w:r>
              <w:rPr>
                <w:rFonts w:ascii="Arial" w:cs="Arial" w:eastAsia="Arial" w:hAnsi="Arial"/>
                <w:sz w:val="18"/>
                <w:szCs w:val="18"/>
                <w:color w:val="auto"/>
                <w:w w:val="87"/>
              </w:rPr>
              <w:t>$437,000</w:t>
            </w:r>
          </w:p>
        </w:tc>
        <w:tc>
          <w:tcPr>
            <w:tcW w:w="19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$455,000</w:t>
            </w:r>
          </w:p>
        </w:tc>
        <w:tc>
          <w:tcPr>
            <w:tcW w:w="18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bottom w:val="single" w:sz="8" w:color="2D53A6"/>
              <w:right w:val="single" w:sz="8" w:color="2D53A6"/>
            </w:tcBorders>
          </w:tcPr>
          <w:p>
            <w:pPr>
              <w:ind w:left="1260"/>
              <w:spacing w:after="0"/>
              <w:rPr>
                <w:sz w:val="20"/>
                <w:szCs w:val="20"/>
                <w:color w:val="auto"/>
              </w:rPr>
            </w:pPr>
            <w:r>
              <w:rPr>
                <w:rFonts w:ascii="Arial" w:cs="Arial" w:eastAsia="Arial" w:hAnsi="Arial"/>
                <w:sz w:val="18"/>
                <w:szCs w:val="18"/>
                <w:color w:val="auto"/>
                <w:w w:val="87"/>
              </w:rPr>
              <w:t>$385,000</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$425,000</w:t>
            </w:r>
          </w:p>
        </w:tc>
        <w:tc>
          <w:tcPr>
            <w:tcW w:w="18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2D53A6"/>
              <w:right w:val="single" w:sz="8" w:color="2D53A6"/>
            </w:tcBorders>
            <w:shd w:val="clear" w:color="auto" w:fill="E6E6E6"/>
          </w:tcPr>
          <w:p>
            <w:pPr>
              <w:ind w:left="1260"/>
              <w:spacing w:after="0"/>
              <w:rPr>
                <w:sz w:val="20"/>
                <w:szCs w:val="20"/>
                <w:color w:val="auto"/>
              </w:rPr>
            </w:pPr>
            <w:r>
              <w:rPr>
                <w:rFonts w:ascii="Arial" w:cs="Arial" w:eastAsia="Arial" w:hAnsi="Arial"/>
                <w:sz w:val="18"/>
                <w:szCs w:val="18"/>
                <w:color w:val="auto"/>
                <w:w w:val="87"/>
              </w:rPr>
              <w:t>$378,000</w:t>
            </w:r>
          </w:p>
        </w:tc>
        <w:tc>
          <w:tcPr>
            <w:tcW w:w="19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$405,000</w:t>
            </w:r>
          </w:p>
        </w:tc>
        <w:tc>
          <w:tcPr>
            <w:tcW w:w="18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7"/>
              </w:rPr>
              <w:t>7.1%</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960" w:type="dxa"/>
            <w:vAlign w:val="bottom"/>
            <w:tcBorders>
              <w:bottom w:val="single" w:sz="8" w:color="2D53A6"/>
              <w:right w:val="single" w:sz="8" w:color="2D53A6"/>
            </w:tcBorders>
          </w:tcPr>
          <w:p>
            <w:pPr>
              <w:ind w:left="1260"/>
              <w:spacing w:after="0"/>
              <w:rPr>
                <w:sz w:val="20"/>
                <w:szCs w:val="20"/>
                <w:color w:val="auto"/>
              </w:rPr>
            </w:pPr>
            <w:r>
              <w:rPr>
                <w:rFonts w:ascii="Arial" w:cs="Arial" w:eastAsia="Arial" w:hAnsi="Arial"/>
                <w:sz w:val="18"/>
                <w:szCs w:val="18"/>
                <w:color w:val="auto"/>
                <w:w w:val="87"/>
              </w:rPr>
              <w:t>$328,000</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$335,000</w:t>
            </w:r>
          </w:p>
        </w:tc>
        <w:tc>
          <w:tcPr>
            <w:tcW w:w="18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Short-Term Incentives</w:t>
      </w:r>
    </w:p>
    <w:p>
      <w:pPr>
        <w:spacing w:after="0" w:line="21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February 3, 2022, the Compensation Committee adopted the short-term incentive plan for 2022 (the “2022 STI”). The 2022 STI was adopted pursuant to the Cohu 2005 Equity Incentive Plan (the “2005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Target Short-Term Incentive Opportunities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purposes of the 2022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is 200% of the target award. The target short-term incentive opportunities approved by the Compensation Committee for our NEOs, and the range of the potential incentive, as a percentage of base salary, were as follows and remained unchanged from 2021 as the Compensation Committee believed that such levels continued to be appropriate: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Borders>
              <w:right w:val="single" w:sz="8" w:color="2D53A6"/>
            </w:tcBorders>
            <w:shd w:val="clear" w:color="auto" w:fill="2D53A6"/>
          </w:tcPr>
          <w:p>
            <w:pPr>
              <w:spacing w:after="0"/>
              <w:rPr>
                <w:sz w:val="18"/>
                <w:szCs w:val="18"/>
                <w:color w:val="auto"/>
              </w:rPr>
            </w:pP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Target Short-Term Incentive</w:t>
            </w:r>
          </w:p>
        </w:tc>
        <w:tc>
          <w:tcPr>
            <w:tcW w:w="280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Range of Possible 2022</w:t>
            </w:r>
          </w:p>
        </w:tc>
        <w:tc>
          <w:tcPr>
            <w:tcW w:w="0" w:type="dxa"/>
            <w:vAlign w:val="bottom"/>
          </w:tcPr>
          <w:p>
            <w:pPr>
              <w:spacing w:after="0"/>
              <w:rPr>
                <w:sz w:val="1"/>
                <w:szCs w:val="1"/>
                <w:color w:val="auto"/>
              </w:rPr>
            </w:pPr>
          </w:p>
        </w:tc>
      </w:tr>
      <w:tr>
        <w:trPr>
          <w:trHeight w:val="108"/>
        </w:trPr>
        <w:tc>
          <w:tcPr>
            <w:tcW w:w="564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280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Short-Term Incentive as</w:t>
            </w:r>
          </w:p>
        </w:tc>
        <w:tc>
          <w:tcPr>
            <w:tcW w:w="0" w:type="dxa"/>
            <w:vAlign w:val="bottom"/>
          </w:tcPr>
          <w:p>
            <w:pPr>
              <w:spacing w:after="0"/>
              <w:rPr>
                <w:sz w:val="1"/>
                <w:szCs w:val="1"/>
                <w:color w:val="auto"/>
              </w:rPr>
            </w:pPr>
          </w:p>
        </w:tc>
      </w:tr>
      <w:tr>
        <w:trPr>
          <w:trHeight w:val="108"/>
        </w:trPr>
        <w:tc>
          <w:tcPr>
            <w:tcW w:w="564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Opportunity</w:t>
            </w:r>
          </w:p>
        </w:tc>
        <w:tc>
          <w:tcPr>
            <w:tcW w:w="28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640" w:type="dxa"/>
            <w:vAlign w:val="bottom"/>
            <w:tcBorders>
              <w:right w:val="single" w:sz="8" w:color="2D53A6"/>
            </w:tcBorders>
            <w:shd w:val="clear" w:color="auto" w:fill="2D53A6"/>
          </w:tcPr>
          <w:p>
            <w:pPr>
              <w:spacing w:after="0"/>
              <w:rPr>
                <w:sz w:val="10"/>
                <w:szCs w:val="10"/>
                <w:color w:val="auto"/>
              </w:rPr>
            </w:pPr>
          </w:p>
        </w:tc>
        <w:tc>
          <w:tcPr>
            <w:tcW w:w="2800" w:type="dxa"/>
            <w:vAlign w:val="bottom"/>
            <w:tcBorders>
              <w:right w:val="single" w:sz="8" w:color="2D53A6"/>
            </w:tcBorders>
            <w:vMerge w:val="continue"/>
            <w:shd w:val="clear" w:color="auto" w:fill="2D53A6"/>
          </w:tcPr>
          <w:p>
            <w:pPr>
              <w:spacing w:after="0"/>
              <w:rPr>
                <w:sz w:val="10"/>
                <w:szCs w:val="10"/>
                <w:color w:val="auto"/>
              </w:rPr>
            </w:pPr>
          </w:p>
        </w:tc>
        <w:tc>
          <w:tcPr>
            <w:tcW w:w="28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Percentage of Base Salary</w:t>
            </w:r>
          </w:p>
        </w:tc>
        <w:tc>
          <w:tcPr>
            <w:tcW w:w="0" w:type="dxa"/>
            <w:vAlign w:val="bottom"/>
          </w:tcPr>
          <w:p>
            <w:pPr>
              <w:spacing w:after="0"/>
              <w:rPr>
                <w:sz w:val="1"/>
                <w:szCs w:val="1"/>
                <w:color w:val="auto"/>
              </w:rPr>
            </w:pPr>
          </w:p>
        </w:tc>
      </w:tr>
      <w:tr>
        <w:trPr>
          <w:trHeight w:val="121"/>
        </w:trPr>
        <w:tc>
          <w:tcPr>
            <w:tcW w:w="5640" w:type="dxa"/>
            <w:vAlign w:val="bottom"/>
            <w:tcBorders>
              <w:right w:val="single" w:sz="8" w:color="2D53A6"/>
            </w:tcBorders>
            <w:shd w:val="clear" w:color="auto" w:fill="2D53A6"/>
          </w:tcPr>
          <w:p>
            <w:pPr>
              <w:spacing w:after="0"/>
              <w:rPr>
                <w:sz w:val="10"/>
                <w:szCs w:val="10"/>
                <w:color w:val="auto"/>
              </w:rPr>
            </w:pPr>
          </w:p>
        </w:tc>
        <w:tc>
          <w:tcPr>
            <w:tcW w:w="2800" w:type="dxa"/>
            <w:vAlign w:val="bottom"/>
            <w:tcBorders>
              <w:bottom w:val="single" w:sz="8" w:color="2D53A6"/>
              <w:right w:val="single" w:sz="8" w:color="2D53A6"/>
            </w:tcBorders>
            <w:shd w:val="clear" w:color="auto" w:fill="2D53A6"/>
          </w:tcPr>
          <w:p>
            <w:pPr>
              <w:spacing w:after="0"/>
              <w:rPr>
                <w:sz w:val="10"/>
                <w:szCs w:val="10"/>
                <w:color w:val="auto"/>
              </w:rPr>
            </w:pPr>
          </w:p>
        </w:tc>
        <w:tc>
          <w:tcPr>
            <w:tcW w:w="280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80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1"/>
              </w:rPr>
              <w:t>100%</w:t>
            </w:r>
          </w:p>
        </w:tc>
        <w:tc>
          <w:tcPr>
            <w:tcW w:w="280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90"/>
              </w:rPr>
              <w:t>0% - 200%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28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70%</w:t>
            </w:r>
          </w:p>
        </w:tc>
        <w:tc>
          <w:tcPr>
            <w:tcW w:w="280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0% - 140%</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28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70%</w:t>
            </w:r>
          </w:p>
        </w:tc>
        <w:tc>
          <w:tcPr>
            <w:tcW w:w="28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0% - 140%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28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50%</w:t>
            </w:r>
          </w:p>
        </w:tc>
        <w:tc>
          <w:tcPr>
            <w:tcW w:w="280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0% - 100%</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28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55%</w:t>
            </w:r>
          </w:p>
        </w:tc>
        <w:tc>
          <w:tcPr>
            <w:tcW w:w="28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0% - 110%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the 2022 STI, the Compensation Committee selected two financial performance measures for our executive officers which were unchanged from 2021:</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Profitability based on non-GAAP pre-tax income target;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growth based on a four-year rolling sales growth target.</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The Compensation Committee selected these two performance measures because we continue to believe sales growth reflects the overall market acceptance of our products and non-GAAP pre-tax income reflects how effectively management delivered our products to our customers during the year. A reconciliation of GAAP to non-GAAP pre-tax income used for the 2022 STI is included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xml:space="preserve"> to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weighting of these corporate performance measures for purposes of the 2022 STI for each NEO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280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Sales Growth</w:t>
            </w:r>
          </w:p>
        </w:tc>
        <w:tc>
          <w:tcPr>
            <w:tcW w:w="280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Non-GAAP Pre-tax Income</w:t>
            </w:r>
          </w:p>
        </w:tc>
      </w:tr>
      <w:tr>
        <w:trPr>
          <w:trHeight w:val="196"/>
        </w:trPr>
        <w:tc>
          <w:tcPr>
            <w:tcW w:w="564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80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4"/>
              </w:rPr>
              <w:t>30%</w:t>
            </w:r>
          </w:p>
        </w:tc>
        <w:tc>
          <w:tcPr>
            <w:tcW w:w="280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88"/>
              </w:rPr>
              <w:t>70%</w:t>
            </w:r>
          </w:p>
        </w:tc>
      </w:tr>
      <w:tr>
        <w:trPr>
          <w:trHeight w:val="210"/>
        </w:trPr>
        <w:tc>
          <w:tcPr>
            <w:tcW w:w="5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28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30%</w:t>
            </w:r>
          </w:p>
        </w:tc>
        <w:tc>
          <w:tcPr>
            <w:tcW w:w="280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70%</w:t>
            </w:r>
          </w:p>
        </w:tc>
      </w:tr>
      <w:tr>
        <w:trPr>
          <w:trHeight w:val="210"/>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28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30%</w:t>
            </w:r>
          </w:p>
        </w:tc>
        <w:tc>
          <w:tcPr>
            <w:tcW w:w="28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8"/>
              </w:rPr>
              <w:t>70%</w:t>
            </w:r>
          </w:p>
        </w:tc>
      </w:tr>
      <w:tr>
        <w:trPr>
          <w:trHeight w:val="210"/>
        </w:trPr>
        <w:tc>
          <w:tcPr>
            <w:tcW w:w="5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28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30%</w:t>
            </w:r>
          </w:p>
        </w:tc>
        <w:tc>
          <w:tcPr>
            <w:tcW w:w="280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70%</w:t>
            </w:r>
          </w:p>
        </w:tc>
      </w:tr>
      <w:tr>
        <w:trPr>
          <w:trHeight w:val="209"/>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28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30%</w:t>
            </w:r>
          </w:p>
        </w:tc>
        <w:tc>
          <w:tcPr>
            <w:tcW w:w="28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8"/>
              </w:rPr>
              <w:t>70%</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Compensation Committee determined to increase the Sales Growth weighting from the 20% level applicable in the 2021 STI to 30% for the 2022 STI to increase incentive to deliver revenue growth while proportionally reducing the profitability weighting from 80% in the 2021 STI to 70% in the 2022 STI.</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were unchanged from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3"/>
        </w:trPr>
        <w:tc>
          <w:tcPr>
            <w:tcW w:w="4240" w:type="dxa"/>
            <w:vAlign w:val="bottom"/>
            <w:shd w:val="clear" w:color="auto" w:fill="2D53A6"/>
          </w:tcPr>
          <w:p>
            <w:pPr>
              <w:spacing w:after="0"/>
              <w:rPr>
                <w:sz w:val="21"/>
                <w:szCs w:val="21"/>
                <w:color w:val="auto"/>
              </w:rPr>
            </w:pPr>
          </w:p>
        </w:tc>
        <w:tc>
          <w:tcPr>
            <w:tcW w:w="3640" w:type="dxa"/>
            <w:vAlign w:val="bottom"/>
            <w:tcBorders>
              <w:right w:val="single" w:sz="8" w:color="2D53A6"/>
            </w:tcBorders>
            <w:gridSpan w:val="2"/>
            <w:shd w:val="clear" w:color="auto" w:fill="2D53A6"/>
          </w:tcPr>
          <w:p>
            <w:pPr>
              <w:ind w:left="820"/>
              <w:spacing w:after="0"/>
              <w:rPr>
                <w:sz w:val="20"/>
                <w:szCs w:val="20"/>
                <w:color w:val="auto"/>
              </w:rPr>
            </w:pPr>
            <w:r>
              <w:rPr>
                <w:rFonts w:ascii="Arial" w:cs="Arial" w:eastAsia="Arial" w:hAnsi="Arial"/>
                <w:sz w:val="18"/>
                <w:szCs w:val="18"/>
                <w:b w:val="1"/>
                <w:bCs w:val="1"/>
                <w:color w:val="FFFFFF"/>
              </w:rPr>
              <w:t>2022 STI Scale</w:t>
            </w:r>
          </w:p>
        </w:tc>
        <w:tc>
          <w:tcPr>
            <w:tcW w:w="1700" w:type="dxa"/>
            <w:vAlign w:val="bottom"/>
            <w:tcBorders>
              <w:right w:val="single" w:sz="8" w:color="2D53A6"/>
            </w:tcBorders>
            <w:shd w:val="clear" w:color="auto" w:fill="2D53A6"/>
          </w:tcPr>
          <w:p>
            <w:pPr>
              <w:spacing w:after="0"/>
              <w:rPr>
                <w:sz w:val="21"/>
                <w:szCs w:val="21"/>
                <w:color w:val="auto"/>
              </w:rPr>
            </w:pPr>
          </w:p>
        </w:tc>
        <w:tc>
          <w:tcPr>
            <w:tcW w:w="1660" w:type="dxa"/>
            <w:vAlign w:val="bottom"/>
            <w:shd w:val="clear" w:color="auto" w:fill="2D53A6"/>
          </w:tcPr>
          <w:p>
            <w:pPr>
              <w:spacing w:after="0"/>
              <w:rPr>
                <w:sz w:val="21"/>
                <w:szCs w:val="21"/>
                <w:color w:val="auto"/>
              </w:rPr>
            </w:pPr>
          </w:p>
        </w:tc>
      </w:tr>
      <w:tr>
        <w:trPr>
          <w:trHeight w:val="216"/>
        </w:trPr>
        <w:tc>
          <w:tcPr>
            <w:tcW w:w="4240" w:type="dxa"/>
            <w:vAlign w:val="bottom"/>
            <w:tcBorders>
              <w:bottom w:val="single" w:sz="8" w:color="2D53A6"/>
            </w:tcBorders>
          </w:tcPr>
          <w:p>
            <w:pPr>
              <w:spacing w:after="0"/>
              <w:rPr>
                <w:sz w:val="18"/>
                <w:szCs w:val="18"/>
                <w:color w:val="auto"/>
              </w:rPr>
            </w:pPr>
          </w:p>
        </w:tc>
        <w:tc>
          <w:tcPr>
            <w:tcW w:w="1980" w:type="dxa"/>
            <w:vAlign w:val="bottom"/>
            <w:tcBorders>
              <w:bottom w:val="single" w:sz="8" w:color="2D53A6"/>
              <w:right w:val="single" w:sz="8" w:color="2D53A6"/>
            </w:tcBorders>
          </w:tcPr>
          <w:p>
            <w:pPr>
              <w:spacing w:after="0"/>
              <w:rPr>
                <w:sz w:val="18"/>
                <w:szCs w:val="18"/>
                <w:color w:val="auto"/>
              </w:rPr>
            </w:pP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700" w:type="dxa"/>
            <w:vAlign w:val="bottom"/>
            <w:tcBorders>
              <w:bottom w:val="single" w:sz="8" w:color="2D53A6"/>
              <w:right w:val="single" w:sz="8" w:color="2D53A6"/>
            </w:tcBorders>
          </w:tcPr>
          <w:p>
            <w:pPr>
              <w:ind w:left="580"/>
              <w:spacing w:after="0"/>
              <w:rPr>
                <w:sz w:val="20"/>
                <w:szCs w:val="20"/>
                <w:color w:val="auto"/>
              </w:rPr>
            </w:pPr>
            <w:r>
              <w:rPr>
                <w:rFonts w:ascii="Arial" w:cs="Arial" w:eastAsia="Arial" w:hAnsi="Arial"/>
                <w:sz w:val="18"/>
                <w:szCs w:val="18"/>
                <w:b w:val="1"/>
                <w:bCs w:val="1"/>
                <w:color w:val="auto"/>
              </w:rPr>
              <w:t>Target</w:t>
            </w:r>
          </w:p>
        </w:tc>
        <w:tc>
          <w:tcPr>
            <w:tcW w:w="1660" w:type="dxa"/>
            <w:vAlign w:val="bottom"/>
            <w:tcBorders>
              <w:bottom w:val="single" w:sz="8" w:color="2D53A6"/>
            </w:tcBorders>
          </w:tcPr>
          <w:p>
            <w:pPr>
              <w:ind w:left="420"/>
              <w:spacing w:after="0"/>
              <w:rPr>
                <w:sz w:val="20"/>
                <w:szCs w:val="20"/>
                <w:color w:val="auto"/>
              </w:rPr>
            </w:pPr>
            <w:r>
              <w:rPr>
                <w:rFonts w:ascii="Arial" w:cs="Arial" w:eastAsia="Arial" w:hAnsi="Arial"/>
                <w:sz w:val="18"/>
                <w:szCs w:val="18"/>
                <w:b w:val="1"/>
                <w:bCs w:val="1"/>
                <w:color w:val="auto"/>
              </w:rPr>
              <w:t>Maximum</w:t>
            </w:r>
          </w:p>
        </w:tc>
      </w:tr>
      <w:tr>
        <w:trPr>
          <w:trHeight w:val="209"/>
        </w:trPr>
        <w:tc>
          <w:tcPr>
            <w:tcW w:w="424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rPr>
              <w:t>Performance to 4-Year Rolling Sales Growth</w:t>
            </w:r>
          </w:p>
        </w:tc>
        <w:tc>
          <w:tcPr>
            <w:tcW w:w="1980" w:type="dxa"/>
            <w:vAlign w:val="bottom"/>
            <w:tcBorders>
              <w:bottom w:val="single" w:sz="8" w:color="2D53A6"/>
              <w:right w:val="single" w:sz="8" w:color="2D53A6"/>
            </w:tcBorders>
          </w:tcPr>
          <w:p>
            <w:pPr>
              <w:spacing w:after="0"/>
              <w:rPr>
                <w:sz w:val="18"/>
                <w:szCs w:val="18"/>
                <w:color w:val="auto"/>
              </w:rPr>
            </w:pP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1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rPr>
              <w:t>5%</w:t>
            </w:r>
          </w:p>
        </w:tc>
        <w:tc>
          <w:tcPr>
            <w:tcW w:w="16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8"/>
              </w:rPr>
              <w:t>&gt;10%</w:t>
            </w:r>
          </w:p>
        </w:tc>
      </w:tr>
      <w:tr>
        <w:trPr>
          <w:trHeight w:val="209"/>
        </w:trPr>
        <w:tc>
          <w:tcPr>
            <w:tcW w:w="42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Payout Level Earned</w:t>
            </w:r>
          </w:p>
        </w:tc>
        <w:tc>
          <w:tcPr>
            <w:tcW w:w="1980" w:type="dxa"/>
            <w:vAlign w:val="bottom"/>
            <w:tcBorders>
              <w:bottom w:val="single" w:sz="8" w:color="2D53A6"/>
              <w:right w:val="single" w:sz="8" w:color="2D53A6"/>
            </w:tcBorders>
            <w:shd w:val="clear" w:color="auto" w:fill="E6E6E6"/>
          </w:tcPr>
          <w:p>
            <w:pPr>
              <w:spacing w:after="0"/>
              <w:rPr>
                <w:sz w:val="18"/>
                <w:szCs w:val="18"/>
                <w:color w:val="auto"/>
              </w:rPr>
            </w:pPr>
          </w:p>
        </w:tc>
        <w:tc>
          <w:tcPr>
            <w:tcW w:w="1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None</w:t>
            </w:r>
          </w:p>
        </w:tc>
        <w:tc>
          <w:tcPr>
            <w:tcW w:w="1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16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200%</w:t>
            </w:r>
          </w:p>
        </w:tc>
      </w:tr>
      <w:tr>
        <w:trPr>
          <w:trHeight w:val="210"/>
        </w:trPr>
        <w:tc>
          <w:tcPr>
            <w:tcW w:w="424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rPr>
              <w:t>Performance to Non-GAAP Pre-tax Income</w:t>
            </w:r>
          </w:p>
        </w:tc>
        <w:tc>
          <w:tcPr>
            <w:tcW w:w="1980" w:type="dxa"/>
            <w:vAlign w:val="bottom"/>
            <w:tcBorders>
              <w:bottom w:val="single" w:sz="8" w:color="2D53A6"/>
              <w:right w:val="single" w:sz="8" w:color="2D53A6"/>
            </w:tcBorders>
          </w:tcPr>
          <w:p>
            <w:pPr>
              <w:spacing w:after="0"/>
              <w:rPr>
                <w:sz w:val="18"/>
                <w:szCs w:val="18"/>
                <w:color w:val="auto"/>
              </w:rPr>
            </w:pP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3"/>
              </w:rPr>
              <w:t>&lt;5% Pretax Income</w:t>
            </w:r>
          </w:p>
        </w:tc>
        <w:tc>
          <w:tcPr>
            <w:tcW w:w="1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15%</w:t>
            </w:r>
          </w:p>
        </w:tc>
        <w:tc>
          <w:tcPr>
            <w:tcW w:w="16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7"/>
              </w:rPr>
              <w:t>&gt;22.5%</w:t>
            </w:r>
          </w:p>
        </w:tc>
      </w:tr>
      <w:tr>
        <w:trPr>
          <w:trHeight w:val="209"/>
        </w:trPr>
        <w:tc>
          <w:tcPr>
            <w:tcW w:w="42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Payout Level Earned</w:t>
            </w:r>
          </w:p>
        </w:tc>
        <w:tc>
          <w:tcPr>
            <w:tcW w:w="1980" w:type="dxa"/>
            <w:vAlign w:val="bottom"/>
            <w:tcBorders>
              <w:bottom w:val="single" w:sz="8" w:color="2D53A6"/>
              <w:right w:val="single" w:sz="8" w:color="2D53A6"/>
            </w:tcBorders>
            <w:shd w:val="clear" w:color="auto" w:fill="E6E6E6"/>
          </w:tcPr>
          <w:p>
            <w:pPr>
              <w:spacing w:after="0"/>
              <w:rPr>
                <w:sz w:val="18"/>
                <w:szCs w:val="18"/>
                <w:color w:val="auto"/>
              </w:rPr>
            </w:pPr>
          </w:p>
        </w:tc>
        <w:tc>
          <w:tcPr>
            <w:tcW w:w="1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None</w:t>
            </w:r>
          </w:p>
        </w:tc>
        <w:tc>
          <w:tcPr>
            <w:tcW w:w="1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16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 Target Levels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respect to the target levels for sales, the Compensation Committee believed that, at the time, the target level for each performance measure was set, these target levels would be challenging and difficult, but achievable under normal business conditions with significant effort and skill, and strong execution. For 2022, the Compensation Committee expected that these target levels would be difficult to achieve because they would require delivery of results in uncertain market conditions (including the ongoing supply chain disruptions and inflationary pressures on costs), adroitly executing our business strategy, the development and acceptance by customers of new products, and successful entry into certain new markets in a highly competitive and volatile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Decisions</w:t>
      </w:r>
    </w:p>
    <w:p>
      <w:pPr>
        <w:spacing w:after="0" w:line="22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Following the end of 2022, the Compensation Committee compared our actual financial performance to the target performance levels established for the year and applied the incentive formula under the 2022 STI to this actual performance and determined to payout at a level of 193% for each of our NEOs.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determinations, the annual cash incentives paid to our NEOs for 2022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40" w:type="dxa"/>
            <w:vAlign w:val="bottom"/>
            <w:shd w:val="clear" w:color="auto" w:fill="2D53A6"/>
          </w:tcPr>
          <w:p>
            <w:pPr>
              <w:spacing w:after="0"/>
              <w:rPr>
                <w:sz w:val="21"/>
                <w:szCs w:val="21"/>
                <w:color w:val="auto"/>
              </w:rPr>
            </w:pPr>
          </w:p>
        </w:tc>
        <w:tc>
          <w:tcPr>
            <w:tcW w:w="6160" w:type="dxa"/>
            <w:vAlign w:val="bottom"/>
            <w:tcBorders>
              <w:right w:val="single" w:sz="8" w:color="2D53A6"/>
            </w:tcBorders>
            <w:gridSpan w:val="4"/>
            <w:shd w:val="clear" w:color="auto" w:fill="2D53A6"/>
          </w:tcPr>
          <w:p>
            <w:pPr>
              <w:jc w:val="center"/>
              <w:ind w:right="510"/>
              <w:spacing w:after="0"/>
              <w:rPr>
                <w:sz w:val="20"/>
                <w:szCs w:val="20"/>
                <w:color w:val="auto"/>
              </w:rPr>
            </w:pPr>
            <w:r>
              <w:rPr>
                <w:rFonts w:ascii="Arial" w:cs="Arial" w:eastAsia="Arial" w:hAnsi="Arial"/>
                <w:sz w:val="18"/>
                <w:szCs w:val="18"/>
                <w:b w:val="1"/>
                <w:bCs w:val="1"/>
                <w:color w:val="FFFFFF"/>
                <w:w w:val="90"/>
              </w:rPr>
              <w:t>Actual Achievement 2022 STI Performance Measures and Objectives</w:t>
            </w:r>
          </w:p>
        </w:tc>
        <w:tc>
          <w:tcPr>
            <w:tcW w:w="1120" w:type="dxa"/>
            <w:vAlign w:val="bottom"/>
            <w:tcBorders>
              <w:right w:val="single" w:sz="8" w:color="2D53A6"/>
            </w:tcBorders>
            <w:shd w:val="clear" w:color="auto" w:fill="2D53A6"/>
          </w:tcPr>
          <w:p>
            <w:pPr>
              <w:spacing w:after="0"/>
              <w:rPr>
                <w:sz w:val="21"/>
                <w:szCs w:val="21"/>
                <w:color w:val="auto"/>
              </w:rPr>
            </w:pPr>
          </w:p>
        </w:tc>
        <w:tc>
          <w:tcPr>
            <w:tcW w:w="1120" w:type="dxa"/>
            <w:vAlign w:val="bottom"/>
            <w:shd w:val="clear" w:color="auto" w:fill="2D53A6"/>
          </w:tcPr>
          <w:p>
            <w:pPr>
              <w:spacing w:after="0"/>
              <w:rPr>
                <w:sz w:val="21"/>
                <w:szCs w:val="21"/>
                <w:color w:val="auto"/>
              </w:rPr>
            </w:pPr>
          </w:p>
        </w:tc>
      </w:tr>
      <w:tr>
        <w:trPr>
          <w:trHeight w:val="216"/>
        </w:trPr>
        <w:tc>
          <w:tcPr>
            <w:tcW w:w="2840" w:type="dxa"/>
            <w:vAlign w:val="bottom"/>
            <w:tcBorders>
              <w:bottom w:val="single" w:sz="8" w:color="2D53A6"/>
            </w:tcBorders>
          </w:tcPr>
          <w:p>
            <w:pPr>
              <w:spacing w:after="0"/>
              <w:rPr>
                <w:sz w:val="18"/>
                <w:szCs w:val="18"/>
                <w:color w:val="auto"/>
              </w:rPr>
            </w:pP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ind w:left="100"/>
              <w:spacing w:after="0" w:line="207" w:lineRule="exact"/>
              <w:rPr>
                <w:sz w:val="20"/>
                <w:szCs w:val="20"/>
                <w:color w:val="auto"/>
              </w:rPr>
            </w:pPr>
            <w:r>
              <w:rPr>
                <w:rFonts w:ascii="Arial" w:cs="Arial" w:eastAsia="Arial" w:hAnsi="Arial"/>
                <w:sz w:val="18"/>
                <w:szCs w:val="18"/>
                <w:b w:val="1"/>
                <w:bCs w:val="1"/>
                <w:color w:val="auto"/>
              </w:rPr>
              <w:t>Dr. M</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ller</w:t>
            </w:r>
          </w:p>
        </w:tc>
        <w:tc>
          <w:tcPr>
            <w:tcW w:w="114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b w:val="1"/>
                <w:bCs w:val="1"/>
                <w:color w:val="auto"/>
              </w:rPr>
              <w:t>Mr. Jones</w:t>
            </w:r>
          </w:p>
        </w:tc>
        <w:tc>
          <w:tcPr>
            <w:tcW w:w="1100" w:type="dxa"/>
            <w:vAlign w:val="bottom"/>
            <w:tcBorders>
              <w:bottom w:val="single" w:sz="8" w:color="2D53A6"/>
              <w:right w:val="single" w:sz="8" w:color="2D53A6"/>
            </w:tcBorders>
          </w:tcPr>
          <w:p>
            <w:pPr>
              <w:ind w:left="60"/>
              <w:spacing w:after="0"/>
              <w:rPr>
                <w:sz w:val="20"/>
                <w:szCs w:val="20"/>
                <w:color w:val="auto"/>
              </w:rPr>
            </w:pPr>
            <w:r>
              <w:rPr>
                <w:rFonts w:ascii="Arial" w:cs="Arial" w:eastAsia="Arial" w:hAnsi="Arial"/>
                <w:sz w:val="18"/>
                <w:szCs w:val="18"/>
                <w:b w:val="1"/>
                <w:bCs w:val="1"/>
                <w:color w:val="auto"/>
                <w:w w:val="94"/>
              </w:rPr>
              <w:t>Mr. Bohrson</w:t>
            </w:r>
          </w:p>
        </w:tc>
        <w:tc>
          <w:tcPr>
            <w:tcW w:w="112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w w:val="98"/>
              </w:rPr>
              <w:t>Mr. Kampfer</w:t>
            </w:r>
          </w:p>
        </w:tc>
        <w:tc>
          <w:tcPr>
            <w:tcW w:w="1120" w:type="dxa"/>
            <w:vAlign w:val="bottom"/>
            <w:tcBorders>
              <w:bottom w:val="single" w:sz="8" w:color="2D53A6"/>
            </w:tcBorders>
          </w:tcPr>
          <w:p>
            <w:pPr>
              <w:ind w:left="140"/>
              <w:spacing w:after="0"/>
              <w:rPr>
                <w:sz w:val="20"/>
                <w:szCs w:val="20"/>
                <w:color w:val="auto"/>
              </w:rPr>
            </w:pPr>
            <w:r>
              <w:rPr>
                <w:rFonts w:ascii="Arial" w:cs="Arial" w:eastAsia="Arial" w:hAnsi="Arial"/>
                <w:sz w:val="18"/>
                <w:szCs w:val="18"/>
                <w:b w:val="1"/>
                <w:bCs w:val="1"/>
                <w:color w:val="auto"/>
              </w:rPr>
              <w:t>Mr. Lawee</w:t>
            </w: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4-year Rolling Sales Growth</w:t>
            </w: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14.1%</w:t>
            </w: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14.1%</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14.1%</w:t>
            </w:r>
          </w:p>
        </w:tc>
        <w:tc>
          <w:tcPr>
            <w:tcW w:w="11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14.1%</w:t>
            </w:r>
          </w:p>
        </w:tc>
        <w:tc>
          <w:tcPr>
            <w:tcW w:w="11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14.1%</w:t>
            </w:r>
          </w:p>
        </w:tc>
      </w:tr>
      <w:tr>
        <w:trPr>
          <w:trHeight w:val="209"/>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Goal Payout %</w:t>
            </w: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1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1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r>
      <w:tr>
        <w:trPr>
          <w:trHeight w:val="210"/>
        </w:trPr>
        <w:tc>
          <w:tcPr>
            <w:tcW w:w="2840" w:type="dxa"/>
            <w:vAlign w:val="bottom"/>
            <w:tcBorders>
              <w:bottom w:val="single" w:sz="8" w:color="2D53A6"/>
            </w:tcBorders>
          </w:tcPr>
          <w:p>
            <w:pPr>
              <w:spacing w:after="0" w:line="210" w:lineRule="exact"/>
              <w:rPr>
                <w:sz w:val="20"/>
                <w:szCs w:val="20"/>
                <w:color w:val="auto"/>
              </w:rPr>
            </w:pPr>
            <w:r>
              <w:rPr>
                <w:rFonts w:ascii="Arial" w:cs="Arial" w:eastAsia="Arial" w:hAnsi="Arial"/>
                <w:sz w:val="15"/>
                <w:szCs w:val="15"/>
                <w:color w:val="auto"/>
              </w:rPr>
              <w:t xml:space="preserve">Non-GAAP Pre-tax Income </w:t>
            </w:r>
            <w:r>
              <w:rPr>
                <w:rFonts w:ascii="Arial" w:cs="Arial" w:eastAsia="Arial" w:hAnsi="Arial"/>
                <w:sz w:val="24"/>
                <w:szCs w:val="24"/>
                <w:color w:val="auto"/>
                <w:vertAlign w:val="superscript"/>
              </w:rPr>
              <w:t>(1)</w:t>
            </w: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21.8%</w:t>
            </w: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21.8%</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21.8%</w:t>
            </w:r>
          </w:p>
        </w:tc>
        <w:tc>
          <w:tcPr>
            <w:tcW w:w="11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21.8%</w:t>
            </w:r>
          </w:p>
        </w:tc>
        <w:tc>
          <w:tcPr>
            <w:tcW w:w="11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21.8%</w:t>
            </w: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Goal Payout %</w:t>
            </w: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190%</w:t>
            </w: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190%</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190%</w:t>
            </w:r>
          </w:p>
        </w:tc>
        <w:tc>
          <w:tcPr>
            <w:tcW w:w="11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190%</w:t>
            </w:r>
          </w:p>
        </w:tc>
        <w:tc>
          <w:tcPr>
            <w:tcW w:w="11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190%</w:t>
            </w:r>
          </w:p>
        </w:tc>
      </w:tr>
      <w:tr>
        <w:trPr>
          <w:trHeight w:val="209"/>
        </w:trPr>
        <w:tc>
          <w:tcPr>
            <w:tcW w:w="2840" w:type="dxa"/>
            <w:vAlign w:val="bottom"/>
            <w:tcBorders>
              <w:bottom w:val="single" w:sz="8" w:color="2D53A6"/>
            </w:tcBorders>
            <w:shd w:val="clear" w:color="auto" w:fill="E6E6E6"/>
          </w:tcPr>
          <w:p>
            <w:pPr>
              <w:spacing w:after="0"/>
              <w:rPr>
                <w:sz w:val="18"/>
                <w:szCs w:val="18"/>
                <w:color w:val="auto"/>
              </w:rPr>
            </w:pPr>
          </w:p>
        </w:tc>
        <w:tc>
          <w:tcPr>
            <w:tcW w:w="5060" w:type="dxa"/>
            <w:vAlign w:val="bottom"/>
            <w:tcBorders>
              <w:bottom w:val="single" w:sz="8" w:color="2D53A6"/>
              <w:right w:val="single" w:sz="8" w:color="E6E6E6"/>
            </w:tcBorders>
            <w:gridSpan w:val="3"/>
            <w:shd w:val="clear" w:color="auto" w:fill="E6E6E6"/>
          </w:tcPr>
          <w:p>
            <w:pPr>
              <w:jc w:val="center"/>
              <w:ind w:left="410"/>
              <w:spacing w:after="0"/>
              <w:rPr>
                <w:sz w:val="20"/>
                <w:szCs w:val="20"/>
                <w:color w:val="auto"/>
              </w:rPr>
            </w:pPr>
            <w:r>
              <w:rPr>
                <w:rFonts w:ascii="Arial" w:cs="Arial" w:eastAsia="Arial" w:hAnsi="Arial"/>
                <w:sz w:val="18"/>
                <w:szCs w:val="18"/>
                <w:b w:val="1"/>
                <w:bCs w:val="1"/>
                <w:color w:val="auto"/>
                <w:w w:val="91"/>
              </w:rPr>
              <w:t>Actual Amount of Fiscal 2022 STI Cash Incentives</w:t>
            </w:r>
          </w:p>
        </w:tc>
        <w:tc>
          <w:tcPr>
            <w:tcW w:w="1100" w:type="dxa"/>
            <w:vAlign w:val="bottom"/>
            <w:tcBorders>
              <w:bottom w:val="single" w:sz="8" w:color="2D53A6"/>
              <w:right w:val="single" w:sz="8" w:color="E6E6E6"/>
            </w:tcBorders>
            <w:shd w:val="clear" w:color="auto" w:fill="E6E6E6"/>
          </w:tcPr>
          <w:p>
            <w:pPr>
              <w:spacing w:after="0"/>
              <w:rPr>
                <w:sz w:val="18"/>
                <w:szCs w:val="18"/>
                <w:color w:val="auto"/>
              </w:rPr>
            </w:pPr>
          </w:p>
        </w:tc>
        <w:tc>
          <w:tcPr>
            <w:tcW w:w="1120" w:type="dxa"/>
            <w:vAlign w:val="bottom"/>
            <w:tcBorders>
              <w:bottom w:val="single" w:sz="8" w:color="2D53A6"/>
              <w:right w:val="single" w:sz="8" w:color="E6E6E6"/>
            </w:tcBorders>
            <w:shd w:val="clear" w:color="auto" w:fill="E6E6E6"/>
          </w:tcPr>
          <w:p>
            <w:pPr>
              <w:spacing w:after="0"/>
              <w:rPr>
                <w:sz w:val="18"/>
                <w:szCs w:val="18"/>
                <w:color w:val="auto"/>
              </w:rPr>
            </w:pPr>
          </w:p>
        </w:tc>
        <w:tc>
          <w:tcPr>
            <w:tcW w:w="1120" w:type="dxa"/>
            <w:vAlign w:val="bottom"/>
            <w:tcBorders>
              <w:bottom w:val="single" w:sz="8" w:color="2D53A6"/>
            </w:tcBorders>
            <w:shd w:val="clear" w:color="auto" w:fill="E6E6E6"/>
          </w:tcPr>
          <w:p>
            <w:pPr>
              <w:spacing w:after="0"/>
              <w:rPr>
                <w:sz w:val="18"/>
                <w:szCs w:val="18"/>
                <w:color w:val="auto"/>
              </w:rPr>
            </w:pP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w w:val="96"/>
              </w:rPr>
              <w:t>Non-Equity Incentive Award Payable</w:t>
            </w: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8"/>
              </w:rPr>
              <w:t>$1,303,528</w:t>
            </w: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$590,740</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$520,446</w:t>
            </w:r>
          </w:p>
        </w:tc>
        <w:tc>
          <w:tcPr>
            <w:tcW w:w="11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$364,988</w:t>
            </w:r>
          </w:p>
        </w:tc>
        <w:tc>
          <w:tcPr>
            <w:tcW w:w="11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$348,380</w:t>
            </w: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 of targeted award amount</w:t>
            </w:r>
          </w:p>
        </w:tc>
        <w:tc>
          <w:tcPr>
            <w:tcW w:w="2820" w:type="dxa"/>
            <w:vAlign w:val="bottom"/>
            <w:tcBorders>
              <w:bottom w:val="single" w:sz="8" w:color="2D53A6"/>
              <w:right w:val="single" w:sz="8" w:color="2D53A6"/>
            </w:tcBorders>
          </w:tcPr>
          <w:p>
            <w:pPr>
              <w:spacing w:after="0"/>
              <w:rPr>
                <w:sz w:val="18"/>
                <w:szCs w:val="18"/>
                <w:color w:val="auto"/>
              </w:rPr>
            </w:pP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193%</w:t>
            </w: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193%</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193%</w:t>
            </w:r>
          </w:p>
        </w:tc>
        <w:tc>
          <w:tcPr>
            <w:tcW w:w="11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193%</w:t>
            </w:r>
          </w:p>
        </w:tc>
        <w:tc>
          <w:tcPr>
            <w:tcW w:w="11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193%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A reconciliation of GAAP to non-GAAP pre-tax income is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annual cash incentives paid to our NEOs for 2022 are set forth in the “2022 Summary Compensation Table” below.</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Long-Term Incentive Compensation</w:t>
      </w:r>
    </w:p>
    <w:p>
      <w:pPr>
        <w:spacing w:after="0" w:line="21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ind w:right="240"/>
        <w:spacing w:after="0" w:line="272" w:lineRule="auto"/>
        <w:rPr>
          <w:sz w:val="20"/>
          <w:szCs w:val="20"/>
          <w:color w:val="auto"/>
        </w:rPr>
      </w:pPr>
      <w:r>
        <w:rPr>
          <w:rFonts w:ascii="Arial" w:cs="Arial" w:eastAsia="Arial" w:hAnsi="Arial"/>
          <w:sz w:val="17"/>
          <w:szCs w:val="17"/>
          <w:color w:val="auto"/>
        </w:rPr>
        <w:t>Generally, in determining the size of the equity awards granted to our executive officers, including our NEOs, the Compensation Committee takes into consideration the recommendations of our CEO (except with respect to his own equity awards), competitive market data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14, 2022,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balance the retention value of the RSU awards with the performance focus of the PSU awards, the total dollar value of the equity awards should be equally weighted between RSU awards and PSU awards.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Borders>
              <w:right w:val="single" w:sz="8" w:color="2D53A6"/>
            </w:tcBorders>
            <w:shd w:val="clear" w:color="auto" w:fill="2D53A6"/>
          </w:tcPr>
          <w:p>
            <w:pPr>
              <w:spacing w:after="0"/>
              <w:rPr>
                <w:sz w:val="18"/>
                <w:szCs w:val="18"/>
                <w:color w:val="auto"/>
              </w:rPr>
            </w:pP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82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Total Face</w:t>
            </w:r>
          </w:p>
        </w:tc>
        <w:tc>
          <w:tcPr>
            <w:tcW w:w="0" w:type="dxa"/>
            <w:vAlign w:val="bottom"/>
          </w:tcPr>
          <w:p>
            <w:pPr>
              <w:spacing w:after="0"/>
              <w:rPr>
                <w:sz w:val="1"/>
                <w:szCs w:val="1"/>
                <w:color w:val="auto"/>
              </w:rPr>
            </w:pPr>
          </w:p>
        </w:tc>
      </w:tr>
      <w:tr>
        <w:trPr>
          <w:trHeight w:val="216"/>
        </w:trPr>
        <w:tc>
          <w:tcPr>
            <w:tcW w:w="55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Restricted</w:t>
            </w: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182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Value of Stock</w:t>
            </w:r>
          </w:p>
        </w:tc>
        <w:tc>
          <w:tcPr>
            <w:tcW w:w="0" w:type="dxa"/>
            <w:vAlign w:val="bottom"/>
          </w:tcPr>
          <w:p>
            <w:pPr>
              <w:spacing w:after="0"/>
              <w:rPr>
                <w:sz w:val="1"/>
                <w:szCs w:val="1"/>
                <w:color w:val="auto"/>
              </w:rPr>
            </w:pPr>
          </w:p>
        </w:tc>
      </w:tr>
      <w:tr>
        <w:trPr>
          <w:trHeight w:val="126"/>
        </w:trPr>
        <w:tc>
          <w:tcPr>
            <w:tcW w:w="5500" w:type="dxa"/>
            <w:vAlign w:val="bottom"/>
            <w:tcBorders>
              <w:right w:val="single" w:sz="8" w:color="2D53A6"/>
            </w:tcBorders>
            <w:vMerge w:val="continue"/>
            <w:shd w:val="clear" w:color="auto" w:fill="2D53A6"/>
          </w:tcPr>
          <w:p>
            <w:pPr>
              <w:spacing w:after="0"/>
              <w:rPr>
                <w:sz w:val="10"/>
                <w:szCs w:val="10"/>
                <w:color w:val="auto"/>
              </w:rPr>
            </w:pPr>
          </w:p>
        </w:tc>
        <w:tc>
          <w:tcPr>
            <w:tcW w:w="19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Stock Units</w:t>
            </w:r>
          </w:p>
        </w:tc>
        <w:tc>
          <w:tcPr>
            <w:tcW w:w="19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Stock Units</w:t>
            </w:r>
          </w:p>
        </w:tc>
        <w:tc>
          <w:tcPr>
            <w:tcW w:w="182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Units at Time</w:t>
            </w:r>
          </w:p>
        </w:tc>
        <w:tc>
          <w:tcPr>
            <w:tcW w:w="0" w:type="dxa"/>
            <w:vAlign w:val="bottom"/>
          </w:tcPr>
          <w:p>
            <w:pPr>
              <w:spacing w:after="0"/>
              <w:rPr>
                <w:sz w:val="1"/>
                <w:szCs w:val="1"/>
                <w:color w:val="auto"/>
              </w:rPr>
            </w:pPr>
          </w:p>
        </w:tc>
      </w:tr>
      <w:tr>
        <w:trPr>
          <w:trHeight w:val="90"/>
        </w:trPr>
        <w:tc>
          <w:tcPr>
            <w:tcW w:w="5500" w:type="dxa"/>
            <w:vAlign w:val="bottom"/>
            <w:tcBorders>
              <w:right w:val="single" w:sz="8" w:color="2D53A6"/>
            </w:tcBorders>
            <w:shd w:val="clear" w:color="auto" w:fill="2D53A6"/>
          </w:tcPr>
          <w:p>
            <w:pPr>
              <w:spacing w:after="0"/>
              <w:rPr>
                <w:sz w:val="7"/>
                <w:szCs w:val="7"/>
                <w:color w:val="auto"/>
              </w:rPr>
            </w:pPr>
          </w:p>
        </w:tc>
        <w:tc>
          <w:tcPr>
            <w:tcW w:w="1960" w:type="dxa"/>
            <w:vAlign w:val="bottom"/>
            <w:tcBorders>
              <w:right w:val="single" w:sz="8" w:color="2D53A6"/>
            </w:tcBorders>
            <w:vMerge w:val="continue"/>
            <w:shd w:val="clear" w:color="auto" w:fill="2D53A6"/>
          </w:tcPr>
          <w:p>
            <w:pPr>
              <w:spacing w:after="0"/>
              <w:rPr>
                <w:sz w:val="7"/>
                <w:szCs w:val="7"/>
                <w:color w:val="auto"/>
              </w:rPr>
            </w:pPr>
          </w:p>
        </w:tc>
        <w:tc>
          <w:tcPr>
            <w:tcW w:w="1960" w:type="dxa"/>
            <w:vAlign w:val="bottom"/>
            <w:tcBorders>
              <w:right w:val="single" w:sz="8" w:color="2D53A6"/>
            </w:tcBorders>
            <w:vMerge w:val="continue"/>
            <w:shd w:val="clear" w:color="auto" w:fill="2D53A6"/>
          </w:tcPr>
          <w:p>
            <w:pPr>
              <w:spacing w:after="0"/>
              <w:rPr>
                <w:sz w:val="7"/>
                <w:szCs w:val="7"/>
                <w:color w:val="auto"/>
              </w:rPr>
            </w:pPr>
          </w:p>
        </w:tc>
        <w:tc>
          <w:tcPr>
            <w:tcW w:w="1820" w:type="dxa"/>
            <w:vAlign w:val="bottom"/>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500" w:type="dxa"/>
            <w:vAlign w:val="bottom"/>
            <w:tcBorders>
              <w:right w:val="single" w:sz="8" w:color="2D53A6"/>
            </w:tcBorders>
            <w:shd w:val="clear" w:color="auto" w:fill="2D53A6"/>
          </w:tcPr>
          <w:p>
            <w:pPr>
              <w:spacing w:after="0"/>
              <w:rPr>
                <w:sz w:val="21"/>
                <w:szCs w:val="21"/>
                <w:color w:val="auto"/>
              </w:rPr>
            </w:pPr>
          </w:p>
        </w:tc>
        <w:tc>
          <w:tcPr>
            <w:tcW w:w="19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Granted</w:t>
            </w:r>
          </w:p>
        </w:tc>
        <w:tc>
          <w:tcPr>
            <w:tcW w:w="1960" w:type="dxa"/>
            <w:vAlign w:val="bottom"/>
            <w:tcBorders>
              <w:right w:val="single" w:sz="8" w:color="2D53A6"/>
            </w:tcBorders>
            <w:shd w:val="clear" w:color="auto" w:fill="2D53A6"/>
          </w:tcPr>
          <w:p>
            <w:pPr>
              <w:jc w:val="center"/>
              <w:spacing w:after="0" w:line="231" w:lineRule="exact"/>
              <w:rPr>
                <w:sz w:val="20"/>
                <w:szCs w:val="20"/>
                <w:color w:val="auto"/>
              </w:rPr>
            </w:pPr>
            <w:r>
              <w:rPr>
                <w:rFonts w:ascii="Arial" w:cs="Arial" w:eastAsia="Arial" w:hAnsi="Arial"/>
                <w:sz w:val="16"/>
                <w:szCs w:val="16"/>
                <w:b w:val="1"/>
                <w:bCs w:val="1"/>
                <w:color w:val="FFFFFF"/>
              </w:rPr>
              <w:t xml:space="preserve">Granted </w:t>
            </w:r>
            <w:r>
              <w:rPr>
                <w:rFonts w:ascii="Arial" w:cs="Arial" w:eastAsia="Arial" w:hAnsi="Arial"/>
                <w:sz w:val="26"/>
                <w:szCs w:val="26"/>
                <w:b w:val="1"/>
                <w:bCs w:val="1"/>
                <w:color w:val="FFFFFF"/>
                <w:vertAlign w:val="superscript"/>
              </w:rPr>
              <w:t>(1)</w:t>
            </w:r>
          </w:p>
        </w:tc>
        <w:tc>
          <w:tcPr>
            <w:tcW w:w="1820" w:type="dxa"/>
            <w:vAlign w:val="bottom"/>
            <w:shd w:val="clear" w:color="auto" w:fill="2D53A6"/>
          </w:tcPr>
          <w:p>
            <w:pPr>
              <w:jc w:val="center"/>
              <w:spacing w:after="0" w:line="231" w:lineRule="exact"/>
              <w:rPr>
                <w:sz w:val="20"/>
                <w:szCs w:val="20"/>
                <w:color w:val="auto"/>
              </w:rPr>
            </w:pPr>
            <w:r>
              <w:rPr>
                <w:rFonts w:ascii="Arial" w:cs="Arial" w:eastAsia="Arial" w:hAnsi="Arial"/>
                <w:sz w:val="16"/>
                <w:szCs w:val="16"/>
                <w:b w:val="1"/>
                <w:bCs w:val="1"/>
                <w:color w:val="FFFFFF"/>
              </w:rPr>
              <w:t xml:space="preserve">of Grant </w:t>
            </w:r>
            <w:r>
              <w:rPr>
                <w:rFonts w:ascii="Arial" w:cs="Arial" w:eastAsia="Arial" w:hAnsi="Arial"/>
                <w:sz w:val="26"/>
                <w:szCs w:val="26"/>
                <w:b w:val="1"/>
                <w:bCs w:val="1"/>
                <w:color w:val="FFFFFF"/>
                <w:vertAlign w:val="superscript"/>
              </w:rPr>
              <w:t>(2)</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96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0"/>
              </w:rPr>
              <w:t>54,844</w:t>
            </w:r>
          </w:p>
        </w:tc>
        <w:tc>
          <w:tcPr>
            <w:tcW w:w="196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87"/>
              </w:rPr>
              <w:t>54,844</w:t>
            </w:r>
          </w:p>
        </w:tc>
        <w:tc>
          <w:tcPr>
            <w:tcW w:w="182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88"/>
              </w:rPr>
              <w:t>$2,999,967</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17,733</w:t>
            </w: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7"/>
              </w:rPr>
              <w:t>17,733</w:t>
            </w:r>
          </w:p>
        </w:tc>
        <w:tc>
          <w:tcPr>
            <w:tcW w:w="18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$969,995</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11,700</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7"/>
              </w:rPr>
              <w:t>11,700</w:t>
            </w:r>
          </w:p>
        </w:tc>
        <w:tc>
          <w:tcPr>
            <w:tcW w:w="18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$639,990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8,683</w:t>
            </w: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8,683</w:t>
            </w:r>
          </w:p>
        </w:tc>
        <w:tc>
          <w:tcPr>
            <w:tcW w:w="182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$474,960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7,678</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8"/>
              </w:rPr>
              <w:t>7,678</w:t>
            </w:r>
          </w:p>
        </w:tc>
        <w:tc>
          <w:tcPr>
            <w:tcW w:w="182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$419,987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PSUs granted at the target award level.</w:t>
      </w:r>
    </w:p>
    <w:p>
      <w:pPr>
        <w:spacing w:after="0" w:line="23" w:lineRule="exact"/>
        <w:rPr>
          <w:rFonts w:ascii="Arial" w:cs="Arial" w:eastAsia="Arial" w:hAnsi="Arial"/>
          <w:sz w:val="18"/>
          <w:szCs w:val="18"/>
          <w:color w:val="auto"/>
        </w:rPr>
      </w:pPr>
    </w:p>
    <w:p>
      <w:pPr>
        <w:ind w:left="340" w:right="60" w:hanging="332"/>
        <w:spacing w:after="0" w:line="26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Closing price of COHU on March 14, 2022 was $27.35. The amounts shown above are the grant date face value for stock awards issued in the form of RSUs and PSUs granted in fiscal 2022.</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Restricted Stock Unit Awards</w:t>
      </w:r>
    </w:p>
    <w:p>
      <w:pPr>
        <w:spacing w:after="0" w:line="2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Consistent with our other employee equity awards, the RSU awards granted to our executive officers in 2022 vest at the rate of 25% of the shares of our common stock subject to the awards per year.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 Stock Unit Awards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PSU Awards</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2022, the Compensation Committee evaluated the use of custom peer groups as the Comparator Group for the TSR in PSU awards and determined that using a broader-based index of companies would better reflect the performance of Cohu’s TSR. Therefore, the PSU awards granted to our executive officers in March 2022 will be earned based on our TSR as compared to the Russell 2000 Index (RUT) measured over a three-year performance period beginning on the first day of fiscal 2022, with earned shares vesting fully at the end of three years from the date of grant. The performance period for the 2022 PSU Awards was set at three years to enhance the long-term focus of the program.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methodology on how shares of our common stock that may be earned under the 2022 PSU Awards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PSU Award Feature</w:t>
            </w:r>
          </w:p>
        </w:tc>
        <w:tc>
          <w:tcPr>
            <w:tcW w:w="7860" w:type="dxa"/>
            <w:vAlign w:val="bottom"/>
            <w:shd w:val="clear" w:color="auto" w:fill="2D53A6"/>
          </w:tcPr>
          <w:p>
            <w:pPr>
              <w:ind w:left="20"/>
              <w:spacing w:after="0"/>
              <w:rPr>
                <w:sz w:val="20"/>
                <w:szCs w:val="20"/>
                <w:color w:val="auto"/>
              </w:rPr>
            </w:pPr>
            <w:r>
              <w:rPr>
                <w:rFonts w:ascii="Arial" w:cs="Arial" w:eastAsia="Arial" w:hAnsi="Arial"/>
                <w:sz w:val="18"/>
                <w:szCs w:val="18"/>
                <w:b w:val="1"/>
                <w:bCs w:val="1"/>
                <w:color w:val="FFFFFF"/>
              </w:rPr>
              <w:t>Description</w:t>
            </w:r>
          </w:p>
        </w:tc>
      </w:tr>
      <w:tr>
        <w:trPr>
          <w:trHeight w:val="216"/>
        </w:trPr>
        <w:tc>
          <w:tcPr>
            <w:tcW w:w="33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Performance Period</w:t>
            </w:r>
          </w:p>
        </w:tc>
        <w:tc>
          <w:tcPr>
            <w:tcW w:w="786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Three fiscal years beginning on first day of fiscal 2022</w:t>
            </w:r>
          </w:p>
        </w:tc>
      </w:tr>
      <w:tr>
        <w:trPr>
          <w:trHeight w:val="210"/>
        </w:trPr>
        <w:tc>
          <w:tcPr>
            <w:tcW w:w="33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Performance Measure</w:t>
            </w:r>
          </w:p>
        </w:tc>
        <w:tc>
          <w:tcPr>
            <w:tcW w:w="786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TSR performance relative to the Russell 2000 Index (“RUT”)</w:t>
            </w:r>
          </w:p>
        </w:tc>
      </w:tr>
      <w:tr>
        <w:trPr>
          <w:trHeight w:val="209"/>
        </w:trPr>
        <w:tc>
          <w:tcPr>
            <w:tcW w:w="33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Performance Scale</w:t>
            </w:r>
          </w:p>
        </w:tc>
        <w:tc>
          <w:tcPr>
            <w:tcW w:w="786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2x spread between COHU and RUT measured and added or subtracted from target (100%)</w:t>
            </w:r>
          </w:p>
        </w:tc>
      </w:tr>
      <w:tr>
        <w:trPr>
          <w:trHeight w:val="195"/>
        </w:trPr>
        <w:tc>
          <w:tcPr>
            <w:tcW w:w="3380" w:type="dxa"/>
            <w:vAlign w:val="bottom"/>
            <w:tcBorders>
              <w:right w:val="single" w:sz="8" w:color="2D53A6"/>
            </w:tcBorders>
            <w:shd w:val="clear" w:color="auto" w:fill="E6E6E6"/>
          </w:tcPr>
          <w:p>
            <w:pPr>
              <w:spacing w:after="0"/>
              <w:rPr>
                <w:sz w:val="16"/>
                <w:szCs w:val="16"/>
                <w:color w:val="auto"/>
              </w:rPr>
            </w:pPr>
          </w:p>
        </w:tc>
        <w:tc>
          <w:tcPr>
            <w:tcW w:w="7860" w:type="dxa"/>
            <w:vAlign w:val="bottom"/>
            <w:shd w:val="clear" w:color="auto" w:fill="E6E6E6"/>
          </w:tcPr>
          <w:p>
            <w:pPr>
              <w:spacing w:after="0" w:line="195" w:lineRule="exact"/>
              <w:rPr>
                <w:sz w:val="20"/>
                <w:szCs w:val="20"/>
                <w:color w:val="auto"/>
              </w:rPr>
            </w:pPr>
            <w:r>
              <w:rPr>
                <w:rFonts w:ascii="Arial" w:cs="Arial" w:eastAsia="Arial" w:hAnsi="Arial"/>
                <w:sz w:val="18"/>
                <w:szCs w:val="18"/>
                <w:color w:val="auto"/>
                <w:w w:val="95"/>
              </w:rPr>
              <w:t>Net change in average closing price of COHU and RUT over the twenty trading-day period immediately</w:t>
            </w:r>
          </w:p>
        </w:tc>
      </w:tr>
      <w:tr>
        <w:trPr>
          <w:trHeight w:val="216"/>
        </w:trPr>
        <w:tc>
          <w:tcPr>
            <w:tcW w:w="338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Performance Methodology</w:t>
            </w:r>
          </w:p>
        </w:tc>
        <w:tc>
          <w:tcPr>
            <w:tcW w:w="7860" w:type="dxa"/>
            <w:vAlign w:val="bottom"/>
            <w:shd w:val="clear" w:color="auto" w:fill="E6E6E6"/>
          </w:tcPr>
          <w:p>
            <w:pPr>
              <w:spacing w:after="0"/>
              <w:rPr>
                <w:sz w:val="20"/>
                <w:szCs w:val="20"/>
                <w:color w:val="auto"/>
              </w:rPr>
            </w:pPr>
            <w:r>
              <w:rPr>
                <w:rFonts w:ascii="Arial" w:cs="Arial" w:eastAsia="Arial" w:hAnsi="Arial"/>
                <w:sz w:val="18"/>
                <w:szCs w:val="18"/>
                <w:color w:val="auto"/>
                <w:w w:val="93"/>
              </w:rPr>
              <w:t>preceding the beginning and end of the Performance Period. In the event that both COHU and RUT TSRs</w:t>
            </w:r>
          </w:p>
        </w:tc>
      </w:tr>
      <w:tr>
        <w:trPr>
          <w:trHeight w:val="230"/>
        </w:trPr>
        <w:tc>
          <w:tcPr>
            <w:tcW w:w="3380" w:type="dxa"/>
            <w:vAlign w:val="bottom"/>
            <w:tcBorders>
              <w:bottom w:val="single" w:sz="8" w:color="2D53A6"/>
              <w:right w:val="single" w:sz="8" w:color="2D53A6"/>
            </w:tcBorders>
            <w:shd w:val="clear" w:color="auto" w:fill="E6E6E6"/>
          </w:tcPr>
          <w:p>
            <w:pPr>
              <w:spacing w:after="0"/>
              <w:rPr>
                <w:sz w:val="20"/>
                <w:szCs w:val="20"/>
                <w:color w:val="auto"/>
              </w:rPr>
            </w:pPr>
          </w:p>
        </w:tc>
        <w:tc>
          <w:tcPr>
            <w:tcW w:w="786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are less than zero, the number of shares earned will not exceed 100% of target.</w:t>
            </w:r>
          </w:p>
        </w:tc>
      </w:tr>
      <w:tr>
        <w:trPr>
          <w:trHeight w:val="209"/>
        </w:trPr>
        <w:tc>
          <w:tcPr>
            <w:tcW w:w="33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Range of PSUs Earnable</w:t>
            </w:r>
          </w:p>
        </w:tc>
        <w:tc>
          <w:tcPr>
            <w:tcW w:w="786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0-200% of number of shares granted</w:t>
            </w:r>
          </w:p>
        </w:tc>
      </w:tr>
      <w:tr>
        <w:trPr>
          <w:trHeight w:val="209"/>
        </w:trPr>
        <w:tc>
          <w:tcPr>
            <w:tcW w:w="33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Vesting Period</w:t>
            </w:r>
          </w:p>
        </w:tc>
        <w:tc>
          <w:tcPr>
            <w:tcW w:w="786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100% on third anniversary of grant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PSU Awards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2020 PSU awards had a three-year performance period after which the number of shares of our common stock earned was determined based on the following scale with performance between the percentile rankings calculated on a linear basis with an additional 7% of the target number of shares earned for each 3% increase in our TSR performance above the threshold performance level of 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TSR Ranking Relative to Comparator Group</w:t>
            </w:r>
          </w:p>
        </w:tc>
        <w:tc>
          <w:tcPr>
            <w:tcW w:w="5600" w:type="dxa"/>
            <w:vAlign w:val="bottom"/>
            <w:shd w:val="clear" w:color="auto" w:fill="2D53A6"/>
          </w:tcPr>
          <w:p>
            <w:pPr>
              <w:ind w:left="980"/>
              <w:spacing w:after="0"/>
              <w:rPr>
                <w:sz w:val="20"/>
                <w:szCs w:val="20"/>
                <w:color w:val="auto"/>
              </w:rPr>
            </w:pPr>
            <w:r>
              <w:rPr>
                <w:rFonts w:ascii="Arial" w:cs="Arial" w:eastAsia="Arial" w:hAnsi="Arial"/>
                <w:sz w:val="18"/>
                <w:szCs w:val="18"/>
                <w:b w:val="1"/>
                <w:bCs w:val="1"/>
                <w:color w:val="FFFFFF"/>
              </w:rPr>
              <w:t>Percentage of Target Number of Shares Earned</w:t>
            </w:r>
          </w:p>
        </w:tc>
      </w:tr>
      <w:tr>
        <w:trPr>
          <w:trHeight w:val="216"/>
        </w:trPr>
        <w:tc>
          <w:tcPr>
            <w:tcW w:w="56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Below 25th Percentile</w:t>
            </w:r>
          </w:p>
        </w:tc>
        <w:tc>
          <w:tcPr>
            <w:tcW w:w="56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25%</w:t>
            </w:r>
          </w:p>
        </w:tc>
      </w:tr>
      <w:tr>
        <w:trPr>
          <w:trHeight w:val="209"/>
        </w:trPr>
        <w:tc>
          <w:tcPr>
            <w:tcW w:w="56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25th Percentile</w:t>
            </w:r>
          </w:p>
        </w:tc>
        <w:tc>
          <w:tcPr>
            <w:tcW w:w="56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25%</w:t>
            </w:r>
          </w:p>
        </w:tc>
      </w:tr>
      <w:tr>
        <w:trPr>
          <w:trHeight w:val="209"/>
        </w:trPr>
        <w:tc>
          <w:tcPr>
            <w:tcW w:w="56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57th Percentile</w:t>
            </w:r>
          </w:p>
        </w:tc>
        <w:tc>
          <w:tcPr>
            <w:tcW w:w="56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0"/>
        </w:trPr>
        <w:tc>
          <w:tcPr>
            <w:tcW w:w="56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100th Percentile</w:t>
            </w:r>
          </w:p>
        </w:tc>
        <w:tc>
          <w:tcPr>
            <w:tcW w:w="560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purposes of the 2020 PSU awards, the pre-selected peer group consisted of the following companies that we felt represented competition for our stockholders’ investments. This group includes the majority of the peer companies used for executive compensation comparisons at the time of grant plus seven others that provide similar products to our customers, but that for various reasons such as revenue size or being located outside the U.S. would not be valid compensation peer members. During the performance period, MTS Systems and CMC Materials were acquired and Brooks Automation divested its semiconductor business division and therefore were removed from the peer group for purposes of calculating our actual performance versus the peers: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auto"/>
              </w:rPr>
              <w:t>Advanced Energy Industries</w:t>
            </w:r>
          </w:p>
        </w:tc>
        <w:tc>
          <w:tcPr>
            <w:tcW w:w="2480" w:type="dxa"/>
            <w:vAlign w:val="bottom"/>
            <w:tcBorders>
              <w:top w:val="single" w:sz="8" w:color="auto"/>
            </w:tcBorders>
            <w:shd w:val="clear" w:color="auto" w:fill="E6E6E6"/>
          </w:tcPr>
          <w:p>
            <w:pPr>
              <w:ind w:left="640"/>
              <w:spacing w:after="0"/>
              <w:rPr>
                <w:sz w:val="20"/>
                <w:szCs w:val="20"/>
                <w:color w:val="auto"/>
              </w:rPr>
            </w:pPr>
            <w:r>
              <w:rPr>
                <w:rFonts w:ascii="Arial" w:cs="Arial" w:eastAsia="Arial" w:hAnsi="Arial"/>
                <w:sz w:val="18"/>
                <w:szCs w:val="18"/>
                <w:color w:val="auto"/>
              </w:rPr>
              <w:t>FormFactor</w:t>
            </w:r>
          </w:p>
        </w:tc>
        <w:tc>
          <w:tcPr>
            <w:tcW w:w="6040" w:type="dxa"/>
            <w:vAlign w:val="bottom"/>
            <w:tcBorders>
              <w:top w:val="single" w:sz="8" w:color="auto"/>
            </w:tcBorders>
            <w:shd w:val="clear" w:color="auto" w:fill="E6E6E6"/>
          </w:tcPr>
          <w:p>
            <w:pPr>
              <w:ind w:left="1500"/>
              <w:spacing w:after="0"/>
              <w:rPr>
                <w:sz w:val="20"/>
                <w:szCs w:val="20"/>
                <w:color w:val="auto"/>
              </w:rPr>
            </w:pPr>
            <w:r>
              <w:rPr>
                <w:rFonts w:ascii="Arial" w:cs="Arial" w:eastAsia="Arial" w:hAnsi="Arial"/>
                <w:sz w:val="18"/>
                <w:szCs w:val="18"/>
                <w:color w:val="auto"/>
              </w:rPr>
              <w:t>Onto Innovation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Advantest</w:t>
            </w:r>
          </w:p>
        </w:tc>
        <w:tc>
          <w:tcPr>
            <w:tcW w:w="2480" w:type="dxa"/>
            <w:vAlign w:val="bottom"/>
          </w:tcPr>
          <w:p>
            <w:pPr>
              <w:ind w:left="640"/>
              <w:spacing w:after="0"/>
              <w:rPr>
                <w:sz w:val="20"/>
                <w:szCs w:val="20"/>
                <w:color w:val="auto"/>
              </w:rPr>
            </w:pPr>
            <w:r>
              <w:rPr>
                <w:rFonts w:ascii="Arial" w:cs="Arial" w:eastAsia="Arial" w:hAnsi="Arial"/>
                <w:sz w:val="18"/>
                <w:szCs w:val="18"/>
                <w:color w:val="auto"/>
              </w:rPr>
              <w:t>Intevac</w:t>
            </w:r>
          </w:p>
        </w:tc>
        <w:tc>
          <w:tcPr>
            <w:tcW w:w="6040" w:type="dxa"/>
            <w:vAlign w:val="bottom"/>
          </w:tcPr>
          <w:p>
            <w:pPr>
              <w:ind w:left="1500"/>
              <w:spacing w:after="0"/>
              <w:rPr>
                <w:sz w:val="20"/>
                <w:szCs w:val="20"/>
                <w:color w:val="auto"/>
              </w:rPr>
            </w:pPr>
            <w:r>
              <w:rPr>
                <w:rFonts w:ascii="Arial" w:cs="Arial" w:eastAsia="Arial" w:hAnsi="Arial"/>
                <w:sz w:val="18"/>
                <w:szCs w:val="18"/>
                <w:color w:val="auto"/>
              </w:rPr>
              <w:t>OSI Systems</w:t>
            </w:r>
          </w:p>
        </w:tc>
      </w:t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ASM Pacific</w:t>
            </w:r>
          </w:p>
        </w:tc>
        <w:tc>
          <w:tcPr>
            <w:tcW w:w="24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Kulicke &amp; Soffa</w:t>
            </w:r>
          </w:p>
        </w:tc>
        <w:tc>
          <w:tcPr>
            <w:tcW w:w="6040" w:type="dxa"/>
            <w:vAlign w:val="bottom"/>
            <w:shd w:val="clear" w:color="auto" w:fill="E6E6E6"/>
          </w:tcPr>
          <w:p>
            <w:pPr>
              <w:ind w:left="1500"/>
              <w:spacing w:after="0"/>
              <w:rPr>
                <w:sz w:val="20"/>
                <w:szCs w:val="20"/>
                <w:color w:val="auto"/>
              </w:rPr>
            </w:pPr>
            <w:r>
              <w:rPr>
                <w:rFonts w:ascii="Arial" w:cs="Arial" w:eastAsia="Arial" w:hAnsi="Arial"/>
                <w:sz w:val="18"/>
                <w:szCs w:val="18"/>
                <w:color w:val="auto"/>
              </w:rPr>
              <w:t>Photronics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Axcelis Technologies</w:t>
            </w:r>
          </w:p>
        </w:tc>
        <w:tc>
          <w:tcPr>
            <w:tcW w:w="2480" w:type="dxa"/>
            <w:vAlign w:val="bottom"/>
          </w:tcPr>
          <w:p>
            <w:pPr>
              <w:ind w:left="640"/>
              <w:spacing w:after="0"/>
              <w:rPr>
                <w:sz w:val="20"/>
                <w:szCs w:val="20"/>
                <w:color w:val="auto"/>
              </w:rPr>
            </w:pPr>
            <w:r>
              <w:rPr>
                <w:rFonts w:ascii="Arial" w:cs="Arial" w:eastAsia="Arial" w:hAnsi="Arial"/>
                <w:sz w:val="18"/>
                <w:szCs w:val="18"/>
                <w:color w:val="auto"/>
              </w:rPr>
              <w:t>Micronics</w:t>
            </w:r>
          </w:p>
        </w:tc>
        <w:tc>
          <w:tcPr>
            <w:tcW w:w="6040" w:type="dxa"/>
            <w:vAlign w:val="bottom"/>
          </w:tcPr>
          <w:p>
            <w:pPr>
              <w:ind w:left="1500"/>
              <w:spacing w:after="0"/>
              <w:rPr>
                <w:sz w:val="20"/>
                <w:szCs w:val="20"/>
                <w:color w:val="auto"/>
              </w:rPr>
            </w:pPr>
            <w:r>
              <w:rPr>
                <w:rFonts w:ascii="Arial" w:cs="Arial" w:eastAsia="Arial" w:hAnsi="Arial"/>
                <w:sz w:val="18"/>
                <w:szCs w:val="18"/>
                <w:color w:val="auto"/>
              </w:rPr>
              <w:t>Teradyne</w:t>
            </w:r>
          </w:p>
        </w:tc>
      </w:t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Besi</w:t>
            </w:r>
          </w:p>
        </w:tc>
        <w:tc>
          <w:tcPr>
            <w:tcW w:w="24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MKS Instruments</w:t>
            </w:r>
          </w:p>
        </w:tc>
        <w:tc>
          <w:tcPr>
            <w:tcW w:w="6040" w:type="dxa"/>
            <w:vAlign w:val="bottom"/>
            <w:shd w:val="clear" w:color="auto" w:fill="E6E6E6"/>
          </w:tcPr>
          <w:p>
            <w:pPr>
              <w:ind w:left="1500"/>
              <w:spacing w:after="0"/>
              <w:rPr>
                <w:sz w:val="20"/>
                <w:szCs w:val="20"/>
                <w:color w:val="auto"/>
              </w:rPr>
            </w:pPr>
            <w:r>
              <w:rPr>
                <w:rFonts w:ascii="Arial" w:cs="Arial" w:eastAsia="Arial" w:hAnsi="Arial"/>
                <w:sz w:val="18"/>
                <w:szCs w:val="18"/>
                <w:color w:val="auto"/>
              </w:rPr>
              <w:t>Ultra Clean Holdings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Camtek</w:t>
            </w:r>
          </w:p>
        </w:tc>
        <w:tc>
          <w:tcPr>
            <w:tcW w:w="2480" w:type="dxa"/>
            <w:vAlign w:val="bottom"/>
          </w:tcPr>
          <w:p>
            <w:pPr>
              <w:ind w:left="640"/>
              <w:spacing w:after="0"/>
              <w:rPr>
                <w:sz w:val="20"/>
                <w:szCs w:val="20"/>
                <w:color w:val="auto"/>
              </w:rPr>
            </w:pPr>
            <w:r>
              <w:rPr>
                <w:rFonts w:ascii="Arial" w:cs="Arial" w:eastAsia="Arial" w:hAnsi="Arial"/>
                <w:sz w:val="18"/>
                <w:szCs w:val="18"/>
                <w:color w:val="auto"/>
              </w:rPr>
              <w:t>National Instruments</w:t>
            </w:r>
          </w:p>
        </w:tc>
        <w:tc>
          <w:tcPr>
            <w:tcW w:w="6040" w:type="dxa"/>
            <w:vAlign w:val="bottom"/>
          </w:tcPr>
          <w:p>
            <w:pPr>
              <w:ind w:left="1500"/>
              <w:spacing w:after="0"/>
              <w:rPr>
                <w:sz w:val="20"/>
                <w:szCs w:val="20"/>
                <w:color w:val="auto"/>
              </w:rPr>
            </w:pPr>
            <w:r>
              <w:rPr>
                <w:rFonts w:ascii="Arial" w:cs="Arial" w:eastAsia="Arial" w:hAnsi="Arial"/>
                <w:sz w:val="18"/>
                <w:szCs w:val="18"/>
                <w:color w:val="auto"/>
              </w:rPr>
              <w:t>Veeco</w:t>
            </w:r>
          </w:p>
        </w:tc>
      </w:t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Entegris</w:t>
            </w:r>
          </w:p>
        </w:tc>
        <w:tc>
          <w:tcPr>
            <w:tcW w:w="24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Novanta</w:t>
            </w:r>
          </w:p>
        </w:tc>
        <w:tc>
          <w:tcPr>
            <w:tcW w:w="6040" w:type="dxa"/>
            <w:vAlign w:val="bottom"/>
            <w:shd w:val="clear" w:color="auto" w:fill="E6E6E6"/>
          </w:tcPr>
          <w:p>
            <w:pPr>
              <w:spacing w:after="0"/>
              <w:rPr>
                <w:sz w:val="18"/>
                <w:szCs w:val="18"/>
                <w:color w:val="auto"/>
              </w:rPr>
            </w:pPr>
          </w:p>
        </w:tc>
      </w:tr>
      <w:tr>
        <w:trPr>
          <w:trHeight w:val="432"/>
        </w:trPr>
        <w:tc>
          <w:tcPr>
            <w:tcW w:w="2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32</w:t>
            </w:r>
          </w:p>
        </w:tc>
      </w:tr>
      <w:tr>
        <w:trPr>
          <w:trHeight w:val="115"/>
        </w:trPr>
        <w:tc>
          <w:tcPr>
            <w:tcW w:w="27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6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8" w:name="page39"/>
    <w:bookmarkEnd w:id="38"/>
    <w:p>
      <w:pPr>
        <w:ind w:right="160"/>
        <w:spacing w:after="0" w:line="311" w:lineRule="auto"/>
        <w:rPr>
          <w:sz w:val="20"/>
          <w:szCs w:val="20"/>
          <w:color w:val="auto"/>
        </w:rPr>
      </w:pPr>
      <w:r>
        <w:rPr>
          <w:rFonts w:ascii="Arial" w:cs="Arial" w:eastAsia="Arial" w:hAnsi="Arial"/>
          <w:sz w:val="16"/>
          <w:szCs w:val="16"/>
          <w:color w:val="auto"/>
        </w:rPr>
        <w:t>Following the end of 2022, the Compensation Committee compared our actual performance with respect to the TSR peer group. The TSR result for the fiscal year 2020 through 2022 period as calculated by an outside firm, Research Data Group, Inc., was at the 75th percentile of the comparator group and, therefore, the number of shares of our common stock earned under the 2020 PSU awards was 141.7% of the target award number of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earned by our NEOs with respect to their 2020 PSU awards was: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80" w:type="dxa"/>
            <w:vAlign w:val="bottom"/>
            <w:tcBorders>
              <w:right w:val="single" w:sz="8" w:color="2D53A6"/>
            </w:tcBorders>
            <w:shd w:val="clear" w:color="auto" w:fill="2D53A6"/>
          </w:tcPr>
          <w:p>
            <w:pPr>
              <w:spacing w:after="0"/>
              <w:rPr>
                <w:sz w:val="18"/>
                <w:szCs w:val="18"/>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2040" w:type="dxa"/>
            <w:vAlign w:val="bottom"/>
            <w:tcBorders>
              <w:right w:val="single" w:sz="8" w:color="2D53A6"/>
            </w:tcBorders>
            <w:shd w:val="clear" w:color="auto" w:fill="2D53A6"/>
          </w:tcPr>
          <w:p>
            <w:pPr>
              <w:spacing w:after="0"/>
              <w:rPr>
                <w:sz w:val="18"/>
                <w:szCs w:val="18"/>
                <w:color w:val="auto"/>
              </w:rPr>
            </w:pPr>
          </w:p>
        </w:tc>
        <w:tc>
          <w:tcPr>
            <w:tcW w:w="2020" w:type="dxa"/>
            <w:vAlign w:val="bottom"/>
            <w:tcBorders>
              <w:right w:val="single" w:sz="8" w:color="2D53A6"/>
            </w:tcBorders>
            <w:shd w:val="clear" w:color="auto" w:fill="2D53A6"/>
          </w:tcPr>
          <w:p>
            <w:pPr>
              <w:spacing w:after="0"/>
              <w:rPr>
                <w:sz w:val="18"/>
                <w:szCs w:val="18"/>
                <w:color w:val="auto"/>
              </w:rPr>
            </w:pPr>
          </w:p>
        </w:tc>
        <w:tc>
          <w:tcPr>
            <w:tcW w:w="19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Final Shares</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2020-22 TSR</w:t>
            </w:r>
          </w:p>
        </w:tc>
        <w:tc>
          <w:tcPr>
            <w:tcW w:w="2020" w:type="dxa"/>
            <w:vAlign w:val="bottom"/>
            <w:tcBorders>
              <w:right w:val="single" w:sz="8" w:color="2D53A6"/>
            </w:tcBorders>
            <w:shd w:val="clear" w:color="auto" w:fill="2D53A6"/>
          </w:tcPr>
          <w:p>
            <w:pPr>
              <w:spacing w:after="0"/>
              <w:rPr>
                <w:sz w:val="9"/>
                <w:szCs w:val="9"/>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Earned as a</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Stock Unit Award</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Final Shares</w:t>
            </w:r>
          </w:p>
        </w:tc>
        <w:tc>
          <w:tcPr>
            <w:tcW w:w="19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Percentile</w:t>
            </w: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Percentage of</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(Target Number</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Earned</w:t>
            </w:r>
          </w:p>
        </w:tc>
        <w:tc>
          <w:tcPr>
            <w:tcW w:w="19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Result</w:t>
            </w: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Target Number of</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of Shares)</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shd w:val="clear" w:color="auto" w:fill="2D53A6"/>
          </w:tcPr>
          <w:p>
            <w:pPr>
              <w:spacing w:after="0"/>
              <w:rPr>
                <w:sz w:val="9"/>
                <w:szCs w:val="9"/>
                <w:color w:val="auto"/>
              </w:rPr>
            </w:pPr>
          </w:p>
        </w:tc>
        <w:tc>
          <w:tcPr>
            <w:tcW w:w="19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2D53A6"/>
            </w:tcBorders>
            <w:shd w:val="clear" w:color="auto" w:fill="2D53A6"/>
          </w:tcPr>
          <w:p>
            <w:pPr>
              <w:spacing w:after="0"/>
              <w:rPr>
                <w:sz w:val="10"/>
                <w:szCs w:val="10"/>
                <w:color w:val="auto"/>
              </w:rPr>
            </w:pPr>
          </w:p>
        </w:tc>
        <w:tc>
          <w:tcPr>
            <w:tcW w:w="2040" w:type="dxa"/>
            <w:vAlign w:val="bottom"/>
            <w:tcBorders>
              <w:right w:val="single" w:sz="8" w:color="2D53A6"/>
            </w:tcBorders>
            <w:vMerge w:val="continue"/>
            <w:shd w:val="clear" w:color="auto" w:fill="2D53A6"/>
          </w:tcPr>
          <w:p>
            <w:pPr>
              <w:spacing w:after="0"/>
              <w:rPr>
                <w:sz w:val="10"/>
                <w:szCs w:val="10"/>
                <w:color w:val="auto"/>
              </w:rPr>
            </w:pPr>
          </w:p>
        </w:tc>
        <w:tc>
          <w:tcPr>
            <w:tcW w:w="2040" w:type="dxa"/>
            <w:vAlign w:val="bottom"/>
            <w:tcBorders>
              <w:right w:val="single" w:sz="8" w:color="2D53A6"/>
            </w:tcBorders>
            <w:shd w:val="clear" w:color="auto" w:fill="2D53A6"/>
          </w:tcPr>
          <w:p>
            <w:pPr>
              <w:spacing w:after="0"/>
              <w:rPr>
                <w:sz w:val="10"/>
                <w:szCs w:val="10"/>
                <w:color w:val="auto"/>
              </w:rPr>
            </w:pPr>
          </w:p>
        </w:tc>
        <w:tc>
          <w:tcPr>
            <w:tcW w:w="2020" w:type="dxa"/>
            <w:vAlign w:val="bottom"/>
            <w:tcBorders>
              <w:right w:val="single" w:sz="8" w:color="2D53A6"/>
            </w:tcBorders>
            <w:shd w:val="clear" w:color="auto" w:fill="2D53A6"/>
          </w:tcPr>
          <w:p>
            <w:pPr>
              <w:spacing w:after="0"/>
              <w:rPr>
                <w:sz w:val="10"/>
                <w:szCs w:val="10"/>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0" w:type="dxa"/>
            <w:vAlign w:val="bottom"/>
          </w:tcPr>
          <w:p>
            <w:pPr>
              <w:spacing w:after="0"/>
              <w:rPr>
                <w:sz w:val="1"/>
                <w:szCs w:val="1"/>
                <w:color w:val="auto"/>
              </w:rPr>
            </w:pPr>
          </w:p>
        </w:tc>
      </w:tr>
      <w:tr>
        <w:trPr>
          <w:trHeight w:val="121"/>
        </w:trPr>
        <w:tc>
          <w:tcPr>
            <w:tcW w:w="3180" w:type="dxa"/>
            <w:vAlign w:val="bottom"/>
            <w:tcBorders>
              <w:right w:val="single" w:sz="8" w:color="2D53A6"/>
            </w:tcBorders>
            <w:shd w:val="clear" w:color="auto" w:fill="2D53A6"/>
          </w:tcPr>
          <w:p>
            <w:pPr>
              <w:spacing w:after="0"/>
              <w:rPr>
                <w:sz w:val="10"/>
                <w:szCs w:val="10"/>
                <w:color w:val="auto"/>
              </w:rPr>
            </w:pPr>
          </w:p>
        </w:tc>
        <w:tc>
          <w:tcPr>
            <w:tcW w:w="2040" w:type="dxa"/>
            <w:vAlign w:val="bottom"/>
            <w:tcBorders>
              <w:bottom w:val="single" w:sz="8" w:color="2D53A6"/>
              <w:right w:val="single" w:sz="8" w:color="2D53A6"/>
            </w:tcBorders>
            <w:shd w:val="clear" w:color="auto" w:fill="2D53A6"/>
          </w:tcPr>
          <w:p>
            <w:pPr>
              <w:spacing w:after="0"/>
              <w:rPr>
                <w:sz w:val="10"/>
                <w:szCs w:val="10"/>
                <w:color w:val="auto"/>
              </w:rPr>
            </w:pPr>
          </w:p>
        </w:tc>
        <w:tc>
          <w:tcPr>
            <w:tcW w:w="2040" w:type="dxa"/>
            <w:vAlign w:val="bottom"/>
            <w:tcBorders>
              <w:right w:val="single" w:sz="8" w:color="2D53A6"/>
            </w:tcBorders>
            <w:shd w:val="clear" w:color="auto" w:fill="2D53A6"/>
          </w:tcPr>
          <w:p>
            <w:pPr>
              <w:spacing w:after="0"/>
              <w:rPr>
                <w:sz w:val="10"/>
                <w:szCs w:val="10"/>
                <w:color w:val="auto"/>
              </w:rPr>
            </w:pPr>
          </w:p>
        </w:tc>
        <w:tc>
          <w:tcPr>
            <w:tcW w:w="2020" w:type="dxa"/>
            <w:vAlign w:val="bottom"/>
            <w:tcBorders>
              <w:bottom w:val="single" w:sz="8" w:color="2D53A6"/>
              <w:right w:val="single" w:sz="8" w:color="2D53A6"/>
            </w:tcBorders>
            <w:shd w:val="clear" w:color="auto" w:fill="2D53A6"/>
          </w:tcPr>
          <w:p>
            <w:pPr>
              <w:spacing w:after="0"/>
              <w:rPr>
                <w:sz w:val="10"/>
                <w:szCs w:val="10"/>
                <w:color w:val="auto"/>
              </w:rPr>
            </w:pPr>
          </w:p>
        </w:tc>
        <w:tc>
          <w:tcPr>
            <w:tcW w:w="19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04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87"/>
              </w:rPr>
              <w:t>80,705</w:t>
            </w:r>
          </w:p>
        </w:tc>
        <w:tc>
          <w:tcPr>
            <w:tcW w:w="204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90"/>
              </w:rPr>
              <w:t>75.0%</w:t>
            </w:r>
          </w:p>
        </w:tc>
        <w:tc>
          <w:tcPr>
            <w:tcW w:w="2020" w:type="dxa"/>
            <w:vAlign w:val="bottom"/>
            <w:tcBorders>
              <w:bottom w:val="single" w:sz="8" w:color="2D53A6"/>
              <w:right w:val="single" w:sz="8" w:color="2D53A6"/>
            </w:tcBorders>
          </w:tcPr>
          <w:p>
            <w:pPr>
              <w:jc w:val="center"/>
              <w:spacing w:after="0" w:line="196" w:lineRule="exact"/>
              <w:rPr>
                <w:sz w:val="20"/>
                <w:szCs w:val="20"/>
                <w:color w:val="auto"/>
              </w:rPr>
            </w:pPr>
            <w:r>
              <w:rPr>
                <w:rFonts w:ascii="Arial" w:cs="Arial" w:eastAsia="Arial" w:hAnsi="Arial"/>
                <w:sz w:val="18"/>
                <w:szCs w:val="18"/>
                <w:color w:val="auto"/>
                <w:w w:val="89"/>
              </w:rPr>
              <w:t>114,334</w:t>
            </w:r>
          </w:p>
        </w:tc>
        <w:tc>
          <w:tcPr>
            <w:tcW w:w="1960" w:type="dxa"/>
            <w:vAlign w:val="bottom"/>
            <w:tcBorders>
              <w:bottom w:val="single" w:sz="8" w:color="2D53A6"/>
            </w:tcBorders>
          </w:tcPr>
          <w:p>
            <w:pPr>
              <w:jc w:val="center"/>
              <w:spacing w:after="0" w:line="196" w:lineRule="exact"/>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20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7"/>
              </w:rPr>
              <w:t>26,651</w:t>
            </w:r>
          </w:p>
        </w:tc>
        <w:tc>
          <w:tcPr>
            <w:tcW w:w="20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75.0%</w:t>
            </w:r>
          </w:p>
        </w:tc>
        <w:tc>
          <w:tcPr>
            <w:tcW w:w="2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37,756</w:t>
            </w:r>
          </w:p>
        </w:tc>
        <w:tc>
          <w:tcPr>
            <w:tcW w:w="19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20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7"/>
              </w:rPr>
              <w:t>16,891</w:t>
            </w:r>
          </w:p>
        </w:tc>
        <w:tc>
          <w:tcPr>
            <w:tcW w:w="20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75.0%</w:t>
            </w:r>
          </w:p>
        </w:tc>
        <w:tc>
          <w:tcPr>
            <w:tcW w:w="20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23,929</w:t>
            </w:r>
          </w:p>
        </w:tc>
        <w:tc>
          <w:tcPr>
            <w:tcW w:w="19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20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7"/>
              </w:rPr>
              <w:t>12,012</w:t>
            </w:r>
          </w:p>
        </w:tc>
        <w:tc>
          <w:tcPr>
            <w:tcW w:w="20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75.0%</w:t>
            </w:r>
          </w:p>
        </w:tc>
        <w:tc>
          <w:tcPr>
            <w:tcW w:w="2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17,017</w:t>
            </w:r>
          </w:p>
        </w:tc>
        <w:tc>
          <w:tcPr>
            <w:tcW w:w="19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20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7"/>
              </w:rPr>
              <w:t>11,261</w:t>
            </w:r>
          </w:p>
        </w:tc>
        <w:tc>
          <w:tcPr>
            <w:tcW w:w="20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75.0%</w:t>
            </w:r>
          </w:p>
        </w:tc>
        <w:tc>
          <w:tcPr>
            <w:tcW w:w="20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15,953</w:t>
            </w:r>
          </w:p>
        </w:tc>
        <w:tc>
          <w:tcPr>
            <w:tcW w:w="19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Deferred Compensation Benefits and 401(k) Plan</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Code for contributions under the Section 401(k) plan. The annual limit, which is indexed, was $305,000 for 2022.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“2022 Nonqualified Deferred Compensation” below.</w:t>
      </w:r>
    </w:p>
    <w:p>
      <w:pPr>
        <w:spacing w:after="0" w:line="1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2022 are immediately vested and our matching contribution was at the rate of 50% of the first 8% of employee pre-tax contributions to the plan. Generally, during 2022 the maximum annual amount that any participant could contribute to the 401(k) Plan was $20,500 unless aged 50 or more which allows participants to make an additional $6,500 in “catch-up” contributions and our maximum matching contribution was $12,200.</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Welfare and Health Benefits</w:t>
      </w: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2022,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100"/>
        <w:spacing w:after="0" w:line="275" w:lineRule="auto"/>
        <w:rPr>
          <w:sz w:val="20"/>
          <w:szCs w:val="20"/>
          <w:color w:val="auto"/>
        </w:rPr>
      </w:pPr>
      <w:r>
        <w:rPr>
          <w:rFonts w:ascii="Arial" w:cs="Arial" w:eastAsia="Arial" w:hAnsi="Arial"/>
          <w:sz w:val="17"/>
          <w:szCs w:val="17"/>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year, we informally review our U.S. based benefit programs against our peers with data provided by Aon, our health and welfare benefits broker of record, and by Retirement Benefits Group,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analyze changes to our benefit programs in light of the overall objectives of the programs, including the effectiveness of their incentive and retention features.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Perquisites and Other Personal Benefits</w:t>
      </w:r>
    </w:p>
    <w:p>
      <w:pPr>
        <w:spacing w:after="0" w:line="21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During 2022, we provided our NEOs with automobile expense reimbursement or allowances as follows:</w:t>
            </w:r>
          </w:p>
        </w:tc>
        <w:tc>
          <w:tcPr>
            <w:tcW w:w="2780" w:type="dxa"/>
            <w:vAlign w:val="bottom"/>
          </w:tcPr>
          <w:p>
            <w:pPr>
              <w:spacing w:after="0"/>
              <w:rPr>
                <w:sz w:val="20"/>
                <w:szCs w:val="20"/>
                <w:color w:val="auto"/>
              </w:rPr>
            </w:pPr>
          </w:p>
        </w:tc>
      </w:tr>
      <w:tr>
        <w:trPr>
          <w:trHeight w:val="216"/>
        </w:trPr>
        <w:tc>
          <w:tcPr>
            <w:tcW w:w="84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43"/>
        </w:trPr>
        <w:tc>
          <w:tcPr>
            <w:tcW w:w="846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27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Annual Auto Allowance</w:t>
            </w:r>
          </w:p>
        </w:tc>
      </w:tr>
      <w:tr>
        <w:trPr>
          <w:trHeight w:val="216"/>
        </w:trPr>
        <w:tc>
          <w:tcPr>
            <w:tcW w:w="846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7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$9,000</w:t>
            </w:r>
          </w:p>
        </w:tc>
      </w:tr>
      <w:tr>
        <w:trPr>
          <w:trHeight w:val="210"/>
        </w:trPr>
        <w:tc>
          <w:tcPr>
            <w:tcW w:w="84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27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$6,000</w:t>
            </w:r>
          </w:p>
        </w:tc>
      </w:tr>
      <w:tr>
        <w:trPr>
          <w:trHeight w:val="209"/>
        </w:trPr>
        <w:tc>
          <w:tcPr>
            <w:tcW w:w="84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27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$6,000</w:t>
            </w:r>
          </w:p>
        </w:tc>
      </w:tr>
      <w:tr>
        <w:trPr>
          <w:trHeight w:val="209"/>
        </w:trPr>
        <w:tc>
          <w:tcPr>
            <w:tcW w:w="84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27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$6,000</w:t>
            </w:r>
          </w:p>
        </w:tc>
      </w:tr>
      <w:tr>
        <w:trPr>
          <w:trHeight w:val="210"/>
        </w:trPr>
        <w:tc>
          <w:tcPr>
            <w:tcW w:w="84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27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$6,000</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2D53A6"/>
        </w:rPr>
        <w:t>Employment Agreements</w:t>
      </w:r>
    </w:p>
    <w:p>
      <w:pPr>
        <w:spacing w:after="0" w:line="21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do not have employment agreements with our NEOs. The material terms of stock awards granted to our NEOs in 2022 and performance-based cash incentives earned by our NEOs for 2022 are described in more detail in “Long-Term Incentive Compensation” and “Annual Cash Incentive”, respectively, above.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Post-Employment Compensation</w:t>
      </w:r>
    </w:p>
    <w:p>
      <w:pPr>
        <w:spacing w:after="0" w:line="2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2020, the Compensation Committee undertook, in consultation with Compensia, a review of its executive post-employment agreements. The objective of this review was to independently benchmark, assess best practices and develop standard agreements to be implemented as the Compensation Committee deemed appropriate among the Company’s executive officers. The Committee approved a form of executive severance agreement (the “Severance Agreement”) and form of change in control agreement (the “Change in Control Agreement”) for certain of the Company’s executive officers (“Executive”) as described below (the “Executive Agreements”). The post-employment payments and benefits which our NEOs are eligible to receive under the Executive Agreements are described in more detail in “Potential Payments upon Termination or Change in Control”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right="220"/>
        <w:spacing w:after="0" w:line="255" w:lineRule="auto"/>
        <w:rPr>
          <w:sz w:val="20"/>
          <w:szCs w:val="20"/>
          <w:color w:val="auto"/>
        </w:rPr>
      </w:pPr>
      <w:r>
        <w:rPr>
          <w:rFonts w:ascii="Arial" w:cs="Arial" w:eastAsia="Arial" w:hAnsi="Arial"/>
          <w:sz w:val="18"/>
          <w:szCs w:val="18"/>
          <w:color w:val="auto"/>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2D53A6"/>
        </w:rPr>
        <w:t>Other Compensation Policies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Ownership Policy</w:t>
      </w:r>
    </w:p>
    <w:p>
      <w:pPr>
        <w:spacing w:after="0" w:line="21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Individual Subject to Stock Ownership Policy</w:t>
            </w:r>
          </w:p>
        </w:tc>
        <w:tc>
          <w:tcPr>
            <w:tcW w:w="560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Minimum Required Level of Stock Ownership</w:t>
            </w:r>
          </w:p>
        </w:tc>
      </w:tr>
      <w:tr>
        <w:trPr>
          <w:trHeight w:val="216"/>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Chief Executive Officer</w:t>
            </w:r>
          </w:p>
        </w:tc>
        <w:tc>
          <w:tcPr>
            <w:tcW w:w="560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Three times annual base salary</w:t>
            </w:r>
          </w:p>
        </w:tc>
      </w:tr>
      <w:tr>
        <w:trPr>
          <w:trHeight w:val="209"/>
        </w:trPr>
        <w:tc>
          <w:tcPr>
            <w:tcW w:w="5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Chief Financial Officer</w:t>
            </w:r>
          </w:p>
        </w:tc>
        <w:tc>
          <w:tcPr>
            <w:tcW w:w="560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Two times annual base salary</w:t>
            </w:r>
          </w:p>
        </w:tc>
      </w:tr>
      <w:tr>
        <w:trPr>
          <w:trHeight w:val="210"/>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All other executive officers</w:t>
            </w:r>
          </w:p>
        </w:tc>
        <w:tc>
          <w:tcPr>
            <w:tcW w:w="560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One times annual base salary</w:t>
            </w: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2022, each of our NEOs was compliant with the policy.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Compensation Recoupment Policy</w:t>
      </w:r>
    </w:p>
    <w:p>
      <w:pPr>
        <w:spacing w:after="0" w:line="21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adopted a formal compensation recoupment (“clawback”) policy under which our Board of Directors may seek reimbursement of the amount paid, awarded or granted to any executive officer or other financial officer as designated by the Compensation Committee if, as a result of their fraud or misconduct, we restate our financial results due to our material noncompliance with any financial reporting requirements under the federal securities laws.</w:t>
      </w:r>
    </w:p>
    <w:p>
      <w:pPr>
        <w:spacing w:after="0" w:line="1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we will comply with the requirements of Section 954 of the Dodd-Frank Wall Street Reform and Consumer Protection Act and will amend our compensation recoupment policy, as necessary, once final rules have been issued by Nasdaq pursuant to the new, final clawback policy rules issued by the U.S. Securities and Exchange Commission on October 26, 2022.</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Award Grant Policy</w:t>
      </w:r>
    </w:p>
    <w:p>
      <w:pPr>
        <w:spacing w:after="0" w:line="21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240"/>
        <w:spacing w:after="0" w:line="275" w:lineRule="auto"/>
        <w:rPr>
          <w:sz w:val="20"/>
          <w:szCs w:val="20"/>
          <w:color w:val="auto"/>
        </w:rPr>
      </w:pPr>
      <w:r>
        <w:rPr>
          <w:rFonts w:ascii="Arial" w:cs="Arial" w:eastAsia="Arial" w:hAnsi="Arial"/>
          <w:sz w:val="17"/>
          <w:szCs w:val="17"/>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Treatment of Equity Awards Upon Retirement</w:t>
      </w:r>
    </w:p>
    <w:p>
      <w:pPr>
        <w:spacing w:after="0" w:line="2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2023, after consultation with Compensia and outside legal counsel, the Compensation Committee approved a policy providing for the continuation of vesting eligibility after retirement for certain equity grants made to specific senior executives that satisfy the eligibility requirements of a Qualifying Retiring Employee.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grants made before March 2023. This policy applies to all our NEOs including the CEO. We believe providing these potential retirement benefits will help us compete for and retain executive talent as well as facilitate orderly transitions for retiring executives.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 Hedging or Pledging</w:t>
      </w: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2D53A6"/>
        </w:rPr>
        <w:t>Tax and Accounting Considerations</w:t>
      </w:r>
    </w:p>
    <w:p>
      <w:pPr>
        <w:spacing w:after="0" w:line="2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Deductibility of Executive Compensation</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Nonqualified Deferred Compensation</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i w:val="1"/>
          <w:iCs w:val="1"/>
          <w:color w:val="auto"/>
        </w:rPr>
        <w:t xml:space="preserve">Taxation of </w:t>
      </w:r>
      <w:r>
        <w:rPr>
          <w:rFonts w:ascii="Arial" w:cs="Arial" w:eastAsia="Arial" w:hAnsi="Arial"/>
          <w:sz w:val="22"/>
          <w:szCs w:val="22"/>
          <w:color w:val="auto"/>
        </w:rPr>
        <w:t>“</w:t>
      </w:r>
      <w:r>
        <w:rPr>
          <w:rFonts w:ascii="Arial" w:cs="Arial" w:eastAsia="Arial" w:hAnsi="Arial"/>
          <w:sz w:val="22"/>
          <w:szCs w:val="22"/>
          <w:i w:val="1"/>
          <w:iCs w:val="1"/>
          <w:color w:val="auto"/>
        </w:rPr>
        <w:t>Parachute</w:t>
      </w:r>
      <w:r>
        <w:rPr>
          <w:rFonts w:ascii="Arial" w:cs="Arial" w:eastAsia="Arial" w:hAnsi="Arial"/>
          <w:sz w:val="22"/>
          <w:szCs w:val="22"/>
          <w:color w:val="auto"/>
        </w:rPr>
        <w:t>”</w:t>
      </w:r>
      <w:r>
        <w:rPr>
          <w:rFonts w:ascii="Arial" w:cs="Arial" w:eastAsia="Arial" w:hAnsi="Arial"/>
          <w:sz w:val="22"/>
          <w:szCs w:val="22"/>
          <w:i w:val="1"/>
          <w:iCs w:val="1"/>
          <w:color w:val="auto"/>
        </w:rPr>
        <w:t xml:space="preserve"> Payments</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Accounting for Stock-Based Compensation</w:t>
      </w:r>
    </w:p>
    <w:p>
      <w:pPr>
        <w:spacing w:after="0" w:line="21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spacing w:after="0" w:line="14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We estimate the fair value of each share-based payment award on the grant date using either the Black-Scholes or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 Report</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fiscal 2022. Based on such review and discussions, the Committee recommended to the Board, and the Board has approved, that the Compensation Discussion and Analysis be included in Cohu’s proxy statement for its 2023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Compensation Committee.</w:t>
      </w:r>
    </w:p>
    <w:p>
      <w:pPr>
        <w:spacing w:after="0" w:line="225" w:lineRule="exact"/>
        <w:rPr>
          <w:sz w:val="20"/>
          <w:szCs w:val="20"/>
          <w:color w:val="auto"/>
        </w:rPr>
      </w:pPr>
    </w:p>
    <w:p>
      <w:pPr>
        <w:ind w:left="2880"/>
        <w:spacing w:after="0"/>
        <w:tabs>
          <w:tab w:leader="none" w:pos="5160" w:val="left"/>
          <w:tab w:leader="none" w:pos="6940" w:val="left"/>
        </w:tabs>
        <w:rPr>
          <w:sz w:val="20"/>
          <w:szCs w:val="20"/>
          <w:color w:val="auto"/>
        </w:rPr>
      </w:pPr>
      <w:r>
        <w:rPr>
          <w:rFonts w:ascii="Arial" w:cs="Arial" w:eastAsia="Arial" w:hAnsi="Arial"/>
          <w:sz w:val="18"/>
          <w:szCs w:val="18"/>
          <w:color w:val="auto"/>
        </w:rPr>
        <w:t>Steven J. Bilodeau (Chair)</w:t>
      </w:r>
      <w:r>
        <w:rPr>
          <w:sz w:val="20"/>
          <w:szCs w:val="20"/>
          <w:color w:val="auto"/>
        </w:rPr>
        <w:tab/>
      </w:r>
      <w:r>
        <w:rPr>
          <w:rFonts w:ascii="Arial" w:cs="Arial" w:eastAsia="Arial" w:hAnsi="Arial"/>
          <w:sz w:val="18"/>
          <w:szCs w:val="18"/>
          <w:color w:val="auto"/>
        </w:rPr>
        <w:t>Andreas W. Mattes</w:t>
      </w:r>
      <w:r>
        <w:rPr>
          <w:sz w:val="20"/>
          <w:szCs w:val="20"/>
          <w:color w:val="auto"/>
        </w:rPr>
        <w:tab/>
      </w:r>
      <w:r>
        <w:rPr>
          <w:rFonts w:ascii="Arial" w:cs="Arial" w:eastAsia="Arial" w:hAnsi="Arial"/>
          <w:sz w:val="16"/>
          <w:szCs w:val="16"/>
          <w:color w:val="auto"/>
        </w:rPr>
        <w:t>Nina L. Richardson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2022 Summary Compensation Table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information for fiscal 2022 for our NEOs.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820" w:type="dxa"/>
            <w:vAlign w:val="bottom"/>
            <w:tcBorders>
              <w:left w:val="single" w:sz="8" w:color="2D53A6"/>
            </w:tcBorders>
            <w:shd w:val="clear" w:color="auto" w:fill="2D53A6"/>
          </w:tcPr>
          <w:p>
            <w:pPr>
              <w:spacing w:after="0"/>
              <w:rPr>
                <w:sz w:val="18"/>
                <w:szCs w:val="18"/>
                <w:color w:val="auto"/>
              </w:rPr>
            </w:pPr>
          </w:p>
        </w:tc>
        <w:tc>
          <w:tcPr>
            <w:tcW w:w="40" w:type="dxa"/>
            <w:vAlign w:val="bottom"/>
            <w:tcBorders>
              <w:right w:val="single" w:sz="8" w:color="2D53A6"/>
            </w:tcBorders>
            <w:shd w:val="clear" w:color="auto" w:fill="2D53A6"/>
          </w:tcPr>
          <w:p>
            <w:pPr>
              <w:spacing w:after="0"/>
              <w:rPr>
                <w:sz w:val="18"/>
                <w:szCs w:val="18"/>
                <w:color w:val="auto"/>
              </w:rPr>
            </w:pPr>
          </w:p>
        </w:tc>
        <w:tc>
          <w:tcPr>
            <w:tcW w:w="1060" w:type="dxa"/>
            <w:vAlign w:val="bottom"/>
            <w:tcBorders>
              <w:right w:val="single" w:sz="8" w:color="2D53A6"/>
            </w:tcBorders>
            <w:shd w:val="clear" w:color="auto" w:fill="2D53A6"/>
          </w:tcPr>
          <w:p>
            <w:pPr>
              <w:spacing w:after="0"/>
              <w:rPr>
                <w:sz w:val="18"/>
                <w:szCs w:val="18"/>
                <w:color w:val="auto"/>
              </w:rPr>
            </w:pPr>
          </w:p>
        </w:tc>
        <w:tc>
          <w:tcPr>
            <w:tcW w:w="20" w:type="dxa"/>
            <w:vAlign w:val="bottom"/>
            <w:shd w:val="clear" w:color="auto" w:fill="2D53A6"/>
          </w:tcPr>
          <w:p>
            <w:pPr>
              <w:spacing w:after="0"/>
              <w:rPr>
                <w:sz w:val="18"/>
                <w:szCs w:val="18"/>
                <w:color w:val="auto"/>
              </w:rPr>
            </w:pPr>
          </w:p>
        </w:tc>
        <w:tc>
          <w:tcPr>
            <w:tcW w:w="1080" w:type="dxa"/>
            <w:vAlign w:val="bottom"/>
            <w:tcBorders>
              <w:right w:val="single" w:sz="8" w:color="2D53A6"/>
            </w:tcBorders>
            <w:shd w:val="clear" w:color="auto" w:fill="2D53A6"/>
          </w:tcPr>
          <w:p>
            <w:pPr>
              <w:spacing w:after="0"/>
              <w:rPr>
                <w:sz w:val="18"/>
                <w:szCs w:val="18"/>
                <w:color w:val="auto"/>
              </w:rPr>
            </w:pP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5"/>
              </w:rPr>
              <w:t>Stock</w:t>
            </w:r>
          </w:p>
        </w:tc>
        <w:tc>
          <w:tcPr>
            <w:tcW w:w="11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Non-Equity</w:t>
            </w:r>
          </w:p>
        </w:tc>
        <w:tc>
          <w:tcPr>
            <w:tcW w:w="1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980" w:type="dxa"/>
            <w:vAlign w:val="bottom"/>
            <w:tcBorders>
              <w:right w:val="single" w:sz="8" w:color="2D53A6"/>
            </w:tcBorders>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20" w:type="dxa"/>
            <w:vAlign w:val="bottom"/>
            <w:tcBorders>
              <w:left w:val="single" w:sz="8" w:color="2D53A6"/>
            </w:tcBorders>
            <w:shd w:val="clear" w:color="auto" w:fill="2D53A6"/>
          </w:tcPr>
          <w:p>
            <w:pPr>
              <w:spacing w:after="0"/>
              <w:rPr>
                <w:sz w:val="9"/>
                <w:szCs w:val="9"/>
                <w:color w:val="auto"/>
              </w:rPr>
            </w:pPr>
          </w:p>
        </w:tc>
        <w:tc>
          <w:tcPr>
            <w:tcW w:w="40" w:type="dxa"/>
            <w:vAlign w:val="bottom"/>
            <w:tcBorders>
              <w:right w:val="single" w:sz="8" w:color="2D53A6"/>
            </w:tcBorders>
            <w:shd w:val="clear" w:color="auto" w:fill="2D53A6"/>
          </w:tcPr>
          <w:p>
            <w:pPr>
              <w:spacing w:after="0"/>
              <w:rPr>
                <w:sz w:val="9"/>
                <w:szCs w:val="9"/>
                <w:color w:val="auto"/>
              </w:rPr>
            </w:pPr>
          </w:p>
        </w:tc>
        <w:tc>
          <w:tcPr>
            <w:tcW w:w="1060" w:type="dxa"/>
            <w:vAlign w:val="bottom"/>
            <w:tcBorders>
              <w:right w:val="single" w:sz="8" w:color="2D53A6"/>
            </w:tcBorders>
            <w:shd w:val="clear" w:color="auto" w:fill="2D53A6"/>
          </w:tcPr>
          <w:p>
            <w:pPr>
              <w:spacing w:after="0"/>
              <w:rPr>
                <w:sz w:val="9"/>
                <w:szCs w:val="9"/>
                <w:color w:val="auto"/>
              </w:rPr>
            </w:pPr>
          </w:p>
        </w:tc>
        <w:tc>
          <w:tcPr>
            <w:tcW w:w="20" w:type="dxa"/>
            <w:vAlign w:val="bottom"/>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ind w:left="260"/>
              <w:spacing w:after="0"/>
              <w:rPr>
                <w:sz w:val="20"/>
                <w:szCs w:val="20"/>
                <w:color w:val="auto"/>
              </w:rPr>
            </w:pPr>
            <w:r>
              <w:rPr>
                <w:rFonts w:ascii="Arial" w:cs="Arial" w:eastAsia="Arial" w:hAnsi="Arial"/>
                <w:sz w:val="18"/>
                <w:szCs w:val="18"/>
                <w:b w:val="1"/>
                <w:bCs w:val="1"/>
                <w:color w:val="FFFFFF"/>
              </w:rPr>
              <w:t>Salary</w:t>
            </w: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11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Incentive</w:t>
            </w:r>
          </w:p>
        </w:tc>
        <w:tc>
          <w:tcPr>
            <w:tcW w:w="1060" w:type="dxa"/>
            <w:vAlign w:val="bottom"/>
            <w:tcBorders>
              <w:right w:val="single" w:sz="8" w:color="2D53A6"/>
            </w:tcBorders>
            <w:vMerge w:val="continue"/>
            <w:shd w:val="clear" w:color="auto" w:fill="2D53A6"/>
          </w:tcPr>
          <w:p>
            <w:pPr>
              <w:spacing w:after="0"/>
              <w:rPr>
                <w:sz w:val="9"/>
                <w:szCs w:val="9"/>
                <w:color w:val="auto"/>
              </w:rPr>
            </w:pPr>
          </w:p>
        </w:tc>
        <w:tc>
          <w:tcPr>
            <w:tcW w:w="9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Total</w:t>
            </w:r>
          </w:p>
        </w:tc>
        <w:tc>
          <w:tcPr>
            <w:tcW w:w="0" w:type="dxa"/>
            <w:vAlign w:val="bottom"/>
          </w:tcPr>
          <w:p>
            <w:pPr>
              <w:spacing w:after="0"/>
              <w:rPr>
                <w:sz w:val="1"/>
                <w:szCs w:val="1"/>
                <w:color w:val="auto"/>
              </w:rPr>
            </w:pPr>
          </w:p>
        </w:tc>
      </w:tr>
      <w:tr>
        <w:trPr>
          <w:trHeight w:val="108"/>
        </w:trPr>
        <w:tc>
          <w:tcPr>
            <w:tcW w:w="4820" w:type="dxa"/>
            <w:vAlign w:val="bottom"/>
            <w:tcBorders>
              <w:left w:val="single" w:sz="8" w:color="2D53A6"/>
            </w:tcBorders>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Named Executive Officer</w:t>
            </w:r>
          </w:p>
        </w:tc>
        <w:tc>
          <w:tcPr>
            <w:tcW w:w="40" w:type="dxa"/>
            <w:vAlign w:val="bottom"/>
            <w:tcBorders>
              <w:right w:val="single" w:sz="8" w:color="2D53A6"/>
            </w:tcBorders>
            <w:shd w:val="clear" w:color="auto" w:fill="2D53A6"/>
          </w:tcPr>
          <w:p>
            <w:pPr>
              <w:spacing w:after="0"/>
              <w:rPr>
                <w:sz w:val="9"/>
                <w:szCs w:val="9"/>
                <w:color w:val="auto"/>
              </w:rPr>
            </w:pPr>
          </w:p>
        </w:tc>
        <w:tc>
          <w:tcPr>
            <w:tcW w:w="1060" w:type="dxa"/>
            <w:vAlign w:val="bottom"/>
            <w:tcBorders>
              <w:right w:val="single" w:sz="8" w:color="2D53A6"/>
            </w:tcBorders>
            <w:vMerge w:val="restart"/>
            <w:shd w:val="clear" w:color="auto" w:fill="2D53A6"/>
          </w:tcPr>
          <w:p>
            <w:pPr>
              <w:ind w:left="320"/>
              <w:spacing w:after="0"/>
              <w:rPr>
                <w:sz w:val="20"/>
                <w:szCs w:val="20"/>
                <w:color w:val="auto"/>
              </w:rPr>
            </w:pPr>
            <w:r>
              <w:rPr>
                <w:rFonts w:ascii="Arial" w:cs="Arial" w:eastAsia="Arial" w:hAnsi="Arial"/>
                <w:sz w:val="18"/>
                <w:szCs w:val="18"/>
                <w:b w:val="1"/>
                <w:bCs w:val="1"/>
                <w:color w:val="FFFFFF"/>
              </w:rPr>
              <w:t>Year</w:t>
            </w:r>
          </w:p>
        </w:tc>
        <w:tc>
          <w:tcPr>
            <w:tcW w:w="20" w:type="dxa"/>
            <w:vAlign w:val="bottom"/>
            <w:shd w:val="clear" w:color="auto" w:fill="2D53A6"/>
          </w:tcPr>
          <w:p>
            <w:pPr>
              <w:spacing w:after="0"/>
              <w:rPr>
                <w:sz w:val="9"/>
                <w:szCs w:val="9"/>
                <w:color w:val="auto"/>
              </w:rPr>
            </w:pP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1100" w:type="dxa"/>
            <w:vAlign w:val="bottom"/>
            <w:tcBorders>
              <w:right w:val="single" w:sz="8" w:color="2D53A6"/>
            </w:tcBorders>
            <w:vMerge w:val="continue"/>
            <w:shd w:val="clear" w:color="auto" w:fill="2D53A6"/>
          </w:tcPr>
          <w:p>
            <w:pPr>
              <w:spacing w:after="0"/>
              <w:rPr>
                <w:sz w:val="9"/>
                <w:szCs w:val="9"/>
                <w:color w:val="auto"/>
              </w:rPr>
            </w:pPr>
          </w:p>
        </w:tc>
        <w:tc>
          <w:tcPr>
            <w:tcW w:w="1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Comp.</w:t>
            </w:r>
          </w:p>
        </w:tc>
        <w:tc>
          <w:tcPr>
            <w:tcW w:w="98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Borders>
              <w:left w:val="single" w:sz="8" w:color="2D53A6"/>
            </w:tcBorders>
            <w:vMerge w:val="continue"/>
            <w:shd w:val="clear" w:color="auto" w:fill="2D53A6"/>
          </w:tcPr>
          <w:p>
            <w:pPr>
              <w:spacing w:after="0"/>
              <w:rPr>
                <w:sz w:val="9"/>
                <w:szCs w:val="9"/>
                <w:color w:val="auto"/>
              </w:rPr>
            </w:pPr>
          </w:p>
        </w:tc>
        <w:tc>
          <w:tcPr>
            <w:tcW w:w="40" w:type="dxa"/>
            <w:vAlign w:val="bottom"/>
            <w:tcBorders>
              <w:right w:val="single" w:sz="8" w:color="2D53A6"/>
            </w:tcBorders>
            <w:shd w:val="clear" w:color="auto" w:fill="2D53A6"/>
          </w:tcPr>
          <w:p>
            <w:pPr>
              <w:spacing w:after="0"/>
              <w:rPr>
                <w:sz w:val="9"/>
                <w:szCs w:val="9"/>
                <w:color w:val="auto"/>
              </w:rPr>
            </w:pPr>
          </w:p>
        </w:tc>
        <w:tc>
          <w:tcPr>
            <w:tcW w:w="1060" w:type="dxa"/>
            <w:vAlign w:val="bottom"/>
            <w:tcBorders>
              <w:right w:val="single" w:sz="8" w:color="2D53A6"/>
            </w:tcBorders>
            <w:vMerge w:val="continue"/>
            <w:shd w:val="clear" w:color="auto" w:fill="2D53A6"/>
          </w:tcPr>
          <w:p>
            <w:pPr>
              <w:spacing w:after="0"/>
              <w:rPr>
                <w:sz w:val="9"/>
                <w:szCs w:val="9"/>
                <w:color w:val="auto"/>
              </w:rPr>
            </w:pPr>
          </w:p>
        </w:tc>
        <w:tc>
          <w:tcPr>
            <w:tcW w:w="20" w:type="dxa"/>
            <w:vAlign w:val="bottom"/>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right"/>
              <w:ind w:right="370"/>
              <w:spacing w:after="0"/>
              <w:rPr>
                <w:sz w:val="20"/>
                <w:szCs w:val="20"/>
                <w:color w:val="auto"/>
              </w:rPr>
            </w:pPr>
            <w:r>
              <w:rPr>
                <w:rFonts w:ascii="Arial" w:cs="Arial" w:eastAsia="Arial" w:hAnsi="Arial"/>
                <w:sz w:val="18"/>
                <w:szCs w:val="18"/>
                <w:b w:val="1"/>
                <w:bCs w:val="1"/>
                <w:color w:val="FFFFFF"/>
              </w:rPr>
              <w:t>($)</w:t>
            </w: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11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Plan Comp.</w:t>
            </w:r>
          </w:p>
        </w:tc>
        <w:tc>
          <w:tcPr>
            <w:tcW w:w="1060" w:type="dxa"/>
            <w:vAlign w:val="bottom"/>
            <w:tcBorders>
              <w:right w:val="single" w:sz="8" w:color="2D53A6"/>
            </w:tcBorders>
            <w:vMerge w:val="continue"/>
            <w:shd w:val="clear" w:color="auto" w:fill="2D53A6"/>
          </w:tcPr>
          <w:p>
            <w:pPr>
              <w:spacing w:after="0"/>
              <w:rPr>
                <w:sz w:val="9"/>
                <w:szCs w:val="9"/>
                <w:color w:val="auto"/>
              </w:rPr>
            </w:pPr>
          </w:p>
        </w:tc>
        <w:tc>
          <w:tcPr>
            <w:tcW w:w="980" w:type="dxa"/>
            <w:vAlign w:val="bottom"/>
            <w:tcBorders>
              <w:right w:val="single" w:sz="8" w:color="2D53A6"/>
            </w:tcBorders>
            <w:vMerge w:val="restart"/>
            <w:shd w:val="clear" w:color="auto" w:fill="2D53A6"/>
          </w:tcPr>
          <w:p>
            <w:pPr>
              <w:jc w:val="right"/>
              <w:ind w:right="31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08"/>
        </w:trPr>
        <w:tc>
          <w:tcPr>
            <w:tcW w:w="4820" w:type="dxa"/>
            <w:vAlign w:val="bottom"/>
            <w:tcBorders>
              <w:left w:val="single" w:sz="8" w:color="2D53A6"/>
            </w:tcBorders>
            <w:shd w:val="clear" w:color="auto" w:fill="2D53A6"/>
          </w:tcPr>
          <w:p>
            <w:pPr>
              <w:spacing w:after="0"/>
              <w:rPr>
                <w:sz w:val="9"/>
                <w:szCs w:val="9"/>
                <w:color w:val="auto"/>
              </w:rPr>
            </w:pPr>
          </w:p>
        </w:tc>
        <w:tc>
          <w:tcPr>
            <w:tcW w:w="40" w:type="dxa"/>
            <w:vAlign w:val="bottom"/>
            <w:tcBorders>
              <w:right w:val="single" w:sz="8" w:color="2D53A6"/>
            </w:tcBorders>
            <w:shd w:val="clear" w:color="auto" w:fill="2D53A6"/>
          </w:tcPr>
          <w:p>
            <w:pPr>
              <w:spacing w:after="0"/>
              <w:rPr>
                <w:sz w:val="9"/>
                <w:szCs w:val="9"/>
                <w:color w:val="auto"/>
              </w:rPr>
            </w:pPr>
          </w:p>
        </w:tc>
        <w:tc>
          <w:tcPr>
            <w:tcW w:w="1060" w:type="dxa"/>
            <w:vAlign w:val="bottom"/>
            <w:tcBorders>
              <w:right w:val="single" w:sz="8" w:color="2D53A6"/>
            </w:tcBorders>
            <w:shd w:val="clear" w:color="auto" w:fill="2D53A6"/>
          </w:tcPr>
          <w:p>
            <w:pPr>
              <w:spacing w:after="0"/>
              <w:rPr>
                <w:sz w:val="9"/>
                <w:szCs w:val="9"/>
                <w:color w:val="auto"/>
              </w:rPr>
            </w:pPr>
          </w:p>
        </w:tc>
        <w:tc>
          <w:tcPr>
            <w:tcW w:w="20" w:type="dxa"/>
            <w:vAlign w:val="bottom"/>
            <w:shd w:val="clear" w:color="auto" w:fill="2D53A6"/>
          </w:tcPr>
          <w:p>
            <w:pPr>
              <w:spacing w:after="0"/>
              <w:rPr>
                <w:sz w:val="9"/>
                <w:szCs w:val="9"/>
                <w:color w:val="auto"/>
              </w:rPr>
            </w:pP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 xml:space="preserve">($) </w:t>
            </w:r>
            <w:r>
              <w:rPr>
                <w:rFonts w:ascii="Arial" w:cs="Arial" w:eastAsia="Arial" w:hAnsi="Arial"/>
                <w:sz w:val="14"/>
                <w:szCs w:val="14"/>
                <w:b w:val="1"/>
                <w:bCs w:val="1"/>
                <w:color w:val="FFFFFF"/>
                <w:w w:val="95"/>
              </w:rPr>
              <w:t>(1)</w:t>
            </w:r>
          </w:p>
        </w:tc>
        <w:tc>
          <w:tcPr>
            <w:tcW w:w="1100" w:type="dxa"/>
            <w:vAlign w:val="bottom"/>
            <w:tcBorders>
              <w:right w:val="single" w:sz="8" w:color="2D53A6"/>
            </w:tcBorders>
            <w:vMerge w:val="continue"/>
            <w:shd w:val="clear" w:color="auto" w:fill="2D53A6"/>
          </w:tcPr>
          <w:p>
            <w:pPr>
              <w:spacing w:after="0"/>
              <w:rPr>
                <w:sz w:val="9"/>
                <w:szCs w:val="9"/>
                <w:color w:val="auto"/>
              </w:rPr>
            </w:pPr>
          </w:p>
        </w:tc>
        <w:tc>
          <w:tcPr>
            <w:tcW w:w="1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 xml:space="preserve">($) </w:t>
            </w:r>
            <w:r>
              <w:rPr>
                <w:rFonts w:ascii="Arial" w:cs="Arial" w:eastAsia="Arial" w:hAnsi="Arial"/>
                <w:sz w:val="14"/>
                <w:szCs w:val="14"/>
                <w:b w:val="1"/>
                <w:bCs w:val="1"/>
                <w:color w:val="FFFFFF"/>
                <w:w w:val="95"/>
              </w:rPr>
              <w:t>(3)</w:t>
            </w:r>
          </w:p>
        </w:tc>
        <w:tc>
          <w:tcPr>
            <w:tcW w:w="98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820" w:type="dxa"/>
            <w:vAlign w:val="bottom"/>
            <w:tcBorders>
              <w:left w:val="single" w:sz="8" w:color="2D53A6"/>
            </w:tcBorders>
            <w:shd w:val="clear" w:color="auto" w:fill="2D53A6"/>
          </w:tcPr>
          <w:p>
            <w:pPr>
              <w:spacing w:after="0"/>
              <w:rPr>
                <w:sz w:val="10"/>
                <w:szCs w:val="10"/>
                <w:color w:val="auto"/>
              </w:rPr>
            </w:pPr>
          </w:p>
        </w:tc>
        <w:tc>
          <w:tcPr>
            <w:tcW w:w="40" w:type="dxa"/>
            <w:vAlign w:val="bottom"/>
            <w:tcBorders>
              <w:right w:val="single" w:sz="8" w:color="2D53A6"/>
            </w:tcBorders>
            <w:shd w:val="clear" w:color="auto" w:fill="2D53A6"/>
          </w:tcPr>
          <w:p>
            <w:pPr>
              <w:spacing w:after="0"/>
              <w:rPr>
                <w:sz w:val="10"/>
                <w:szCs w:val="10"/>
                <w:color w:val="auto"/>
              </w:rPr>
            </w:pPr>
          </w:p>
        </w:tc>
        <w:tc>
          <w:tcPr>
            <w:tcW w:w="1060" w:type="dxa"/>
            <w:vAlign w:val="bottom"/>
            <w:tcBorders>
              <w:right w:val="single" w:sz="8" w:color="2D53A6"/>
            </w:tcBorders>
            <w:shd w:val="clear" w:color="auto" w:fill="2D53A6"/>
          </w:tcPr>
          <w:p>
            <w:pPr>
              <w:spacing w:after="0"/>
              <w:rPr>
                <w:sz w:val="10"/>
                <w:szCs w:val="10"/>
                <w:color w:val="auto"/>
              </w:rPr>
            </w:pPr>
          </w:p>
        </w:tc>
        <w:tc>
          <w:tcPr>
            <w:tcW w:w="20" w:type="dxa"/>
            <w:vAlign w:val="bottom"/>
            <w:shd w:val="clear" w:color="auto" w:fill="2D53A6"/>
          </w:tcPr>
          <w:p>
            <w:pPr>
              <w:spacing w:after="0"/>
              <w:rPr>
                <w:sz w:val="10"/>
                <w:szCs w:val="10"/>
                <w:color w:val="auto"/>
              </w:rPr>
            </w:pPr>
          </w:p>
        </w:tc>
        <w:tc>
          <w:tcPr>
            <w:tcW w:w="1080" w:type="dxa"/>
            <w:vAlign w:val="bottom"/>
            <w:tcBorders>
              <w:right w:val="single" w:sz="8" w:color="2D53A6"/>
            </w:tcBorders>
            <w:shd w:val="clear" w:color="auto" w:fill="2D53A6"/>
          </w:tcPr>
          <w:p>
            <w:pPr>
              <w:spacing w:after="0"/>
              <w:rPr>
                <w:sz w:val="10"/>
                <w:szCs w:val="10"/>
                <w:color w:val="auto"/>
              </w:rPr>
            </w:pPr>
          </w:p>
        </w:tc>
        <w:tc>
          <w:tcPr>
            <w:tcW w:w="1080" w:type="dxa"/>
            <w:vAlign w:val="bottom"/>
            <w:tcBorders>
              <w:right w:val="single" w:sz="8" w:color="2D53A6"/>
            </w:tcBorders>
            <w:vMerge w:val="continue"/>
            <w:shd w:val="clear" w:color="auto" w:fill="2D53A6"/>
          </w:tcPr>
          <w:p>
            <w:pPr>
              <w:spacing w:after="0"/>
              <w:rPr>
                <w:sz w:val="10"/>
                <w:szCs w:val="10"/>
                <w:color w:val="auto"/>
              </w:rPr>
            </w:pPr>
          </w:p>
        </w:tc>
        <w:tc>
          <w:tcPr>
            <w:tcW w:w="1100" w:type="dxa"/>
            <w:vAlign w:val="bottom"/>
            <w:tcBorders>
              <w:right w:val="single" w:sz="8" w:color="2D53A6"/>
            </w:tcBorders>
            <w:vMerge w:val="restart"/>
            <w:shd w:val="clear" w:color="auto" w:fill="2D53A6"/>
          </w:tcPr>
          <w:p>
            <w:pPr>
              <w:jc w:val="center"/>
              <w:spacing w:after="0" w:line="231" w:lineRule="exact"/>
              <w:rPr>
                <w:sz w:val="20"/>
                <w:szCs w:val="20"/>
                <w:color w:val="auto"/>
              </w:rPr>
            </w:pPr>
            <w:r>
              <w:rPr>
                <w:rFonts w:ascii="Arial" w:cs="Arial" w:eastAsia="Arial" w:hAnsi="Arial"/>
                <w:sz w:val="16"/>
                <w:szCs w:val="16"/>
                <w:b w:val="1"/>
                <w:bCs w:val="1"/>
                <w:color w:val="FFFFFF"/>
                <w:w w:val="92"/>
              </w:rPr>
              <w:t xml:space="preserve">($) </w:t>
            </w:r>
            <w:r>
              <w:rPr>
                <w:rFonts w:ascii="Arial" w:cs="Arial" w:eastAsia="Arial" w:hAnsi="Arial"/>
                <w:sz w:val="26"/>
                <w:szCs w:val="26"/>
                <w:b w:val="1"/>
                <w:bCs w:val="1"/>
                <w:color w:val="FFFFFF"/>
                <w:w w:val="92"/>
                <w:vertAlign w:val="superscript"/>
              </w:rPr>
              <w:t>(2)</w:t>
            </w:r>
          </w:p>
        </w:tc>
        <w:tc>
          <w:tcPr>
            <w:tcW w:w="1060" w:type="dxa"/>
            <w:vAlign w:val="bottom"/>
            <w:tcBorders>
              <w:right w:val="single" w:sz="8" w:color="2D53A6"/>
            </w:tcBorders>
            <w:vMerge w:val="continue"/>
            <w:shd w:val="clear" w:color="auto" w:fill="2D53A6"/>
          </w:tcPr>
          <w:p>
            <w:pPr>
              <w:spacing w:after="0"/>
              <w:rPr>
                <w:sz w:val="10"/>
                <w:szCs w:val="10"/>
                <w:color w:val="auto"/>
              </w:rPr>
            </w:pPr>
          </w:p>
        </w:tc>
        <w:tc>
          <w:tcPr>
            <w:tcW w:w="980" w:type="dxa"/>
            <w:vAlign w:val="bottom"/>
            <w:tcBorders>
              <w:right w:val="single" w:sz="8" w:color="2D53A6"/>
            </w:tcBorders>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20" w:type="dxa"/>
            <w:vAlign w:val="bottom"/>
            <w:tcBorders>
              <w:left w:val="single" w:sz="8" w:color="2D53A6"/>
            </w:tcBorders>
            <w:shd w:val="clear" w:color="auto" w:fill="2D53A6"/>
          </w:tcPr>
          <w:p>
            <w:pPr>
              <w:spacing w:after="0"/>
              <w:rPr>
                <w:sz w:val="10"/>
                <w:szCs w:val="10"/>
                <w:color w:val="auto"/>
              </w:rPr>
            </w:pPr>
          </w:p>
        </w:tc>
        <w:tc>
          <w:tcPr>
            <w:tcW w:w="40" w:type="dxa"/>
            <w:vAlign w:val="bottom"/>
            <w:tcBorders>
              <w:bottom w:val="single" w:sz="8" w:color="2D53A6"/>
              <w:right w:val="single" w:sz="8" w:color="2D53A6"/>
            </w:tcBorders>
            <w:shd w:val="clear" w:color="auto" w:fill="2D53A6"/>
          </w:tcPr>
          <w:p>
            <w:pPr>
              <w:spacing w:after="0"/>
              <w:rPr>
                <w:sz w:val="10"/>
                <w:szCs w:val="10"/>
                <w:color w:val="auto"/>
              </w:rPr>
            </w:pPr>
          </w:p>
        </w:tc>
        <w:tc>
          <w:tcPr>
            <w:tcW w:w="1060" w:type="dxa"/>
            <w:vAlign w:val="bottom"/>
            <w:tcBorders>
              <w:bottom w:val="single" w:sz="8" w:color="2D53A6"/>
              <w:right w:val="single" w:sz="8" w:color="2D53A6"/>
            </w:tcBorders>
            <w:shd w:val="clear" w:color="auto" w:fill="2D53A6"/>
          </w:tcPr>
          <w:p>
            <w:pPr>
              <w:spacing w:after="0"/>
              <w:rPr>
                <w:sz w:val="10"/>
                <w:szCs w:val="10"/>
                <w:color w:val="auto"/>
              </w:rPr>
            </w:pPr>
          </w:p>
        </w:tc>
        <w:tc>
          <w:tcPr>
            <w:tcW w:w="20" w:type="dxa"/>
            <w:vAlign w:val="bottom"/>
            <w:tcBorders>
              <w:bottom w:val="single" w:sz="8" w:color="2D53A6"/>
            </w:tcBorders>
            <w:shd w:val="clear" w:color="auto" w:fill="2D53A6"/>
          </w:tcPr>
          <w:p>
            <w:pPr>
              <w:spacing w:after="0"/>
              <w:rPr>
                <w:sz w:val="10"/>
                <w:szCs w:val="10"/>
                <w:color w:val="auto"/>
              </w:rPr>
            </w:pPr>
          </w:p>
        </w:tc>
        <w:tc>
          <w:tcPr>
            <w:tcW w:w="1080" w:type="dxa"/>
            <w:vAlign w:val="bottom"/>
            <w:tcBorders>
              <w:right w:val="single" w:sz="8" w:color="2D53A6"/>
            </w:tcBorders>
            <w:shd w:val="clear" w:color="auto" w:fill="2D53A6"/>
          </w:tcPr>
          <w:p>
            <w:pPr>
              <w:spacing w:after="0"/>
              <w:rPr>
                <w:sz w:val="10"/>
                <w:szCs w:val="10"/>
                <w:color w:val="auto"/>
              </w:rPr>
            </w:pPr>
          </w:p>
        </w:tc>
        <w:tc>
          <w:tcPr>
            <w:tcW w:w="1080" w:type="dxa"/>
            <w:vAlign w:val="bottom"/>
            <w:tcBorders>
              <w:bottom w:val="single" w:sz="8" w:color="2D53A6"/>
              <w:right w:val="single" w:sz="8" w:color="2D53A6"/>
            </w:tcBorders>
            <w:shd w:val="clear" w:color="auto" w:fill="2D53A6"/>
          </w:tcPr>
          <w:p>
            <w:pPr>
              <w:spacing w:after="0"/>
              <w:rPr>
                <w:sz w:val="10"/>
                <w:szCs w:val="10"/>
                <w:color w:val="auto"/>
              </w:rPr>
            </w:pPr>
          </w:p>
        </w:tc>
        <w:tc>
          <w:tcPr>
            <w:tcW w:w="1100" w:type="dxa"/>
            <w:vAlign w:val="bottom"/>
            <w:tcBorders>
              <w:right w:val="single" w:sz="8" w:color="2D53A6"/>
            </w:tcBorders>
            <w:vMerge w:val="continue"/>
            <w:shd w:val="clear" w:color="auto" w:fill="2D53A6"/>
          </w:tcPr>
          <w:p>
            <w:pPr>
              <w:spacing w:after="0"/>
              <w:rPr>
                <w:sz w:val="10"/>
                <w:szCs w:val="10"/>
                <w:color w:val="auto"/>
              </w:rPr>
            </w:pPr>
          </w:p>
        </w:tc>
        <w:tc>
          <w:tcPr>
            <w:tcW w:w="1060" w:type="dxa"/>
            <w:vAlign w:val="bottom"/>
            <w:tcBorders>
              <w:bottom w:val="single" w:sz="8" w:color="2D53A6"/>
              <w:right w:val="single" w:sz="8" w:color="2D53A6"/>
            </w:tcBorders>
            <w:shd w:val="clear" w:color="auto" w:fill="2D53A6"/>
          </w:tcPr>
          <w:p>
            <w:pPr>
              <w:spacing w:after="0"/>
              <w:rPr>
                <w:sz w:val="10"/>
                <w:szCs w:val="10"/>
                <w:color w:val="auto"/>
              </w:rPr>
            </w:pPr>
          </w:p>
        </w:tc>
        <w:tc>
          <w:tcPr>
            <w:tcW w:w="980" w:type="dxa"/>
            <w:vAlign w:val="bottom"/>
            <w:tcBorders>
              <w:right w:val="single" w:sz="8" w:color="2D53A6"/>
            </w:tcBorders>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820" w:type="dxa"/>
            <w:vAlign w:val="bottom"/>
            <w:tcBorders>
              <w:left w:val="single" w:sz="8" w:color="2D53A6"/>
            </w:tcBorders>
          </w:tcPr>
          <w:p>
            <w:pPr>
              <w:ind w:left="20"/>
              <w:spacing w:after="0" w:line="182"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40" w:type="dxa"/>
            <w:vAlign w:val="bottom"/>
            <w:tcBorders>
              <w:right w:val="single" w:sz="8" w:color="2D53A6"/>
            </w:tcBorders>
          </w:tcPr>
          <w:p>
            <w:pPr>
              <w:spacing w:after="0"/>
              <w:rPr>
                <w:sz w:val="15"/>
                <w:szCs w:val="15"/>
                <w:color w:val="auto"/>
              </w:rPr>
            </w:pPr>
          </w:p>
        </w:tc>
        <w:tc>
          <w:tcPr>
            <w:tcW w:w="1060" w:type="dxa"/>
            <w:vAlign w:val="bottom"/>
            <w:tcBorders>
              <w:right w:val="single" w:sz="8" w:color="2D53A6"/>
            </w:tcBorders>
          </w:tcPr>
          <w:p>
            <w:pPr>
              <w:ind w:left="320"/>
              <w:spacing w:after="0" w:line="18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5"/>
                <w:szCs w:val="15"/>
                <w:color w:val="auto"/>
              </w:rPr>
            </w:pPr>
          </w:p>
        </w:tc>
        <w:tc>
          <w:tcPr>
            <w:tcW w:w="1080" w:type="dxa"/>
            <w:vAlign w:val="bottom"/>
            <w:tcBorders>
              <w:right w:val="single" w:sz="8" w:color="2D53A6"/>
            </w:tcBorders>
          </w:tcPr>
          <w:p>
            <w:pPr>
              <w:ind w:left="240"/>
              <w:spacing w:after="0" w:line="182" w:lineRule="exact"/>
              <w:rPr>
                <w:sz w:val="20"/>
                <w:szCs w:val="20"/>
                <w:color w:val="auto"/>
              </w:rPr>
            </w:pPr>
            <w:r>
              <w:rPr>
                <w:rFonts w:ascii="Arial" w:cs="Arial" w:eastAsia="Arial" w:hAnsi="Arial"/>
                <w:sz w:val="18"/>
                <w:szCs w:val="18"/>
                <w:color w:val="auto"/>
              </w:rPr>
              <w:t>667,307</w:t>
            </w:r>
          </w:p>
        </w:tc>
        <w:tc>
          <w:tcPr>
            <w:tcW w:w="1080" w:type="dxa"/>
            <w:vAlign w:val="bottom"/>
            <w:tcBorders>
              <w:right w:val="single" w:sz="8" w:color="2D53A6"/>
            </w:tcBorders>
          </w:tcPr>
          <w:p>
            <w:pPr>
              <w:jc w:val="center"/>
              <w:spacing w:after="0" w:line="182" w:lineRule="exact"/>
              <w:rPr>
                <w:sz w:val="20"/>
                <w:szCs w:val="20"/>
                <w:color w:val="auto"/>
              </w:rPr>
            </w:pPr>
            <w:r>
              <w:rPr>
                <w:rFonts w:ascii="Arial" w:cs="Arial" w:eastAsia="Arial" w:hAnsi="Arial"/>
                <w:sz w:val="18"/>
                <w:szCs w:val="18"/>
                <w:color w:val="auto"/>
                <w:w w:val="89"/>
              </w:rPr>
              <w:t>3,321,901</w:t>
            </w:r>
          </w:p>
        </w:tc>
        <w:tc>
          <w:tcPr>
            <w:tcW w:w="1100" w:type="dxa"/>
            <w:vAlign w:val="bottom"/>
            <w:tcBorders>
              <w:right w:val="single" w:sz="8" w:color="2D53A6"/>
            </w:tcBorders>
          </w:tcPr>
          <w:p>
            <w:pPr>
              <w:jc w:val="center"/>
              <w:spacing w:after="0" w:line="182" w:lineRule="exact"/>
              <w:rPr>
                <w:sz w:val="20"/>
                <w:szCs w:val="20"/>
                <w:color w:val="auto"/>
              </w:rPr>
            </w:pPr>
            <w:r>
              <w:rPr>
                <w:rFonts w:ascii="Arial" w:cs="Arial" w:eastAsia="Arial" w:hAnsi="Arial"/>
                <w:sz w:val="18"/>
                <w:szCs w:val="18"/>
                <w:color w:val="auto"/>
                <w:w w:val="89"/>
              </w:rPr>
              <w:t>1,303,528</w:t>
            </w:r>
          </w:p>
        </w:tc>
        <w:tc>
          <w:tcPr>
            <w:tcW w:w="1060" w:type="dxa"/>
            <w:vAlign w:val="bottom"/>
            <w:tcBorders>
              <w:right w:val="single" w:sz="8" w:color="2D53A6"/>
            </w:tcBorders>
          </w:tcPr>
          <w:p>
            <w:pPr>
              <w:jc w:val="center"/>
              <w:spacing w:after="0" w:line="182" w:lineRule="exact"/>
              <w:rPr>
                <w:sz w:val="20"/>
                <w:szCs w:val="20"/>
                <w:color w:val="auto"/>
              </w:rPr>
            </w:pPr>
            <w:r>
              <w:rPr>
                <w:rFonts w:ascii="Arial" w:cs="Arial" w:eastAsia="Arial" w:hAnsi="Arial"/>
                <w:sz w:val="18"/>
                <w:szCs w:val="18"/>
                <w:color w:val="auto"/>
                <w:w w:val="90"/>
              </w:rPr>
              <w:t>22,550</w:t>
            </w:r>
          </w:p>
        </w:tc>
        <w:tc>
          <w:tcPr>
            <w:tcW w:w="980" w:type="dxa"/>
            <w:vAlign w:val="bottom"/>
            <w:tcBorders>
              <w:right w:val="single" w:sz="8" w:color="2D53A6"/>
            </w:tcBorders>
          </w:tcPr>
          <w:p>
            <w:pPr>
              <w:jc w:val="center"/>
              <w:spacing w:after="0" w:line="182" w:lineRule="exact"/>
              <w:rPr>
                <w:sz w:val="20"/>
                <w:szCs w:val="20"/>
                <w:color w:val="auto"/>
              </w:rPr>
            </w:pPr>
            <w:r>
              <w:rPr>
                <w:rFonts w:ascii="Arial" w:cs="Arial" w:eastAsia="Arial" w:hAnsi="Arial"/>
                <w:sz w:val="18"/>
                <w:szCs w:val="18"/>
                <w:color w:val="auto"/>
                <w:w w:val="89"/>
              </w:rPr>
              <w:t>5,315,286</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i w:val="1"/>
                <w:iCs w:val="1"/>
                <w:color w:val="auto"/>
              </w:rPr>
              <w:t>President &amp;</w:t>
            </w:r>
          </w:p>
        </w:tc>
        <w:tc>
          <w:tcPr>
            <w:tcW w:w="1060" w:type="dxa"/>
            <w:vAlign w:val="bottom"/>
            <w:tcBorders>
              <w:right w:val="single" w:sz="8" w:color="2D53A6"/>
            </w:tcBorders>
          </w:tcPr>
          <w:p>
            <w:pPr>
              <w:ind w:left="320"/>
              <w:spacing w:after="0"/>
              <w:rPr>
                <w:sz w:val="20"/>
                <w:szCs w:val="20"/>
                <w:color w:val="auto"/>
              </w:rPr>
            </w:pPr>
            <w:r>
              <w:rPr>
                <w:rFonts w:ascii="Arial" w:cs="Arial" w:eastAsia="Arial" w:hAnsi="Arial"/>
                <w:sz w:val="18"/>
                <w:szCs w:val="18"/>
                <w:color w:val="auto"/>
              </w:rPr>
              <w:t>2021</w:t>
            </w:r>
          </w:p>
        </w:tc>
        <w:tc>
          <w:tcPr>
            <w:tcW w:w="1100" w:type="dxa"/>
            <w:vAlign w:val="bottom"/>
            <w:tcBorders>
              <w:right w:val="single" w:sz="8" w:color="2D53A6"/>
            </w:tcBorders>
            <w:gridSpan w:val="2"/>
          </w:tcPr>
          <w:p>
            <w:pPr>
              <w:ind w:left="260"/>
              <w:spacing w:after="0"/>
              <w:rPr>
                <w:sz w:val="20"/>
                <w:szCs w:val="20"/>
                <w:color w:val="auto"/>
              </w:rPr>
            </w:pPr>
            <w:r>
              <w:rPr>
                <w:rFonts w:ascii="Arial" w:cs="Arial" w:eastAsia="Arial" w:hAnsi="Arial"/>
                <w:sz w:val="18"/>
                <w:szCs w:val="18"/>
                <w:color w:val="auto"/>
              </w:rPr>
              <w:t>619,231</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2,891,579</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1,049,282</w:t>
            </w:r>
          </w:p>
        </w:tc>
        <w:tc>
          <w:tcPr>
            <w:tcW w:w="10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22,324</w:t>
            </w:r>
          </w:p>
        </w:tc>
        <w:tc>
          <w:tcPr>
            <w:tcW w:w="9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4,582,416</w:t>
            </w:r>
          </w:p>
        </w:tc>
        <w:tc>
          <w:tcPr>
            <w:tcW w:w="0" w:type="dxa"/>
            <w:vAlign w:val="bottom"/>
          </w:tcPr>
          <w:p>
            <w:pPr>
              <w:spacing w:after="0"/>
              <w:rPr>
                <w:sz w:val="1"/>
                <w:szCs w:val="1"/>
                <w:color w:val="auto"/>
              </w:rPr>
            </w:pPr>
          </w:p>
        </w:tc>
      </w:tr>
      <w:tr>
        <w:trPr>
          <w:trHeight w:val="230"/>
        </w:trPr>
        <w:tc>
          <w:tcPr>
            <w:tcW w:w="48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060" w:type="dxa"/>
            <w:vAlign w:val="bottom"/>
            <w:tcBorders>
              <w:bottom w:val="single" w:sz="8" w:color="2D53A6"/>
              <w:right w:val="single" w:sz="8" w:color="2D53A6"/>
            </w:tcBorders>
          </w:tcPr>
          <w:p>
            <w:pPr>
              <w:ind w:left="32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2D53A6"/>
              <w:right w:val="single" w:sz="8" w:color="2D53A6"/>
            </w:tcBorders>
            <w:gridSpan w:val="2"/>
          </w:tcPr>
          <w:p>
            <w:pPr>
              <w:ind w:left="260"/>
              <w:spacing w:after="0"/>
              <w:rPr>
                <w:sz w:val="20"/>
                <w:szCs w:val="20"/>
                <w:color w:val="auto"/>
              </w:rPr>
            </w:pPr>
            <w:r>
              <w:rPr>
                <w:rFonts w:ascii="Arial" w:cs="Arial" w:eastAsia="Arial" w:hAnsi="Arial"/>
                <w:sz w:val="18"/>
                <w:szCs w:val="18"/>
                <w:color w:val="auto"/>
              </w:rPr>
              <w:t>543,510</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2,138,683</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611,432</w:t>
            </w:r>
          </w:p>
        </w:tc>
        <w:tc>
          <w:tcPr>
            <w:tcW w:w="10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22,270</w:t>
            </w:r>
          </w:p>
        </w:tc>
        <w:tc>
          <w:tcPr>
            <w:tcW w:w="9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3,315,895</w:t>
            </w:r>
          </w:p>
        </w:tc>
        <w:tc>
          <w:tcPr>
            <w:tcW w:w="0" w:type="dxa"/>
            <w:vAlign w:val="bottom"/>
          </w:tcPr>
          <w:p>
            <w:pPr>
              <w:spacing w:after="0"/>
              <w:rPr>
                <w:sz w:val="1"/>
                <w:szCs w:val="1"/>
                <w:color w:val="auto"/>
              </w:rPr>
            </w:pPr>
          </w:p>
        </w:tc>
      </w:tr>
      <w:tr>
        <w:trPr>
          <w:trHeight w:val="209"/>
        </w:trPr>
        <w:tc>
          <w:tcPr>
            <w:tcW w:w="4860" w:type="dxa"/>
            <w:vAlign w:val="bottom"/>
            <w:tcBorders>
              <w:left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Jeffrey D. Jones</w:t>
            </w:r>
          </w:p>
        </w:tc>
        <w:tc>
          <w:tcPr>
            <w:tcW w:w="1060" w:type="dxa"/>
            <w:vAlign w:val="bottom"/>
            <w:tcBorders>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2022</w:t>
            </w:r>
          </w:p>
        </w:tc>
        <w:tc>
          <w:tcPr>
            <w:tcW w:w="1100" w:type="dxa"/>
            <w:vAlign w:val="bottom"/>
            <w:tcBorders>
              <w:right w:val="single" w:sz="8" w:color="2D53A6"/>
            </w:tcBorders>
            <w:gridSpan w:val="2"/>
            <w:shd w:val="clear" w:color="auto" w:fill="E6E6E6"/>
          </w:tcPr>
          <w:p>
            <w:pPr>
              <w:ind w:left="260"/>
              <w:spacing w:after="0"/>
              <w:rPr>
                <w:sz w:val="20"/>
                <w:szCs w:val="20"/>
                <w:color w:val="auto"/>
              </w:rPr>
            </w:pPr>
            <w:r>
              <w:rPr>
                <w:rFonts w:ascii="Arial" w:cs="Arial" w:eastAsia="Arial" w:hAnsi="Arial"/>
                <w:sz w:val="18"/>
                <w:szCs w:val="18"/>
                <w:color w:val="auto"/>
              </w:rPr>
              <w:t>432,846</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1,074,088</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590,740</w:t>
            </w:r>
          </w:p>
        </w:tc>
        <w:tc>
          <w:tcPr>
            <w:tcW w:w="1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19,381</w:t>
            </w:r>
          </w:p>
        </w:tc>
        <w:tc>
          <w:tcPr>
            <w:tcW w:w="9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2,117,055</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i w:val="1"/>
                <w:iCs w:val="1"/>
                <w:color w:val="auto"/>
              </w:rPr>
              <w:t>Sr. Vice President, Finance &amp;</w:t>
            </w:r>
          </w:p>
        </w:tc>
        <w:tc>
          <w:tcPr>
            <w:tcW w:w="1060" w:type="dxa"/>
            <w:vAlign w:val="bottom"/>
            <w:tcBorders>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2021</w:t>
            </w:r>
          </w:p>
        </w:tc>
        <w:tc>
          <w:tcPr>
            <w:tcW w:w="1100" w:type="dxa"/>
            <w:vAlign w:val="bottom"/>
            <w:tcBorders>
              <w:right w:val="single" w:sz="8" w:color="2D53A6"/>
            </w:tcBorders>
            <w:gridSpan w:val="2"/>
            <w:shd w:val="clear" w:color="auto" w:fill="E6E6E6"/>
          </w:tcPr>
          <w:p>
            <w:pPr>
              <w:ind w:left="260"/>
              <w:spacing w:after="0"/>
              <w:rPr>
                <w:sz w:val="20"/>
                <w:szCs w:val="20"/>
                <w:color w:val="auto"/>
              </w:rPr>
            </w:pPr>
            <w:r>
              <w:rPr>
                <w:rFonts w:ascii="Arial" w:cs="Arial" w:eastAsia="Arial" w:hAnsi="Arial"/>
                <w:sz w:val="18"/>
                <w:szCs w:val="18"/>
                <w:color w:val="auto"/>
              </w:rPr>
              <w:t>404,232</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948,426</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481,830</w:t>
            </w:r>
          </w:p>
        </w:tc>
        <w:tc>
          <w:tcPr>
            <w:tcW w:w="1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19,000</w:t>
            </w:r>
          </w:p>
        </w:tc>
        <w:tc>
          <w:tcPr>
            <w:tcW w:w="9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1,853,488</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060" w:type="dxa"/>
            <w:vAlign w:val="bottom"/>
            <w:tcBorders>
              <w:bottom w:val="single" w:sz="8" w:color="2D53A6"/>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2D53A6"/>
              <w:right w:val="single" w:sz="8" w:color="2D53A6"/>
            </w:tcBorders>
            <w:gridSpan w:val="2"/>
            <w:shd w:val="clear" w:color="auto" w:fill="E6E6E6"/>
          </w:tcPr>
          <w:p>
            <w:pPr>
              <w:ind w:left="260"/>
              <w:spacing w:after="0"/>
              <w:rPr>
                <w:sz w:val="20"/>
                <w:szCs w:val="20"/>
                <w:color w:val="auto"/>
              </w:rPr>
            </w:pPr>
            <w:r>
              <w:rPr>
                <w:rFonts w:ascii="Arial" w:cs="Arial" w:eastAsia="Arial" w:hAnsi="Arial"/>
                <w:sz w:val="18"/>
                <w:szCs w:val="18"/>
                <w:color w:val="auto"/>
              </w:rPr>
              <w:t>358,081</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706,252</w:t>
            </w:r>
          </w:p>
        </w:tc>
        <w:tc>
          <w:tcPr>
            <w:tcW w:w="11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273,346</w:t>
            </w:r>
          </w:p>
        </w:tc>
        <w:tc>
          <w:tcPr>
            <w:tcW w:w="10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18,831</w:t>
            </w:r>
          </w:p>
        </w:tc>
        <w:tc>
          <w:tcPr>
            <w:tcW w:w="9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1,356,510</w:t>
            </w:r>
          </w:p>
        </w:tc>
        <w:tc>
          <w:tcPr>
            <w:tcW w:w="0" w:type="dxa"/>
            <w:vAlign w:val="bottom"/>
          </w:tcPr>
          <w:p>
            <w:pPr>
              <w:spacing w:after="0"/>
              <w:rPr>
                <w:sz w:val="1"/>
                <w:szCs w:val="1"/>
                <w:color w:val="auto"/>
              </w:rPr>
            </w:pPr>
          </w:p>
        </w:tc>
      </w:tr>
      <w:tr>
        <w:trPr>
          <w:trHeight w:val="195"/>
        </w:trPr>
        <w:tc>
          <w:tcPr>
            <w:tcW w:w="4860" w:type="dxa"/>
            <w:vAlign w:val="bottom"/>
            <w:tcBorders>
              <w:left w:val="single" w:sz="8" w:color="2D53A6"/>
              <w:right w:val="single" w:sz="8" w:color="2D53A6"/>
            </w:tcBorders>
            <w:gridSpan w:val="2"/>
          </w:tcPr>
          <w:p>
            <w:pPr>
              <w:ind w:left="20"/>
              <w:spacing w:after="0" w:line="195" w:lineRule="exact"/>
              <w:rPr>
                <w:sz w:val="20"/>
                <w:szCs w:val="20"/>
                <w:color w:val="auto"/>
              </w:rPr>
            </w:pPr>
            <w:r>
              <w:rPr>
                <w:rFonts w:ascii="Arial" w:cs="Arial" w:eastAsia="Arial" w:hAnsi="Arial"/>
                <w:sz w:val="18"/>
                <w:szCs w:val="18"/>
                <w:color w:val="auto"/>
              </w:rPr>
              <w:t>Christopher G. Bohrson</w:t>
            </w:r>
          </w:p>
        </w:tc>
        <w:tc>
          <w:tcPr>
            <w:tcW w:w="1060" w:type="dxa"/>
            <w:vAlign w:val="bottom"/>
            <w:tcBorders>
              <w:right w:val="single" w:sz="8" w:color="2D53A6"/>
            </w:tcBorders>
          </w:tcPr>
          <w:p>
            <w:pPr>
              <w:ind w:left="320"/>
              <w:spacing w:after="0" w:line="195" w:lineRule="exact"/>
              <w:rPr>
                <w:sz w:val="20"/>
                <w:szCs w:val="20"/>
                <w:color w:val="auto"/>
              </w:rPr>
            </w:pPr>
            <w:r>
              <w:rPr>
                <w:rFonts w:ascii="Arial" w:cs="Arial" w:eastAsia="Arial" w:hAnsi="Arial"/>
                <w:sz w:val="18"/>
                <w:szCs w:val="18"/>
                <w:color w:val="auto"/>
              </w:rPr>
              <w:t>2022</w:t>
            </w:r>
          </w:p>
        </w:tc>
        <w:tc>
          <w:tcPr>
            <w:tcW w:w="1100" w:type="dxa"/>
            <w:vAlign w:val="bottom"/>
            <w:tcBorders>
              <w:right w:val="single" w:sz="8" w:color="2D53A6"/>
            </w:tcBorders>
            <w:gridSpan w:val="2"/>
          </w:tcPr>
          <w:p>
            <w:pPr>
              <w:ind w:left="260"/>
              <w:spacing w:after="0" w:line="195" w:lineRule="exact"/>
              <w:rPr>
                <w:sz w:val="20"/>
                <w:szCs w:val="20"/>
                <w:color w:val="auto"/>
              </w:rPr>
            </w:pPr>
            <w:r>
              <w:rPr>
                <w:rFonts w:ascii="Arial" w:cs="Arial" w:eastAsia="Arial" w:hAnsi="Arial"/>
                <w:sz w:val="18"/>
                <w:szCs w:val="18"/>
                <w:color w:val="auto"/>
              </w:rPr>
              <w:t>382,077</w:t>
            </w:r>
          </w:p>
        </w:tc>
        <w:tc>
          <w:tcPr>
            <w:tcW w:w="10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708,669</w:t>
            </w:r>
          </w:p>
        </w:tc>
        <w:tc>
          <w:tcPr>
            <w:tcW w:w="110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520,446</w:t>
            </w:r>
          </w:p>
        </w:tc>
        <w:tc>
          <w:tcPr>
            <w:tcW w:w="106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0"/>
              </w:rPr>
              <w:t>19,240</w:t>
            </w:r>
          </w:p>
        </w:tc>
        <w:tc>
          <w:tcPr>
            <w:tcW w:w="9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1,630,432</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i w:val="1"/>
                <w:iCs w:val="1"/>
                <w:color w:val="auto"/>
              </w:rPr>
              <w:t>Sr. Vice President,</w:t>
            </w:r>
          </w:p>
        </w:tc>
        <w:tc>
          <w:tcPr>
            <w:tcW w:w="1060" w:type="dxa"/>
            <w:vAlign w:val="bottom"/>
            <w:tcBorders>
              <w:right w:val="single" w:sz="8" w:color="2D53A6"/>
            </w:tcBorders>
          </w:tcPr>
          <w:p>
            <w:pPr>
              <w:ind w:left="320"/>
              <w:spacing w:after="0"/>
              <w:rPr>
                <w:sz w:val="20"/>
                <w:szCs w:val="20"/>
                <w:color w:val="auto"/>
              </w:rPr>
            </w:pPr>
            <w:r>
              <w:rPr>
                <w:rFonts w:ascii="Arial" w:cs="Arial" w:eastAsia="Arial" w:hAnsi="Arial"/>
                <w:sz w:val="18"/>
                <w:szCs w:val="18"/>
                <w:color w:val="auto"/>
              </w:rPr>
              <w:t>2021</w:t>
            </w:r>
          </w:p>
        </w:tc>
        <w:tc>
          <w:tcPr>
            <w:tcW w:w="1100" w:type="dxa"/>
            <w:vAlign w:val="bottom"/>
            <w:tcBorders>
              <w:right w:val="single" w:sz="8" w:color="2D53A6"/>
            </w:tcBorders>
            <w:gridSpan w:val="2"/>
          </w:tcPr>
          <w:p>
            <w:pPr>
              <w:ind w:left="260"/>
              <w:spacing w:after="0"/>
              <w:rPr>
                <w:sz w:val="20"/>
                <w:szCs w:val="20"/>
                <w:color w:val="auto"/>
              </w:rPr>
            </w:pPr>
            <w:r>
              <w:rPr>
                <w:rFonts w:ascii="Arial" w:cs="Arial" w:eastAsia="Arial" w:hAnsi="Arial"/>
                <w:sz w:val="18"/>
                <w:szCs w:val="18"/>
                <w:color w:val="auto"/>
              </w:rPr>
              <w:t>362,923</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624,534</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430,122</w:t>
            </w:r>
          </w:p>
        </w:tc>
        <w:tc>
          <w:tcPr>
            <w:tcW w:w="10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18,919</w:t>
            </w:r>
          </w:p>
        </w:tc>
        <w:tc>
          <w:tcPr>
            <w:tcW w:w="9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1,436,498</w:t>
            </w:r>
          </w:p>
        </w:tc>
        <w:tc>
          <w:tcPr>
            <w:tcW w:w="0" w:type="dxa"/>
            <w:vAlign w:val="bottom"/>
          </w:tcPr>
          <w:p>
            <w:pPr>
              <w:spacing w:after="0"/>
              <w:rPr>
                <w:sz w:val="1"/>
                <w:szCs w:val="1"/>
                <w:color w:val="auto"/>
              </w:rPr>
            </w:pPr>
          </w:p>
        </w:tc>
      </w:tr>
      <w:tr>
        <w:trPr>
          <w:trHeight w:val="230"/>
        </w:trPr>
        <w:tc>
          <w:tcPr>
            <w:tcW w:w="48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i w:val="1"/>
                <w:iCs w:val="1"/>
                <w:color w:val="auto"/>
              </w:rPr>
              <w:t>Chief Customer Officer</w:t>
            </w:r>
          </w:p>
        </w:tc>
        <w:tc>
          <w:tcPr>
            <w:tcW w:w="1060" w:type="dxa"/>
            <w:vAlign w:val="bottom"/>
            <w:tcBorders>
              <w:bottom w:val="single" w:sz="8" w:color="2D53A6"/>
              <w:right w:val="single" w:sz="8" w:color="2D53A6"/>
            </w:tcBorders>
          </w:tcPr>
          <w:p>
            <w:pPr>
              <w:ind w:left="32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2D53A6"/>
              <w:right w:val="single" w:sz="8" w:color="2D53A6"/>
            </w:tcBorders>
            <w:gridSpan w:val="2"/>
          </w:tcPr>
          <w:p>
            <w:pPr>
              <w:ind w:left="260"/>
              <w:spacing w:after="0"/>
              <w:rPr>
                <w:sz w:val="20"/>
                <w:szCs w:val="20"/>
                <w:color w:val="auto"/>
              </w:rPr>
            </w:pPr>
            <w:r>
              <w:rPr>
                <w:rFonts w:ascii="Arial" w:cs="Arial" w:eastAsia="Arial" w:hAnsi="Arial"/>
                <w:sz w:val="18"/>
                <w:szCs w:val="18"/>
                <w:color w:val="auto"/>
              </w:rPr>
              <w:t>329,808</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447,612</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215,800</w:t>
            </w:r>
          </w:p>
        </w:tc>
        <w:tc>
          <w:tcPr>
            <w:tcW w:w="10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18,750</w:t>
            </w:r>
          </w:p>
        </w:tc>
        <w:tc>
          <w:tcPr>
            <w:tcW w:w="9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1,011,970</w:t>
            </w:r>
          </w:p>
        </w:tc>
        <w:tc>
          <w:tcPr>
            <w:tcW w:w="0" w:type="dxa"/>
            <w:vAlign w:val="bottom"/>
          </w:tcPr>
          <w:p>
            <w:pPr>
              <w:spacing w:after="0"/>
              <w:rPr>
                <w:sz w:val="1"/>
                <w:szCs w:val="1"/>
                <w:color w:val="auto"/>
              </w:rPr>
            </w:pPr>
          </w:p>
        </w:tc>
      </w:tr>
      <w:tr>
        <w:trPr>
          <w:trHeight w:val="210"/>
        </w:trPr>
        <w:tc>
          <w:tcPr>
            <w:tcW w:w="4860" w:type="dxa"/>
            <w:vAlign w:val="bottom"/>
            <w:tcBorders>
              <w:left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color w:val="auto"/>
              </w:rPr>
              <w:t>Thomas D. Kampfer</w:t>
            </w:r>
          </w:p>
        </w:tc>
        <w:tc>
          <w:tcPr>
            <w:tcW w:w="1060" w:type="dxa"/>
            <w:vAlign w:val="bottom"/>
            <w:tcBorders>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2022</w:t>
            </w:r>
          </w:p>
        </w:tc>
        <w:tc>
          <w:tcPr>
            <w:tcW w:w="1100" w:type="dxa"/>
            <w:vAlign w:val="bottom"/>
            <w:tcBorders>
              <w:right w:val="single" w:sz="8" w:color="2D53A6"/>
            </w:tcBorders>
            <w:gridSpan w:val="2"/>
            <w:shd w:val="clear" w:color="auto" w:fill="E6E6E6"/>
          </w:tcPr>
          <w:p>
            <w:pPr>
              <w:ind w:left="260"/>
              <w:spacing w:after="0"/>
              <w:rPr>
                <w:sz w:val="20"/>
                <w:szCs w:val="20"/>
                <w:color w:val="auto"/>
              </w:rPr>
            </w:pPr>
            <w:r>
              <w:rPr>
                <w:rFonts w:ascii="Arial" w:cs="Arial" w:eastAsia="Arial" w:hAnsi="Arial"/>
                <w:sz w:val="18"/>
                <w:szCs w:val="18"/>
                <w:color w:val="auto"/>
              </w:rPr>
              <w:t>374,462</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525,929</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364,988</w:t>
            </w:r>
          </w:p>
        </w:tc>
        <w:tc>
          <w:tcPr>
            <w:tcW w:w="1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19,221</w:t>
            </w:r>
          </w:p>
        </w:tc>
        <w:tc>
          <w:tcPr>
            <w:tcW w:w="9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1,284,600</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i w:val="1"/>
                <w:iCs w:val="1"/>
                <w:color w:val="auto"/>
              </w:rPr>
              <w:t>Vice President, Corp. Development,</w:t>
            </w:r>
          </w:p>
        </w:tc>
        <w:tc>
          <w:tcPr>
            <w:tcW w:w="1060" w:type="dxa"/>
            <w:vAlign w:val="bottom"/>
            <w:tcBorders>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2021</w:t>
            </w:r>
          </w:p>
        </w:tc>
        <w:tc>
          <w:tcPr>
            <w:tcW w:w="1100" w:type="dxa"/>
            <w:vAlign w:val="bottom"/>
            <w:tcBorders>
              <w:right w:val="single" w:sz="8" w:color="2D53A6"/>
            </w:tcBorders>
            <w:gridSpan w:val="2"/>
            <w:shd w:val="clear" w:color="auto" w:fill="E6E6E6"/>
          </w:tcPr>
          <w:p>
            <w:pPr>
              <w:ind w:left="260"/>
              <w:spacing w:after="0"/>
              <w:rPr>
                <w:sz w:val="20"/>
                <w:szCs w:val="20"/>
                <w:color w:val="auto"/>
              </w:rPr>
            </w:pPr>
            <w:r>
              <w:rPr>
                <w:rFonts w:ascii="Arial" w:cs="Arial" w:eastAsia="Arial" w:hAnsi="Arial"/>
                <w:sz w:val="18"/>
                <w:szCs w:val="18"/>
                <w:color w:val="auto"/>
              </w:rPr>
              <w:t>351,154</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462,588</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297,996</w:t>
            </w:r>
          </w:p>
        </w:tc>
        <w:tc>
          <w:tcPr>
            <w:tcW w:w="1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18,786</w:t>
            </w:r>
          </w:p>
        </w:tc>
        <w:tc>
          <w:tcPr>
            <w:tcW w:w="9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1,130,524</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bottom w:val="single" w:sz="8" w:color="2D53A6"/>
              <w:right w:val="single" w:sz="8" w:color="2D53A6"/>
            </w:tcBorders>
            <w:gridSpan w:val="2"/>
            <w:shd w:val="clear" w:color="auto" w:fill="E6E6E6"/>
          </w:tcPr>
          <w:p>
            <w:pPr>
              <w:ind w:left="20"/>
              <w:spacing w:after="0"/>
              <w:rPr>
                <w:sz w:val="20"/>
                <w:szCs w:val="20"/>
                <w:color w:val="auto"/>
              </w:rPr>
            </w:pPr>
            <w:r>
              <w:rPr>
                <w:rFonts w:ascii="Arial" w:cs="Arial" w:eastAsia="Arial" w:hAnsi="Arial"/>
                <w:sz w:val="18"/>
                <w:szCs w:val="18"/>
                <w:i w:val="1"/>
                <w:iCs w:val="1"/>
                <w:color w:val="auto"/>
              </w:rPr>
              <w:t>General Counsel &amp; Secretary</w:t>
            </w:r>
          </w:p>
        </w:tc>
        <w:tc>
          <w:tcPr>
            <w:tcW w:w="1060" w:type="dxa"/>
            <w:vAlign w:val="bottom"/>
            <w:tcBorders>
              <w:bottom w:val="single" w:sz="8" w:color="2D53A6"/>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2D53A6"/>
              <w:right w:val="single" w:sz="8" w:color="2D53A6"/>
            </w:tcBorders>
            <w:gridSpan w:val="2"/>
            <w:shd w:val="clear" w:color="auto" w:fill="E6E6E6"/>
          </w:tcPr>
          <w:p>
            <w:pPr>
              <w:ind w:left="260"/>
              <w:spacing w:after="0"/>
              <w:rPr>
                <w:sz w:val="20"/>
                <w:szCs w:val="20"/>
                <w:color w:val="auto"/>
              </w:rPr>
            </w:pPr>
            <w:r>
              <w:rPr>
                <w:rFonts w:ascii="Arial" w:cs="Arial" w:eastAsia="Arial" w:hAnsi="Arial"/>
                <w:sz w:val="18"/>
                <w:szCs w:val="18"/>
                <w:color w:val="auto"/>
              </w:rPr>
              <w:t>315,673</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318,318</w:t>
            </w:r>
          </w:p>
        </w:tc>
        <w:tc>
          <w:tcPr>
            <w:tcW w:w="11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172,126</w:t>
            </w:r>
          </w:p>
        </w:tc>
        <w:tc>
          <w:tcPr>
            <w:tcW w:w="10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7"/>
              </w:rPr>
              <w:t>18,711</w:t>
            </w:r>
          </w:p>
        </w:tc>
        <w:tc>
          <w:tcPr>
            <w:tcW w:w="9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824,828</w:t>
            </w:r>
          </w:p>
        </w:tc>
        <w:tc>
          <w:tcPr>
            <w:tcW w:w="0" w:type="dxa"/>
            <w:vAlign w:val="bottom"/>
          </w:tcPr>
          <w:p>
            <w:pPr>
              <w:spacing w:after="0"/>
              <w:rPr>
                <w:sz w:val="1"/>
                <w:szCs w:val="1"/>
                <w:color w:val="auto"/>
              </w:rPr>
            </w:pPr>
          </w:p>
        </w:tc>
      </w:tr>
      <w:tr>
        <w:trPr>
          <w:trHeight w:val="195"/>
        </w:trPr>
        <w:tc>
          <w:tcPr>
            <w:tcW w:w="4860" w:type="dxa"/>
            <w:vAlign w:val="bottom"/>
            <w:tcBorders>
              <w:left w:val="single" w:sz="8" w:color="2D53A6"/>
              <w:right w:val="single" w:sz="8" w:color="2D53A6"/>
            </w:tcBorders>
            <w:gridSpan w:val="2"/>
          </w:tcPr>
          <w:p>
            <w:pPr>
              <w:ind w:left="20"/>
              <w:spacing w:after="0" w:line="195" w:lineRule="exact"/>
              <w:rPr>
                <w:sz w:val="20"/>
                <w:szCs w:val="20"/>
                <w:color w:val="auto"/>
              </w:rPr>
            </w:pPr>
            <w:r>
              <w:rPr>
                <w:rFonts w:ascii="Arial" w:cs="Arial" w:eastAsia="Arial" w:hAnsi="Arial"/>
                <w:sz w:val="14"/>
                <w:szCs w:val="14"/>
                <w:color w:val="auto"/>
              </w:rPr>
              <w:t xml:space="preserve">Ian P. Lawee </w:t>
            </w:r>
            <w:r>
              <w:rPr>
                <w:rFonts w:ascii="Arial" w:cs="Arial" w:eastAsia="Arial" w:hAnsi="Arial"/>
                <w:sz w:val="22"/>
                <w:szCs w:val="22"/>
                <w:color w:val="auto"/>
                <w:vertAlign w:val="superscript"/>
              </w:rPr>
              <w:t>(4)</w:t>
            </w:r>
          </w:p>
        </w:tc>
        <w:tc>
          <w:tcPr>
            <w:tcW w:w="1060" w:type="dxa"/>
            <w:vAlign w:val="bottom"/>
            <w:tcBorders>
              <w:right w:val="single" w:sz="8" w:color="2D53A6"/>
            </w:tcBorders>
          </w:tcPr>
          <w:p>
            <w:pPr>
              <w:ind w:left="320"/>
              <w:spacing w:after="0" w:line="195" w:lineRule="exact"/>
              <w:rPr>
                <w:sz w:val="20"/>
                <w:szCs w:val="20"/>
                <w:color w:val="auto"/>
              </w:rPr>
            </w:pPr>
            <w:r>
              <w:rPr>
                <w:rFonts w:ascii="Arial" w:cs="Arial" w:eastAsia="Arial" w:hAnsi="Arial"/>
                <w:sz w:val="18"/>
                <w:szCs w:val="18"/>
                <w:color w:val="auto"/>
              </w:rPr>
              <w:t>2022</w:t>
            </w:r>
          </w:p>
        </w:tc>
        <w:tc>
          <w:tcPr>
            <w:tcW w:w="1100" w:type="dxa"/>
            <w:vAlign w:val="bottom"/>
            <w:tcBorders>
              <w:right w:val="single" w:sz="8" w:color="2D53A6"/>
            </w:tcBorders>
            <w:gridSpan w:val="2"/>
          </w:tcPr>
          <w:p>
            <w:pPr>
              <w:ind w:left="260"/>
              <w:spacing w:after="0" w:line="195" w:lineRule="exact"/>
              <w:rPr>
                <w:sz w:val="20"/>
                <w:szCs w:val="20"/>
                <w:color w:val="auto"/>
              </w:rPr>
            </w:pPr>
            <w:r>
              <w:rPr>
                <w:rFonts w:ascii="Arial" w:cs="Arial" w:eastAsia="Arial" w:hAnsi="Arial"/>
                <w:sz w:val="18"/>
                <w:szCs w:val="18"/>
                <w:color w:val="auto"/>
              </w:rPr>
              <w:t>319,539</w:t>
            </w:r>
          </w:p>
        </w:tc>
        <w:tc>
          <w:tcPr>
            <w:tcW w:w="10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465,056</w:t>
            </w:r>
          </w:p>
        </w:tc>
        <w:tc>
          <w:tcPr>
            <w:tcW w:w="110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348,380</w:t>
            </w:r>
          </w:p>
        </w:tc>
        <w:tc>
          <w:tcPr>
            <w:tcW w:w="106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0"/>
              </w:rPr>
              <w:t>19,086</w:t>
            </w:r>
          </w:p>
        </w:tc>
        <w:tc>
          <w:tcPr>
            <w:tcW w:w="9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1,152,061</w:t>
            </w:r>
          </w:p>
        </w:tc>
        <w:tc>
          <w:tcPr>
            <w:tcW w:w="0" w:type="dxa"/>
            <w:vAlign w:val="bottom"/>
          </w:tcPr>
          <w:p>
            <w:pPr>
              <w:spacing w:after="0"/>
              <w:rPr>
                <w:sz w:val="1"/>
                <w:szCs w:val="1"/>
                <w:color w:val="auto"/>
              </w:rPr>
            </w:pPr>
          </w:p>
        </w:tc>
      </w:tr>
      <w:tr>
        <w:trPr>
          <w:trHeight w:val="216"/>
        </w:trPr>
        <w:tc>
          <w:tcPr>
            <w:tcW w:w="4860" w:type="dxa"/>
            <w:vAlign w:val="bottom"/>
            <w:tcBorders>
              <w:left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i w:val="1"/>
                <w:iCs w:val="1"/>
                <w:color w:val="auto"/>
              </w:rPr>
              <w:t>Sr. Vice President &amp; General Manager,</w:t>
            </w:r>
          </w:p>
        </w:tc>
        <w:tc>
          <w:tcPr>
            <w:tcW w:w="1060" w:type="dxa"/>
            <w:vAlign w:val="bottom"/>
            <w:tcBorders>
              <w:right w:val="single" w:sz="8" w:color="2D53A6"/>
            </w:tcBorders>
          </w:tcPr>
          <w:p>
            <w:pPr>
              <w:ind w:left="320"/>
              <w:spacing w:after="0"/>
              <w:rPr>
                <w:sz w:val="20"/>
                <w:szCs w:val="20"/>
                <w:color w:val="auto"/>
              </w:rPr>
            </w:pPr>
            <w:r>
              <w:rPr>
                <w:rFonts w:ascii="Arial" w:cs="Arial" w:eastAsia="Arial" w:hAnsi="Arial"/>
                <w:sz w:val="18"/>
                <w:szCs w:val="18"/>
                <w:color w:val="auto"/>
              </w:rPr>
              <w:t>2021</w:t>
            </w:r>
          </w:p>
        </w:tc>
        <w:tc>
          <w:tcPr>
            <w:tcW w:w="1100" w:type="dxa"/>
            <w:vAlign w:val="bottom"/>
            <w:tcBorders>
              <w:right w:val="single" w:sz="8" w:color="2D53A6"/>
            </w:tcBorders>
            <w:gridSpan w:val="2"/>
          </w:tcPr>
          <w:p>
            <w:pPr>
              <w:ind w:left="260"/>
              <w:spacing w:after="0"/>
              <w:rPr>
                <w:sz w:val="20"/>
                <w:szCs w:val="20"/>
                <w:color w:val="auto"/>
              </w:rPr>
            </w:pPr>
            <w:r>
              <w:rPr>
                <w:rFonts w:ascii="Arial" w:cs="Arial" w:eastAsia="Arial" w:hAnsi="Arial"/>
                <w:sz w:val="18"/>
                <w:szCs w:val="18"/>
                <w:color w:val="auto"/>
              </w:rPr>
              <w:t>308,333</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404,765</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288,091</w:t>
            </w:r>
          </w:p>
        </w:tc>
        <w:tc>
          <w:tcPr>
            <w:tcW w:w="10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18,991</w:t>
            </w:r>
          </w:p>
        </w:tc>
        <w:tc>
          <w:tcPr>
            <w:tcW w:w="9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1,020,180</w:t>
            </w:r>
          </w:p>
        </w:tc>
        <w:tc>
          <w:tcPr>
            <w:tcW w:w="0" w:type="dxa"/>
            <w:vAlign w:val="bottom"/>
          </w:tcPr>
          <w:p>
            <w:pPr>
              <w:spacing w:after="0"/>
              <w:rPr>
                <w:sz w:val="1"/>
                <w:szCs w:val="1"/>
                <w:color w:val="auto"/>
              </w:rPr>
            </w:pPr>
          </w:p>
        </w:tc>
      </w:tr>
      <w:tr>
        <w:trPr>
          <w:trHeight w:val="230"/>
        </w:trPr>
        <w:tc>
          <w:tcPr>
            <w:tcW w:w="4860" w:type="dxa"/>
            <w:vAlign w:val="bottom"/>
            <w:tcBorders>
              <w:left w:val="single" w:sz="8" w:color="2D53A6"/>
              <w:bottom w:val="single" w:sz="8" w:color="2D53A6"/>
              <w:right w:val="single" w:sz="8" w:color="2D53A6"/>
            </w:tcBorders>
            <w:gridSpan w:val="2"/>
          </w:tcPr>
          <w:p>
            <w:pPr>
              <w:ind w:left="20"/>
              <w:spacing w:after="0"/>
              <w:rPr>
                <w:sz w:val="20"/>
                <w:szCs w:val="20"/>
                <w:color w:val="auto"/>
              </w:rPr>
            </w:pPr>
            <w:r>
              <w:rPr>
                <w:rFonts w:ascii="Arial" w:cs="Arial" w:eastAsia="Arial" w:hAnsi="Arial"/>
                <w:sz w:val="18"/>
                <w:szCs w:val="18"/>
                <w:i w:val="1"/>
                <w:iCs w:val="1"/>
                <w:color w:val="auto"/>
              </w:rPr>
              <w:t>Semiconductor Test Group</w:t>
            </w:r>
          </w:p>
        </w:tc>
        <w:tc>
          <w:tcPr>
            <w:tcW w:w="1060" w:type="dxa"/>
            <w:vAlign w:val="bottom"/>
            <w:tcBorders>
              <w:bottom w:val="single" w:sz="8" w:color="2D53A6"/>
              <w:right w:val="single" w:sz="8" w:color="2D53A6"/>
            </w:tcBorders>
          </w:tcPr>
          <w:p>
            <w:pPr>
              <w:spacing w:after="0"/>
              <w:rPr>
                <w:sz w:val="20"/>
                <w:szCs w:val="20"/>
                <w:color w:val="auto"/>
              </w:rPr>
            </w:pPr>
          </w:p>
        </w:tc>
        <w:tc>
          <w:tcPr>
            <w:tcW w:w="20" w:type="dxa"/>
            <w:vAlign w:val="bottom"/>
            <w:tcBorders>
              <w:bottom w:val="single" w:sz="8" w:color="2D53A6"/>
            </w:tcBorders>
          </w:tcPr>
          <w:p>
            <w:pPr>
              <w:spacing w:after="0"/>
              <w:rPr>
                <w:sz w:val="20"/>
                <w:szCs w:val="20"/>
                <w:color w:val="auto"/>
              </w:rPr>
            </w:pPr>
          </w:p>
        </w:tc>
        <w:tc>
          <w:tcPr>
            <w:tcW w:w="1080" w:type="dxa"/>
            <w:vAlign w:val="bottom"/>
            <w:tcBorders>
              <w:bottom w:val="single" w:sz="8" w:color="2D53A6"/>
              <w:right w:val="single" w:sz="8" w:color="2D53A6"/>
            </w:tcBorders>
          </w:tcPr>
          <w:p>
            <w:pPr>
              <w:spacing w:after="0"/>
              <w:rPr>
                <w:sz w:val="20"/>
                <w:szCs w:val="20"/>
                <w:color w:val="auto"/>
              </w:rPr>
            </w:pPr>
          </w:p>
        </w:tc>
        <w:tc>
          <w:tcPr>
            <w:tcW w:w="1080" w:type="dxa"/>
            <w:vAlign w:val="bottom"/>
            <w:tcBorders>
              <w:bottom w:val="single" w:sz="8" w:color="2D53A6"/>
              <w:right w:val="single" w:sz="8" w:color="2D53A6"/>
            </w:tcBorders>
          </w:tcPr>
          <w:p>
            <w:pPr>
              <w:spacing w:after="0"/>
              <w:rPr>
                <w:sz w:val="20"/>
                <w:szCs w:val="20"/>
                <w:color w:val="auto"/>
              </w:rPr>
            </w:pPr>
          </w:p>
        </w:tc>
        <w:tc>
          <w:tcPr>
            <w:tcW w:w="1100" w:type="dxa"/>
            <w:vAlign w:val="bottom"/>
            <w:tcBorders>
              <w:bottom w:val="single" w:sz="8" w:color="2D53A6"/>
              <w:right w:val="single" w:sz="8" w:color="2D53A6"/>
            </w:tcBorders>
          </w:tcPr>
          <w:p>
            <w:pPr>
              <w:spacing w:after="0"/>
              <w:rPr>
                <w:sz w:val="20"/>
                <w:szCs w:val="20"/>
                <w:color w:val="auto"/>
              </w:rPr>
            </w:pPr>
          </w:p>
        </w:tc>
        <w:tc>
          <w:tcPr>
            <w:tcW w:w="1060" w:type="dxa"/>
            <w:vAlign w:val="bottom"/>
            <w:tcBorders>
              <w:bottom w:val="single" w:sz="8" w:color="2D53A6"/>
              <w:right w:val="single" w:sz="8" w:color="2D53A6"/>
            </w:tcBorders>
          </w:tcPr>
          <w:p>
            <w:pPr>
              <w:spacing w:after="0"/>
              <w:rPr>
                <w:sz w:val="20"/>
                <w:szCs w:val="20"/>
                <w:color w:val="auto"/>
              </w:rPr>
            </w:pPr>
          </w:p>
        </w:tc>
        <w:tc>
          <w:tcPr>
            <w:tcW w:w="980" w:type="dxa"/>
            <w:vAlign w:val="bottom"/>
            <w:tcBorders>
              <w:bottom w:val="single" w:sz="8" w:color="2D53A6"/>
              <w:right w:val="single" w:sz="8" w:color="2D53A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17" w:lineRule="exact"/>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shown do not reflect compensation actually received by the NEOs. Instead, the amounts shown above are the grant date fair value for stock awards issued in the form of RSUs and PSUs granted in fiscal 2022, 2021, and 2020,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31, 2022,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31, 2022. Assuming the highest level of performance conditions are achieved, the grant date fair values for performance-based stock awards made in fiscal 2022 would be $3,283,167, $1,076,866, $709,111, $525,233 and $459,579 for Dr. M</w:t>
      </w:r>
      <w:r>
        <w:rPr>
          <w:rFonts w:ascii="MS PGothic" w:cs="MS PGothic" w:eastAsia="MS PGothic" w:hAnsi="MS PGothic"/>
          <w:sz w:val="17"/>
          <w:szCs w:val="17"/>
          <w:color w:val="auto"/>
        </w:rPr>
        <w:t>✔</w:t>
      </w:r>
      <w:r>
        <w:rPr>
          <w:rFonts w:ascii="Arial" w:cs="Arial" w:eastAsia="Arial" w:hAnsi="Arial"/>
          <w:sz w:val="17"/>
          <w:szCs w:val="17"/>
          <w:color w:val="auto"/>
        </w:rPr>
        <w:t>ller and Messrs. Jones, Bohrson, Kampfer and Lawee, respectively. Using the same assumptions in fiscal 2021 they would be $3,283,167, $1,076,866, $709,111, $525,233 and $459,579 for Dr. M</w:t>
      </w:r>
      <w:r>
        <w:rPr>
          <w:rFonts w:ascii="MS PGothic" w:cs="MS PGothic" w:eastAsia="MS PGothic" w:hAnsi="MS PGothic"/>
          <w:sz w:val="17"/>
          <w:szCs w:val="17"/>
          <w:color w:val="auto"/>
        </w:rPr>
        <w:t>✔</w:t>
      </w:r>
      <w:r>
        <w:rPr>
          <w:rFonts w:ascii="Arial" w:cs="Arial" w:eastAsia="Arial" w:hAnsi="Arial"/>
          <w:sz w:val="17"/>
          <w:szCs w:val="17"/>
          <w:color w:val="auto"/>
        </w:rPr>
        <w:t>ller and Messrs. Jones, Bohrson, Kampfer and Lawee, respectively, and in fiscal 2020 they would be $2,127,384, $702,520, $445,247 and $316,636 for Dr. M</w:t>
      </w:r>
      <w:r>
        <w:rPr>
          <w:rFonts w:ascii="MS PGothic" w:cs="MS PGothic" w:eastAsia="MS PGothic" w:hAnsi="MS PGothic"/>
          <w:sz w:val="17"/>
          <w:szCs w:val="17"/>
          <w:color w:val="auto"/>
        </w:rPr>
        <w:t>✔</w:t>
      </w:r>
      <w:r>
        <w:rPr>
          <w:rFonts w:ascii="Arial" w:cs="Arial" w:eastAsia="Arial" w:hAnsi="Arial"/>
          <w:sz w:val="17"/>
          <w:szCs w:val="17"/>
          <w:color w:val="auto"/>
        </w:rPr>
        <w:t>ller and Messrs. Jones, Bohrson and Kampfer, respectively.</w:t>
      </w:r>
    </w:p>
    <w:p>
      <w:pPr>
        <w:spacing w:after="0" w:line="208"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consist of performance-based cash incentives received by the NEO earned for services rendered in fiscal 2022, 2021, and 2020. Such amounts were paid under the 2005 Plan in February or March of the following fiscal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shown in this column reflect the following for each NEO:</w:t>
      </w:r>
    </w:p>
    <w:p>
      <w:pPr>
        <w:spacing w:after="0" w:line="225" w:lineRule="exact"/>
        <w:rPr>
          <w:rFonts w:ascii="Arial" w:cs="Arial" w:eastAsia="Arial" w:hAnsi="Arial"/>
          <w:sz w:val="18"/>
          <w:szCs w:val="18"/>
          <w:color w:val="auto"/>
        </w:rPr>
      </w:pPr>
    </w:p>
    <w:p>
      <w:pPr>
        <w:jc w:val="both"/>
        <w:ind w:left="660" w:right="640" w:hanging="328"/>
        <w:spacing w:after="0" w:line="263"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U.S. based NEOs, includes amounts of Cohu’s matching contributions in fiscal 2022 under the Cohu 401(k) Plan (which is more fully described elsewhere herein under the heading “Retirement Benefits Under the 401(k) Plan, Executive Perquisites and Generally Available Benefits”).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value attributable to life insurance benefits provided by Cohu (such amount is taxable to the recipient).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Monthly automobile expense allowance paid by Cohu (such amount is taxable to the recipient).</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Except as noted above, the amount attributable to each such perquisite or benefit for each NEO does not exceed the greater of $25,000 or 10% of the total amount of perquisites and personal benefits received by such NEO.</w:t>
      </w:r>
    </w:p>
    <w:p>
      <w:pPr>
        <w:spacing w:after="0" w:line="170"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Lawee joined Cohu in 2019 but did not become an NEO until the filing of Cohu’s proxy statement in 2021 and therefore only 2021 and 2022 compensation information is provided.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Pay Versus Performance</w:t>
      </w:r>
    </w:p>
    <w:p>
      <w:pPr>
        <w:spacing w:after="0" w:line="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providing the following required information about the relationship between executive compensation actually paid and certain financial performance of Cohu as required by Section 953(a) of the Dodd-Frank Wall Street Reform and Consumer Protection Act, and Item 402(v) of Regulation S-K. Further details regarding Cohu’s variable pay-for-performance philosophy and how Cohu aligns executive compensation with company performance, refer to the Executive Compensation and Other Information above in the CD&amp;A.</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Pay Versus Performance Table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Actual Paid (“CAP”)</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60" w:type="dxa"/>
            <w:vAlign w:val="bottom"/>
            <w:tcBorders>
              <w:left w:val="single" w:sz="8" w:color="2D53A6"/>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spacing w:after="0"/>
              <w:rPr>
                <w:sz w:val="18"/>
                <w:szCs w:val="18"/>
                <w:color w:val="auto"/>
              </w:rPr>
            </w:pPr>
          </w:p>
        </w:tc>
        <w:tc>
          <w:tcPr>
            <w:tcW w:w="1320" w:type="dxa"/>
            <w:vAlign w:val="bottom"/>
            <w:tcBorders>
              <w:right w:val="single" w:sz="8" w:color="2D53A6"/>
            </w:tcBorders>
            <w:shd w:val="clear" w:color="auto" w:fill="2D53A6"/>
          </w:tcPr>
          <w:p>
            <w:pPr>
              <w:ind w:left="340"/>
              <w:spacing w:after="0"/>
              <w:rPr>
                <w:sz w:val="20"/>
                <w:szCs w:val="20"/>
                <w:color w:val="auto"/>
              </w:rPr>
            </w:pPr>
            <w:r>
              <w:rPr>
                <w:rFonts w:ascii="Arial" w:cs="Arial" w:eastAsia="Arial" w:hAnsi="Arial"/>
                <w:sz w:val="18"/>
                <w:szCs w:val="18"/>
                <w:b w:val="1"/>
                <w:bCs w:val="1"/>
                <w:color w:val="FFFFFF"/>
              </w:rPr>
              <w:t>Average</w:t>
            </w:r>
          </w:p>
        </w:tc>
        <w:tc>
          <w:tcPr>
            <w:tcW w:w="1340" w:type="dxa"/>
            <w:vAlign w:val="bottom"/>
            <w:tcBorders>
              <w:right w:val="single" w:sz="8" w:color="2D53A6"/>
            </w:tcBorders>
            <w:shd w:val="clear" w:color="auto" w:fill="2D53A6"/>
          </w:tcPr>
          <w:p>
            <w:pPr>
              <w:spacing w:after="0"/>
              <w:rPr>
                <w:sz w:val="18"/>
                <w:szCs w:val="18"/>
                <w:color w:val="auto"/>
              </w:rPr>
            </w:pPr>
          </w:p>
        </w:tc>
        <w:tc>
          <w:tcPr>
            <w:tcW w:w="1480" w:type="dxa"/>
            <w:vAlign w:val="bottom"/>
            <w:tcBorders>
              <w:right w:val="single" w:sz="8" w:color="2D53A6"/>
            </w:tcBorders>
            <w:shd w:val="clear" w:color="auto" w:fill="2D53A6"/>
          </w:tcPr>
          <w:p>
            <w:pPr>
              <w:spacing w:after="0"/>
              <w:rPr>
                <w:sz w:val="18"/>
                <w:szCs w:val="18"/>
                <w:color w:val="auto"/>
              </w:rPr>
            </w:pPr>
          </w:p>
        </w:tc>
        <w:tc>
          <w:tcPr>
            <w:tcW w:w="1380" w:type="dxa"/>
            <w:vAlign w:val="bottom"/>
            <w:tcBorders>
              <w:right w:val="single" w:sz="8" w:color="2D53A6"/>
            </w:tcBorders>
            <w:shd w:val="clear" w:color="auto" w:fill="2D53A6"/>
          </w:tcPr>
          <w:p>
            <w:pPr>
              <w:spacing w:after="0"/>
              <w:rPr>
                <w:sz w:val="18"/>
                <w:szCs w:val="18"/>
                <w:color w:val="auto"/>
              </w:rPr>
            </w:pPr>
          </w:p>
        </w:tc>
        <w:tc>
          <w:tcPr>
            <w:tcW w:w="940" w:type="dxa"/>
            <w:vAlign w:val="bottom"/>
            <w:tcBorders>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spacing w:after="0"/>
              <w:rPr>
                <w:sz w:val="18"/>
                <w:szCs w:val="18"/>
                <w:color w:val="auto"/>
              </w:rPr>
            </w:pPr>
          </w:p>
        </w:tc>
      </w:tr>
      <w:tr>
        <w:trPr>
          <w:trHeight w:val="216"/>
        </w:trPr>
        <w:tc>
          <w:tcPr>
            <w:tcW w:w="760" w:type="dxa"/>
            <w:vAlign w:val="bottom"/>
            <w:tcBorders>
              <w:left w:val="single" w:sz="8" w:color="2D53A6"/>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Summary</w:t>
            </w:r>
          </w:p>
        </w:tc>
        <w:tc>
          <w:tcPr>
            <w:tcW w:w="1340" w:type="dxa"/>
            <w:vAlign w:val="bottom"/>
            <w:tcBorders>
              <w:right w:val="single" w:sz="8" w:color="2D53A6"/>
            </w:tcBorders>
            <w:shd w:val="clear" w:color="auto" w:fill="2D53A6"/>
          </w:tcPr>
          <w:p>
            <w:pPr>
              <w:spacing w:after="0"/>
              <w:rPr>
                <w:sz w:val="18"/>
                <w:szCs w:val="18"/>
                <w:color w:val="auto"/>
              </w:rPr>
            </w:pP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Summary</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Average</w:t>
            </w:r>
          </w:p>
        </w:tc>
        <w:tc>
          <w:tcPr>
            <w:tcW w:w="1480" w:type="dxa"/>
            <w:vAlign w:val="bottom"/>
            <w:tcBorders>
              <w:right w:val="single" w:sz="8" w:color="2D53A6"/>
            </w:tcBorders>
            <w:shd w:val="clear" w:color="auto" w:fill="2D53A6"/>
          </w:tcPr>
          <w:p>
            <w:pPr>
              <w:spacing w:after="0"/>
              <w:rPr>
                <w:sz w:val="18"/>
                <w:szCs w:val="18"/>
                <w:color w:val="auto"/>
              </w:rPr>
            </w:pPr>
          </w:p>
        </w:tc>
        <w:tc>
          <w:tcPr>
            <w:tcW w:w="1380" w:type="dxa"/>
            <w:vAlign w:val="bottom"/>
            <w:tcBorders>
              <w:right w:val="single" w:sz="8" w:color="2D53A6"/>
            </w:tcBorders>
            <w:shd w:val="clear" w:color="auto" w:fill="2D53A6"/>
          </w:tcPr>
          <w:p>
            <w:pPr>
              <w:spacing w:after="0"/>
              <w:rPr>
                <w:sz w:val="18"/>
                <w:szCs w:val="18"/>
                <w:color w:val="auto"/>
              </w:rPr>
            </w:pPr>
          </w:p>
        </w:tc>
        <w:tc>
          <w:tcPr>
            <w:tcW w:w="940" w:type="dxa"/>
            <w:vAlign w:val="bottom"/>
            <w:tcBorders>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spacing w:after="0"/>
              <w:rPr>
                <w:sz w:val="18"/>
                <w:szCs w:val="18"/>
                <w:color w:val="auto"/>
              </w:rPr>
            </w:pPr>
          </w:p>
        </w:tc>
      </w:tr>
      <w:tr>
        <w:trPr>
          <w:trHeight w:val="216"/>
        </w:trPr>
        <w:tc>
          <w:tcPr>
            <w:tcW w:w="760" w:type="dxa"/>
            <w:vAlign w:val="bottom"/>
            <w:tcBorders>
              <w:left w:val="single" w:sz="8" w:color="2D53A6"/>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480" w:type="dxa"/>
            <w:vAlign w:val="bottom"/>
            <w:tcBorders>
              <w:right w:val="single" w:sz="8" w:color="2D53A6"/>
            </w:tcBorders>
            <w:shd w:val="clear" w:color="auto" w:fill="2D53A6"/>
          </w:tcPr>
          <w:p>
            <w:pPr>
              <w:spacing w:after="0"/>
              <w:rPr>
                <w:sz w:val="18"/>
                <w:szCs w:val="18"/>
                <w:color w:val="auto"/>
              </w:rPr>
            </w:pP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Peer Group</w:t>
            </w:r>
          </w:p>
        </w:tc>
        <w:tc>
          <w:tcPr>
            <w:tcW w:w="940" w:type="dxa"/>
            <w:vAlign w:val="bottom"/>
            <w:tcBorders>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spacing w:after="0"/>
              <w:rPr>
                <w:sz w:val="18"/>
                <w:szCs w:val="18"/>
                <w:color w:val="auto"/>
              </w:rPr>
            </w:pPr>
          </w:p>
        </w:tc>
      </w:tr>
      <w:tr>
        <w:trPr>
          <w:trHeight w:val="216"/>
        </w:trPr>
        <w:tc>
          <w:tcPr>
            <w:tcW w:w="760" w:type="dxa"/>
            <w:vAlign w:val="bottom"/>
            <w:tcBorders>
              <w:left w:val="single" w:sz="8" w:color="2D53A6"/>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Table Total for</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Actually Paid to</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Table Total for</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Actually Paid to</w:t>
            </w:r>
          </w:p>
        </w:tc>
        <w:tc>
          <w:tcPr>
            <w:tcW w:w="14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Total Share-</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Total Share-</w:t>
            </w: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Net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3-Year Relative</w:t>
            </w:r>
          </w:p>
        </w:tc>
      </w:tr>
      <w:tr>
        <w:trPr>
          <w:trHeight w:val="234"/>
        </w:trPr>
        <w:tc>
          <w:tcPr>
            <w:tcW w:w="760" w:type="dxa"/>
            <w:vAlign w:val="bottom"/>
            <w:tcBorders>
              <w:left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Year</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 xml:space="preserve">CEO </w:t>
            </w:r>
            <w:r>
              <w:rPr>
                <w:rFonts w:ascii="Arial" w:cs="Arial" w:eastAsia="Arial" w:hAnsi="Arial"/>
                <w:sz w:val="14"/>
                <w:szCs w:val="14"/>
                <w:b w:val="1"/>
                <w:bCs w:val="1"/>
                <w:color w:val="FFFFFF"/>
                <w:w w:val="98"/>
              </w:rPr>
              <w:t>(1)</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 xml:space="preserve">CEO </w:t>
            </w:r>
            <w:r>
              <w:rPr>
                <w:rFonts w:ascii="Arial" w:cs="Arial" w:eastAsia="Arial" w:hAnsi="Arial"/>
                <w:sz w:val="14"/>
                <w:szCs w:val="14"/>
                <w:b w:val="1"/>
                <w:bCs w:val="1"/>
                <w:color w:val="FFFFFF"/>
                <w:w w:val="98"/>
              </w:rPr>
              <w:t>(2)</w:t>
            </w:r>
          </w:p>
        </w:tc>
        <w:tc>
          <w:tcPr>
            <w:tcW w:w="132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5"/>
              </w:rPr>
              <w:t xml:space="preserve">Other NEOs </w:t>
            </w:r>
            <w:r>
              <w:rPr>
                <w:rFonts w:ascii="Arial" w:cs="Arial" w:eastAsia="Arial" w:hAnsi="Arial"/>
                <w:sz w:val="27"/>
                <w:szCs w:val="27"/>
                <w:b w:val="1"/>
                <w:bCs w:val="1"/>
                <w:color w:val="FFFFFF"/>
                <w:w w:val="95"/>
                <w:vertAlign w:val="superscript"/>
              </w:rPr>
              <w:t>(3)</w:t>
            </w:r>
          </w:p>
        </w:tc>
        <w:tc>
          <w:tcPr>
            <w:tcW w:w="134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7"/>
              </w:rPr>
              <w:t xml:space="preserve">Other NEOs </w:t>
            </w:r>
            <w:r>
              <w:rPr>
                <w:rFonts w:ascii="Arial" w:cs="Arial" w:eastAsia="Arial" w:hAnsi="Arial"/>
                <w:sz w:val="27"/>
                <w:szCs w:val="27"/>
                <w:b w:val="1"/>
                <w:bCs w:val="1"/>
                <w:color w:val="FFFFFF"/>
                <w:w w:val="97"/>
                <w:vertAlign w:val="superscript"/>
              </w:rPr>
              <w:t>(4)</w:t>
            </w:r>
          </w:p>
        </w:tc>
        <w:tc>
          <w:tcPr>
            <w:tcW w:w="148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5"/>
              </w:rPr>
              <w:t xml:space="preserve">holder Return </w:t>
            </w:r>
            <w:r>
              <w:rPr>
                <w:rFonts w:ascii="Arial" w:cs="Arial" w:eastAsia="Arial" w:hAnsi="Arial"/>
                <w:sz w:val="27"/>
                <w:szCs w:val="27"/>
                <w:b w:val="1"/>
                <w:bCs w:val="1"/>
                <w:color w:val="FFFFFF"/>
                <w:w w:val="95"/>
                <w:vertAlign w:val="superscript"/>
              </w:rPr>
              <w:t>(5)</w:t>
            </w:r>
          </w:p>
        </w:tc>
        <w:tc>
          <w:tcPr>
            <w:tcW w:w="138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4"/>
              </w:rPr>
              <w:t xml:space="preserve">holder Return </w:t>
            </w:r>
            <w:r>
              <w:rPr>
                <w:rFonts w:ascii="Arial" w:cs="Arial" w:eastAsia="Arial" w:hAnsi="Arial"/>
                <w:sz w:val="27"/>
                <w:szCs w:val="27"/>
                <w:b w:val="1"/>
                <w:bCs w:val="1"/>
                <w:color w:val="FFFFFF"/>
                <w:w w:val="94"/>
                <w:vertAlign w:val="superscript"/>
              </w:rPr>
              <w:t>(6)</w:t>
            </w:r>
          </w:p>
        </w:tc>
        <w:tc>
          <w:tcPr>
            <w:tcW w:w="94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0"/>
              </w:rPr>
              <w:t xml:space="preserve">Income </w:t>
            </w:r>
            <w:r>
              <w:rPr>
                <w:rFonts w:ascii="Arial" w:cs="Arial" w:eastAsia="Arial" w:hAnsi="Arial"/>
                <w:sz w:val="27"/>
                <w:szCs w:val="27"/>
                <w:b w:val="1"/>
                <w:bCs w:val="1"/>
                <w:color w:val="FFFFFF"/>
                <w:w w:val="90"/>
                <w:vertAlign w:val="superscript"/>
              </w:rPr>
              <w:t>(7)</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TSR (Percentile</w:t>
            </w:r>
          </w:p>
        </w:tc>
      </w:tr>
      <w:tr>
        <w:trPr>
          <w:trHeight w:val="216"/>
        </w:trPr>
        <w:tc>
          <w:tcPr>
            <w:tcW w:w="760" w:type="dxa"/>
            <w:vAlign w:val="bottom"/>
            <w:tcBorders>
              <w:left w:val="single" w:sz="8" w:color="2D53A6"/>
              <w:right w:val="single" w:sz="8" w:color="2D53A6"/>
            </w:tcBorders>
            <w:shd w:val="clear" w:color="auto" w:fill="2D53A6"/>
          </w:tcPr>
          <w:p>
            <w:pPr>
              <w:spacing w:after="0"/>
              <w:rPr>
                <w:sz w:val="18"/>
                <w:szCs w:val="18"/>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4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($M)</w:t>
            </w:r>
          </w:p>
        </w:tc>
        <w:tc>
          <w:tcPr>
            <w:tcW w:w="134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16"/>
                <w:szCs w:val="16"/>
                <w:b w:val="1"/>
                <w:bCs w:val="1"/>
                <w:color w:val="FFFFFF"/>
              </w:rPr>
              <w:t xml:space="preserve">Ranking) </w:t>
            </w:r>
            <w:r>
              <w:rPr>
                <w:rFonts w:ascii="Arial" w:cs="Arial" w:eastAsia="Arial" w:hAnsi="Arial"/>
                <w:sz w:val="25"/>
                <w:szCs w:val="25"/>
                <w:b w:val="1"/>
                <w:bCs w:val="1"/>
                <w:color w:val="FFFFFF"/>
                <w:vertAlign w:val="superscript"/>
              </w:rPr>
              <w:t>(8)</w:t>
            </w:r>
          </w:p>
        </w:tc>
      </w:tr>
      <w:tr>
        <w:trPr>
          <w:trHeight w:val="243"/>
        </w:trPr>
        <w:tc>
          <w:tcPr>
            <w:tcW w:w="760" w:type="dxa"/>
            <w:vAlign w:val="bottom"/>
            <w:tcBorders>
              <w:left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(a)</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(b)</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(c)</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(d)</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(e)</w:t>
            </w:r>
          </w:p>
        </w:tc>
        <w:tc>
          <w:tcPr>
            <w:tcW w:w="14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(f)</w:t>
            </w:r>
          </w:p>
        </w:tc>
        <w:tc>
          <w:tcPr>
            <w:tcW w:w="13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(g)</w:t>
            </w: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(h)</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(i)</w:t>
            </w:r>
          </w:p>
        </w:tc>
      </w:tr>
      <w:tr>
        <w:trPr>
          <w:trHeight w:val="216"/>
        </w:trPr>
        <w:tc>
          <w:tcPr>
            <w:tcW w:w="76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2022</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5,315,286</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5,406,262</w:t>
            </w:r>
          </w:p>
        </w:tc>
        <w:tc>
          <w:tcPr>
            <w:tcW w:w="1320" w:type="dxa"/>
            <w:vAlign w:val="bottom"/>
            <w:tcBorders>
              <w:bottom w:val="single" w:sz="8" w:color="2D53A6"/>
              <w:right w:val="single" w:sz="8" w:color="2D53A6"/>
            </w:tcBorders>
          </w:tcPr>
          <w:p>
            <w:pPr>
              <w:ind w:left="320"/>
              <w:spacing w:after="0"/>
              <w:rPr>
                <w:sz w:val="20"/>
                <w:szCs w:val="20"/>
                <w:color w:val="auto"/>
              </w:rPr>
            </w:pPr>
            <w:r>
              <w:rPr>
                <w:rFonts w:ascii="Arial" w:cs="Arial" w:eastAsia="Arial" w:hAnsi="Arial"/>
                <w:sz w:val="18"/>
                <w:szCs w:val="18"/>
                <w:color w:val="auto"/>
              </w:rPr>
              <w:t>1,546,037</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1,547,883</w:t>
            </w:r>
          </w:p>
        </w:tc>
        <w:tc>
          <w:tcPr>
            <w:tcW w:w="14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144.12</w:t>
            </w:r>
          </w:p>
        </w:tc>
        <w:tc>
          <w:tcPr>
            <w:tcW w:w="13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124.23</w:t>
            </w:r>
          </w:p>
        </w:tc>
        <w:tc>
          <w:tcPr>
            <w:tcW w:w="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5"/>
              </w:rPr>
              <w:t>96.8</w:t>
            </w:r>
          </w:p>
        </w:tc>
        <w:tc>
          <w:tcPr>
            <w:tcW w:w="1340" w:type="dxa"/>
            <w:vAlign w:val="bottom"/>
            <w:tcBorders>
              <w:bottom w:val="single" w:sz="8" w:color="2D53A6"/>
              <w:right w:val="single" w:sz="8" w:color="2D53A6"/>
            </w:tcBorders>
          </w:tcPr>
          <w:p>
            <w:pPr>
              <w:jc w:val="center"/>
              <w:spacing w:after="0" w:line="216" w:lineRule="exact"/>
              <w:rPr>
                <w:sz w:val="20"/>
                <w:szCs w:val="20"/>
                <w:color w:val="auto"/>
              </w:rPr>
            </w:pPr>
            <w:r>
              <w:rPr>
                <w:rFonts w:ascii="Arial" w:cs="Arial" w:eastAsia="Arial" w:hAnsi="Arial"/>
                <w:sz w:val="16"/>
                <w:szCs w:val="16"/>
                <w:color w:val="auto"/>
                <w:w w:val="94"/>
              </w:rPr>
              <w:t>75</w:t>
            </w:r>
            <w:r>
              <w:rPr>
                <w:rFonts w:ascii="Arial" w:cs="Arial" w:eastAsia="Arial" w:hAnsi="Arial"/>
                <w:sz w:val="25"/>
                <w:szCs w:val="25"/>
                <w:color w:val="auto"/>
                <w:w w:val="94"/>
                <w:vertAlign w:val="superscript"/>
              </w:rPr>
              <w:t>th</w:t>
            </w:r>
          </w:p>
        </w:tc>
      </w:tr>
      <w:tr>
        <w:trPr>
          <w:trHeight w:val="210"/>
        </w:trPr>
        <w:tc>
          <w:tcPr>
            <w:tcW w:w="760" w:type="dxa"/>
            <w:vAlign w:val="bottom"/>
            <w:tcBorders>
              <w:left w:val="single" w:sz="8" w:color="2D53A6"/>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2021</w:t>
            </w:r>
          </w:p>
        </w:tc>
        <w:tc>
          <w:tcPr>
            <w:tcW w:w="13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4,582,416</w:t>
            </w:r>
          </w:p>
        </w:tc>
        <w:tc>
          <w:tcPr>
            <w:tcW w:w="13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959,803</w:t>
            </w:r>
          </w:p>
        </w:tc>
        <w:tc>
          <w:tcPr>
            <w:tcW w:w="1320" w:type="dxa"/>
            <w:vAlign w:val="bottom"/>
            <w:tcBorders>
              <w:bottom w:val="single" w:sz="8" w:color="2D53A6"/>
              <w:right w:val="single" w:sz="8" w:color="2D53A6"/>
            </w:tcBorders>
            <w:shd w:val="clear" w:color="auto" w:fill="E6E6E6"/>
          </w:tcPr>
          <w:p>
            <w:pPr>
              <w:ind w:left="320"/>
              <w:spacing w:after="0"/>
              <w:rPr>
                <w:sz w:val="20"/>
                <w:szCs w:val="20"/>
                <w:color w:val="auto"/>
              </w:rPr>
            </w:pPr>
            <w:r>
              <w:rPr>
                <w:rFonts w:ascii="Arial" w:cs="Arial" w:eastAsia="Arial" w:hAnsi="Arial"/>
                <w:sz w:val="18"/>
                <w:szCs w:val="18"/>
                <w:color w:val="auto"/>
              </w:rPr>
              <w:t>1,360,173</w:t>
            </w:r>
          </w:p>
        </w:tc>
        <w:tc>
          <w:tcPr>
            <w:tcW w:w="13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597,988</w:t>
            </w:r>
          </w:p>
        </w:tc>
        <w:tc>
          <w:tcPr>
            <w:tcW w:w="14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170.92</w:t>
            </w:r>
          </w:p>
        </w:tc>
        <w:tc>
          <w:tcPr>
            <w:tcW w:w="13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171.53</w:t>
            </w:r>
          </w:p>
        </w:tc>
        <w:tc>
          <w:tcPr>
            <w:tcW w:w="9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167.3</w:t>
            </w:r>
          </w:p>
        </w:tc>
        <w:tc>
          <w:tcPr>
            <w:tcW w:w="1340" w:type="dxa"/>
            <w:vAlign w:val="bottom"/>
            <w:tcBorders>
              <w:bottom w:val="single" w:sz="8" w:color="2D53A6"/>
              <w:right w:val="single" w:sz="8" w:color="2D53A6"/>
            </w:tcBorders>
            <w:shd w:val="clear" w:color="auto" w:fill="E6E6E6"/>
          </w:tcPr>
          <w:p>
            <w:pPr>
              <w:jc w:val="center"/>
              <w:spacing w:after="0" w:line="210" w:lineRule="exact"/>
              <w:rPr>
                <w:sz w:val="20"/>
                <w:szCs w:val="20"/>
                <w:color w:val="auto"/>
              </w:rPr>
            </w:pPr>
            <w:r>
              <w:rPr>
                <w:rFonts w:ascii="Arial" w:cs="Arial" w:eastAsia="Arial" w:hAnsi="Arial"/>
                <w:sz w:val="15"/>
                <w:szCs w:val="15"/>
                <w:color w:val="auto"/>
              </w:rPr>
              <w:t>33</w:t>
            </w:r>
            <w:r>
              <w:rPr>
                <w:rFonts w:ascii="Arial" w:cs="Arial" w:eastAsia="Arial" w:hAnsi="Arial"/>
                <w:sz w:val="24"/>
                <w:szCs w:val="24"/>
                <w:color w:val="auto"/>
                <w:vertAlign w:val="superscript"/>
              </w:rPr>
              <w:t>rd</w:t>
            </w:r>
          </w:p>
        </w:tc>
      </w:tr>
      <w:tr>
        <w:trPr>
          <w:trHeight w:val="209"/>
        </w:trPr>
        <w:tc>
          <w:tcPr>
            <w:tcW w:w="76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2020</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3,315,895</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8"/>
              </w:rPr>
              <w:t>12,097,614</w:t>
            </w:r>
          </w:p>
        </w:tc>
        <w:tc>
          <w:tcPr>
            <w:tcW w:w="1320" w:type="dxa"/>
            <w:vAlign w:val="bottom"/>
            <w:tcBorders>
              <w:bottom w:val="single" w:sz="8" w:color="2D53A6"/>
              <w:right w:val="single" w:sz="8" w:color="2D53A6"/>
            </w:tcBorders>
          </w:tcPr>
          <w:p>
            <w:pPr>
              <w:ind w:left="320"/>
              <w:spacing w:after="0"/>
              <w:rPr>
                <w:sz w:val="20"/>
                <w:szCs w:val="20"/>
                <w:color w:val="auto"/>
              </w:rPr>
            </w:pPr>
            <w:r>
              <w:rPr>
                <w:rFonts w:ascii="Arial" w:cs="Arial" w:eastAsia="Arial" w:hAnsi="Arial"/>
                <w:sz w:val="18"/>
                <w:szCs w:val="18"/>
                <w:color w:val="auto"/>
              </w:rPr>
              <w:t>1,093,312</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3,117,583</w:t>
            </w:r>
          </w:p>
        </w:tc>
        <w:tc>
          <w:tcPr>
            <w:tcW w:w="14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174.25</w:t>
            </w:r>
          </w:p>
        </w:tc>
        <w:tc>
          <w:tcPr>
            <w:tcW w:w="13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130.92</w:t>
            </w:r>
          </w:p>
        </w:tc>
        <w:tc>
          <w:tcPr>
            <w:tcW w:w="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(13.8)</w:t>
            </w:r>
          </w:p>
        </w:tc>
        <w:tc>
          <w:tcPr>
            <w:tcW w:w="1340" w:type="dxa"/>
            <w:vAlign w:val="bottom"/>
            <w:tcBorders>
              <w:bottom w:val="single" w:sz="8" w:color="2D53A6"/>
              <w:right w:val="single" w:sz="8" w:color="2D53A6"/>
            </w:tcBorders>
          </w:tcPr>
          <w:p>
            <w:pPr>
              <w:jc w:val="center"/>
              <w:spacing w:after="0" w:line="210" w:lineRule="exact"/>
              <w:rPr>
                <w:sz w:val="20"/>
                <w:szCs w:val="20"/>
                <w:color w:val="auto"/>
              </w:rPr>
            </w:pPr>
            <w:r>
              <w:rPr>
                <w:rFonts w:ascii="Arial" w:cs="Arial" w:eastAsia="Arial" w:hAnsi="Arial"/>
                <w:sz w:val="15"/>
                <w:szCs w:val="15"/>
                <w:color w:val="auto"/>
                <w:w w:val="93"/>
              </w:rPr>
              <w:t>67</w:t>
            </w:r>
            <w:r>
              <w:rPr>
                <w:rFonts w:ascii="Arial" w:cs="Arial" w:eastAsia="Arial" w:hAnsi="Arial"/>
                <w:sz w:val="24"/>
                <w:szCs w:val="24"/>
                <w:color w:val="auto"/>
                <w:w w:val="93"/>
                <w:vertAlign w:val="superscript"/>
              </w:rPr>
              <w:t>th</w:t>
            </w:r>
          </w:p>
        </w:tc>
      </w:tr>
    </w:tbl>
    <w:p>
      <w:pPr>
        <w:spacing w:after="0" w:line="169" w:lineRule="exact"/>
        <w:rPr>
          <w:sz w:val="20"/>
          <w:szCs w:val="20"/>
          <w:color w:val="auto"/>
        </w:rPr>
      </w:pPr>
    </w:p>
    <w:p>
      <w:pPr>
        <w:ind w:left="340" w:right="260" w:hanging="332"/>
        <w:spacing w:after="0" w:line="239"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dollar amounts reported in column (b) are the amounts of total compensation reported for Dr. M</w:t>
      </w:r>
      <w:r>
        <w:rPr>
          <w:rFonts w:ascii="MS PGothic" w:cs="MS PGothic" w:eastAsia="MS PGothic" w:hAnsi="MS PGothic"/>
          <w:sz w:val="18"/>
          <w:szCs w:val="18"/>
          <w:color w:val="auto"/>
        </w:rPr>
        <w:t>✔</w:t>
      </w:r>
      <w:r>
        <w:rPr>
          <w:rFonts w:ascii="Arial" w:cs="Arial" w:eastAsia="Arial" w:hAnsi="Arial"/>
          <w:sz w:val="18"/>
          <w:szCs w:val="18"/>
          <w:color w:val="auto"/>
        </w:rPr>
        <w:t>ller, our Chief Executive Officer (“CEO”) for each corresponding year in the “Total” column of the Summary Compensation Table found above in the CD&amp;A.</w:t>
      </w:r>
    </w:p>
    <w:p>
      <w:pPr>
        <w:spacing w:after="0" w:line="170" w:lineRule="exact"/>
        <w:rPr>
          <w:rFonts w:ascii="Arial" w:cs="Arial" w:eastAsia="Arial" w:hAnsi="Arial"/>
          <w:sz w:val="18"/>
          <w:szCs w:val="18"/>
          <w:color w:val="auto"/>
        </w:rPr>
      </w:pPr>
    </w:p>
    <w:p>
      <w:pPr>
        <w:ind w:left="340" w:hanging="332"/>
        <w:spacing w:after="0" w:line="228"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dollar amounts reported in column (c) are the amount of “compensation actually paid” to Dr. M</w:t>
      </w:r>
      <w:r>
        <w:rPr>
          <w:rFonts w:ascii="MS PGothic" w:cs="MS PGothic" w:eastAsia="MS PGothic" w:hAnsi="MS PGothic"/>
          <w:sz w:val="18"/>
          <w:szCs w:val="18"/>
          <w:color w:val="auto"/>
        </w:rPr>
        <w:t>✔</w:t>
      </w:r>
      <w:r>
        <w:rPr>
          <w:rFonts w:ascii="Arial" w:cs="Arial" w:eastAsia="Arial" w:hAnsi="Arial"/>
          <w:sz w:val="18"/>
          <w:szCs w:val="18"/>
          <w:color w:val="auto"/>
        </w:rPr>
        <w:t>ller as defined by Item 402(v) of Regulation S-K. The dollar amounts do not reflect the actual amount of compensation earned by or paid to Dr. M</w:t>
      </w:r>
      <w:r>
        <w:rPr>
          <w:rFonts w:ascii="MS PGothic" w:cs="MS PGothic" w:eastAsia="MS PGothic" w:hAnsi="MS PGothic"/>
          <w:sz w:val="18"/>
          <w:szCs w:val="18"/>
          <w:color w:val="auto"/>
        </w:rPr>
        <w:t>✔</w:t>
      </w:r>
      <w:r>
        <w:rPr>
          <w:rFonts w:ascii="Arial" w:cs="Arial" w:eastAsia="Arial" w:hAnsi="Arial"/>
          <w:sz w:val="18"/>
          <w:szCs w:val="18"/>
          <w:color w:val="auto"/>
        </w:rPr>
        <w:t>ller during the applicable year. The adjustments made to Dr. M</w:t>
      </w:r>
      <w:r>
        <w:rPr>
          <w:rFonts w:ascii="MS PGothic" w:cs="MS PGothic" w:eastAsia="MS PGothic" w:hAnsi="MS PGothic"/>
          <w:sz w:val="18"/>
          <w:szCs w:val="18"/>
          <w:color w:val="auto"/>
        </w:rPr>
        <w:t>✔</w:t>
      </w:r>
      <w:r>
        <w:rPr>
          <w:rFonts w:ascii="Arial" w:cs="Arial" w:eastAsia="Arial" w:hAnsi="Arial"/>
          <w:sz w:val="18"/>
          <w:szCs w:val="18"/>
          <w:color w:val="auto"/>
        </w:rPr>
        <w:t>ller’s total compensation for each year to determine the CAP are detailed in the CEO Summary Compensation Table Total to CAP Reconciliation table below.</w:t>
      </w:r>
    </w:p>
    <w:p>
      <w:pPr>
        <w:spacing w:after="0" w:line="169" w:lineRule="exact"/>
        <w:rPr>
          <w:rFonts w:ascii="Arial" w:cs="Arial" w:eastAsia="Arial" w:hAnsi="Arial"/>
          <w:sz w:val="18"/>
          <w:szCs w:val="18"/>
          <w:color w:val="auto"/>
        </w:rPr>
      </w:pPr>
    </w:p>
    <w:p>
      <w:pPr>
        <w:ind w:left="340" w:right="140" w:hanging="332"/>
        <w:spacing w:after="0" w:line="225" w:lineRule="exact"/>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dollar amounts reported in column (d) represent the average of the amounts reported for the Company’s NEOs as a group (excluding Dr. M</w:t>
      </w:r>
      <w:r>
        <w:rPr>
          <w:rFonts w:ascii="MS PGothic" w:cs="MS PGothic" w:eastAsia="MS PGothic" w:hAnsi="MS PGothic"/>
          <w:sz w:val="17"/>
          <w:szCs w:val="17"/>
          <w:color w:val="auto"/>
        </w:rPr>
        <w:t>✔</w:t>
      </w:r>
      <w:r>
        <w:rPr>
          <w:rFonts w:ascii="Arial" w:cs="Arial" w:eastAsia="Arial" w:hAnsi="Arial"/>
          <w:sz w:val="17"/>
          <w:szCs w:val="17"/>
          <w:color w:val="auto"/>
        </w:rPr>
        <w:t>ller, our CEO) in the “Total” column of the Summary Compensation Table in each applicable year. The NEOs included for purposes of calculating the average amounts and “compensation actually paid” in of 2021 and 2022 are as follows: Mr. Jeffrey Jones, Mr. Christopher Bohrson, Mr. Thomas Kampfer and Mr. Ian Lawee. The NEOs included for purpose of calculating the average amounts and “compensation actually paid” in 2020 are as follows: Mr. Jeffrey Jones, Mr. Christopher Bohrson, Mr. Thomas Kampfer and Mr. Pascal Ronde.</w:t>
      </w:r>
    </w:p>
    <w:p>
      <w:pPr>
        <w:spacing w:after="0" w:line="204" w:lineRule="exact"/>
        <w:rPr>
          <w:rFonts w:ascii="Arial" w:cs="Arial" w:eastAsia="Arial" w:hAnsi="Arial"/>
          <w:sz w:val="17"/>
          <w:szCs w:val="17"/>
          <w:color w:val="auto"/>
        </w:rPr>
      </w:pPr>
    </w:p>
    <w:p>
      <w:pPr>
        <w:ind w:left="340" w:right="20" w:hanging="332"/>
        <w:spacing w:after="0" w:line="219" w:lineRule="exact"/>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dollar amounts reported in column (e) represent the average amount of “compensation actually paid” to the NEOs as a group (excluding Dr. M</w:t>
      </w:r>
      <w:r>
        <w:rPr>
          <w:rFonts w:ascii="MS PGothic" w:cs="MS PGothic" w:eastAsia="MS PGothic" w:hAnsi="MS PGothic"/>
          <w:sz w:val="17"/>
          <w:szCs w:val="17"/>
          <w:color w:val="auto"/>
        </w:rPr>
        <w:t>✔</w:t>
      </w:r>
      <w:r>
        <w:rPr>
          <w:rFonts w:ascii="Arial" w:cs="Arial" w:eastAsia="Arial" w:hAnsi="Arial"/>
          <w:sz w:val="17"/>
          <w:szCs w:val="17"/>
          <w:color w:val="auto"/>
        </w:rPr>
        <w:t>ller), as computed in accordance with Item 402(v) of Regulation S-K. The dollar amounts do not reflect the actual average amount of compensation earned by or paid to the NEOs as a group (excluding Dr. M</w:t>
      </w:r>
      <w:r>
        <w:rPr>
          <w:rFonts w:ascii="MS PGothic" w:cs="MS PGothic" w:eastAsia="MS PGothic" w:hAnsi="MS PGothic"/>
          <w:sz w:val="17"/>
          <w:szCs w:val="17"/>
          <w:color w:val="auto"/>
        </w:rPr>
        <w:t>✔</w:t>
      </w:r>
      <w:r>
        <w:rPr>
          <w:rFonts w:ascii="Arial" w:cs="Arial" w:eastAsia="Arial" w:hAnsi="Arial"/>
          <w:sz w:val="17"/>
          <w:szCs w:val="17"/>
          <w:color w:val="auto"/>
        </w:rPr>
        <w:t>ller) during the applicable year. In accordance with the requirements of Item 402(v) of Regulation S-K. The adjustments made to the NEO’s total compensation for each year to determine the CAP are detailed in the Average Other NEO Summary Compensation Table Total to CAP Reconciliation table below.</w:t>
      </w:r>
    </w:p>
    <w:p>
      <w:pPr>
        <w:spacing w:after="0" w:line="204"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Cumulative TSR is calculated assuming a $100 investment in Cohu’s common stock, on December 29, 2019.</w:t>
      </w:r>
    </w:p>
    <w:p>
      <w:pPr>
        <w:spacing w:after="0" w:line="225" w:lineRule="exact"/>
        <w:rPr>
          <w:rFonts w:ascii="Arial" w:cs="Arial" w:eastAsia="Arial" w:hAnsi="Arial"/>
          <w:sz w:val="18"/>
          <w:szCs w:val="18"/>
          <w:color w:val="auto"/>
        </w:rPr>
      </w:pPr>
    </w:p>
    <w:p>
      <w:pPr>
        <w:ind w:left="340" w:hanging="332"/>
        <w:spacing w:after="0" w:line="29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2022 From 10-K and is made up of, Advanced Energy Industries, Alpha and Omega Semiconductor, Axcelis Technologies, Badger Meter, Cirrus Logic, FormFactor, Harmonic, Ichor Holdings, Kulicke and Soffa Industries, Macom Technologies Solutions, Maxlinear, National Instruments, Novanta, Onto Innovation, OSI, Photronics, Smart Global Holdings, Ultra Clean Holdings and Veeco Instruments.</w:t>
      </w:r>
    </w:p>
    <w:p>
      <w:pPr>
        <w:spacing w:after="0" w:line="161"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reflected in Cohu’s audited financial statements for the applicable year.</w:t>
      </w:r>
    </w:p>
    <w:p>
      <w:pPr>
        <w:spacing w:after="0" w:line="225" w:lineRule="exact"/>
        <w:rPr>
          <w:rFonts w:ascii="Arial" w:cs="Arial" w:eastAsia="Arial" w:hAnsi="Arial"/>
          <w:sz w:val="18"/>
          <w:szCs w:val="18"/>
          <w:color w:val="auto"/>
        </w:rPr>
      </w:pPr>
    </w:p>
    <w:p>
      <w:pPr>
        <w:ind w:left="340" w:right="280" w:hanging="332"/>
        <w:spacing w:after="0" w:line="30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Relative Total Shareholder Return (“RTSR”) Percentile reflects the results from Cohu’s annual Long-Term Incentive plan as described in the CD&amp;A. While Cohu uses numerous financial and non-financial performance measures for the purpose of evaluating performance for compensation programs, Cohu determined that the RTSR Percentile represents the most important performance measure (that is not otherwise required to be disclosed in the table) used to link compensation actually paid to our NEOs, for the most recently completed fiscal year, to company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To calculate the CAP, the following amounts were deducted from and added to the Summary Compensation Table (“SCT”) total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SCT Total to CAP Reconciliation</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Reported</w:t>
            </w:r>
          </w:p>
        </w:tc>
        <w:tc>
          <w:tcPr>
            <w:tcW w:w="1740" w:type="dxa"/>
            <w:vAlign w:val="bottom"/>
            <w:tcBorders>
              <w:right w:val="single" w:sz="8" w:color="2D53A6"/>
            </w:tcBorders>
            <w:shd w:val="clear" w:color="auto" w:fill="2D53A6"/>
          </w:tcPr>
          <w:p>
            <w:pPr>
              <w:spacing w:after="0"/>
              <w:rPr>
                <w:sz w:val="18"/>
                <w:szCs w:val="18"/>
                <w:color w:val="auto"/>
              </w:rPr>
            </w:pPr>
          </w:p>
        </w:tc>
        <w:tc>
          <w:tcPr>
            <w:tcW w:w="1760" w:type="dxa"/>
            <w:vAlign w:val="bottom"/>
            <w:tcBorders>
              <w:right w:val="single" w:sz="8" w:color="2D53A6"/>
            </w:tcBorders>
            <w:shd w:val="clear" w:color="auto" w:fill="2D53A6"/>
          </w:tcPr>
          <w:p>
            <w:pPr>
              <w:spacing w:after="0"/>
              <w:rPr>
                <w:sz w:val="18"/>
                <w:szCs w:val="18"/>
                <w:color w:val="auto"/>
              </w:rPr>
            </w:pPr>
          </w:p>
        </w:tc>
        <w:tc>
          <w:tcPr>
            <w:tcW w:w="1740" w:type="dxa"/>
            <w:vAlign w:val="bottom"/>
            <w:tcBorders>
              <w:right w:val="single" w:sz="8" w:color="2D53A6"/>
            </w:tcBorders>
            <w:shd w:val="clear" w:color="auto" w:fill="2D53A6"/>
          </w:tcPr>
          <w:p>
            <w:pPr>
              <w:spacing w:after="0"/>
              <w:rPr>
                <w:sz w:val="18"/>
                <w:szCs w:val="18"/>
                <w:color w:val="auto"/>
              </w:rPr>
            </w:pPr>
          </w:p>
        </w:tc>
        <w:tc>
          <w:tcPr>
            <w:tcW w:w="174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Summary</w:t>
            </w:r>
          </w:p>
        </w:tc>
        <w:tc>
          <w:tcPr>
            <w:tcW w:w="1740" w:type="dxa"/>
            <w:vAlign w:val="bottom"/>
            <w:tcBorders>
              <w:right w:val="single" w:sz="8" w:color="2D53A6"/>
            </w:tcBorders>
            <w:shd w:val="clear" w:color="auto" w:fill="2D53A6"/>
          </w:tcPr>
          <w:p>
            <w:pPr>
              <w:spacing w:after="0"/>
              <w:rPr>
                <w:sz w:val="18"/>
                <w:szCs w:val="18"/>
                <w:color w:val="auto"/>
              </w:rPr>
            </w:pPr>
          </w:p>
        </w:tc>
        <w:tc>
          <w:tcPr>
            <w:tcW w:w="1760" w:type="dxa"/>
            <w:vAlign w:val="bottom"/>
            <w:tcBorders>
              <w:right w:val="single" w:sz="8" w:color="2D53A6"/>
            </w:tcBorders>
            <w:shd w:val="clear" w:color="auto" w:fill="2D53A6"/>
          </w:tcPr>
          <w:p>
            <w:pPr>
              <w:spacing w:after="0"/>
              <w:rPr>
                <w:sz w:val="18"/>
                <w:szCs w:val="18"/>
                <w:color w:val="auto"/>
              </w:rPr>
            </w:pP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Reported Change</w:t>
            </w:r>
          </w:p>
        </w:tc>
        <w:tc>
          <w:tcPr>
            <w:tcW w:w="174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740" w:type="dxa"/>
            <w:vAlign w:val="bottom"/>
            <w:tcBorders>
              <w:right w:val="single" w:sz="8" w:color="2D53A6"/>
            </w:tcBorders>
            <w:shd w:val="clear" w:color="auto" w:fill="2D53A6"/>
          </w:tcPr>
          <w:p>
            <w:pPr>
              <w:spacing w:after="0"/>
              <w:rPr>
                <w:sz w:val="18"/>
                <w:szCs w:val="18"/>
                <w:color w:val="auto"/>
              </w:rPr>
            </w:pPr>
          </w:p>
        </w:tc>
        <w:tc>
          <w:tcPr>
            <w:tcW w:w="1760" w:type="dxa"/>
            <w:vAlign w:val="bottom"/>
            <w:tcBorders>
              <w:right w:val="single" w:sz="8" w:color="2D53A6"/>
            </w:tcBorders>
            <w:shd w:val="clear" w:color="auto" w:fill="2D53A6"/>
          </w:tcPr>
          <w:p>
            <w:pPr>
              <w:spacing w:after="0"/>
              <w:rPr>
                <w:sz w:val="18"/>
                <w:szCs w:val="18"/>
                <w:color w:val="auto"/>
              </w:rPr>
            </w:pP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in the Actuarial</w:t>
            </w:r>
          </w:p>
        </w:tc>
        <w:tc>
          <w:tcPr>
            <w:tcW w:w="174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Table Total for</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Reported Value</w:t>
            </w:r>
          </w:p>
        </w:tc>
        <w:tc>
          <w:tcPr>
            <w:tcW w:w="1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Equity Award</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Present Value of</w:t>
            </w:r>
          </w:p>
        </w:tc>
        <w:tc>
          <w:tcPr>
            <w:tcW w:w="174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34"/>
        </w:trPr>
        <w:tc>
          <w:tcPr>
            <w:tcW w:w="820" w:type="dxa"/>
            <w:vAlign w:val="bottom"/>
            <w:tcBorders>
              <w:left w:val="single" w:sz="8" w:color="2D53A6"/>
              <w:right w:val="single" w:sz="8" w:color="2D53A6"/>
            </w:tcBorders>
            <w:shd w:val="clear" w:color="auto" w:fill="2D53A6"/>
          </w:tcPr>
          <w:p>
            <w:pPr>
              <w:ind w:left="240"/>
              <w:spacing w:after="0"/>
              <w:rPr>
                <w:sz w:val="20"/>
                <w:szCs w:val="20"/>
                <w:color w:val="auto"/>
              </w:rPr>
            </w:pPr>
            <w:r>
              <w:rPr>
                <w:rFonts w:ascii="Arial" w:cs="Arial" w:eastAsia="Arial" w:hAnsi="Arial"/>
                <w:sz w:val="18"/>
                <w:szCs w:val="18"/>
                <w:b w:val="1"/>
                <w:bCs w:val="1"/>
                <w:color w:val="FFFFFF"/>
              </w:rPr>
              <w:t>Year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rPr>
              <w:t>CEO</w:t>
            </w:r>
          </w:p>
        </w:tc>
        <w:tc>
          <w:tcPr>
            <w:tcW w:w="174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2"/>
              </w:rPr>
              <w:t xml:space="preserve">of Equity Awards </w:t>
            </w:r>
            <w:r>
              <w:rPr>
                <w:rFonts w:ascii="Arial" w:cs="Arial" w:eastAsia="Arial" w:hAnsi="Arial"/>
                <w:sz w:val="27"/>
                <w:szCs w:val="27"/>
                <w:b w:val="1"/>
                <w:bCs w:val="1"/>
                <w:color w:val="FFFFFF"/>
                <w:w w:val="92"/>
                <w:vertAlign w:val="superscript"/>
              </w:rPr>
              <w:t>(1)</w:t>
            </w:r>
          </w:p>
        </w:tc>
        <w:tc>
          <w:tcPr>
            <w:tcW w:w="176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2"/>
              </w:rPr>
              <w:t xml:space="preserve">Adjustments </w:t>
            </w:r>
            <w:r>
              <w:rPr>
                <w:rFonts w:ascii="Arial" w:cs="Arial" w:eastAsia="Arial" w:hAnsi="Arial"/>
                <w:sz w:val="27"/>
                <w:szCs w:val="27"/>
                <w:b w:val="1"/>
                <w:bCs w:val="1"/>
                <w:color w:val="FFFFFF"/>
                <w:w w:val="92"/>
                <w:vertAlign w:val="superscript"/>
              </w:rPr>
              <w:t>(2)</w:t>
            </w:r>
          </w:p>
        </w:tc>
        <w:tc>
          <w:tcPr>
            <w:tcW w:w="174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89"/>
              </w:rPr>
              <w:t xml:space="preserve">Pension Benefits </w:t>
            </w:r>
            <w:r>
              <w:rPr>
                <w:rFonts w:ascii="Arial" w:cs="Arial" w:eastAsia="Arial" w:hAnsi="Arial"/>
                <w:sz w:val="27"/>
                <w:szCs w:val="27"/>
                <w:b w:val="1"/>
                <w:bCs w:val="1"/>
                <w:color w:val="FFFFFF"/>
                <w:w w:val="89"/>
                <w:vertAlign w:val="superscript"/>
              </w:rPr>
              <w:t>(3)</w:t>
            </w:r>
          </w:p>
        </w:tc>
        <w:tc>
          <w:tcPr>
            <w:tcW w:w="174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89"/>
              </w:rPr>
              <w:t xml:space="preserve">Pension Benefits </w:t>
            </w:r>
            <w:r>
              <w:rPr>
                <w:rFonts w:ascii="Arial" w:cs="Arial" w:eastAsia="Arial" w:hAnsi="Arial"/>
                <w:sz w:val="27"/>
                <w:szCs w:val="27"/>
                <w:b w:val="1"/>
                <w:bCs w:val="1"/>
                <w:color w:val="FFFFFF"/>
                <w:w w:val="89"/>
                <w:vertAlign w:val="superscript"/>
              </w:rPr>
              <w:t>(3)</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6"/>
              </w:rPr>
              <w:t>CAP to CEO</w:t>
            </w:r>
          </w:p>
        </w:tc>
      </w:tr>
      <w:tr>
        <w:trPr>
          <w:trHeight w:val="229"/>
        </w:trPr>
        <w:tc>
          <w:tcPr>
            <w:tcW w:w="820" w:type="dxa"/>
            <w:vAlign w:val="bottom"/>
            <w:tcBorders>
              <w:left w:val="single" w:sz="8" w:color="2D53A6"/>
              <w:right w:val="single" w:sz="8" w:color="2D53A6"/>
            </w:tcBorders>
            <w:shd w:val="clear" w:color="auto" w:fill="2D53A6"/>
          </w:tcPr>
          <w:p>
            <w:pPr>
              <w:spacing w:after="0"/>
              <w:rPr>
                <w:sz w:val="19"/>
                <w:szCs w:val="19"/>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7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660" w:type="dxa"/>
            <w:vAlign w:val="bottom"/>
            <w:tcBorders>
              <w:right w:val="single" w:sz="8" w:color="2D53A6"/>
            </w:tcBorders>
            <w:shd w:val="clear" w:color="auto" w:fill="2D53A6"/>
          </w:tcPr>
          <w:p>
            <w:pPr>
              <w:jc w:val="right"/>
              <w:ind w:right="650"/>
              <w:spacing w:after="0"/>
              <w:rPr>
                <w:sz w:val="20"/>
                <w:szCs w:val="20"/>
                <w:color w:val="auto"/>
              </w:rPr>
            </w:pPr>
            <w:r>
              <w:rPr>
                <w:rFonts w:ascii="Arial" w:cs="Arial" w:eastAsia="Arial" w:hAnsi="Arial"/>
                <w:sz w:val="18"/>
                <w:szCs w:val="18"/>
                <w:b w:val="1"/>
                <w:bCs w:val="1"/>
                <w:color w:val="FFFFFF"/>
              </w:rPr>
              <w:t>($)</w:t>
            </w:r>
          </w:p>
        </w:tc>
      </w:tr>
      <w:tr>
        <w:trPr>
          <w:trHeight w:val="216"/>
        </w:trPr>
        <w:tc>
          <w:tcPr>
            <w:tcW w:w="820" w:type="dxa"/>
            <w:vAlign w:val="bottom"/>
            <w:tcBorders>
              <w:left w:val="single" w:sz="8" w:color="2D53A6"/>
              <w:bottom w:val="single" w:sz="8" w:color="2D53A6"/>
              <w:right w:val="single" w:sz="8" w:color="2D53A6"/>
            </w:tcBorders>
          </w:tcPr>
          <w:p>
            <w:pPr>
              <w:ind w:left="240"/>
              <w:spacing w:after="0"/>
              <w:rPr>
                <w:sz w:val="20"/>
                <w:szCs w:val="20"/>
                <w:color w:val="auto"/>
              </w:rPr>
            </w:pPr>
            <w:r>
              <w:rPr>
                <w:rFonts w:ascii="Arial" w:cs="Arial" w:eastAsia="Arial" w:hAnsi="Arial"/>
                <w:sz w:val="18"/>
                <w:szCs w:val="18"/>
                <w:color w:val="auto"/>
              </w:rPr>
              <w:t>2022</w:t>
            </w:r>
          </w:p>
        </w:tc>
        <w:tc>
          <w:tcPr>
            <w:tcW w:w="1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5,315,286</w:t>
            </w: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(3,321,901)</w:t>
            </w:r>
          </w:p>
        </w:tc>
        <w:tc>
          <w:tcPr>
            <w:tcW w:w="17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3,412,877</w:t>
            </w: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N/A</w:t>
            </w: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N/A</w:t>
            </w: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5,408,284</w:t>
            </w:r>
          </w:p>
        </w:tc>
      </w:tr>
      <w:tr>
        <w:trPr>
          <w:trHeight w:val="209"/>
        </w:trPr>
        <w:tc>
          <w:tcPr>
            <w:tcW w:w="820" w:type="dxa"/>
            <w:vAlign w:val="bottom"/>
            <w:tcBorders>
              <w:left w:val="single" w:sz="8" w:color="2D53A6"/>
              <w:bottom w:val="single" w:sz="8" w:color="2D53A6"/>
              <w:right w:val="single" w:sz="8" w:color="2D53A6"/>
            </w:tcBorders>
            <w:shd w:val="clear" w:color="auto" w:fill="E6E6E6"/>
          </w:tcPr>
          <w:p>
            <w:pPr>
              <w:ind w:left="240"/>
              <w:spacing w:after="0"/>
              <w:rPr>
                <w:sz w:val="20"/>
                <w:szCs w:val="20"/>
                <w:color w:val="auto"/>
              </w:rPr>
            </w:pPr>
            <w:r>
              <w:rPr>
                <w:rFonts w:ascii="Arial" w:cs="Arial" w:eastAsia="Arial" w:hAnsi="Arial"/>
                <w:sz w:val="18"/>
                <w:szCs w:val="18"/>
                <w:color w:val="auto"/>
              </w:rPr>
              <w:t>2021</w:t>
            </w:r>
          </w:p>
        </w:tc>
        <w:tc>
          <w:tcPr>
            <w:tcW w:w="17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4,582,416</w:t>
            </w:r>
          </w:p>
        </w:tc>
        <w:tc>
          <w:tcPr>
            <w:tcW w:w="17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(2,891,579)</w:t>
            </w:r>
          </w:p>
        </w:tc>
        <w:tc>
          <w:tcPr>
            <w:tcW w:w="17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(731,034)</w:t>
            </w:r>
          </w:p>
        </w:tc>
        <w:tc>
          <w:tcPr>
            <w:tcW w:w="17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N/A</w:t>
            </w:r>
          </w:p>
        </w:tc>
        <w:tc>
          <w:tcPr>
            <w:tcW w:w="17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N/A</w:t>
            </w:r>
          </w:p>
        </w:tc>
        <w:tc>
          <w:tcPr>
            <w:tcW w:w="1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959,803</w:t>
            </w:r>
          </w:p>
        </w:tc>
      </w:tr>
      <w:tr>
        <w:trPr>
          <w:trHeight w:val="209"/>
        </w:trPr>
        <w:tc>
          <w:tcPr>
            <w:tcW w:w="820" w:type="dxa"/>
            <w:vAlign w:val="bottom"/>
            <w:tcBorders>
              <w:left w:val="single" w:sz="8" w:color="2D53A6"/>
              <w:bottom w:val="single" w:sz="8" w:color="2D53A6"/>
              <w:right w:val="single" w:sz="8" w:color="2D53A6"/>
            </w:tcBorders>
          </w:tcPr>
          <w:p>
            <w:pPr>
              <w:ind w:left="240"/>
              <w:spacing w:after="0"/>
              <w:rPr>
                <w:sz w:val="20"/>
                <w:szCs w:val="20"/>
                <w:color w:val="auto"/>
              </w:rPr>
            </w:pPr>
            <w:r>
              <w:rPr>
                <w:rFonts w:ascii="Arial" w:cs="Arial" w:eastAsia="Arial" w:hAnsi="Arial"/>
                <w:sz w:val="18"/>
                <w:szCs w:val="18"/>
                <w:color w:val="auto"/>
              </w:rPr>
              <w:t>2020</w:t>
            </w:r>
          </w:p>
        </w:tc>
        <w:tc>
          <w:tcPr>
            <w:tcW w:w="1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3,315,895</w:t>
            </w: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(2,138,683)</w:t>
            </w:r>
          </w:p>
        </w:tc>
        <w:tc>
          <w:tcPr>
            <w:tcW w:w="17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10,920,402</w:t>
            </w: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N/A</w:t>
            </w:r>
          </w:p>
        </w:tc>
        <w:tc>
          <w:tcPr>
            <w:tcW w:w="17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N/A</w:t>
            </w: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12,097,614</w:t>
            </w:r>
          </w:p>
        </w:tc>
      </w:tr>
    </w:tbl>
    <w:p>
      <w:pPr>
        <w:spacing w:after="0" w:line="202" w:lineRule="exact"/>
        <w:rPr>
          <w:sz w:val="20"/>
          <w:szCs w:val="20"/>
          <w:color w:val="auto"/>
        </w:rPr>
      </w:pPr>
    </w:p>
    <w:p>
      <w:pPr>
        <w:jc w:val="center"/>
        <w:ind w:left="5540" w:right="700" w:hanging="5532"/>
        <w:spacing w:after="0" w:line="527" w:lineRule="auto"/>
        <w:tabs>
          <w:tab w:leader="none" w:pos="3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date fair value of equity awards represents the amounts reported in the “Stock Awards” column in the SCT for each applicable year.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54" w:orient="portrait"/>
          <w:cols w:equalWidth="0" w:num="1">
            <w:col w:w="11240"/>
          </w:cols>
          <w:pgMar w:left="320" w:top="571" w:right="339" w:bottom="0" w:gutter="0" w:footer="0" w:header="0"/>
        </w:sectPr>
      </w:pPr>
    </w:p>
    <w:bookmarkStart w:id="45" w:name="page46"/>
    <w:bookmarkEnd w:id="45"/>
    <w:p>
      <w:pPr>
        <w:ind w:left="340" w:right="20" w:hanging="332"/>
        <w:spacing w:after="0" w:line="269"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CEO nor any other NEO has Pension Benefits.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Equity Component of CAP Reconciliation</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Value of</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Dividends or</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Fair Value at the</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other Earnings</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spacing w:after="0"/>
              <w:rPr>
                <w:sz w:val="18"/>
                <w:szCs w:val="18"/>
                <w:color w:val="auto"/>
              </w:rPr>
            </w:pP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Year over Year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End of the Prior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Paid on Stock</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Year over Year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Fair Value as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Change in Fair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Year of Equity</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or Option</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Change in Fair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Vesting Date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Value of Equity</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Awards that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Awards not</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spacing w:after="0"/>
              <w:rPr>
                <w:sz w:val="18"/>
                <w:szCs w:val="18"/>
                <w:color w:val="auto"/>
              </w:rPr>
            </w:pP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Value of</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Equity Awards</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Awards Granted</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Failed to Meet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Otherwise</w:t>
            </w:r>
          </w:p>
        </w:tc>
        <w:tc>
          <w:tcPr>
            <w:tcW w:w="14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Year End Fair</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Outstanding</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Granted and</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in Prior Years</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Vesting</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Reflected in Fair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Total Equity</w:t>
            </w: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Value of Equity</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and Unvested</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Vested in the</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that Vested in</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Conditions in</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Value or Total</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Award</w:t>
            </w:r>
          </w:p>
        </w:tc>
      </w:tr>
      <w:tr>
        <w:trPr>
          <w:trHeight w:val="234"/>
        </w:trPr>
        <w:tc>
          <w:tcPr>
            <w:tcW w:w="820" w:type="dxa"/>
            <w:vAlign w:val="bottom"/>
            <w:tcBorders>
              <w:left w:val="single" w:sz="8" w:color="2D53A6"/>
              <w:right w:val="single" w:sz="8" w:color="2D53A6"/>
            </w:tcBorders>
            <w:shd w:val="clear" w:color="auto" w:fill="2D53A6"/>
          </w:tcPr>
          <w:p>
            <w:pPr>
              <w:ind w:left="220"/>
              <w:spacing w:after="0"/>
              <w:rPr>
                <w:sz w:val="20"/>
                <w:szCs w:val="20"/>
                <w:color w:val="auto"/>
              </w:rPr>
            </w:pPr>
            <w:r>
              <w:rPr>
                <w:rFonts w:ascii="Arial" w:cs="Arial" w:eastAsia="Arial" w:hAnsi="Arial"/>
                <w:sz w:val="18"/>
                <w:szCs w:val="18"/>
                <w:b w:val="1"/>
                <w:bCs w:val="1"/>
                <w:color w:val="FFFFFF"/>
              </w:rPr>
              <w:t>Year</w:t>
            </w:r>
          </w:p>
        </w:tc>
        <w:tc>
          <w:tcPr>
            <w:tcW w:w="15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Equity Awards</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Year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the Year</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the Year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Adjustments</w:t>
            </w:r>
          </w:p>
        </w:tc>
      </w:tr>
      <w:tr>
        <w:trPr>
          <w:trHeight w:val="229"/>
        </w:trPr>
        <w:tc>
          <w:tcPr>
            <w:tcW w:w="820" w:type="dxa"/>
            <w:vAlign w:val="bottom"/>
            <w:tcBorders>
              <w:left w:val="single" w:sz="8" w:color="2D53A6"/>
              <w:right w:val="single" w:sz="8" w:color="2D53A6"/>
            </w:tcBorders>
            <w:shd w:val="clear" w:color="auto" w:fill="2D53A6"/>
          </w:tcPr>
          <w:p>
            <w:pPr>
              <w:spacing w:after="0"/>
              <w:rPr>
                <w:sz w:val="19"/>
                <w:szCs w:val="19"/>
                <w:color w:val="auto"/>
              </w:rPr>
            </w:pPr>
          </w:p>
        </w:tc>
        <w:tc>
          <w:tcPr>
            <w:tcW w:w="15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r>
      <w:tr>
        <w:trPr>
          <w:trHeight w:val="216"/>
        </w:trPr>
        <w:tc>
          <w:tcPr>
            <w:tcW w:w="82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4,186,243</w:t>
            </w:r>
          </w:p>
        </w:tc>
        <w:tc>
          <w:tcPr>
            <w:tcW w:w="15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(287,392)</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7"/>
              </w:rPr>
              <w:t>63,290</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(549,263)</w:t>
            </w:r>
          </w:p>
        </w:tc>
        <w:tc>
          <w:tcPr>
            <w:tcW w:w="14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3,412,877</w:t>
            </w:r>
          </w:p>
        </w:tc>
      </w:tr>
      <w:tr>
        <w:trPr>
          <w:trHeight w:val="210"/>
        </w:trPr>
        <w:tc>
          <w:tcPr>
            <w:tcW w:w="82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8"/>
                <w:szCs w:val="18"/>
                <w:color w:val="auto"/>
              </w:rPr>
              <w:t>2021</w:t>
            </w:r>
          </w:p>
        </w:tc>
        <w:tc>
          <w:tcPr>
            <w:tcW w:w="15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2,406,455</w:t>
            </w:r>
          </w:p>
        </w:tc>
        <w:tc>
          <w:tcPr>
            <w:tcW w:w="15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(3,329,004)</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2"/>
              </w:rPr>
              <w:t>191,056</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(731,034)</w:t>
            </w:r>
          </w:p>
        </w:tc>
      </w:tr>
      <w:tr>
        <w:trPr>
          <w:trHeight w:val="210"/>
        </w:trPr>
        <w:tc>
          <w:tcPr>
            <w:tcW w:w="82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8"/>
                <w:szCs w:val="18"/>
                <w:color w:val="auto"/>
              </w:rPr>
              <w:t>2020</w:t>
            </w:r>
          </w:p>
        </w:tc>
        <w:tc>
          <w:tcPr>
            <w:tcW w:w="15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7,919,582</w:t>
            </w:r>
          </w:p>
        </w:tc>
        <w:tc>
          <w:tcPr>
            <w:tcW w:w="15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3,665,406</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(473,527)</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(191,059)</w:t>
            </w:r>
          </w:p>
        </w:tc>
        <w:tc>
          <w:tcPr>
            <w:tcW w:w="14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10,920,402</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Other NEOs SCT Total to CAP Reconciliation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Average Reported</w:t>
            </w:r>
          </w:p>
        </w:tc>
        <w:tc>
          <w:tcPr>
            <w:tcW w:w="1780" w:type="dxa"/>
            <w:vAlign w:val="bottom"/>
            <w:tcBorders>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Average Reported</w:t>
            </w:r>
          </w:p>
        </w:tc>
        <w:tc>
          <w:tcPr>
            <w:tcW w:w="168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Summary</w:t>
            </w:r>
          </w:p>
        </w:tc>
        <w:tc>
          <w:tcPr>
            <w:tcW w:w="1780" w:type="dxa"/>
            <w:vAlign w:val="bottom"/>
            <w:tcBorders>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Change in the</w:t>
            </w:r>
          </w:p>
        </w:tc>
        <w:tc>
          <w:tcPr>
            <w:tcW w:w="168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Average Reported</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Average Equity</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Actuarial Present</w:t>
            </w:r>
          </w:p>
        </w:tc>
        <w:tc>
          <w:tcPr>
            <w:tcW w:w="1680" w:type="dxa"/>
            <w:vAlign w:val="bottom"/>
            <w:tcBorders>
              <w:right w:val="single" w:sz="8" w:color="2D53A6"/>
            </w:tcBorders>
            <w:shd w:val="clear" w:color="auto" w:fill="2D53A6"/>
          </w:tcPr>
          <w:p>
            <w:pPr>
              <w:spacing w:after="0"/>
              <w:rPr>
                <w:sz w:val="18"/>
                <w:szCs w:val="18"/>
                <w:color w:val="auto"/>
              </w:rPr>
            </w:pPr>
          </w:p>
        </w:tc>
        <w:tc>
          <w:tcPr>
            <w:tcW w:w="1660" w:type="dxa"/>
            <w:vAlign w:val="bottom"/>
            <w:tcBorders>
              <w:right w:val="single" w:sz="8" w:color="2D53A6"/>
            </w:tcBorders>
            <w:shd w:val="clear" w:color="auto" w:fill="2D53A6"/>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Table Total for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Value of Equity</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Award</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Value of Pension</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Average Pension</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Average CAP to</w:t>
            </w:r>
          </w:p>
        </w:tc>
      </w:tr>
      <w:tr>
        <w:trPr>
          <w:trHeight w:val="234"/>
        </w:trPr>
        <w:tc>
          <w:tcPr>
            <w:tcW w:w="820" w:type="dxa"/>
            <w:vAlign w:val="bottom"/>
            <w:tcBorders>
              <w:left w:val="single" w:sz="8" w:color="2D53A6"/>
              <w:right w:val="single" w:sz="8" w:color="2D53A6"/>
            </w:tcBorders>
            <w:shd w:val="clear" w:color="auto" w:fill="2D53A6"/>
          </w:tcPr>
          <w:p>
            <w:pPr>
              <w:ind w:left="220"/>
              <w:spacing w:after="0"/>
              <w:rPr>
                <w:sz w:val="20"/>
                <w:szCs w:val="20"/>
                <w:color w:val="auto"/>
              </w:rPr>
            </w:pPr>
            <w:r>
              <w:rPr>
                <w:rFonts w:ascii="Arial" w:cs="Arial" w:eastAsia="Arial" w:hAnsi="Arial"/>
                <w:sz w:val="18"/>
                <w:szCs w:val="18"/>
                <w:b w:val="1"/>
                <w:bCs w:val="1"/>
                <w:color w:val="FFFFFF"/>
              </w:rPr>
              <w:t>Year</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6"/>
              </w:rPr>
              <w:t>Other NEOs</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82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2"/>
              </w:rPr>
              <w:t xml:space="preserve">Adjustments </w:t>
            </w:r>
            <w:r>
              <w:rPr>
                <w:rFonts w:ascii="Arial" w:cs="Arial" w:eastAsia="Arial" w:hAnsi="Arial"/>
                <w:sz w:val="27"/>
                <w:szCs w:val="27"/>
                <w:b w:val="1"/>
                <w:bCs w:val="1"/>
                <w:color w:val="FFFFFF"/>
                <w:w w:val="92"/>
                <w:vertAlign w:val="superscript"/>
              </w:rPr>
              <w:t>(1)</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Other NEOs</w:t>
            </w: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r>
      <w:tr>
        <w:trPr>
          <w:trHeight w:val="216"/>
        </w:trPr>
        <w:tc>
          <w:tcPr>
            <w:tcW w:w="82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8"/>
                <w:szCs w:val="18"/>
                <w:color w:val="auto"/>
              </w:rPr>
              <w:t>2022</w:t>
            </w:r>
          </w:p>
        </w:tc>
        <w:tc>
          <w:tcPr>
            <w:tcW w:w="18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1,546,037</w:t>
            </w:r>
          </w:p>
        </w:tc>
        <w:tc>
          <w:tcPr>
            <w:tcW w:w="1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(693,436)</w:t>
            </w:r>
          </w:p>
        </w:tc>
        <w:tc>
          <w:tcPr>
            <w:tcW w:w="18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695,282</w:t>
            </w: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N/A</w:t>
            </w:r>
          </w:p>
        </w:tc>
        <w:tc>
          <w:tcPr>
            <w:tcW w:w="16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1,547,883</w:t>
            </w:r>
          </w:p>
        </w:tc>
      </w:tr>
      <w:tr>
        <w:trPr>
          <w:trHeight w:val="209"/>
        </w:trPr>
        <w:tc>
          <w:tcPr>
            <w:tcW w:w="820" w:type="dxa"/>
            <w:vAlign w:val="bottom"/>
            <w:tcBorders>
              <w:left w:val="single" w:sz="8" w:color="2D53A6"/>
              <w:bottom w:val="single" w:sz="8" w:color="2D53A6"/>
              <w:right w:val="single" w:sz="8" w:color="2D53A6"/>
            </w:tcBorders>
            <w:shd w:val="clear" w:color="auto" w:fill="E6E6E6"/>
          </w:tcPr>
          <w:p>
            <w:pPr>
              <w:ind w:left="220"/>
              <w:spacing w:after="0"/>
              <w:rPr>
                <w:sz w:val="20"/>
                <w:szCs w:val="20"/>
                <w:color w:val="auto"/>
              </w:rPr>
            </w:pPr>
            <w:r>
              <w:rPr>
                <w:rFonts w:ascii="Arial" w:cs="Arial" w:eastAsia="Arial" w:hAnsi="Arial"/>
                <w:sz w:val="18"/>
                <w:szCs w:val="18"/>
                <w:color w:val="auto"/>
              </w:rPr>
              <w:t>2021</w:t>
            </w:r>
          </w:p>
        </w:tc>
        <w:tc>
          <w:tcPr>
            <w:tcW w:w="18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1,360,173</w:t>
            </w:r>
          </w:p>
        </w:tc>
        <w:tc>
          <w:tcPr>
            <w:tcW w:w="17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(610,078)</w:t>
            </w:r>
          </w:p>
        </w:tc>
        <w:tc>
          <w:tcPr>
            <w:tcW w:w="18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(152,107)</w:t>
            </w:r>
          </w:p>
        </w:tc>
        <w:tc>
          <w:tcPr>
            <w:tcW w:w="1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N/A</w:t>
            </w:r>
          </w:p>
        </w:tc>
        <w:tc>
          <w:tcPr>
            <w:tcW w:w="1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597,988</w:t>
            </w:r>
          </w:p>
        </w:tc>
      </w:tr>
      <w:tr>
        <w:trPr>
          <w:trHeight w:val="210"/>
        </w:trPr>
        <w:tc>
          <w:tcPr>
            <w:tcW w:w="820" w:type="dxa"/>
            <w:vAlign w:val="bottom"/>
            <w:tcBorders>
              <w:left w:val="single" w:sz="8" w:color="2D53A6"/>
              <w:bottom w:val="single" w:sz="8" w:color="2D53A6"/>
              <w:right w:val="single" w:sz="8" w:color="2D53A6"/>
            </w:tcBorders>
          </w:tcPr>
          <w:p>
            <w:pPr>
              <w:ind w:left="220"/>
              <w:spacing w:after="0"/>
              <w:rPr>
                <w:sz w:val="20"/>
                <w:szCs w:val="20"/>
                <w:color w:val="auto"/>
              </w:rPr>
            </w:pPr>
            <w:r>
              <w:rPr>
                <w:rFonts w:ascii="Arial" w:cs="Arial" w:eastAsia="Arial" w:hAnsi="Arial"/>
                <w:sz w:val="18"/>
                <w:szCs w:val="18"/>
                <w:color w:val="auto"/>
              </w:rPr>
              <w:t>2020</w:t>
            </w:r>
          </w:p>
        </w:tc>
        <w:tc>
          <w:tcPr>
            <w:tcW w:w="18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1,093,312</w:t>
            </w:r>
          </w:p>
        </w:tc>
        <w:tc>
          <w:tcPr>
            <w:tcW w:w="17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(468,046)</w:t>
            </w:r>
          </w:p>
        </w:tc>
        <w:tc>
          <w:tcPr>
            <w:tcW w:w="18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2,492,317</w:t>
            </w: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N/A</w:t>
            </w:r>
          </w:p>
        </w:tc>
        <w:tc>
          <w:tcPr>
            <w:tcW w:w="16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3,117,583</w:t>
            </w:r>
          </w:p>
        </w:tc>
      </w:tr>
    </w:tbl>
    <w:p>
      <w:pPr>
        <w:spacing w:after="0" w:line="202" w:lineRule="exact"/>
        <w:rPr>
          <w:sz w:val="20"/>
          <w:szCs w:val="20"/>
          <w:color w:val="auto"/>
        </w:rPr>
      </w:pPr>
    </w:p>
    <w:p>
      <w:pPr>
        <w:ind w:left="340" w:right="2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deducted or added in calculating the equity award adjustments are detailed in the Equity Component of CAP Reconciliation tables that follow.</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NEO Equity Component of CAP Reconciliation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600" w:type="dxa"/>
            <w:vAlign w:val="bottom"/>
            <w:tcBorders>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Year over</w:t>
            </w:r>
          </w:p>
        </w:tc>
        <w:tc>
          <w:tcPr>
            <w:tcW w:w="162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600" w:type="dxa"/>
            <w:vAlign w:val="bottom"/>
            <w:tcBorders>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Fair Value as</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Year Change</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Fair Value at</w:t>
            </w:r>
          </w:p>
        </w:tc>
        <w:tc>
          <w:tcPr>
            <w:tcW w:w="1500" w:type="dxa"/>
            <w:vAlign w:val="bottom"/>
            <w:tcBorders>
              <w:right w:val="single" w:sz="8" w:color="2D53A6"/>
            </w:tcBorders>
            <w:shd w:val="clear" w:color="auto" w:fill="2D53A6"/>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Year over</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of Vesting</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in Fair Value</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the End of the</w:t>
            </w:r>
          </w:p>
        </w:tc>
        <w:tc>
          <w:tcPr>
            <w:tcW w:w="1500" w:type="dxa"/>
            <w:vAlign w:val="bottom"/>
            <w:tcBorders>
              <w:right w:val="single" w:sz="8" w:color="2D53A6"/>
            </w:tcBorders>
            <w:shd w:val="clear" w:color="auto" w:fill="2D53A6"/>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Year Change</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Date of</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of Equity</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Prior Year of</w:t>
            </w:r>
          </w:p>
        </w:tc>
        <w:tc>
          <w:tcPr>
            <w:tcW w:w="1500" w:type="dxa"/>
            <w:vAlign w:val="bottom"/>
            <w:tcBorders>
              <w:right w:val="single" w:sz="8" w:color="2D53A6"/>
            </w:tcBorders>
            <w:shd w:val="clear" w:color="auto" w:fill="2D53A6"/>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spacing w:after="0"/>
              <w:rPr>
                <w:sz w:val="18"/>
                <w:szCs w:val="18"/>
                <w:color w:val="auto"/>
              </w:rPr>
            </w:pP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in Fair Value</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Equity</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Equity Awards</w:t>
            </w:r>
          </w:p>
        </w:tc>
        <w:tc>
          <w:tcPr>
            <w:tcW w:w="1500" w:type="dxa"/>
            <w:vAlign w:val="bottom"/>
            <w:tcBorders>
              <w:right w:val="single" w:sz="8" w:color="2D53A6"/>
            </w:tcBorders>
            <w:shd w:val="clear" w:color="auto" w:fill="2D53A6"/>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Year End Fair</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2"/>
              </w:rPr>
              <w:t>of</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Granted in</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that Failed to</w:t>
            </w:r>
          </w:p>
        </w:tc>
        <w:tc>
          <w:tcPr>
            <w:tcW w:w="1500" w:type="dxa"/>
            <w:vAlign w:val="bottom"/>
            <w:tcBorders>
              <w:right w:val="single" w:sz="8" w:color="2D53A6"/>
            </w:tcBorders>
            <w:shd w:val="clear" w:color="auto" w:fill="2D53A6"/>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Value of</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Outstanding</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Granted and</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Prior Years</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Meet Vesting</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Total Equity</w:t>
            </w: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Equity</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and Unvested</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Vested in the</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that Vested</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Conditions in</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Award</w:t>
            </w:r>
          </w:p>
        </w:tc>
        <w:tc>
          <w:tcPr>
            <w:tcW w:w="1120" w:type="dxa"/>
            <w:vAlign w:val="bottom"/>
          </w:tcPr>
          <w:p>
            <w:pPr>
              <w:spacing w:after="0"/>
              <w:rPr>
                <w:sz w:val="18"/>
                <w:szCs w:val="18"/>
                <w:color w:val="auto"/>
              </w:rPr>
            </w:pPr>
          </w:p>
        </w:tc>
      </w:tr>
      <w:tr>
        <w:trPr>
          <w:trHeight w:val="234"/>
        </w:trPr>
        <w:tc>
          <w:tcPr>
            <w:tcW w:w="820" w:type="dxa"/>
            <w:vAlign w:val="bottom"/>
            <w:tcBorders>
              <w:left w:val="single" w:sz="8" w:color="2D53A6"/>
              <w:right w:val="single" w:sz="8" w:color="2D53A6"/>
            </w:tcBorders>
            <w:shd w:val="clear" w:color="auto" w:fill="2D53A6"/>
          </w:tcPr>
          <w:p>
            <w:pPr>
              <w:ind w:left="240"/>
              <w:spacing w:after="0"/>
              <w:rPr>
                <w:sz w:val="20"/>
                <w:szCs w:val="20"/>
                <w:color w:val="auto"/>
              </w:rPr>
            </w:pPr>
            <w:r>
              <w:rPr>
                <w:rFonts w:ascii="Arial" w:cs="Arial" w:eastAsia="Arial" w:hAnsi="Arial"/>
                <w:sz w:val="18"/>
                <w:szCs w:val="18"/>
                <w:b w:val="1"/>
                <w:bCs w:val="1"/>
                <w:color w:val="FFFFFF"/>
              </w:rPr>
              <w:t>Year</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Equity Awards</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in the Year</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the 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Adjustments</w:t>
            </w:r>
          </w:p>
        </w:tc>
        <w:tc>
          <w:tcPr>
            <w:tcW w:w="1120" w:type="dxa"/>
            <w:vAlign w:val="bottom"/>
          </w:tcPr>
          <w:p>
            <w:pPr>
              <w:spacing w:after="0"/>
              <w:rPr>
                <w:sz w:val="20"/>
                <w:szCs w:val="20"/>
                <w:color w:val="auto"/>
              </w:rPr>
            </w:pPr>
          </w:p>
        </w:tc>
      </w:tr>
      <w:tr>
        <w:trPr>
          <w:trHeight w:val="216"/>
        </w:trPr>
        <w:tc>
          <w:tcPr>
            <w:tcW w:w="820" w:type="dxa"/>
            <w:vAlign w:val="bottom"/>
            <w:tcBorders>
              <w:left w:val="single" w:sz="8" w:color="2D53A6"/>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120" w:type="dxa"/>
            <w:vAlign w:val="bottom"/>
          </w:tcPr>
          <w:p>
            <w:pPr>
              <w:spacing w:after="0"/>
              <w:rPr>
                <w:sz w:val="18"/>
                <w:szCs w:val="18"/>
                <w:color w:val="auto"/>
              </w:rPr>
            </w:pPr>
          </w:p>
        </w:tc>
      </w:tr>
      <w:tr>
        <w:trPr>
          <w:trHeight w:val="216"/>
        </w:trPr>
        <w:tc>
          <w:tcPr>
            <w:tcW w:w="820" w:type="dxa"/>
            <w:vAlign w:val="bottom"/>
            <w:tcBorders>
              <w:left w:val="single" w:sz="8" w:color="2D53A6"/>
              <w:bottom w:val="single" w:sz="8" w:color="2D53A6"/>
              <w:right w:val="single" w:sz="8" w:color="2D53A6"/>
            </w:tcBorders>
          </w:tcPr>
          <w:p>
            <w:pPr>
              <w:ind w:left="24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873,864</w:t>
            </w:r>
          </w:p>
        </w:tc>
        <w:tc>
          <w:tcPr>
            <w:tcW w:w="16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2"/>
              </w:rPr>
              <w:t>(61,393)</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(1,846)</w:t>
            </w:r>
          </w:p>
        </w:tc>
        <w:tc>
          <w:tcPr>
            <w:tcW w:w="16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(115,343)</w:t>
            </w:r>
          </w:p>
        </w:tc>
        <w:tc>
          <w:tcPr>
            <w:tcW w:w="15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695,282</w:t>
            </w:r>
          </w:p>
        </w:tc>
        <w:tc>
          <w:tcPr>
            <w:tcW w:w="1120" w:type="dxa"/>
            <w:vAlign w:val="bottom"/>
          </w:tcPr>
          <w:p>
            <w:pPr>
              <w:spacing w:after="0"/>
              <w:rPr>
                <w:sz w:val="18"/>
                <w:szCs w:val="18"/>
                <w:color w:val="auto"/>
              </w:rPr>
            </w:pPr>
          </w:p>
        </w:tc>
      </w:tr>
      <w:tr>
        <w:trPr>
          <w:trHeight w:val="209"/>
        </w:trPr>
        <w:tc>
          <w:tcPr>
            <w:tcW w:w="820" w:type="dxa"/>
            <w:vAlign w:val="bottom"/>
            <w:tcBorders>
              <w:left w:val="single" w:sz="8" w:color="2D53A6"/>
              <w:bottom w:val="single" w:sz="8" w:color="2D53A6"/>
              <w:right w:val="single" w:sz="8" w:color="2D53A6"/>
            </w:tcBorders>
            <w:shd w:val="clear" w:color="auto" w:fill="E6E6E6"/>
          </w:tcPr>
          <w:p>
            <w:pPr>
              <w:ind w:left="240"/>
              <w:spacing w:after="0"/>
              <w:rPr>
                <w:sz w:val="20"/>
                <w:szCs w:val="20"/>
                <w:color w:val="auto"/>
              </w:rPr>
            </w:pPr>
            <w:r>
              <w:rPr>
                <w:rFonts w:ascii="Arial" w:cs="Arial" w:eastAsia="Arial" w:hAnsi="Arial"/>
                <w:sz w:val="18"/>
                <w:szCs w:val="18"/>
                <w:color w:val="auto"/>
              </w:rPr>
              <w:t>2021</w:t>
            </w:r>
          </w:p>
        </w:tc>
        <w:tc>
          <w:tcPr>
            <w:tcW w:w="15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507,725</w:t>
            </w:r>
          </w:p>
        </w:tc>
        <w:tc>
          <w:tcPr>
            <w:tcW w:w="16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(695,566)</w:t>
            </w:r>
          </w:p>
        </w:tc>
        <w:tc>
          <w:tcPr>
            <w:tcW w:w="15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35,734</w:t>
            </w:r>
          </w:p>
        </w:tc>
        <w:tc>
          <w:tcPr>
            <w:tcW w:w="16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(152,107)</w:t>
            </w:r>
          </w:p>
        </w:tc>
        <w:tc>
          <w:tcPr>
            <w:tcW w:w="1120" w:type="dxa"/>
            <w:vAlign w:val="bottom"/>
          </w:tcPr>
          <w:p>
            <w:pPr>
              <w:spacing w:after="0"/>
              <w:rPr>
                <w:sz w:val="18"/>
                <w:szCs w:val="18"/>
                <w:color w:val="auto"/>
              </w:rPr>
            </w:pPr>
          </w:p>
        </w:tc>
      </w:tr>
      <w:tr>
        <w:trPr>
          <w:trHeight w:val="210"/>
        </w:trPr>
        <w:tc>
          <w:tcPr>
            <w:tcW w:w="820" w:type="dxa"/>
            <w:vAlign w:val="bottom"/>
            <w:tcBorders>
              <w:left w:val="single" w:sz="8" w:color="2D53A6"/>
              <w:bottom w:val="single" w:sz="8" w:color="2D53A6"/>
              <w:right w:val="single" w:sz="8" w:color="2D53A6"/>
            </w:tcBorders>
          </w:tcPr>
          <w:p>
            <w:pPr>
              <w:ind w:left="240"/>
              <w:spacing w:after="0"/>
              <w:rPr>
                <w:sz w:val="20"/>
                <w:szCs w:val="20"/>
                <w:color w:val="auto"/>
              </w:rPr>
            </w:pPr>
            <w:r>
              <w:rPr>
                <w:rFonts w:ascii="Arial" w:cs="Arial" w:eastAsia="Arial" w:hAnsi="Arial"/>
                <w:sz w:val="18"/>
                <w:szCs w:val="18"/>
                <w:color w:val="auto"/>
              </w:rPr>
              <w:t>2020</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1,653,794</w:t>
            </w:r>
          </w:p>
        </w:tc>
        <w:tc>
          <w:tcPr>
            <w:tcW w:w="16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967,413</w:t>
            </w:r>
          </w:p>
        </w:tc>
        <w:tc>
          <w:tcPr>
            <w:tcW w:w="15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2"/>
              </w:rPr>
              <w:t>(96,793)</w:t>
            </w:r>
          </w:p>
        </w:tc>
        <w:tc>
          <w:tcPr>
            <w:tcW w:w="16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2"/>
              </w:rPr>
              <w:t>(32,097)</w:t>
            </w:r>
          </w:p>
        </w:tc>
        <w:tc>
          <w:tcPr>
            <w:tcW w:w="15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2,492,317</w:t>
            </w:r>
          </w:p>
        </w:tc>
        <w:tc>
          <w:tcPr>
            <w:tcW w:w="1120" w:type="dxa"/>
            <w:vAlign w:val="bottom"/>
          </w:tcPr>
          <w:p>
            <w:pPr>
              <w:spacing w:after="0"/>
              <w:rPr>
                <w:sz w:val="18"/>
                <w:szCs w:val="18"/>
                <w:color w:val="auto"/>
              </w:rPr>
            </w:pPr>
          </w:p>
        </w:tc>
      </w:tr>
      <w:tr>
        <w:trPr>
          <w:trHeight w:val="425"/>
        </w:trPr>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right"/>
              <w:ind w:right="1190"/>
              <w:spacing w:after="0"/>
              <w:rPr>
                <w:sz w:val="20"/>
                <w:szCs w:val="20"/>
                <w:color w:val="auto"/>
              </w:rPr>
            </w:pPr>
            <w:r>
              <w:rPr>
                <w:rFonts w:ascii="Arial" w:cs="Arial" w:eastAsia="Arial" w:hAnsi="Arial"/>
                <w:sz w:val="18"/>
                <w:szCs w:val="18"/>
                <w:color w:val="auto"/>
                <w:w w:val="99"/>
              </w:rPr>
              <w:t>40</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Major Elements of Relationship of Pay versus Performance</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shareholders. The most important financial performance measures used by Cohu to link executive compensation actually paid to the NEOs for the most recently completed fiscal year are:</w:t>
      </w:r>
    </w:p>
    <w:p>
      <w:pPr>
        <w:spacing w:after="0" w:line="18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Total Shareholder Return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These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 rather than actual company or executive performance in any given year. We are providing the following required descriptions of the relationships between information presented in the Pay versus Performance table.</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selected our Comparative Stock Performance Graph custom Peer Group Index for the Cumulative TSR metric as it is comprised from companies within our industry and we believe reflects an appropriate comparison group for executive compensation. Cohu’s Cumulative TSR (calculated assuming a $100 investment in Cohu’s common stock, on December 29, 2019) has equaled or outperformed our peer group for the three years being compared. There does not appear to be a direct correlation between the performance of Cumulative TSR to CAP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117475</wp:posOffset>
            </wp:positionV>
            <wp:extent cx="4183380" cy="3351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8338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Cohu does not use Net Income in determining compensation paid to any of our CEO and other NEOs. This data is reported to comply with the requirements of Item 402(v) of Regulation 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380365</wp:posOffset>
            </wp:positionV>
            <wp:extent cx="4114800" cy="25374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41148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Cohu uses its 3-year Relative TSR percentile ranking compared to a defined Peer Group to determine the number of shares earned under the Long-Term Incentive Plan as described above in the Performance Stock Unit Awards section of the CD&amp;A. We selected this metric as we feel it has the most direct impact on compensation levels earned by our CEO and other NEOs. Cohu’s TSR Percentile Ranking was in the top third of our peer group for two of the three years being compared. While there is a general directional relationship of CAP to the TSR Percentile Ranking, the amplitude of CAP does not appear to be have a direct correlation to the level of TSR Percentile Ranking for the reasons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120650</wp:posOffset>
            </wp:positionV>
            <wp:extent cx="4114800" cy="25374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148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Tabular List of Financial Performance Measures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use three financial performance measures to determine the compensation of our CEO and all other NEOs as discussed in the CD&amp;A above.</w:t>
      </w:r>
    </w:p>
    <w:p>
      <w:pPr>
        <w:spacing w:after="0" w:line="3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Non-GAAP Pretax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Four-year Rolling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Total Shareholder Return (RTSR) of Cohu stock versus the Russel 2000 Index</w:t>
      </w:r>
    </w:p>
    <w:p>
      <w:pPr>
        <w:spacing w:after="0" w:line="21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2022 CEO Pay Ratio</w:t>
      </w:r>
    </w:p>
    <w:p>
      <w:pPr>
        <w:spacing w:after="0" w:line="219" w:lineRule="exact"/>
        <w:rPr>
          <w:sz w:val="20"/>
          <w:szCs w:val="20"/>
          <w:color w:val="auto"/>
        </w:rPr>
      </w:pPr>
    </w:p>
    <w:p>
      <w:pPr>
        <w:jc w:val="both"/>
        <w:ind w:right="80"/>
        <w:spacing w:after="0" w:line="220" w:lineRule="exact"/>
        <w:rPr>
          <w:sz w:val="20"/>
          <w:szCs w:val="20"/>
          <w:color w:val="auto"/>
        </w:rPr>
      </w:pPr>
      <w:r>
        <w:rPr>
          <w:rFonts w:ascii="Arial" w:cs="Arial" w:eastAsia="Arial" w:hAnsi="Arial"/>
          <w:sz w:val="18"/>
          <w:szCs w:val="18"/>
          <w:color w:val="auto"/>
        </w:rPr>
        <w:t>As required by Section 953(b) of the Dodd-Frank Wall Street Reform and Consumer Protection Act, and Item 401(u) of Regulation S-K, we are providing the following information about the relationship of the annual total compensation of our employees and the annual total compensation of Dr. Luis M</w:t>
      </w:r>
      <w:r>
        <w:rPr>
          <w:rFonts w:ascii="MS PGothic" w:cs="MS PGothic" w:eastAsia="MS PGothic" w:hAnsi="MS PGothic"/>
          <w:sz w:val="18"/>
          <w:szCs w:val="18"/>
          <w:color w:val="auto"/>
        </w:rPr>
        <w:t>✔</w:t>
      </w:r>
      <w:r>
        <w:rPr>
          <w:rFonts w:ascii="Arial" w:cs="Arial" w:eastAsia="Arial" w:hAnsi="Arial"/>
          <w:sz w:val="18"/>
          <w:szCs w:val="18"/>
          <w:color w:val="auto"/>
        </w:rPr>
        <w:t>ller, our CEO.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2022, our last completed fiscal year:</w:t>
      </w:r>
    </w:p>
    <w:p>
      <w:pPr>
        <w:spacing w:after="0" w:line="2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$27,198; and</w:t>
      </w:r>
    </w:p>
    <w:p>
      <w:pPr>
        <w:spacing w:after="0" w:line="9"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presented elsewhere in this Proxy Statement, was $5,315,286.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779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395" w:lineRule="exact"/>
        <w:rPr>
          <w:sz w:val="20"/>
          <w:szCs w:val="20"/>
          <w:color w:val="auto"/>
        </w:rPr>
      </w:pPr>
    </w:p>
    <w:p>
      <w:pPr>
        <w:jc w:val="center"/>
        <w:spacing w:after="0" w:line="260" w:lineRule="exact"/>
        <w:rPr>
          <w:sz w:val="20"/>
          <w:szCs w:val="20"/>
          <w:color w:val="auto"/>
        </w:rPr>
      </w:pPr>
      <w:r>
        <w:rPr>
          <w:rFonts w:ascii="Arial" w:cs="Arial" w:eastAsia="Arial" w:hAnsi="Arial"/>
          <w:sz w:val="19"/>
          <w:szCs w:val="19"/>
          <w:b w:val="1"/>
          <w:bCs w:val="1"/>
          <w:color w:val="FFFFFF"/>
        </w:rPr>
        <w:t>Based on this information, for 2022 the ratio of the annual total compensation of Dr. M</w:t>
      </w:r>
      <w:r>
        <w:rPr>
          <w:rFonts w:ascii="MS PGothic" w:cs="MS PGothic" w:eastAsia="MS PGothic" w:hAnsi="MS PGothic"/>
          <w:sz w:val="19"/>
          <w:szCs w:val="19"/>
          <w:color w:val="FFFFFF"/>
        </w:rPr>
        <w:t>✔</w:t>
      </w:r>
      <w:r>
        <w:rPr>
          <w:rFonts w:ascii="Arial" w:cs="Arial" w:eastAsia="Arial" w:hAnsi="Arial"/>
          <w:sz w:val="19"/>
          <w:szCs w:val="19"/>
          <w:b w:val="1"/>
          <w:bCs w:val="1"/>
          <w:color w:val="FFFFFF"/>
        </w:rPr>
        <w:t>ller, our CEO, to the median of the annual total compensation of all our employees was 195 to 1.</w:t>
      </w:r>
    </w:p>
    <w:p>
      <w:pPr>
        <w:spacing w:after="0" w:line="200" w:lineRule="exact"/>
        <w:rPr>
          <w:sz w:val="20"/>
          <w:szCs w:val="20"/>
          <w:color w:val="auto"/>
        </w:rPr>
      </w:pPr>
    </w:p>
    <w:p>
      <w:pPr>
        <w:spacing w:after="0" w:line="23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identify the median compensated employee in 2022, we determined that, as of November 1, 2022, our employee population consisted of approximately 3,140 individuals globally, with 20% of these individuals located in the Americas, 13% located in Europe (primarily in Germany and Switzerland), and 67% located in Asia (primarily in Malaysia and the Philippines).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selected November 1, 2022, which is within the last three months of 2022,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2022 compensation (actual compensation paid January through October 2022 plus estimated compensation for November through December 2022)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Using this methodology, we determined that the “median employee” was a full-time, salaried employee located in Malaysia. The median employee’s actual annual total compensation for the 12-month period ending December 31, 2022, was $27,198. This amount includes all wages, overtime pay, statutory and variable incentive payments, allowances and localized personal benefits converted to U.S. Dollars. The annual total compensation level for our median employee has decreased materially from 2021 due to an increase in the number of employees in Asia and the decrease in the number of employees in Europe.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2022 Grants of Plan-Based Awards</w:t>
      </w: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table shows all plan-based awards granted to our NEOs during fiscal 2022, which ended on December 31, 2022. The stock awards identified in the table below are also reported in the “Outstanding Equity Awards at December 31, 2022” table included herein. Cohu did not grant any stock options to NEOs under the 2005 Plan in fiscal 2022.</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5660" w:type="dxa"/>
            <w:vAlign w:val="bottom"/>
            <w:gridSpan w:val="3"/>
          </w:tcPr>
          <w:p>
            <w:pPr>
              <w:jc w:val="center"/>
              <w:ind w:left="2150"/>
              <w:spacing w:after="0"/>
              <w:rPr>
                <w:sz w:val="20"/>
                <w:szCs w:val="20"/>
                <w:color w:val="auto"/>
              </w:rPr>
            </w:pPr>
            <w:r>
              <w:rPr>
                <w:rFonts w:ascii="Arial" w:cs="Arial" w:eastAsia="Arial" w:hAnsi="Arial"/>
                <w:sz w:val="18"/>
                <w:szCs w:val="18"/>
                <w:b w:val="1"/>
                <w:bCs w:val="1"/>
                <w:color w:val="FFFFFF"/>
                <w:w w:val="91"/>
              </w:rPr>
              <w:t>Estimated Future Payouts Under</w:t>
            </w:r>
          </w:p>
        </w:tc>
        <w:tc>
          <w:tcPr>
            <w:tcW w:w="0" w:type="dxa"/>
            <w:vAlign w:val="bottom"/>
          </w:tcPr>
          <w:p>
            <w:pPr>
              <w:spacing w:after="0"/>
              <w:rPr>
                <w:sz w:val="1"/>
                <w:szCs w:val="1"/>
                <w:color w:val="auto"/>
              </w:rPr>
            </w:pPr>
          </w:p>
        </w:tc>
      </w:tr>
      <w:tr>
        <w:trPr>
          <w:trHeight w:val="34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FFFFFF"/>
              </w:rPr>
              <w:t>Named</w:t>
            </w:r>
          </w:p>
        </w:tc>
        <w:tc>
          <w:tcPr>
            <w:tcW w:w="5660" w:type="dxa"/>
            <w:vAlign w:val="bottom"/>
            <w:gridSpan w:val="3"/>
          </w:tcPr>
          <w:p>
            <w:pPr>
              <w:jc w:val="center"/>
              <w:ind w:left="2150"/>
              <w:spacing w:after="0"/>
              <w:rPr>
                <w:sz w:val="20"/>
                <w:szCs w:val="20"/>
                <w:color w:val="auto"/>
              </w:rPr>
            </w:pPr>
            <w:r>
              <w:rPr>
                <w:rFonts w:ascii="Arial" w:cs="Arial" w:eastAsia="Arial" w:hAnsi="Arial"/>
                <w:sz w:val="18"/>
                <w:szCs w:val="18"/>
                <w:b w:val="1"/>
                <w:bCs w:val="1"/>
                <w:color w:val="FFFFFF"/>
                <w:w w:val="90"/>
              </w:rPr>
              <w:t xml:space="preserve">Non-Equity Incentive Plan Awards </w:t>
            </w:r>
            <w:r>
              <w:rPr>
                <w:rFonts w:ascii="Arial" w:cs="Arial" w:eastAsia="Arial" w:hAnsi="Arial"/>
                <w:sz w:val="29"/>
                <w:szCs w:val="29"/>
                <w:b w:val="1"/>
                <w:bCs w:val="1"/>
                <w:color w:val="FFFFFF"/>
                <w:w w:val="90"/>
                <w:vertAlign w:val="superscript"/>
              </w:rPr>
              <w:t>(1)</w:t>
            </w:r>
          </w:p>
        </w:tc>
        <w:tc>
          <w:tcPr>
            <w:tcW w:w="0" w:type="dxa"/>
            <w:vAlign w:val="bottom"/>
          </w:tcPr>
          <w:p>
            <w:pPr>
              <w:spacing w:after="0"/>
              <w:rPr>
                <w:sz w:val="1"/>
                <w:szCs w:val="1"/>
                <w:color w:val="auto"/>
              </w:rPr>
            </w:pPr>
          </w:p>
        </w:tc>
      </w:tr>
      <w:tr>
        <w:trPr>
          <w:trHeight w:val="36"/>
        </w:trPr>
        <w:tc>
          <w:tcPr>
            <w:tcW w:w="1280" w:type="dxa"/>
            <w:vAlign w:val="bottom"/>
            <w:vMerge w:val="continue"/>
          </w:tcPr>
          <w:p>
            <w:pPr>
              <w:spacing w:after="0"/>
              <w:rPr>
                <w:sz w:val="3"/>
                <w:szCs w:val="3"/>
                <w:color w:val="auto"/>
              </w:rPr>
            </w:pPr>
          </w:p>
        </w:tc>
        <w:tc>
          <w:tcPr>
            <w:tcW w:w="3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FFFFFF"/>
              </w:rPr>
              <w:t>Executive</w:t>
            </w:r>
          </w:p>
        </w:tc>
        <w:tc>
          <w:tcPr>
            <w:tcW w:w="3940" w:type="dxa"/>
            <w:vAlign w:val="bottom"/>
          </w:tcPr>
          <w:p>
            <w:pPr>
              <w:ind w:left="540"/>
              <w:spacing w:after="0"/>
              <w:rPr>
                <w:sz w:val="20"/>
                <w:szCs w:val="20"/>
                <w:color w:val="auto"/>
              </w:rPr>
            </w:pPr>
            <w:r>
              <w:rPr>
                <w:rFonts w:ascii="Arial" w:cs="Arial" w:eastAsia="Arial" w:hAnsi="Arial"/>
                <w:sz w:val="18"/>
                <w:szCs w:val="18"/>
                <w:b w:val="1"/>
                <w:bCs w:val="1"/>
                <w:color w:val="FFFFFF"/>
              </w:rPr>
              <w:t>Award Type</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0"/>
                <w:szCs w:val="20"/>
                <w:color w:val="auto"/>
              </w:rPr>
            </w:pPr>
            <w:r>
              <w:rPr>
                <w:rFonts w:ascii="Arial" w:cs="Arial" w:eastAsia="Arial" w:hAnsi="Arial"/>
                <w:sz w:val="18"/>
                <w:szCs w:val="18"/>
                <w:b w:val="1"/>
                <w:bCs w:val="1"/>
                <w:color w:val="FFFFFF"/>
              </w:rPr>
              <w:t>Officer</w:t>
            </w:r>
          </w:p>
        </w:tc>
        <w:tc>
          <w:tcPr>
            <w:tcW w:w="3940" w:type="dxa"/>
            <w:vAlign w:val="bottom"/>
          </w:tcPr>
          <w:p>
            <w:pPr>
              <w:jc w:val="center"/>
              <w:ind w:left="2990"/>
              <w:spacing w:after="0"/>
              <w:rPr>
                <w:sz w:val="20"/>
                <w:szCs w:val="20"/>
                <w:color w:val="auto"/>
              </w:rPr>
            </w:pPr>
            <w:r>
              <w:rPr>
                <w:rFonts w:ascii="Arial" w:cs="Arial" w:eastAsia="Arial" w:hAnsi="Arial"/>
                <w:sz w:val="18"/>
                <w:szCs w:val="18"/>
                <w:b w:val="1"/>
                <w:bCs w:val="1"/>
                <w:color w:val="FFFFFF"/>
                <w:w w:val="90"/>
              </w:rPr>
              <w:t>Thres-</w:t>
            </w: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0"/>
              </w:rPr>
              <w:t>Target</w:t>
            </w:r>
          </w:p>
        </w:tc>
        <w:tc>
          <w:tcPr>
            <w:tcW w:w="86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FFFFFF"/>
                <w:w w:val="99"/>
              </w:rPr>
              <w:t>Maxi-</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3940" w:type="dxa"/>
            <w:vAlign w:val="bottom"/>
            <w:vMerge w:val="restart"/>
          </w:tcPr>
          <w:p>
            <w:pPr>
              <w:ind w:left="2160"/>
              <w:spacing w:after="0"/>
              <w:rPr>
                <w:sz w:val="20"/>
                <w:szCs w:val="20"/>
                <w:color w:val="auto"/>
              </w:rPr>
            </w:pPr>
            <w:r>
              <w:rPr>
                <w:rFonts w:ascii="Arial" w:cs="Arial" w:eastAsia="Arial" w:hAnsi="Arial"/>
                <w:sz w:val="18"/>
                <w:szCs w:val="18"/>
                <w:b w:val="1"/>
                <w:bCs w:val="1"/>
                <w:color w:val="FFFFFF"/>
              </w:rPr>
              <w:t>Grant Date   hold</w:t>
            </w:r>
          </w:p>
        </w:tc>
        <w:tc>
          <w:tcPr>
            <w:tcW w:w="8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3940" w:type="dxa"/>
            <w:vAlign w:val="bottom"/>
            <w:vMerge w:val="continue"/>
          </w:tcPr>
          <w:p>
            <w:pPr>
              <w:spacing w:after="0"/>
              <w:rPr>
                <w:sz w:val="9"/>
                <w:szCs w:val="9"/>
                <w:color w:val="auto"/>
              </w:rPr>
            </w:pPr>
          </w:p>
        </w:tc>
        <w:tc>
          <w:tcPr>
            <w:tcW w:w="8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FFFFFF"/>
              </w:rPr>
              <w:t>($)</w:t>
            </w:r>
          </w:p>
        </w:tc>
        <w:tc>
          <w:tcPr>
            <w:tcW w:w="86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FFFFFF"/>
                <w:w w:val="94"/>
              </w:rPr>
              <w:t>mum ($)</w:t>
            </w: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3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FFFFFF"/>
              </w:rPr>
              <w:t>($)</w:t>
            </w:r>
          </w:p>
        </w:tc>
        <w:tc>
          <w:tcPr>
            <w:tcW w:w="8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39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234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FFFFFF"/>
                <w:w w:val="90"/>
              </w:rPr>
              <w:t>Estimated Future Payouts</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280" w:type="dxa"/>
            <w:vAlign w:val="bottom"/>
            <w:gridSpan w:val="3"/>
            <w:vMerge w:val="continue"/>
          </w:tcPr>
          <w:p>
            <w:pPr>
              <w:spacing w:after="0"/>
              <w:rPr>
                <w:sz w:val="15"/>
                <w:szCs w:val="15"/>
                <w:color w:val="auto"/>
              </w:rPr>
            </w:pPr>
          </w:p>
        </w:tc>
        <w:tc>
          <w:tcPr>
            <w:tcW w:w="860" w:type="dxa"/>
            <w:vAlign w:val="bottom"/>
          </w:tcPr>
          <w:p>
            <w:pPr>
              <w:jc w:val="center"/>
              <w:spacing w:after="0" w:line="181" w:lineRule="exact"/>
              <w:rPr>
                <w:sz w:val="20"/>
                <w:szCs w:val="20"/>
                <w:color w:val="auto"/>
              </w:rPr>
            </w:pPr>
            <w:r>
              <w:rPr>
                <w:rFonts w:ascii="Arial" w:cs="Arial" w:eastAsia="Arial" w:hAnsi="Arial"/>
                <w:sz w:val="18"/>
                <w:szCs w:val="18"/>
                <w:b w:val="1"/>
                <w:bCs w:val="1"/>
                <w:color w:val="FFFFFF"/>
                <w:w w:val="89"/>
              </w:rPr>
              <w:t>Stock</w:t>
            </w:r>
          </w:p>
        </w:tc>
        <w:tc>
          <w:tcPr>
            <w:tcW w:w="820" w:type="dxa"/>
            <w:vAlign w:val="bottom"/>
          </w:tcPr>
          <w:p>
            <w:pPr>
              <w:jc w:val="center"/>
              <w:spacing w:after="0" w:line="181" w:lineRule="exact"/>
              <w:rPr>
                <w:sz w:val="20"/>
                <w:szCs w:val="20"/>
                <w:color w:val="auto"/>
              </w:rPr>
            </w:pPr>
            <w:r>
              <w:rPr>
                <w:rFonts w:ascii="Arial" w:cs="Arial" w:eastAsia="Arial" w:hAnsi="Arial"/>
                <w:sz w:val="18"/>
                <w:szCs w:val="18"/>
                <w:b w:val="1"/>
                <w:bCs w:val="1"/>
                <w:color w:val="FFFFFF"/>
                <w:w w:val="99"/>
              </w:rPr>
              <w:t>Grant</w:t>
            </w:r>
          </w:p>
        </w:tc>
        <w:tc>
          <w:tcPr>
            <w:tcW w:w="0" w:type="dxa"/>
            <w:vAlign w:val="bottom"/>
          </w:tcPr>
          <w:p>
            <w:pPr>
              <w:spacing w:after="0"/>
              <w:rPr>
                <w:sz w:val="1"/>
                <w:szCs w:val="1"/>
                <w:color w:val="auto"/>
              </w:rPr>
            </w:pPr>
          </w:p>
        </w:tc>
      </w:tr>
      <w:tr>
        <w:trPr>
          <w:trHeight w:val="216"/>
        </w:trPr>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FFFFFF"/>
                <w:w w:val="92"/>
              </w:rPr>
              <w:t>Under Equity Incentive Plan</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FFFFFF"/>
                <w:w w:val="90"/>
              </w:rPr>
              <w:t>Awards: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FFFFFF"/>
                <w:w w:val="93"/>
              </w:rPr>
              <w:t>Date Fair</w:t>
            </w: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960" w:type="dxa"/>
            <w:vAlign w:val="bottom"/>
          </w:tcPr>
          <w:p>
            <w:pPr>
              <w:jc w:val="center"/>
              <w:spacing w:after="0" w:line="252" w:lineRule="exact"/>
              <w:rPr>
                <w:sz w:val="20"/>
                <w:szCs w:val="20"/>
                <w:color w:val="auto"/>
              </w:rPr>
            </w:pPr>
            <w:r>
              <w:rPr>
                <w:rFonts w:ascii="Arial" w:cs="Arial" w:eastAsia="Arial" w:hAnsi="Arial"/>
                <w:sz w:val="18"/>
                <w:szCs w:val="18"/>
                <w:b w:val="1"/>
                <w:bCs w:val="1"/>
                <w:color w:val="FFFFFF"/>
                <w:w w:val="85"/>
              </w:rPr>
              <w:t xml:space="preserve">Awards </w:t>
            </w:r>
            <w:r>
              <w:rPr>
                <w:rFonts w:ascii="Arial" w:cs="Arial" w:eastAsia="Arial" w:hAnsi="Arial"/>
                <w:sz w:val="29"/>
                <w:szCs w:val="29"/>
                <w:b w:val="1"/>
                <w:bCs w:val="1"/>
                <w:color w:val="FFFFFF"/>
                <w:w w:val="85"/>
                <w:vertAlign w:val="superscript"/>
              </w:rPr>
              <w:t>(2)</w:t>
            </w:r>
          </w:p>
        </w:tc>
        <w:tc>
          <w:tcPr>
            <w:tcW w:w="7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FFFFFF"/>
                <w:w w:val="94"/>
              </w:rPr>
              <w:t>Number</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FFFFFF"/>
                <w:w w:val="91"/>
              </w:rPr>
              <w:t>Value of</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FFFFFF"/>
                <w:w w:val="93"/>
              </w:rPr>
              <w:t>of</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FFFFFF"/>
                <w:w w:val="88"/>
              </w:rPr>
              <w:t>Stock and</w:t>
            </w:r>
          </w:p>
        </w:tc>
        <w:tc>
          <w:tcPr>
            <w:tcW w:w="0" w:type="dxa"/>
            <w:vAlign w:val="bottom"/>
          </w:tcPr>
          <w:p>
            <w:pPr>
              <w:spacing w:after="0"/>
              <w:rPr>
                <w:sz w:val="1"/>
                <w:szCs w:val="1"/>
                <w:color w:val="auto"/>
              </w:rPr>
            </w:pPr>
          </w:p>
        </w:tc>
      </w:tr>
      <w:tr>
        <w:trPr>
          <w:trHeight w:val="234"/>
        </w:trPr>
        <w:tc>
          <w:tcPr>
            <w:tcW w:w="620" w:type="dxa"/>
            <w:vAlign w:val="bottom"/>
          </w:tcPr>
          <w:p>
            <w:pPr>
              <w:jc w:val="center"/>
              <w:spacing w:after="0"/>
              <w:rPr>
                <w:sz w:val="20"/>
                <w:szCs w:val="20"/>
                <w:color w:val="auto"/>
              </w:rPr>
            </w:pPr>
            <w:r>
              <w:rPr>
                <w:rFonts w:ascii="Arial" w:cs="Arial" w:eastAsia="Arial" w:hAnsi="Arial"/>
                <w:sz w:val="18"/>
                <w:szCs w:val="18"/>
                <w:b w:val="1"/>
                <w:bCs w:val="1"/>
                <w:color w:val="FFFFFF"/>
                <w:w w:val="90"/>
              </w:rPr>
              <w:t>Thres-</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0"/>
              </w:rPr>
              <w:t>Target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FFFFFF"/>
                <w:w w:val="99"/>
              </w:rPr>
              <w:t>Maxi-</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FFFFFF"/>
                <w:w w:val="93"/>
              </w:rPr>
              <w:t>Option</w:t>
            </w:r>
          </w:p>
        </w:tc>
        <w:tc>
          <w:tcPr>
            <w:tcW w:w="0" w:type="dxa"/>
            <w:vAlign w:val="bottom"/>
          </w:tcPr>
          <w:p>
            <w:pPr>
              <w:spacing w:after="0"/>
              <w:rPr>
                <w:sz w:val="1"/>
                <w:szCs w:val="1"/>
                <w:color w:val="auto"/>
              </w:rPr>
            </w:pPr>
          </w:p>
        </w:tc>
      </w:tr>
      <w:tr>
        <w:trPr>
          <w:trHeight w:val="164"/>
        </w:trPr>
        <w:tc>
          <w:tcPr>
            <w:tcW w:w="620" w:type="dxa"/>
            <w:vAlign w:val="bottom"/>
          </w:tcPr>
          <w:p>
            <w:pPr>
              <w:jc w:val="center"/>
              <w:spacing w:after="0" w:line="164" w:lineRule="exact"/>
              <w:rPr>
                <w:sz w:val="20"/>
                <w:szCs w:val="20"/>
                <w:color w:val="auto"/>
              </w:rPr>
            </w:pPr>
            <w:r>
              <w:rPr>
                <w:rFonts w:ascii="Arial" w:cs="Arial" w:eastAsia="Arial" w:hAnsi="Arial"/>
                <w:sz w:val="18"/>
                <w:szCs w:val="18"/>
                <w:b w:val="1"/>
                <w:bCs w:val="1"/>
                <w:color w:val="FFFFFF"/>
                <w:w w:val="89"/>
              </w:rPr>
              <w:t>hold</w:t>
            </w:r>
          </w:p>
        </w:tc>
        <w:tc>
          <w:tcPr>
            <w:tcW w:w="960" w:type="dxa"/>
            <w:vAlign w:val="bottom"/>
            <w:vMerge w:val="continue"/>
          </w:tcPr>
          <w:p>
            <w:pPr>
              <w:spacing w:after="0"/>
              <w:rPr>
                <w:sz w:val="14"/>
                <w:szCs w:val="14"/>
                <w:color w:val="auto"/>
              </w:rPr>
            </w:pPr>
          </w:p>
        </w:tc>
        <w:tc>
          <w:tcPr>
            <w:tcW w:w="700" w:type="dxa"/>
            <w:vAlign w:val="bottom"/>
          </w:tcPr>
          <w:p>
            <w:pPr>
              <w:jc w:val="center"/>
              <w:spacing w:after="0" w:line="164" w:lineRule="exact"/>
              <w:rPr>
                <w:sz w:val="20"/>
                <w:szCs w:val="20"/>
                <w:color w:val="auto"/>
              </w:rPr>
            </w:pPr>
            <w:r>
              <w:rPr>
                <w:rFonts w:ascii="Arial" w:cs="Arial" w:eastAsia="Arial" w:hAnsi="Arial"/>
                <w:sz w:val="18"/>
                <w:szCs w:val="18"/>
                <w:b w:val="1"/>
                <w:bCs w:val="1"/>
                <w:color w:val="FFFFFF"/>
                <w:w w:val="92"/>
              </w:rPr>
              <w:t>mum</w:t>
            </w:r>
          </w:p>
        </w:tc>
        <w:tc>
          <w:tcPr>
            <w:tcW w:w="860" w:type="dxa"/>
            <w:vAlign w:val="bottom"/>
          </w:tcPr>
          <w:p>
            <w:pPr>
              <w:jc w:val="center"/>
              <w:spacing w:after="0" w:line="164" w:lineRule="exact"/>
              <w:rPr>
                <w:sz w:val="20"/>
                <w:szCs w:val="20"/>
                <w:color w:val="auto"/>
              </w:rPr>
            </w:pPr>
            <w:r>
              <w:rPr>
                <w:rFonts w:ascii="Arial" w:cs="Arial" w:eastAsia="Arial" w:hAnsi="Arial"/>
                <w:sz w:val="18"/>
                <w:szCs w:val="18"/>
                <w:b w:val="1"/>
                <w:bCs w:val="1"/>
                <w:color w:val="FFFFFF"/>
                <w:w w:val="87"/>
              </w:rPr>
              <w:t>of Stock</w:t>
            </w:r>
          </w:p>
        </w:tc>
        <w:tc>
          <w:tcPr>
            <w:tcW w:w="820" w:type="dxa"/>
            <w:vAlign w:val="bottom"/>
          </w:tcPr>
          <w:p>
            <w:pPr>
              <w:jc w:val="center"/>
              <w:spacing w:after="0" w:line="164" w:lineRule="exact"/>
              <w:rPr>
                <w:sz w:val="20"/>
                <w:szCs w:val="20"/>
                <w:color w:val="auto"/>
              </w:rPr>
            </w:pPr>
            <w:r>
              <w:rPr>
                <w:rFonts w:ascii="Arial" w:cs="Arial" w:eastAsia="Arial" w:hAnsi="Arial"/>
                <w:sz w:val="18"/>
                <w:szCs w:val="18"/>
                <w:b w:val="1"/>
                <w:bCs w:val="1"/>
                <w:color w:val="FFFFFF"/>
                <w:w w:val="92"/>
              </w:rPr>
              <w:t>Awards</w:t>
            </w:r>
          </w:p>
        </w:tc>
        <w:tc>
          <w:tcPr>
            <w:tcW w:w="0" w:type="dxa"/>
            <w:vAlign w:val="bottom"/>
          </w:tcPr>
          <w:p>
            <w:pPr>
              <w:spacing w:after="0"/>
              <w:rPr>
                <w:sz w:val="1"/>
                <w:szCs w:val="1"/>
                <w:color w:val="auto"/>
              </w:rPr>
            </w:pPr>
          </w:p>
        </w:tc>
      </w:tr>
      <w:tr>
        <w:trPr>
          <w:trHeight w:val="268"/>
        </w:trPr>
        <w:tc>
          <w:tcPr>
            <w:tcW w:w="62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FFFFFF"/>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FFFFFF"/>
                <w:w w:val="91"/>
              </w:rPr>
              <w:t>or Units</w:t>
            </w:r>
          </w:p>
        </w:tc>
        <w:tc>
          <w:tcPr>
            <w:tcW w:w="820" w:type="dxa"/>
            <w:vAlign w:val="bottom"/>
          </w:tcPr>
          <w:p>
            <w:pPr>
              <w:jc w:val="center"/>
              <w:spacing w:after="0" w:line="269" w:lineRule="exact"/>
              <w:rPr>
                <w:sz w:val="20"/>
                <w:szCs w:val="20"/>
                <w:color w:val="auto"/>
              </w:rPr>
            </w:pPr>
            <w:r>
              <w:rPr>
                <w:rFonts w:ascii="Arial" w:cs="Arial" w:eastAsia="Arial" w:hAnsi="Arial"/>
                <w:sz w:val="18"/>
                <w:szCs w:val="18"/>
                <w:b w:val="1"/>
                <w:bCs w:val="1"/>
                <w:color w:val="FFFFFF"/>
                <w:w w:val="86"/>
              </w:rPr>
              <w:t xml:space="preserve">($) </w:t>
            </w:r>
            <w:r>
              <w:rPr>
                <w:rFonts w:ascii="Arial" w:cs="Arial" w:eastAsia="Arial" w:hAnsi="Arial"/>
                <w:sz w:val="29"/>
                <w:szCs w:val="29"/>
                <w:b w:val="1"/>
                <w:bCs w:val="1"/>
                <w:color w:val="FFFFFF"/>
                <w:w w:val="86"/>
                <w:vertAlign w:val="superscript"/>
              </w:rPr>
              <w:t>(4)</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center"/>
              <w:spacing w:after="0" w:line="216" w:lineRule="exact"/>
              <w:rPr>
                <w:sz w:val="20"/>
                <w:szCs w:val="20"/>
                <w:color w:val="auto"/>
              </w:rPr>
            </w:pPr>
            <w:r>
              <w:rPr>
                <w:rFonts w:ascii="Arial" w:cs="Arial" w:eastAsia="Arial" w:hAnsi="Arial"/>
                <w:sz w:val="16"/>
                <w:szCs w:val="16"/>
                <w:b w:val="1"/>
                <w:bCs w:val="1"/>
                <w:color w:val="FFFFFF"/>
                <w:w w:val="99"/>
              </w:rPr>
              <w:t xml:space="preserve">(#) </w:t>
            </w:r>
            <w:r>
              <w:rPr>
                <w:rFonts w:ascii="Arial" w:cs="Arial" w:eastAsia="Arial" w:hAnsi="Arial"/>
                <w:sz w:val="25"/>
                <w:szCs w:val="25"/>
                <w:b w:val="1"/>
                <w:bCs w:val="1"/>
                <w:color w:val="FFFFFF"/>
                <w:w w:val="99"/>
                <w:vertAlign w:val="superscript"/>
              </w:rPr>
              <w:t>(3)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6940" w:space="260"/>
            <w:col w:w="4040"/>
          </w:cols>
          <w:pgMar w:left="320" w:top="57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Borders>
              <w:right w:val="single" w:sz="8" w:color="2D53A6"/>
            </w:tcBorders>
            <w:vMerge w:val="restart"/>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675,000</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1,350,000</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220" w:type="dxa"/>
            <w:vAlign w:val="bottom"/>
            <w:tcBorders>
              <w:right w:val="single" w:sz="8" w:color="2D53A6"/>
            </w:tcBorders>
            <w:vMerge w:val="continue"/>
          </w:tcPr>
          <w:p>
            <w:pPr>
              <w:spacing w:after="0"/>
              <w:rPr>
                <w:sz w:val="18"/>
                <w:szCs w:val="18"/>
                <w:color w:val="auto"/>
              </w:rPr>
            </w:pP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54,844</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1,499,983</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2D53A6"/>
              <w:right w:val="single" w:sz="8" w:color="2D53A6"/>
            </w:tcBorders>
          </w:tcPr>
          <w:p>
            <w:pPr>
              <w:spacing w:after="0"/>
              <w:rPr>
                <w:sz w:val="18"/>
                <w:szCs w:val="18"/>
                <w:color w:val="auto"/>
              </w:rPr>
            </w:pP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54,844</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109,688</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1,821,918</w:t>
            </w:r>
          </w:p>
        </w:tc>
        <w:tc>
          <w:tcPr>
            <w:tcW w:w="0" w:type="dxa"/>
            <w:vAlign w:val="bottom"/>
          </w:tcPr>
          <w:p>
            <w:pPr>
              <w:spacing w:after="0"/>
              <w:rPr>
                <w:sz w:val="1"/>
                <w:szCs w:val="1"/>
                <w:color w:val="auto"/>
              </w:rPr>
            </w:pPr>
          </w:p>
        </w:tc>
      </w:tr>
      <w:tr>
        <w:trPr>
          <w:trHeight w:val="210"/>
        </w:trPr>
        <w:tc>
          <w:tcPr>
            <w:tcW w:w="1220" w:type="dxa"/>
            <w:vAlign w:val="bottom"/>
            <w:tcBorders>
              <w:bottom w:val="single" w:sz="8" w:color="E6E6E6"/>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w w:val="90"/>
              </w:rPr>
              <w:t>Jeffrey D. Jones</w:t>
            </w: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305,900</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611,800</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E6E6E6"/>
              <w:right w:val="single" w:sz="8" w:color="2D53A6"/>
            </w:tcBorders>
            <w:vMerge w:val="continue"/>
            <w:shd w:val="clear" w:color="auto" w:fill="E6E6E6"/>
          </w:tcPr>
          <w:p>
            <w:pPr>
              <w:spacing w:after="0"/>
              <w:rPr>
                <w:sz w:val="18"/>
                <w:szCs w:val="18"/>
                <w:color w:val="auto"/>
              </w:rPr>
            </w:pP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17,733</w:t>
            </w:r>
          </w:p>
        </w:tc>
        <w:tc>
          <w:tcPr>
            <w:tcW w:w="9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484,998</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2D53A6"/>
              <w:right w:val="single" w:sz="8" w:color="2D53A6"/>
            </w:tcBorders>
            <w:shd w:val="clear" w:color="auto" w:fill="E6E6E6"/>
          </w:tcPr>
          <w:p>
            <w:pPr>
              <w:spacing w:after="0"/>
              <w:rPr>
                <w:sz w:val="18"/>
                <w:szCs w:val="18"/>
                <w:color w:val="auto"/>
              </w:rPr>
            </w:pP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17,733</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35,466</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589,090</w:t>
            </w:r>
          </w:p>
        </w:tc>
        <w:tc>
          <w:tcPr>
            <w:tcW w:w="0" w:type="dxa"/>
            <w:vAlign w:val="bottom"/>
          </w:tcPr>
          <w:p>
            <w:pPr>
              <w:spacing w:after="0"/>
              <w:rPr>
                <w:sz w:val="1"/>
                <w:szCs w:val="1"/>
                <w:color w:val="auto"/>
              </w:rPr>
            </w:pPr>
          </w:p>
        </w:tc>
      </w:tr>
      <w:tr>
        <w:trPr>
          <w:trHeight w:val="210"/>
        </w:trPr>
        <w:tc>
          <w:tcPr>
            <w:tcW w:w="12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Christopher G.</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269,500</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539,000</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220" w:type="dxa"/>
            <w:vAlign w:val="bottom"/>
            <w:tcBorders>
              <w:right w:val="single" w:sz="8" w:color="2D53A6"/>
            </w:tcBorders>
            <w:vMerge w:val="continue"/>
          </w:tcPr>
          <w:p>
            <w:pPr>
              <w:spacing w:after="0"/>
              <w:rPr>
                <w:sz w:val="13"/>
                <w:szCs w:val="13"/>
                <w:color w:val="auto"/>
              </w:rPr>
            </w:pPr>
          </w:p>
        </w:tc>
        <w:tc>
          <w:tcPr>
            <w:tcW w:w="2160" w:type="dxa"/>
            <w:vAlign w:val="bottom"/>
            <w:tcBorders>
              <w:right w:val="single" w:sz="8" w:color="2D53A6"/>
            </w:tcBorders>
          </w:tcPr>
          <w:p>
            <w:pPr>
              <w:spacing w:after="0" w:line="156" w:lineRule="exact"/>
              <w:rPr>
                <w:sz w:val="20"/>
                <w:szCs w:val="20"/>
                <w:color w:val="auto"/>
              </w:rPr>
            </w:pPr>
            <w:r>
              <w:rPr>
                <w:rFonts w:ascii="Arial" w:cs="Arial" w:eastAsia="Arial" w:hAnsi="Arial"/>
                <w:sz w:val="18"/>
                <w:szCs w:val="18"/>
                <w:color w:val="auto"/>
              </w:rPr>
              <w:t>Time-based RSUs</w:t>
            </w:r>
          </w:p>
        </w:tc>
        <w:tc>
          <w:tcPr>
            <w:tcW w:w="104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03/14/2022</w:t>
            </w:r>
          </w:p>
        </w:tc>
        <w:tc>
          <w:tcPr>
            <w:tcW w:w="78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11,700</w:t>
            </w:r>
          </w:p>
        </w:tc>
        <w:tc>
          <w:tcPr>
            <w:tcW w:w="90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319,995</w:t>
            </w:r>
          </w:p>
        </w:tc>
        <w:tc>
          <w:tcPr>
            <w:tcW w:w="0" w:type="dxa"/>
            <w:vAlign w:val="bottom"/>
          </w:tcPr>
          <w:p>
            <w:pPr>
              <w:spacing w:after="0"/>
              <w:rPr>
                <w:sz w:val="1"/>
                <w:szCs w:val="1"/>
                <w:color w:val="auto"/>
              </w:rPr>
            </w:pPr>
          </w:p>
        </w:tc>
      </w:tr>
      <w:tr>
        <w:trPr>
          <w:trHeight w:val="54"/>
        </w:trPr>
        <w:tc>
          <w:tcPr>
            <w:tcW w:w="12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Bohrson</w:t>
            </w:r>
          </w:p>
        </w:tc>
        <w:tc>
          <w:tcPr>
            <w:tcW w:w="2160" w:type="dxa"/>
            <w:vAlign w:val="bottom"/>
            <w:tcBorders>
              <w:bottom w:val="single" w:sz="8" w:color="2D53A6"/>
              <w:right w:val="single" w:sz="8" w:color="2D53A6"/>
            </w:tcBorders>
          </w:tcPr>
          <w:p>
            <w:pPr>
              <w:spacing w:after="0"/>
              <w:rPr>
                <w:sz w:val="4"/>
                <w:szCs w:val="4"/>
                <w:color w:val="auto"/>
              </w:rPr>
            </w:pPr>
          </w:p>
        </w:tc>
        <w:tc>
          <w:tcPr>
            <w:tcW w:w="1040" w:type="dxa"/>
            <w:vAlign w:val="bottom"/>
            <w:tcBorders>
              <w:bottom w:val="single" w:sz="8" w:color="2D53A6"/>
              <w:right w:val="single" w:sz="8" w:color="2D53A6"/>
            </w:tcBorders>
          </w:tcPr>
          <w:p>
            <w:pPr>
              <w:spacing w:after="0"/>
              <w:rPr>
                <w:sz w:val="4"/>
                <w:szCs w:val="4"/>
                <w:color w:val="auto"/>
              </w:rPr>
            </w:pPr>
          </w:p>
        </w:tc>
        <w:tc>
          <w:tcPr>
            <w:tcW w:w="780" w:type="dxa"/>
            <w:vAlign w:val="bottom"/>
            <w:tcBorders>
              <w:bottom w:val="single" w:sz="8" w:color="2D53A6"/>
              <w:right w:val="single" w:sz="8" w:color="2D53A6"/>
            </w:tcBorders>
          </w:tcPr>
          <w:p>
            <w:pPr>
              <w:spacing w:after="0"/>
              <w:rPr>
                <w:sz w:val="4"/>
                <w:szCs w:val="4"/>
                <w:color w:val="auto"/>
              </w:rPr>
            </w:pPr>
          </w:p>
        </w:tc>
        <w:tc>
          <w:tcPr>
            <w:tcW w:w="920" w:type="dxa"/>
            <w:vAlign w:val="bottom"/>
            <w:tcBorders>
              <w:bottom w:val="single" w:sz="8" w:color="2D53A6"/>
              <w:right w:val="single" w:sz="8" w:color="2D53A6"/>
            </w:tcBorders>
          </w:tcPr>
          <w:p>
            <w:pPr>
              <w:spacing w:after="0"/>
              <w:rPr>
                <w:sz w:val="4"/>
                <w:szCs w:val="4"/>
                <w:color w:val="auto"/>
              </w:rPr>
            </w:pPr>
          </w:p>
        </w:tc>
        <w:tc>
          <w:tcPr>
            <w:tcW w:w="980" w:type="dxa"/>
            <w:vAlign w:val="bottom"/>
            <w:tcBorders>
              <w:bottom w:val="single" w:sz="8" w:color="2D53A6"/>
              <w:right w:val="single" w:sz="8" w:color="2D53A6"/>
            </w:tcBorders>
          </w:tcPr>
          <w:p>
            <w:pPr>
              <w:spacing w:after="0"/>
              <w:rPr>
                <w:sz w:val="4"/>
                <w:szCs w:val="4"/>
                <w:color w:val="auto"/>
              </w:rPr>
            </w:pPr>
          </w:p>
        </w:tc>
        <w:tc>
          <w:tcPr>
            <w:tcW w:w="780" w:type="dxa"/>
            <w:vAlign w:val="bottom"/>
            <w:tcBorders>
              <w:bottom w:val="single" w:sz="8" w:color="2D53A6"/>
              <w:right w:val="single" w:sz="8" w:color="2D53A6"/>
            </w:tcBorders>
          </w:tcPr>
          <w:p>
            <w:pPr>
              <w:spacing w:after="0"/>
              <w:rPr>
                <w:sz w:val="4"/>
                <w:szCs w:val="4"/>
                <w:color w:val="auto"/>
              </w:rPr>
            </w:pPr>
          </w:p>
        </w:tc>
        <w:tc>
          <w:tcPr>
            <w:tcW w:w="820" w:type="dxa"/>
            <w:vAlign w:val="bottom"/>
            <w:tcBorders>
              <w:bottom w:val="single" w:sz="8" w:color="2D53A6"/>
              <w:right w:val="single" w:sz="8" w:color="2D53A6"/>
            </w:tcBorders>
          </w:tcPr>
          <w:p>
            <w:pPr>
              <w:spacing w:after="0"/>
              <w:rPr>
                <w:sz w:val="4"/>
                <w:szCs w:val="4"/>
                <w:color w:val="auto"/>
              </w:rPr>
            </w:pPr>
          </w:p>
        </w:tc>
        <w:tc>
          <w:tcPr>
            <w:tcW w:w="820" w:type="dxa"/>
            <w:vAlign w:val="bottom"/>
            <w:tcBorders>
              <w:bottom w:val="single" w:sz="8" w:color="2D53A6"/>
              <w:right w:val="single" w:sz="8" w:color="2D53A6"/>
            </w:tcBorders>
          </w:tcPr>
          <w:p>
            <w:pPr>
              <w:spacing w:after="0"/>
              <w:rPr>
                <w:sz w:val="4"/>
                <w:szCs w:val="4"/>
                <w:color w:val="auto"/>
              </w:rPr>
            </w:pPr>
          </w:p>
        </w:tc>
        <w:tc>
          <w:tcPr>
            <w:tcW w:w="820" w:type="dxa"/>
            <w:vAlign w:val="bottom"/>
            <w:tcBorders>
              <w:bottom w:val="single" w:sz="8" w:color="2D53A6"/>
              <w:right w:val="single" w:sz="8" w:color="2D53A6"/>
            </w:tcBorders>
          </w:tcPr>
          <w:p>
            <w:pPr>
              <w:spacing w:after="0"/>
              <w:rPr>
                <w:sz w:val="4"/>
                <w:szCs w:val="4"/>
                <w:color w:val="auto"/>
              </w:rPr>
            </w:pPr>
          </w:p>
        </w:tc>
        <w:tc>
          <w:tcPr>
            <w:tcW w:w="900" w:type="dxa"/>
            <w:vAlign w:val="bottom"/>
            <w:tcBorders>
              <w:bottom w:val="single" w:sz="8" w:color="2D53A6"/>
              <w:right w:val="single" w:sz="8" w:color="2D53A6"/>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20" w:type="dxa"/>
            <w:vAlign w:val="bottom"/>
            <w:tcBorders>
              <w:right w:val="single" w:sz="8" w:color="2D53A6"/>
            </w:tcBorders>
            <w:vMerge w:val="continue"/>
          </w:tcPr>
          <w:p>
            <w:pPr>
              <w:spacing w:after="0"/>
              <w:rPr>
                <w:sz w:val="13"/>
                <w:szCs w:val="13"/>
                <w:color w:val="auto"/>
              </w:rPr>
            </w:pPr>
          </w:p>
        </w:tc>
        <w:tc>
          <w:tcPr>
            <w:tcW w:w="21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11,700</w:t>
            </w:r>
          </w:p>
        </w:tc>
        <w:tc>
          <w:tcPr>
            <w:tcW w:w="8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23,400</w:t>
            </w:r>
          </w:p>
        </w:tc>
        <w:tc>
          <w:tcPr>
            <w:tcW w:w="8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388,674</w:t>
            </w:r>
          </w:p>
        </w:tc>
        <w:tc>
          <w:tcPr>
            <w:tcW w:w="0" w:type="dxa"/>
            <w:vAlign w:val="bottom"/>
          </w:tcPr>
          <w:p>
            <w:pPr>
              <w:spacing w:after="0"/>
              <w:rPr>
                <w:sz w:val="1"/>
                <w:szCs w:val="1"/>
                <w:color w:val="auto"/>
              </w:rPr>
            </w:pPr>
          </w:p>
        </w:tc>
      </w:tr>
      <w:tr>
        <w:trPr>
          <w:trHeight w:val="54"/>
        </w:trPr>
        <w:tc>
          <w:tcPr>
            <w:tcW w:w="1220" w:type="dxa"/>
            <w:vAlign w:val="bottom"/>
            <w:tcBorders>
              <w:bottom w:val="single" w:sz="8" w:color="2D53A6"/>
              <w:right w:val="single" w:sz="8" w:color="2D53A6"/>
            </w:tcBorders>
          </w:tcPr>
          <w:p>
            <w:pPr>
              <w:spacing w:after="0"/>
              <w:rPr>
                <w:sz w:val="4"/>
                <w:szCs w:val="4"/>
                <w:color w:val="auto"/>
              </w:rPr>
            </w:pPr>
          </w:p>
        </w:tc>
        <w:tc>
          <w:tcPr>
            <w:tcW w:w="2160" w:type="dxa"/>
            <w:vAlign w:val="bottom"/>
            <w:tcBorders>
              <w:bottom w:val="single" w:sz="8" w:color="2D53A6"/>
              <w:right w:val="single" w:sz="8" w:color="2D53A6"/>
            </w:tcBorders>
            <w:vMerge w:val="continue"/>
          </w:tcPr>
          <w:p>
            <w:pPr>
              <w:spacing w:after="0"/>
              <w:rPr>
                <w:sz w:val="4"/>
                <w:szCs w:val="4"/>
                <w:color w:val="auto"/>
              </w:rPr>
            </w:pPr>
          </w:p>
        </w:tc>
        <w:tc>
          <w:tcPr>
            <w:tcW w:w="1040" w:type="dxa"/>
            <w:vAlign w:val="bottom"/>
            <w:tcBorders>
              <w:bottom w:val="single" w:sz="8" w:color="2D53A6"/>
              <w:right w:val="single" w:sz="8" w:color="2D53A6"/>
            </w:tcBorders>
            <w:vMerge w:val="continue"/>
          </w:tcPr>
          <w:p>
            <w:pPr>
              <w:spacing w:after="0"/>
              <w:rPr>
                <w:sz w:val="4"/>
                <w:szCs w:val="4"/>
                <w:color w:val="auto"/>
              </w:rPr>
            </w:pPr>
          </w:p>
        </w:tc>
        <w:tc>
          <w:tcPr>
            <w:tcW w:w="780" w:type="dxa"/>
            <w:vAlign w:val="bottom"/>
            <w:tcBorders>
              <w:bottom w:val="single" w:sz="8" w:color="2D53A6"/>
              <w:right w:val="single" w:sz="8" w:color="2D53A6"/>
            </w:tcBorders>
            <w:vMerge w:val="continue"/>
          </w:tcPr>
          <w:p>
            <w:pPr>
              <w:spacing w:after="0"/>
              <w:rPr>
                <w:sz w:val="4"/>
                <w:szCs w:val="4"/>
                <w:color w:val="auto"/>
              </w:rPr>
            </w:pPr>
          </w:p>
        </w:tc>
        <w:tc>
          <w:tcPr>
            <w:tcW w:w="920" w:type="dxa"/>
            <w:vAlign w:val="bottom"/>
            <w:tcBorders>
              <w:bottom w:val="single" w:sz="8" w:color="2D53A6"/>
              <w:right w:val="single" w:sz="8" w:color="2D53A6"/>
            </w:tcBorders>
            <w:vMerge w:val="continue"/>
          </w:tcPr>
          <w:p>
            <w:pPr>
              <w:spacing w:after="0"/>
              <w:rPr>
                <w:sz w:val="4"/>
                <w:szCs w:val="4"/>
                <w:color w:val="auto"/>
              </w:rPr>
            </w:pPr>
          </w:p>
        </w:tc>
        <w:tc>
          <w:tcPr>
            <w:tcW w:w="980" w:type="dxa"/>
            <w:vAlign w:val="bottom"/>
            <w:tcBorders>
              <w:bottom w:val="single" w:sz="8" w:color="2D53A6"/>
              <w:right w:val="single" w:sz="8" w:color="2D53A6"/>
            </w:tcBorders>
            <w:vMerge w:val="continue"/>
          </w:tcPr>
          <w:p>
            <w:pPr>
              <w:spacing w:after="0"/>
              <w:rPr>
                <w:sz w:val="4"/>
                <w:szCs w:val="4"/>
                <w:color w:val="auto"/>
              </w:rPr>
            </w:pPr>
          </w:p>
        </w:tc>
        <w:tc>
          <w:tcPr>
            <w:tcW w:w="780" w:type="dxa"/>
            <w:vAlign w:val="bottom"/>
            <w:tcBorders>
              <w:bottom w:val="single" w:sz="8" w:color="2D53A6"/>
              <w:right w:val="single" w:sz="8" w:color="2D53A6"/>
            </w:tcBorders>
            <w:vMerge w:val="continue"/>
          </w:tcPr>
          <w:p>
            <w:pPr>
              <w:spacing w:after="0"/>
              <w:rPr>
                <w:sz w:val="4"/>
                <w:szCs w:val="4"/>
                <w:color w:val="auto"/>
              </w:rPr>
            </w:pPr>
          </w:p>
        </w:tc>
        <w:tc>
          <w:tcPr>
            <w:tcW w:w="820" w:type="dxa"/>
            <w:vAlign w:val="bottom"/>
            <w:tcBorders>
              <w:bottom w:val="single" w:sz="8" w:color="2D53A6"/>
              <w:right w:val="single" w:sz="8" w:color="2D53A6"/>
            </w:tcBorders>
            <w:vMerge w:val="continue"/>
          </w:tcPr>
          <w:p>
            <w:pPr>
              <w:spacing w:after="0"/>
              <w:rPr>
                <w:sz w:val="4"/>
                <w:szCs w:val="4"/>
                <w:color w:val="auto"/>
              </w:rPr>
            </w:pPr>
          </w:p>
        </w:tc>
        <w:tc>
          <w:tcPr>
            <w:tcW w:w="820" w:type="dxa"/>
            <w:vAlign w:val="bottom"/>
            <w:tcBorders>
              <w:bottom w:val="single" w:sz="8" w:color="2D53A6"/>
              <w:right w:val="single" w:sz="8" w:color="2D53A6"/>
            </w:tcBorders>
            <w:vMerge w:val="continue"/>
          </w:tcPr>
          <w:p>
            <w:pPr>
              <w:spacing w:after="0"/>
              <w:rPr>
                <w:sz w:val="4"/>
                <w:szCs w:val="4"/>
                <w:color w:val="auto"/>
              </w:rPr>
            </w:pPr>
          </w:p>
        </w:tc>
        <w:tc>
          <w:tcPr>
            <w:tcW w:w="820" w:type="dxa"/>
            <w:vAlign w:val="bottom"/>
            <w:tcBorders>
              <w:bottom w:val="single" w:sz="8" w:color="2D53A6"/>
              <w:right w:val="single" w:sz="8" w:color="2D53A6"/>
            </w:tcBorders>
            <w:vMerge w:val="continue"/>
          </w:tcPr>
          <w:p>
            <w:pPr>
              <w:spacing w:after="0"/>
              <w:rPr>
                <w:sz w:val="4"/>
                <w:szCs w:val="4"/>
                <w:color w:val="auto"/>
              </w:rPr>
            </w:pPr>
          </w:p>
        </w:tc>
        <w:tc>
          <w:tcPr>
            <w:tcW w:w="900" w:type="dxa"/>
            <w:vAlign w:val="bottom"/>
            <w:tcBorders>
              <w:bottom w:val="single" w:sz="8" w:color="2D53A6"/>
              <w:right w:val="single" w:sz="8" w:color="2D53A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E6E6E6"/>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Thomas D.</w:t>
            </w: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189,000</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378,000</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
        </w:trPr>
        <w:tc>
          <w:tcPr>
            <w:tcW w:w="1220" w:type="dxa"/>
            <w:vAlign w:val="bottom"/>
            <w:tcBorders>
              <w:right w:val="single" w:sz="8" w:color="2D53A6"/>
            </w:tcBorders>
            <w:vMerge w:val="continue"/>
            <w:shd w:val="clear" w:color="auto" w:fill="E6E6E6"/>
          </w:tcPr>
          <w:p>
            <w:pPr>
              <w:spacing w:after="0"/>
              <w:rPr>
                <w:sz w:val="7"/>
                <w:szCs w:val="7"/>
                <w:color w:val="auto"/>
              </w:rPr>
            </w:pPr>
          </w:p>
        </w:tc>
        <w:tc>
          <w:tcPr>
            <w:tcW w:w="21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8,683</w:t>
            </w:r>
          </w:p>
        </w:tc>
        <w:tc>
          <w:tcPr>
            <w:tcW w:w="9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237,480</w:t>
            </w:r>
          </w:p>
        </w:tc>
        <w:tc>
          <w:tcPr>
            <w:tcW w:w="0" w:type="dxa"/>
            <w:vAlign w:val="bottom"/>
          </w:tcPr>
          <w:p>
            <w:pPr>
              <w:spacing w:after="0"/>
              <w:rPr>
                <w:sz w:val="1"/>
                <w:szCs w:val="1"/>
                <w:color w:val="auto"/>
              </w:rPr>
            </w:pPr>
          </w:p>
        </w:tc>
      </w:tr>
      <w:tr>
        <w:trPr>
          <w:trHeight w:val="127"/>
        </w:trPr>
        <w:tc>
          <w:tcPr>
            <w:tcW w:w="1220" w:type="dxa"/>
            <w:vAlign w:val="bottom"/>
            <w:tcBorders>
              <w:bottom w:val="single" w:sz="8" w:color="E6E6E6"/>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Kampfer</w:t>
            </w:r>
          </w:p>
        </w:tc>
        <w:tc>
          <w:tcPr>
            <w:tcW w:w="216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104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78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9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98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78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8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8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8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90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220" w:type="dxa"/>
            <w:vAlign w:val="bottom"/>
            <w:tcBorders>
              <w:right w:val="single" w:sz="8" w:color="2D53A6"/>
            </w:tcBorders>
            <w:vMerge w:val="continue"/>
            <w:shd w:val="clear" w:color="auto" w:fill="E6E6E6"/>
          </w:tcPr>
          <w:p>
            <w:pPr>
              <w:spacing w:after="0"/>
              <w:rPr>
                <w:sz w:val="7"/>
                <w:szCs w:val="7"/>
                <w:color w:val="auto"/>
              </w:rPr>
            </w:pPr>
          </w:p>
        </w:tc>
        <w:tc>
          <w:tcPr>
            <w:tcW w:w="21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8,683</w:t>
            </w:r>
          </w:p>
        </w:tc>
        <w:tc>
          <w:tcPr>
            <w:tcW w:w="8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17,366</w:t>
            </w:r>
          </w:p>
        </w:tc>
        <w:tc>
          <w:tcPr>
            <w:tcW w:w="8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288,449</w:t>
            </w:r>
          </w:p>
        </w:tc>
        <w:tc>
          <w:tcPr>
            <w:tcW w:w="0" w:type="dxa"/>
            <w:vAlign w:val="bottom"/>
          </w:tcPr>
          <w:p>
            <w:pPr>
              <w:spacing w:after="0"/>
              <w:rPr>
                <w:sz w:val="1"/>
                <w:szCs w:val="1"/>
                <w:color w:val="auto"/>
              </w:rPr>
            </w:pPr>
          </w:p>
        </w:tc>
      </w:tr>
      <w:tr>
        <w:trPr>
          <w:trHeight w:val="121"/>
        </w:trPr>
        <w:tc>
          <w:tcPr>
            <w:tcW w:w="1220" w:type="dxa"/>
            <w:vAlign w:val="bottom"/>
            <w:tcBorders>
              <w:bottom w:val="single" w:sz="8" w:color="2D53A6"/>
              <w:right w:val="single" w:sz="8" w:color="2D53A6"/>
            </w:tcBorders>
            <w:shd w:val="clear" w:color="auto" w:fill="E6E6E6"/>
          </w:tcPr>
          <w:p>
            <w:pPr>
              <w:spacing w:after="0"/>
              <w:rPr>
                <w:sz w:val="10"/>
                <w:szCs w:val="10"/>
                <w:color w:val="auto"/>
              </w:rPr>
            </w:pPr>
          </w:p>
        </w:tc>
        <w:tc>
          <w:tcPr>
            <w:tcW w:w="216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104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78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9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98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78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8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8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82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90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Ian P. Lawee</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180,400</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360,800</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220" w:type="dxa"/>
            <w:vAlign w:val="bottom"/>
            <w:tcBorders>
              <w:right w:val="single" w:sz="8" w:color="2D53A6"/>
            </w:tcBorders>
            <w:vMerge w:val="continue"/>
          </w:tcPr>
          <w:p>
            <w:pPr>
              <w:spacing w:after="0"/>
              <w:rPr>
                <w:sz w:val="18"/>
                <w:szCs w:val="18"/>
                <w:color w:val="auto"/>
              </w:rPr>
            </w:pP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7,678</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209,993</w:t>
            </w:r>
          </w:p>
        </w:tc>
        <w:tc>
          <w:tcPr>
            <w:tcW w:w="0" w:type="dxa"/>
            <w:vAlign w:val="bottom"/>
          </w:tcPr>
          <w:p>
            <w:pPr>
              <w:spacing w:after="0"/>
              <w:rPr>
                <w:sz w:val="1"/>
                <w:szCs w:val="1"/>
                <w:color w:val="auto"/>
              </w:rPr>
            </w:pPr>
          </w:p>
        </w:tc>
      </w:tr>
      <w:tr>
        <w:trPr>
          <w:trHeight w:val="210"/>
        </w:trPr>
        <w:tc>
          <w:tcPr>
            <w:tcW w:w="1220" w:type="dxa"/>
            <w:vAlign w:val="bottom"/>
            <w:tcBorders>
              <w:bottom w:val="single" w:sz="8" w:color="2D53A6"/>
              <w:right w:val="single" w:sz="8" w:color="2D53A6"/>
            </w:tcBorders>
          </w:tcPr>
          <w:p>
            <w:pPr>
              <w:spacing w:after="0"/>
              <w:rPr>
                <w:sz w:val="18"/>
                <w:szCs w:val="18"/>
                <w:color w:val="auto"/>
              </w:rPr>
            </w:pP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03/14/2022</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7,678</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15,356</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255,063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5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shown are estimated possible payouts for fiscal 2022 under the executive cash incentive plan. These amounts are based on the individual’s fiscal 2022 base salary amounts, and position. The maximum amount shown is 200% of the target amount for each of the NEOs. Actual cash incentives received by the NEOs for fiscal 2022 are reported in the Summary Compensation Table under the column entitled “Non-Equity Incentive Plan Compensation.” Amounts earned by our NEOs for performance in 2022 are based on the attainment of performance goals for both Cohu and the individual NEO, as described in more detail in “Annual Cash Incentives” above.</w:t>
      </w:r>
    </w:p>
    <w:p>
      <w:pPr>
        <w:spacing w:after="0" w:line="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PSU awards granted to our NEOs in 2022 are subject to certain adjustments resulting from the performance of our total stockholder return (“TSR”) relative to a pre-selected comparator group over the three-year period following the date of grant. The PSU awards granted in 2022 vest 100% on the third anniversary of the date of grant.</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reflect the number of RSUs awarded to each NEO under the 2005 Plan. The RSU awards granted to our NEOs in 2022 vest at the rate of 25% of the shares of our common stock subject to the awards per year.</w:t>
      </w:r>
    </w:p>
    <w:p>
      <w:pPr>
        <w:ind w:left="340" w:right="200" w:hanging="332"/>
        <w:spacing w:after="0" w:line="255"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shown are the grant date fair value for stock awards issued in fiscal 2022. The assumptions used to calculate the grant date fair value of the awards are set forth in Note 6, “Employee Benefit Plans”, included in Part IV, Item 15(a) of Cohu’s Annual Report on Form 10-K for the year ended December 31, 2022, filed with the SEC.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Outstanding Equity Awards at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outstanding equity awards held by our NEOs at the end of fiscal 2022, which ended on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Borders>
              <w:right w:val="single" w:sz="8" w:color="2D53A6"/>
            </w:tcBorders>
            <w:shd w:val="clear" w:color="auto" w:fill="2D53A6"/>
          </w:tcPr>
          <w:p>
            <w:pPr>
              <w:spacing w:after="0"/>
              <w:rPr>
                <w:sz w:val="18"/>
                <w:szCs w:val="18"/>
                <w:color w:val="auto"/>
              </w:rPr>
            </w:pPr>
          </w:p>
        </w:tc>
        <w:tc>
          <w:tcPr>
            <w:tcW w:w="2600" w:type="dxa"/>
            <w:vAlign w:val="bottom"/>
            <w:gridSpan w:val="3"/>
            <w:shd w:val="clear" w:color="auto" w:fill="2D53A6"/>
          </w:tcPr>
          <w:p>
            <w:pPr>
              <w:ind w:left="1040"/>
              <w:spacing w:after="0"/>
              <w:rPr>
                <w:sz w:val="20"/>
                <w:szCs w:val="20"/>
                <w:color w:val="auto"/>
              </w:rPr>
            </w:pPr>
            <w:r>
              <w:rPr>
                <w:rFonts w:ascii="Arial" w:cs="Arial" w:eastAsia="Arial" w:hAnsi="Arial"/>
                <w:sz w:val="18"/>
                <w:szCs w:val="18"/>
                <w:b w:val="1"/>
                <w:bCs w:val="1"/>
                <w:color w:val="FFFFFF"/>
                <w:w w:val="99"/>
              </w:rPr>
              <w:t>OPTION AWARDS</w:t>
            </w:r>
          </w:p>
        </w:tc>
        <w:tc>
          <w:tcPr>
            <w:tcW w:w="1020" w:type="dxa"/>
            <w:vAlign w:val="bottom"/>
            <w:tcBorders>
              <w:right w:val="single" w:sz="8" w:color="2D53A6"/>
            </w:tcBorders>
            <w:shd w:val="clear" w:color="auto" w:fill="2D53A6"/>
          </w:tcPr>
          <w:p>
            <w:pPr>
              <w:spacing w:after="0"/>
              <w:rPr>
                <w:sz w:val="18"/>
                <w:szCs w:val="18"/>
                <w:color w:val="auto"/>
              </w:rPr>
            </w:pPr>
          </w:p>
        </w:tc>
        <w:tc>
          <w:tcPr>
            <w:tcW w:w="1140" w:type="dxa"/>
            <w:vAlign w:val="bottom"/>
            <w:tcBorders>
              <w:right w:val="single" w:sz="8" w:color="2D53A6"/>
            </w:tcBorders>
            <w:shd w:val="clear" w:color="auto" w:fill="2D53A6"/>
          </w:tcPr>
          <w:p>
            <w:pPr>
              <w:spacing w:after="0"/>
              <w:rPr>
                <w:sz w:val="18"/>
                <w:szCs w:val="18"/>
                <w:color w:val="auto"/>
              </w:rPr>
            </w:pPr>
          </w:p>
        </w:tc>
        <w:tc>
          <w:tcPr>
            <w:tcW w:w="920" w:type="dxa"/>
            <w:vAlign w:val="bottom"/>
            <w:shd w:val="clear" w:color="auto" w:fill="2D53A6"/>
          </w:tcPr>
          <w:p>
            <w:pPr>
              <w:spacing w:after="0"/>
              <w:rPr>
                <w:sz w:val="18"/>
                <w:szCs w:val="18"/>
                <w:color w:val="auto"/>
              </w:rPr>
            </w:pPr>
          </w:p>
        </w:tc>
        <w:tc>
          <w:tcPr>
            <w:tcW w:w="200" w:type="dxa"/>
            <w:vAlign w:val="bottom"/>
            <w:tcBorders>
              <w:right w:val="single" w:sz="8" w:color="2D53A6"/>
            </w:tcBorders>
            <w:shd w:val="clear" w:color="auto" w:fill="2D53A6"/>
          </w:tcPr>
          <w:p>
            <w:pPr>
              <w:spacing w:after="0"/>
              <w:rPr>
                <w:sz w:val="18"/>
                <w:szCs w:val="18"/>
                <w:color w:val="auto"/>
              </w:rPr>
            </w:pPr>
          </w:p>
        </w:tc>
        <w:tc>
          <w:tcPr>
            <w:tcW w:w="2660" w:type="dxa"/>
            <w:vAlign w:val="bottom"/>
            <w:tcBorders>
              <w:right w:val="single" w:sz="8" w:color="2D53A6"/>
            </w:tcBorders>
            <w:gridSpan w:val="2"/>
            <w:shd w:val="clear" w:color="auto" w:fill="2D53A6"/>
          </w:tcPr>
          <w:p>
            <w:pPr>
              <w:jc w:val="right"/>
              <w:ind w:right="990"/>
              <w:spacing w:after="0"/>
              <w:rPr>
                <w:sz w:val="20"/>
                <w:szCs w:val="20"/>
                <w:color w:val="auto"/>
              </w:rPr>
            </w:pPr>
            <w:r>
              <w:rPr>
                <w:rFonts w:ascii="Arial" w:cs="Arial" w:eastAsia="Arial" w:hAnsi="Arial"/>
                <w:sz w:val="18"/>
                <w:szCs w:val="18"/>
                <w:b w:val="1"/>
                <w:bCs w:val="1"/>
                <w:color w:val="FFFFFF"/>
              </w:rPr>
              <w:t>STOCK AWARDS</w:t>
            </w: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Equity</w:t>
            </w:r>
          </w:p>
        </w:tc>
        <w:tc>
          <w:tcPr>
            <w:tcW w:w="0" w:type="dxa"/>
            <w:vAlign w:val="bottom"/>
          </w:tcPr>
          <w:p>
            <w:pPr>
              <w:spacing w:after="0"/>
              <w:rPr>
                <w:sz w:val="1"/>
                <w:szCs w:val="1"/>
                <w:color w:val="auto"/>
              </w:rPr>
            </w:pPr>
          </w:p>
        </w:tc>
      </w:tr>
      <w:tr>
        <w:trPr>
          <w:trHeight w:val="198"/>
        </w:trPr>
        <w:tc>
          <w:tcPr>
            <w:tcW w:w="1360" w:type="dxa"/>
            <w:vAlign w:val="bottom"/>
            <w:tcBorders>
              <w:right w:val="single" w:sz="8" w:color="2D53A6"/>
            </w:tcBorders>
            <w:shd w:val="clear" w:color="auto" w:fill="2D53A6"/>
          </w:tcPr>
          <w:p>
            <w:pPr>
              <w:spacing w:after="0"/>
              <w:rPr>
                <w:sz w:val="17"/>
                <w:szCs w:val="17"/>
                <w:color w:val="auto"/>
              </w:rPr>
            </w:pPr>
          </w:p>
        </w:tc>
        <w:tc>
          <w:tcPr>
            <w:tcW w:w="1360" w:type="dxa"/>
            <w:vAlign w:val="bottom"/>
            <w:tcBorders>
              <w:right w:val="single" w:sz="8" w:color="2D53A6"/>
            </w:tcBorders>
            <w:shd w:val="clear" w:color="auto" w:fill="2D53A6"/>
          </w:tcPr>
          <w:p>
            <w:pPr>
              <w:spacing w:after="0"/>
              <w:rPr>
                <w:sz w:val="17"/>
                <w:szCs w:val="17"/>
                <w:color w:val="auto"/>
              </w:rPr>
            </w:pPr>
          </w:p>
        </w:tc>
        <w:tc>
          <w:tcPr>
            <w:tcW w:w="1120" w:type="dxa"/>
            <w:vAlign w:val="bottom"/>
            <w:tcBorders>
              <w:right w:val="single" w:sz="8" w:color="2D53A6"/>
            </w:tcBorders>
            <w:shd w:val="clear" w:color="auto" w:fill="2D53A6"/>
          </w:tcPr>
          <w:p>
            <w:pPr>
              <w:spacing w:after="0"/>
              <w:rPr>
                <w:sz w:val="17"/>
                <w:szCs w:val="17"/>
                <w:color w:val="auto"/>
              </w:rPr>
            </w:pPr>
          </w:p>
        </w:tc>
        <w:tc>
          <w:tcPr>
            <w:tcW w:w="120" w:type="dxa"/>
            <w:vAlign w:val="bottom"/>
            <w:shd w:val="clear" w:color="auto" w:fill="2D53A6"/>
          </w:tcPr>
          <w:p>
            <w:pPr>
              <w:spacing w:after="0"/>
              <w:rPr>
                <w:sz w:val="17"/>
                <w:szCs w:val="17"/>
                <w:color w:val="auto"/>
              </w:rPr>
            </w:pPr>
          </w:p>
        </w:tc>
        <w:tc>
          <w:tcPr>
            <w:tcW w:w="1020" w:type="dxa"/>
            <w:vAlign w:val="bottom"/>
            <w:tcBorders>
              <w:right w:val="single" w:sz="8" w:color="2D53A6"/>
            </w:tcBorders>
            <w:shd w:val="clear" w:color="auto" w:fill="2D53A6"/>
          </w:tcPr>
          <w:p>
            <w:pPr>
              <w:spacing w:after="0"/>
              <w:rPr>
                <w:sz w:val="17"/>
                <w:szCs w:val="17"/>
                <w:color w:val="auto"/>
              </w:rPr>
            </w:pPr>
          </w:p>
        </w:tc>
        <w:tc>
          <w:tcPr>
            <w:tcW w:w="1140" w:type="dxa"/>
            <w:vAlign w:val="bottom"/>
            <w:tcBorders>
              <w:right w:val="single" w:sz="8" w:color="2D53A6"/>
            </w:tcBorders>
            <w:shd w:val="clear" w:color="auto" w:fill="2D53A6"/>
          </w:tcPr>
          <w:p>
            <w:pPr>
              <w:spacing w:after="0"/>
              <w:rPr>
                <w:sz w:val="17"/>
                <w:szCs w:val="17"/>
                <w:color w:val="auto"/>
              </w:rPr>
            </w:pPr>
          </w:p>
        </w:tc>
        <w:tc>
          <w:tcPr>
            <w:tcW w:w="920" w:type="dxa"/>
            <w:vAlign w:val="bottom"/>
            <w:shd w:val="clear" w:color="auto" w:fill="2D53A6"/>
          </w:tcPr>
          <w:p>
            <w:pPr>
              <w:spacing w:after="0"/>
              <w:rPr>
                <w:sz w:val="17"/>
                <w:szCs w:val="17"/>
                <w:color w:val="auto"/>
              </w:rPr>
            </w:pPr>
          </w:p>
        </w:tc>
        <w:tc>
          <w:tcPr>
            <w:tcW w:w="200" w:type="dxa"/>
            <w:vAlign w:val="bottom"/>
            <w:tcBorders>
              <w:right w:val="single" w:sz="8" w:color="2D53A6"/>
            </w:tcBorders>
            <w:shd w:val="clear" w:color="auto" w:fill="2D53A6"/>
          </w:tcPr>
          <w:p>
            <w:pPr>
              <w:spacing w:after="0"/>
              <w:rPr>
                <w:sz w:val="17"/>
                <w:szCs w:val="17"/>
                <w:color w:val="auto"/>
              </w:rPr>
            </w:pPr>
          </w:p>
        </w:tc>
        <w:tc>
          <w:tcPr>
            <w:tcW w:w="1340" w:type="dxa"/>
            <w:vAlign w:val="bottom"/>
            <w:tcBorders>
              <w:right w:val="single" w:sz="8" w:color="2D53A6"/>
            </w:tcBorders>
            <w:shd w:val="clear" w:color="auto" w:fill="2D53A6"/>
          </w:tcPr>
          <w:p>
            <w:pPr>
              <w:spacing w:after="0"/>
              <w:rPr>
                <w:sz w:val="17"/>
                <w:szCs w:val="17"/>
                <w:color w:val="auto"/>
              </w:rPr>
            </w:pP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Equity</w:t>
            </w:r>
          </w:p>
        </w:tc>
        <w:tc>
          <w:tcPr>
            <w:tcW w:w="1340" w:type="dxa"/>
            <w:vAlign w:val="bottom"/>
            <w:tcBorders>
              <w:right w:val="single" w:sz="8" w:color="2D53A6"/>
            </w:tcBorders>
            <w:vMerge w:val="continue"/>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Incentive</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shd w:val="clear" w:color="auto" w:fill="2D53A6"/>
          </w:tcPr>
          <w:p>
            <w:pPr>
              <w:spacing w:after="0"/>
              <w:rPr>
                <w:sz w:val="9"/>
                <w:szCs w:val="9"/>
                <w:color w:val="auto"/>
              </w:rPr>
            </w:pP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Incentive</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Plan Awards:</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vMerge w:val="restart"/>
            <w:shd w:val="clear" w:color="auto" w:fill="2D53A6"/>
          </w:tcPr>
          <w:p>
            <w:pPr>
              <w:jc w:val="center"/>
              <w:ind w:left="70"/>
              <w:spacing w:after="0"/>
              <w:rPr>
                <w:sz w:val="20"/>
                <w:szCs w:val="20"/>
                <w:color w:val="auto"/>
              </w:rPr>
            </w:pPr>
            <w:r>
              <w:rPr>
                <w:rFonts w:ascii="Arial" w:cs="Arial" w:eastAsia="Arial" w:hAnsi="Arial"/>
                <w:sz w:val="18"/>
                <w:szCs w:val="18"/>
                <w:b w:val="1"/>
                <w:bCs w:val="1"/>
                <w:color w:val="FFFFFF"/>
                <w:w w:val="94"/>
              </w:rPr>
              <w:t>Number</w:t>
            </w: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Market Value</w:t>
            </w: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Plan Awards:</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5"/>
              </w:rPr>
              <w:t>Securities</w:t>
            </w: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vMerge w:val="continue"/>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Market or</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w:t>
            </w: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vMerge w:val="restart"/>
            <w:shd w:val="clear" w:color="auto" w:fill="2D53A6"/>
          </w:tcPr>
          <w:p>
            <w:pPr>
              <w:jc w:val="center"/>
              <w:ind w:left="70"/>
              <w:spacing w:after="0"/>
              <w:rPr>
                <w:sz w:val="20"/>
                <w:szCs w:val="20"/>
                <w:color w:val="auto"/>
              </w:rPr>
            </w:pPr>
            <w:r>
              <w:rPr>
                <w:rFonts w:ascii="Arial" w:cs="Arial" w:eastAsia="Arial" w:hAnsi="Arial"/>
                <w:sz w:val="18"/>
                <w:szCs w:val="18"/>
                <w:b w:val="1"/>
                <w:bCs w:val="1"/>
                <w:color w:val="FFFFFF"/>
                <w:w w:val="87"/>
              </w:rPr>
              <w:t>of Shares</w:t>
            </w: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5"/>
              </w:rPr>
              <w:t>of Shares</w:t>
            </w: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continue"/>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Underlying</w:t>
            </w:r>
          </w:p>
        </w:tc>
        <w:tc>
          <w:tcPr>
            <w:tcW w:w="1240" w:type="dxa"/>
            <w:vAlign w:val="bottom"/>
            <w:gridSpan w:val="2"/>
            <w:vMerge w:val="restart"/>
            <w:shd w:val="clear" w:color="auto" w:fill="2D53A6"/>
          </w:tcPr>
          <w:p>
            <w:pPr>
              <w:jc w:val="center"/>
              <w:ind w:right="140"/>
              <w:spacing w:after="0"/>
              <w:rPr>
                <w:sz w:val="20"/>
                <w:szCs w:val="20"/>
                <w:color w:val="auto"/>
              </w:rPr>
            </w:pPr>
            <w:r>
              <w:rPr>
                <w:rFonts w:ascii="Arial" w:cs="Arial" w:eastAsia="Arial" w:hAnsi="Arial"/>
                <w:sz w:val="18"/>
                <w:szCs w:val="18"/>
                <w:b w:val="1"/>
                <w:bCs w:val="1"/>
                <w:color w:val="FFFFFF"/>
                <w:w w:val="93"/>
              </w:rPr>
              <w:t>Option</w:t>
            </w:r>
          </w:p>
        </w:tc>
        <w:tc>
          <w:tcPr>
            <w:tcW w:w="1020" w:type="dxa"/>
            <w:vAlign w:val="bottom"/>
            <w:tcBorders>
              <w:right w:val="single" w:sz="8" w:color="2D53A6"/>
            </w:tcBorders>
            <w:vMerge w:val="restart"/>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3"/>
              </w:rPr>
              <w:t>Option</w:t>
            </w: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vMerge w:val="continue"/>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Payout Value</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Executive</w:t>
            </w: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240" w:type="dxa"/>
            <w:vAlign w:val="bottom"/>
            <w:gridSpan w:val="2"/>
            <w:vMerge w:val="continue"/>
            <w:shd w:val="clear" w:color="auto" w:fill="2D53A6"/>
          </w:tcPr>
          <w:p>
            <w:pPr>
              <w:spacing w:after="0"/>
              <w:rPr>
                <w:sz w:val="9"/>
                <w:szCs w:val="9"/>
                <w:color w:val="auto"/>
              </w:rPr>
            </w:pPr>
          </w:p>
        </w:tc>
        <w:tc>
          <w:tcPr>
            <w:tcW w:w="1020" w:type="dxa"/>
            <w:vAlign w:val="bottom"/>
            <w:tcBorders>
              <w:right w:val="single" w:sz="8" w:color="2D53A6"/>
            </w:tcBorders>
            <w:vMerge w:val="continue"/>
            <w:shd w:val="clear" w:color="auto" w:fill="2D53A6"/>
          </w:tcPr>
          <w:p>
            <w:pPr>
              <w:spacing w:after="0"/>
              <w:rPr>
                <w:sz w:val="9"/>
                <w:szCs w:val="9"/>
                <w:color w:val="auto"/>
              </w:rPr>
            </w:pPr>
          </w:p>
        </w:tc>
        <w:tc>
          <w:tcPr>
            <w:tcW w:w="11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6"/>
              </w:rPr>
              <w:t>Award Grant</w:t>
            </w:r>
          </w:p>
        </w:tc>
        <w:tc>
          <w:tcPr>
            <w:tcW w:w="1120" w:type="dxa"/>
            <w:vAlign w:val="bottom"/>
            <w:tcBorders>
              <w:right w:val="single" w:sz="8" w:color="2D53A6"/>
            </w:tcBorders>
            <w:gridSpan w:val="2"/>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or Units of</w:t>
            </w: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or Units of</w:t>
            </w: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Unearned</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continue"/>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Unexercised</w:t>
            </w:r>
          </w:p>
        </w:tc>
        <w:tc>
          <w:tcPr>
            <w:tcW w:w="1240" w:type="dxa"/>
            <w:vAlign w:val="bottom"/>
            <w:gridSpan w:val="2"/>
            <w:vMerge w:val="restart"/>
            <w:shd w:val="clear" w:color="auto" w:fill="2D53A6"/>
          </w:tcPr>
          <w:p>
            <w:pPr>
              <w:jc w:val="center"/>
              <w:ind w:right="140"/>
              <w:spacing w:after="0"/>
              <w:rPr>
                <w:sz w:val="20"/>
                <w:szCs w:val="20"/>
                <w:color w:val="auto"/>
              </w:rPr>
            </w:pPr>
            <w:r>
              <w:rPr>
                <w:rFonts w:ascii="Arial" w:cs="Arial" w:eastAsia="Arial" w:hAnsi="Arial"/>
                <w:sz w:val="18"/>
                <w:szCs w:val="18"/>
                <w:b w:val="1"/>
                <w:bCs w:val="1"/>
                <w:color w:val="FFFFFF"/>
                <w:w w:val="89"/>
              </w:rPr>
              <w:t>Exercise</w:t>
            </w:r>
          </w:p>
        </w:tc>
        <w:tc>
          <w:tcPr>
            <w:tcW w:w="1020" w:type="dxa"/>
            <w:vAlign w:val="bottom"/>
            <w:tcBorders>
              <w:right w:val="single" w:sz="8" w:color="2D53A6"/>
            </w:tcBorders>
            <w:vMerge w:val="restart"/>
            <w:shd w:val="clear" w:color="auto" w:fill="2D53A6"/>
          </w:tcPr>
          <w:p>
            <w:pPr>
              <w:jc w:val="center"/>
              <w:ind w:right="50"/>
              <w:spacing w:after="0"/>
              <w:rPr>
                <w:sz w:val="20"/>
                <w:szCs w:val="20"/>
                <w:color w:val="auto"/>
              </w:rPr>
            </w:pPr>
            <w:r>
              <w:rPr>
                <w:rFonts w:ascii="Arial" w:cs="Arial" w:eastAsia="Arial" w:hAnsi="Arial"/>
                <w:sz w:val="18"/>
                <w:szCs w:val="18"/>
                <w:b w:val="1"/>
                <w:bCs w:val="1"/>
                <w:color w:val="FFFFFF"/>
                <w:w w:val="95"/>
              </w:rPr>
              <w:t>Expiration</w:t>
            </w:r>
          </w:p>
        </w:tc>
        <w:tc>
          <w:tcPr>
            <w:tcW w:w="1140" w:type="dxa"/>
            <w:vAlign w:val="bottom"/>
            <w:tcBorders>
              <w:right w:val="single" w:sz="8" w:color="2D53A6"/>
            </w:tcBorders>
            <w:vMerge w:val="continue"/>
            <w:shd w:val="clear" w:color="auto" w:fill="2D53A6"/>
          </w:tcPr>
          <w:p>
            <w:pPr>
              <w:spacing w:after="0"/>
              <w:rPr>
                <w:sz w:val="9"/>
                <w:szCs w:val="9"/>
                <w:color w:val="auto"/>
              </w:rPr>
            </w:pPr>
          </w:p>
        </w:tc>
        <w:tc>
          <w:tcPr>
            <w:tcW w:w="1120" w:type="dxa"/>
            <w:vAlign w:val="bottom"/>
            <w:tcBorders>
              <w:right w:val="single" w:sz="8" w:color="2D53A6"/>
            </w:tcBorders>
            <w:gridSpan w:val="2"/>
            <w:vMerge w:val="continue"/>
            <w:shd w:val="clear" w:color="auto" w:fill="2D53A6"/>
          </w:tcPr>
          <w:p>
            <w:pPr>
              <w:spacing w:after="0"/>
              <w:rPr>
                <w:sz w:val="9"/>
                <w:szCs w:val="9"/>
                <w:color w:val="auto"/>
              </w:rPr>
            </w:pP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of Unearned</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Officer</w:t>
            </w: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240" w:type="dxa"/>
            <w:vAlign w:val="bottom"/>
            <w:gridSpan w:val="2"/>
            <w:vMerge w:val="continue"/>
            <w:shd w:val="clear" w:color="auto" w:fill="2D53A6"/>
          </w:tcPr>
          <w:p>
            <w:pPr>
              <w:spacing w:after="0"/>
              <w:rPr>
                <w:sz w:val="9"/>
                <w:szCs w:val="9"/>
                <w:color w:val="auto"/>
              </w:rPr>
            </w:pPr>
          </w:p>
        </w:tc>
        <w:tc>
          <w:tcPr>
            <w:tcW w:w="1020" w:type="dxa"/>
            <w:vAlign w:val="bottom"/>
            <w:tcBorders>
              <w:right w:val="single" w:sz="8" w:color="2D53A6"/>
            </w:tcBorders>
            <w:vMerge w:val="continue"/>
            <w:shd w:val="clear" w:color="auto" w:fill="2D53A6"/>
          </w:tcPr>
          <w:p>
            <w:pPr>
              <w:spacing w:after="0"/>
              <w:rPr>
                <w:sz w:val="9"/>
                <w:szCs w:val="9"/>
                <w:color w:val="auto"/>
              </w:rPr>
            </w:pPr>
          </w:p>
        </w:tc>
        <w:tc>
          <w:tcPr>
            <w:tcW w:w="11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Date</w:t>
            </w:r>
          </w:p>
        </w:tc>
        <w:tc>
          <w:tcPr>
            <w:tcW w:w="1120" w:type="dxa"/>
            <w:vAlign w:val="bottom"/>
            <w:tcBorders>
              <w:right w:val="single" w:sz="8" w:color="2D53A6"/>
            </w:tcBorders>
            <w:gridSpan w:val="2"/>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Stock That</w:t>
            </w: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Stock That</w:t>
            </w: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continue"/>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Options</w:t>
            </w:r>
          </w:p>
        </w:tc>
        <w:tc>
          <w:tcPr>
            <w:tcW w:w="1240" w:type="dxa"/>
            <w:vAlign w:val="bottom"/>
            <w:gridSpan w:val="2"/>
            <w:vMerge w:val="restart"/>
            <w:shd w:val="clear" w:color="auto" w:fill="2D53A6"/>
          </w:tcPr>
          <w:p>
            <w:pPr>
              <w:jc w:val="center"/>
              <w:ind w:right="140"/>
              <w:spacing w:after="0"/>
              <w:rPr>
                <w:sz w:val="20"/>
                <w:szCs w:val="20"/>
                <w:color w:val="auto"/>
              </w:rPr>
            </w:pPr>
            <w:r>
              <w:rPr>
                <w:rFonts w:ascii="Arial" w:cs="Arial" w:eastAsia="Arial" w:hAnsi="Arial"/>
                <w:sz w:val="18"/>
                <w:szCs w:val="18"/>
                <w:b w:val="1"/>
                <w:bCs w:val="1"/>
                <w:color w:val="FFFFFF"/>
                <w:w w:val="92"/>
              </w:rPr>
              <w:t>Price ($)</w:t>
            </w:r>
          </w:p>
        </w:tc>
        <w:tc>
          <w:tcPr>
            <w:tcW w:w="1020" w:type="dxa"/>
            <w:vAlign w:val="bottom"/>
            <w:tcBorders>
              <w:right w:val="single" w:sz="8" w:color="2D53A6"/>
            </w:tcBorders>
            <w:vMerge w:val="restart"/>
            <w:shd w:val="clear" w:color="auto" w:fill="2D53A6"/>
          </w:tcPr>
          <w:p>
            <w:pPr>
              <w:jc w:val="center"/>
              <w:ind w:right="50"/>
              <w:spacing w:after="0"/>
              <w:rPr>
                <w:sz w:val="20"/>
                <w:szCs w:val="20"/>
                <w:color w:val="auto"/>
              </w:rPr>
            </w:pPr>
            <w:r>
              <w:rPr>
                <w:rFonts w:ascii="Arial" w:cs="Arial" w:eastAsia="Arial" w:hAnsi="Arial"/>
                <w:sz w:val="18"/>
                <w:szCs w:val="18"/>
                <w:b w:val="1"/>
                <w:bCs w:val="1"/>
                <w:color w:val="FFFFFF"/>
                <w:w w:val="92"/>
              </w:rPr>
              <w:t>Date</w:t>
            </w:r>
          </w:p>
        </w:tc>
        <w:tc>
          <w:tcPr>
            <w:tcW w:w="1140" w:type="dxa"/>
            <w:vAlign w:val="bottom"/>
            <w:tcBorders>
              <w:right w:val="single" w:sz="8" w:color="2D53A6"/>
            </w:tcBorders>
            <w:vMerge w:val="continue"/>
            <w:shd w:val="clear" w:color="auto" w:fill="2D53A6"/>
          </w:tcPr>
          <w:p>
            <w:pPr>
              <w:spacing w:after="0"/>
              <w:rPr>
                <w:sz w:val="9"/>
                <w:szCs w:val="9"/>
                <w:color w:val="auto"/>
              </w:rPr>
            </w:pPr>
          </w:p>
        </w:tc>
        <w:tc>
          <w:tcPr>
            <w:tcW w:w="1120" w:type="dxa"/>
            <w:vAlign w:val="bottom"/>
            <w:tcBorders>
              <w:right w:val="single" w:sz="8" w:color="2D53A6"/>
            </w:tcBorders>
            <w:gridSpan w:val="2"/>
            <w:vMerge w:val="continue"/>
            <w:shd w:val="clear" w:color="auto" w:fill="2D53A6"/>
          </w:tcPr>
          <w:p>
            <w:pPr>
              <w:spacing w:after="0"/>
              <w:rPr>
                <w:sz w:val="9"/>
                <w:szCs w:val="9"/>
                <w:color w:val="auto"/>
              </w:rPr>
            </w:pP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240" w:type="dxa"/>
            <w:vAlign w:val="bottom"/>
            <w:gridSpan w:val="2"/>
            <w:vMerge w:val="continue"/>
            <w:shd w:val="clear" w:color="auto" w:fill="2D53A6"/>
          </w:tcPr>
          <w:p>
            <w:pPr>
              <w:spacing w:after="0"/>
              <w:rPr>
                <w:sz w:val="9"/>
                <w:szCs w:val="9"/>
                <w:color w:val="auto"/>
              </w:rPr>
            </w:pPr>
          </w:p>
        </w:tc>
        <w:tc>
          <w:tcPr>
            <w:tcW w:w="1020" w:type="dxa"/>
            <w:vAlign w:val="bottom"/>
            <w:tcBorders>
              <w:right w:val="single" w:sz="8" w:color="2D53A6"/>
            </w:tcBorders>
            <w:vMerge w:val="continue"/>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vMerge w:val="restart"/>
            <w:shd w:val="clear" w:color="auto" w:fill="2D53A6"/>
          </w:tcPr>
          <w:p>
            <w:pPr>
              <w:jc w:val="center"/>
              <w:ind w:left="70"/>
              <w:spacing w:after="0"/>
              <w:rPr>
                <w:sz w:val="20"/>
                <w:szCs w:val="20"/>
                <w:color w:val="auto"/>
              </w:rPr>
            </w:pPr>
            <w:r>
              <w:rPr>
                <w:rFonts w:ascii="Arial" w:cs="Arial" w:eastAsia="Arial" w:hAnsi="Arial"/>
                <w:sz w:val="18"/>
                <w:szCs w:val="18"/>
                <w:b w:val="1"/>
                <w:bCs w:val="1"/>
                <w:color w:val="FFFFFF"/>
                <w:w w:val="92"/>
              </w:rPr>
              <w:t>Have Not</w:t>
            </w: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Have Not</w:t>
            </w: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or Other</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Exercisable</w:t>
            </w: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vMerge w:val="continue"/>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or Other</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1120" w:type="dxa"/>
            <w:vAlign w:val="bottom"/>
            <w:tcBorders>
              <w:right w:val="single" w:sz="8" w:color="2D53A6"/>
            </w:tcBorders>
            <w:gridSpan w:val="2"/>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Vested (#)</w:t>
            </w:r>
          </w:p>
        </w:tc>
        <w:tc>
          <w:tcPr>
            <w:tcW w:w="134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16"/>
                <w:szCs w:val="16"/>
                <w:b w:val="1"/>
                <w:bCs w:val="1"/>
                <w:color w:val="FFFFFF"/>
                <w:w w:val="96"/>
              </w:rPr>
              <w:t xml:space="preserve">Vested ($) </w:t>
            </w:r>
            <w:r>
              <w:rPr>
                <w:rFonts w:ascii="Arial" w:cs="Arial" w:eastAsia="Arial" w:hAnsi="Arial"/>
                <w:sz w:val="25"/>
                <w:szCs w:val="25"/>
                <w:b w:val="1"/>
                <w:bCs w:val="1"/>
                <w:color w:val="FFFFFF"/>
                <w:w w:val="96"/>
                <w:vertAlign w:val="superscript"/>
              </w:rPr>
              <w:t>(2)</w:t>
            </w: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Rights That</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1120" w:type="dxa"/>
            <w:vAlign w:val="bottom"/>
            <w:tcBorders>
              <w:right w:val="single" w:sz="8" w:color="2D53A6"/>
            </w:tcBorders>
            <w:gridSpan w:val="2"/>
            <w:vMerge w:val="continue"/>
            <w:shd w:val="clear" w:color="auto" w:fill="2D53A6"/>
          </w:tcPr>
          <w:p>
            <w:pPr>
              <w:spacing w:after="0"/>
              <w:rPr>
                <w:sz w:val="9"/>
                <w:szCs w:val="9"/>
                <w:color w:val="auto"/>
              </w:rPr>
            </w:pP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Rights That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vMerge w:val="continue"/>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shd w:val="clear" w:color="auto" w:fill="2D53A6"/>
          </w:tcPr>
          <w:p>
            <w:pPr>
              <w:spacing w:after="0"/>
              <w:rPr>
                <w:sz w:val="9"/>
                <w:szCs w:val="9"/>
                <w:color w:val="auto"/>
              </w:rPr>
            </w:pPr>
          </w:p>
        </w:tc>
        <w:tc>
          <w:tcPr>
            <w:tcW w:w="13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Have Not</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3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Have Not</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2D53A6"/>
          </w:tcPr>
          <w:p>
            <w:pPr>
              <w:spacing w:after="0"/>
              <w:rPr>
                <w:sz w:val="9"/>
                <w:szCs w:val="9"/>
                <w:color w:val="auto"/>
              </w:rPr>
            </w:pPr>
          </w:p>
        </w:tc>
        <w:tc>
          <w:tcPr>
            <w:tcW w:w="1360" w:type="dxa"/>
            <w:vAlign w:val="bottom"/>
            <w:tcBorders>
              <w:right w:val="single" w:sz="8" w:color="2D53A6"/>
            </w:tcBorders>
            <w:shd w:val="clear" w:color="auto" w:fill="2D53A6"/>
          </w:tcPr>
          <w:p>
            <w:pPr>
              <w:spacing w:after="0"/>
              <w:rPr>
                <w:sz w:val="9"/>
                <w:szCs w:val="9"/>
                <w:color w:val="auto"/>
              </w:rPr>
            </w:pPr>
          </w:p>
        </w:tc>
        <w:tc>
          <w:tcPr>
            <w:tcW w:w="112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020" w:type="dxa"/>
            <w:vAlign w:val="bottom"/>
            <w:tcBorders>
              <w:right w:val="single" w:sz="8" w:color="2D53A6"/>
            </w:tcBorders>
            <w:shd w:val="clear" w:color="auto" w:fill="2D53A6"/>
          </w:tcPr>
          <w:p>
            <w:pPr>
              <w:spacing w:after="0"/>
              <w:rPr>
                <w:sz w:val="9"/>
                <w:szCs w:val="9"/>
                <w:color w:val="auto"/>
              </w:rPr>
            </w:pPr>
          </w:p>
        </w:tc>
        <w:tc>
          <w:tcPr>
            <w:tcW w:w="1140" w:type="dxa"/>
            <w:vAlign w:val="bottom"/>
            <w:tcBorders>
              <w:right w:val="single" w:sz="8" w:color="2D53A6"/>
            </w:tcBorders>
            <w:shd w:val="clear" w:color="auto" w:fill="2D53A6"/>
          </w:tcPr>
          <w:p>
            <w:pPr>
              <w:spacing w:after="0"/>
              <w:rPr>
                <w:sz w:val="9"/>
                <w:szCs w:val="9"/>
                <w:color w:val="auto"/>
              </w:rPr>
            </w:pPr>
          </w:p>
        </w:tc>
        <w:tc>
          <w:tcPr>
            <w:tcW w:w="920" w:type="dxa"/>
            <w:vAlign w:val="bottom"/>
            <w:shd w:val="clear" w:color="auto" w:fill="2D53A6"/>
          </w:tcPr>
          <w:p>
            <w:pPr>
              <w:spacing w:after="0"/>
              <w:rPr>
                <w:sz w:val="9"/>
                <w:szCs w:val="9"/>
                <w:color w:val="auto"/>
              </w:rPr>
            </w:pPr>
          </w:p>
        </w:tc>
        <w:tc>
          <w:tcPr>
            <w:tcW w:w="200" w:type="dxa"/>
            <w:vAlign w:val="bottom"/>
            <w:tcBorders>
              <w:right w:val="single" w:sz="8" w:color="2D53A6"/>
            </w:tcBorders>
            <w:shd w:val="clear" w:color="auto" w:fill="2D53A6"/>
          </w:tcPr>
          <w:p>
            <w:pPr>
              <w:spacing w:after="0"/>
              <w:rPr>
                <w:sz w:val="9"/>
                <w:szCs w:val="9"/>
                <w:color w:val="auto"/>
              </w:rPr>
            </w:pPr>
          </w:p>
        </w:tc>
        <w:tc>
          <w:tcPr>
            <w:tcW w:w="1340" w:type="dxa"/>
            <w:vAlign w:val="bottom"/>
            <w:tcBorders>
              <w:right w:val="single" w:sz="8" w:color="2D53A6"/>
            </w:tcBorders>
            <w:shd w:val="clear" w:color="auto" w:fill="2D53A6"/>
          </w:tcPr>
          <w:p>
            <w:pPr>
              <w:spacing w:after="0"/>
              <w:rPr>
                <w:sz w:val="9"/>
                <w:szCs w:val="9"/>
                <w:color w:val="auto"/>
              </w:rPr>
            </w:pPr>
          </w:p>
        </w:tc>
        <w:tc>
          <w:tcPr>
            <w:tcW w:w="1320" w:type="dxa"/>
            <w:vAlign w:val="bottom"/>
            <w:tcBorders>
              <w:right w:val="single" w:sz="8" w:color="2D53A6"/>
            </w:tcBorders>
            <w:vMerge w:val="restart"/>
            <w:shd w:val="clear" w:color="auto" w:fill="2D53A6"/>
          </w:tcPr>
          <w:p>
            <w:pPr>
              <w:jc w:val="center"/>
              <w:spacing w:after="0" w:line="288" w:lineRule="exact"/>
              <w:rPr>
                <w:sz w:val="20"/>
                <w:szCs w:val="20"/>
                <w:color w:val="auto"/>
              </w:rPr>
            </w:pPr>
            <w:r>
              <w:rPr>
                <w:rFonts w:ascii="Arial" w:cs="Arial" w:eastAsia="Arial" w:hAnsi="Arial"/>
                <w:sz w:val="18"/>
                <w:szCs w:val="18"/>
                <w:b w:val="1"/>
                <w:bCs w:val="1"/>
                <w:color w:val="FFFFFF"/>
                <w:w w:val="85"/>
              </w:rPr>
              <w:t xml:space="preserve">Vested (#) </w:t>
            </w:r>
            <w:r>
              <w:rPr>
                <w:rFonts w:ascii="Arial" w:cs="Arial" w:eastAsia="Arial" w:hAnsi="Arial"/>
                <w:sz w:val="29"/>
                <w:szCs w:val="29"/>
                <w:b w:val="1"/>
                <w:bCs w:val="1"/>
                <w:color w:val="FFFFFF"/>
                <w:w w:val="85"/>
                <w:vertAlign w:val="superscript"/>
              </w:rPr>
              <w:t>(3)</w:t>
            </w:r>
          </w:p>
        </w:tc>
        <w:tc>
          <w:tcPr>
            <w:tcW w:w="134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360" w:type="dxa"/>
            <w:vAlign w:val="bottom"/>
            <w:tcBorders>
              <w:bottom w:val="single" w:sz="8" w:color="2D53A6"/>
              <w:right w:val="single" w:sz="8" w:color="2D53A6"/>
            </w:tcBorders>
            <w:shd w:val="clear" w:color="auto" w:fill="2D53A6"/>
          </w:tcPr>
          <w:p>
            <w:pPr>
              <w:spacing w:after="0"/>
              <w:rPr>
                <w:sz w:val="18"/>
                <w:szCs w:val="18"/>
                <w:color w:val="auto"/>
              </w:rPr>
            </w:pPr>
          </w:p>
        </w:tc>
        <w:tc>
          <w:tcPr>
            <w:tcW w:w="1360" w:type="dxa"/>
            <w:vAlign w:val="bottom"/>
            <w:tcBorders>
              <w:bottom w:val="single" w:sz="8" w:color="2D53A6"/>
              <w:right w:val="single" w:sz="8" w:color="2D53A6"/>
            </w:tcBorders>
            <w:shd w:val="clear" w:color="auto" w:fill="2D53A6"/>
          </w:tcPr>
          <w:p>
            <w:pPr>
              <w:spacing w:after="0"/>
              <w:rPr>
                <w:sz w:val="18"/>
                <w:szCs w:val="18"/>
                <w:color w:val="auto"/>
              </w:rPr>
            </w:pPr>
          </w:p>
        </w:tc>
        <w:tc>
          <w:tcPr>
            <w:tcW w:w="1120" w:type="dxa"/>
            <w:vAlign w:val="bottom"/>
            <w:tcBorders>
              <w:bottom w:val="single" w:sz="8" w:color="2D53A6"/>
              <w:right w:val="single" w:sz="8" w:color="2D53A6"/>
            </w:tcBorders>
            <w:shd w:val="clear" w:color="auto" w:fill="2D53A6"/>
          </w:tcPr>
          <w:p>
            <w:pPr>
              <w:spacing w:after="0"/>
              <w:rPr>
                <w:sz w:val="18"/>
                <w:szCs w:val="18"/>
                <w:color w:val="auto"/>
              </w:rPr>
            </w:pPr>
          </w:p>
        </w:tc>
        <w:tc>
          <w:tcPr>
            <w:tcW w:w="120" w:type="dxa"/>
            <w:vAlign w:val="bottom"/>
            <w:tcBorders>
              <w:bottom w:val="single" w:sz="8" w:color="2D53A6"/>
            </w:tcBorders>
            <w:shd w:val="clear" w:color="auto" w:fill="2D53A6"/>
          </w:tcPr>
          <w:p>
            <w:pPr>
              <w:spacing w:after="0"/>
              <w:rPr>
                <w:sz w:val="18"/>
                <w:szCs w:val="18"/>
                <w:color w:val="auto"/>
              </w:rPr>
            </w:pPr>
          </w:p>
        </w:tc>
        <w:tc>
          <w:tcPr>
            <w:tcW w:w="1020" w:type="dxa"/>
            <w:vAlign w:val="bottom"/>
            <w:tcBorders>
              <w:bottom w:val="single" w:sz="8" w:color="2D53A6"/>
              <w:right w:val="single" w:sz="8" w:color="2D53A6"/>
            </w:tcBorders>
            <w:shd w:val="clear" w:color="auto" w:fill="2D53A6"/>
          </w:tcPr>
          <w:p>
            <w:pPr>
              <w:spacing w:after="0"/>
              <w:rPr>
                <w:sz w:val="18"/>
                <w:szCs w:val="18"/>
                <w:color w:val="auto"/>
              </w:rPr>
            </w:pPr>
          </w:p>
        </w:tc>
        <w:tc>
          <w:tcPr>
            <w:tcW w:w="1140" w:type="dxa"/>
            <w:vAlign w:val="bottom"/>
            <w:tcBorders>
              <w:bottom w:val="single" w:sz="8" w:color="2D53A6"/>
              <w:right w:val="single" w:sz="8" w:color="2D53A6"/>
            </w:tcBorders>
            <w:shd w:val="clear" w:color="auto" w:fill="2D53A6"/>
          </w:tcPr>
          <w:p>
            <w:pPr>
              <w:spacing w:after="0"/>
              <w:rPr>
                <w:sz w:val="18"/>
                <w:szCs w:val="18"/>
                <w:color w:val="auto"/>
              </w:rPr>
            </w:pPr>
          </w:p>
        </w:tc>
        <w:tc>
          <w:tcPr>
            <w:tcW w:w="920" w:type="dxa"/>
            <w:vAlign w:val="bottom"/>
            <w:tcBorders>
              <w:bottom w:val="single" w:sz="8" w:color="2D53A6"/>
            </w:tcBorders>
            <w:shd w:val="clear" w:color="auto" w:fill="2D53A6"/>
          </w:tcPr>
          <w:p>
            <w:pPr>
              <w:spacing w:after="0"/>
              <w:rPr>
                <w:sz w:val="18"/>
                <w:szCs w:val="18"/>
                <w:color w:val="auto"/>
              </w:rPr>
            </w:pPr>
          </w:p>
        </w:tc>
        <w:tc>
          <w:tcPr>
            <w:tcW w:w="200" w:type="dxa"/>
            <w:vAlign w:val="bottom"/>
            <w:tcBorders>
              <w:bottom w:val="single" w:sz="8" w:color="2D53A6"/>
              <w:right w:val="single" w:sz="8" w:color="2D53A6"/>
            </w:tcBorders>
            <w:shd w:val="clear" w:color="auto" w:fill="2D53A6"/>
          </w:tcPr>
          <w:p>
            <w:pPr>
              <w:spacing w:after="0"/>
              <w:rPr>
                <w:sz w:val="18"/>
                <w:szCs w:val="18"/>
                <w:color w:val="auto"/>
              </w:rPr>
            </w:pPr>
          </w:p>
        </w:tc>
        <w:tc>
          <w:tcPr>
            <w:tcW w:w="1340" w:type="dxa"/>
            <w:vAlign w:val="bottom"/>
            <w:tcBorders>
              <w:bottom w:val="single" w:sz="8" w:color="2D53A6"/>
              <w:right w:val="single" w:sz="8" w:color="2D53A6"/>
            </w:tcBorders>
            <w:shd w:val="clear" w:color="auto" w:fill="2D53A6"/>
          </w:tcPr>
          <w:p>
            <w:pPr>
              <w:spacing w:after="0"/>
              <w:rPr>
                <w:sz w:val="18"/>
                <w:szCs w:val="18"/>
                <w:color w:val="auto"/>
              </w:rPr>
            </w:pPr>
          </w:p>
        </w:tc>
        <w:tc>
          <w:tcPr>
            <w:tcW w:w="1320" w:type="dxa"/>
            <w:vAlign w:val="bottom"/>
            <w:tcBorders>
              <w:bottom w:val="single" w:sz="8" w:color="2D53A6"/>
              <w:right w:val="single" w:sz="8" w:color="2D53A6"/>
            </w:tcBorders>
            <w:vMerge w:val="continue"/>
            <w:shd w:val="clear" w:color="auto" w:fill="2D53A6"/>
          </w:tcPr>
          <w:p>
            <w:pPr>
              <w:spacing w:after="0"/>
              <w:rPr>
                <w:sz w:val="18"/>
                <w:szCs w:val="18"/>
                <w:color w:val="auto"/>
              </w:rPr>
            </w:pPr>
          </w:p>
        </w:tc>
        <w:tc>
          <w:tcPr>
            <w:tcW w:w="1340" w:type="dxa"/>
            <w:vAlign w:val="bottom"/>
            <w:tcBorders>
              <w:bottom w:val="single" w:sz="8" w:color="2D53A6"/>
              <w:right w:val="single" w:sz="8" w:color="2D53A6"/>
            </w:tcBorders>
            <w:shd w:val="clear" w:color="auto" w:fill="2D53A6"/>
          </w:tcPr>
          <w:p>
            <w:pPr>
              <w:jc w:val="center"/>
              <w:spacing w:after="0" w:line="214" w:lineRule="exact"/>
              <w:rPr>
                <w:sz w:val="20"/>
                <w:szCs w:val="20"/>
                <w:color w:val="auto"/>
              </w:rPr>
            </w:pPr>
            <w:r>
              <w:rPr>
                <w:rFonts w:ascii="Arial" w:cs="Arial" w:eastAsia="Arial" w:hAnsi="Arial"/>
                <w:sz w:val="15"/>
                <w:szCs w:val="15"/>
                <w:b w:val="1"/>
                <w:bCs w:val="1"/>
                <w:color w:val="FFFFFF"/>
              </w:rPr>
              <w:t xml:space="preserve">Vested ($) </w:t>
            </w:r>
            <w:r>
              <w:rPr>
                <w:rFonts w:ascii="Arial" w:cs="Arial" w:eastAsia="Arial" w:hAnsi="Arial"/>
                <w:sz w:val="24"/>
                <w:szCs w:val="24"/>
                <w:b w:val="1"/>
                <w:bCs w:val="1"/>
                <w:color w:val="FFFFFF"/>
                <w:vertAlign w:val="superscript"/>
              </w:rPr>
              <w:t>(4)</w:t>
            </w:r>
          </w:p>
        </w:tc>
        <w:tc>
          <w:tcPr>
            <w:tcW w:w="0" w:type="dxa"/>
            <w:vAlign w:val="bottom"/>
          </w:tcPr>
          <w:p>
            <w:pPr>
              <w:spacing w:after="0"/>
              <w:rPr>
                <w:sz w:val="1"/>
                <w:szCs w:val="1"/>
                <w:color w:val="auto"/>
              </w:rPr>
            </w:pPr>
          </w:p>
        </w:tc>
      </w:tr>
      <w:tr>
        <w:trPr>
          <w:trHeight w:val="202"/>
        </w:trPr>
        <w:tc>
          <w:tcPr>
            <w:tcW w:w="1360" w:type="dxa"/>
            <w:vAlign w:val="bottom"/>
            <w:tcBorders>
              <w:right w:val="single" w:sz="8" w:color="2D53A6"/>
            </w:tcBorders>
          </w:tcPr>
          <w:p>
            <w:pPr>
              <w:spacing w:after="0"/>
              <w:rPr>
                <w:sz w:val="17"/>
                <w:szCs w:val="17"/>
                <w:color w:val="auto"/>
              </w:rPr>
            </w:pPr>
          </w:p>
        </w:tc>
        <w:tc>
          <w:tcPr>
            <w:tcW w:w="136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2D53A6"/>
            </w:tcBorders>
          </w:tcPr>
          <w:p>
            <w:pPr>
              <w:jc w:val="center"/>
              <w:spacing w:after="0" w:line="201" w:lineRule="exact"/>
              <w:rPr>
                <w:sz w:val="20"/>
                <w:szCs w:val="20"/>
                <w:color w:val="auto"/>
              </w:rPr>
            </w:pPr>
            <w:r>
              <w:rPr>
                <w:rFonts w:ascii="Arial" w:cs="Arial" w:eastAsia="Arial" w:hAnsi="Arial"/>
                <w:sz w:val="18"/>
                <w:szCs w:val="18"/>
                <w:color w:val="auto"/>
                <w:w w:val="89"/>
              </w:rPr>
              <w:t>3/19/2019</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14,780</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473,699</w:t>
            </w:r>
          </w:p>
        </w:tc>
        <w:tc>
          <w:tcPr>
            <w:tcW w:w="132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vMerge w:val="restart"/>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360" w:type="dxa"/>
            <w:vAlign w:val="bottom"/>
            <w:tcBorders>
              <w:right w:val="single" w:sz="8" w:color="2D53A6"/>
            </w:tcBorders>
          </w:tcPr>
          <w:p>
            <w:pPr>
              <w:spacing w:after="0"/>
              <w:rPr>
                <w:sz w:val="18"/>
                <w:szCs w:val="18"/>
                <w:color w:val="auto"/>
              </w:rPr>
            </w:pPr>
          </w:p>
        </w:tc>
        <w:tc>
          <w:tcPr>
            <w:tcW w:w="1120" w:type="dxa"/>
            <w:vAlign w:val="bottom"/>
            <w:tcBorders>
              <w:right w:val="single" w:sz="8" w:color="2D53A6"/>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2D53A6"/>
            </w:tcBorders>
          </w:tcPr>
          <w:p>
            <w:pPr>
              <w:spacing w:after="0"/>
              <w:rPr>
                <w:sz w:val="18"/>
                <w:szCs w:val="18"/>
                <w:color w:val="auto"/>
              </w:rPr>
            </w:pPr>
          </w:p>
        </w:tc>
        <w:tc>
          <w:tcPr>
            <w:tcW w:w="11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3/17/2020</w:t>
            </w:r>
          </w:p>
        </w:tc>
        <w:tc>
          <w:tcPr>
            <w:tcW w:w="920" w:type="dxa"/>
            <w:vAlign w:val="bottom"/>
          </w:tcPr>
          <w:p>
            <w:pPr>
              <w:jc w:val="right"/>
              <w:spacing w:after="0"/>
              <w:rPr>
                <w:sz w:val="20"/>
                <w:szCs w:val="20"/>
                <w:color w:val="auto"/>
              </w:rPr>
            </w:pPr>
            <w:r>
              <w:rPr>
                <w:rFonts w:ascii="Arial" w:cs="Arial" w:eastAsia="Arial" w:hAnsi="Arial"/>
                <w:sz w:val="18"/>
                <w:szCs w:val="18"/>
                <w:color w:val="auto"/>
              </w:rPr>
              <w:t>40,352</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1,293,282</w:t>
            </w:r>
          </w:p>
        </w:tc>
        <w:tc>
          <w:tcPr>
            <w:tcW w:w="13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80,705</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2,586,595</w:t>
            </w:r>
          </w:p>
        </w:tc>
        <w:tc>
          <w:tcPr>
            <w:tcW w:w="0" w:type="dxa"/>
            <w:vAlign w:val="bottom"/>
          </w:tcPr>
          <w:p>
            <w:pPr>
              <w:spacing w:after="0"/>
              <w:rPr>
                <w:sz w:val="1"/>
                <w:szCs w:val="1"/>
                <w:color w:val="auto"/>
              </w:rPr>
            </w:pPr>
          </w:p>
        </w:tc>
      </w:tr>
      <w:tr>
        <w:trPr>
          <w:trHeight w:val="142"/>
        </w:trPr>
        <w:tc>
          <w:tcPr>
            <w:tcW w:w="1360" w:type="dxa"/>
            <w:vAlign w:val="bottom"/>
            <w:tcBorders>
              <w:right w:val="single" w:sz="8" w:color="2D53A6"/>
            </w:tcBorders>
            <w:vMerge w:val="continue"/>
          </w:tcPr>
          <w:p>
            <w:pPr>
              <w:spacing w:after="0"/>
              <w:rPr>
                <w:sz w:val="12"/>
                <w:szCs w:val="12"/>
                <w:color w:val="auto"/>
              </w:rPr>
            </w:pPr>
          </w:p>
        </w:tc>
        <w:tc>
          <w:tcPr>
            <w:tcW w:w="1360" w:type="dxa"/>
            <w:vAlign w:val="bottom"/>
            <w:tcBorders>
              <w:right w:val="single" w:sz="8" w:color="2D53A6"/>
            </w:tcBorders>
          </w:tcPr>
          <w:p>
            <w:pPr>
              <w:spacing w:after="0"/>
              <w:rPr>
                <w:sz w:val="12"/>
                <w:szCs w:val="12"/>
                <w:color w:val="auto"/>
              </w:rPr>
            </w:pPr>
          </w:p>
        </w:tc>
        <w:tc>
          <w:tcPr>
            <w:tcW w:w="1120" w:type="dxa"/>
            <w:vAlign w:val="bottom"/>
            <w:tcBorders>
              <w:right w:val="single" w:sz="8" w:color="2D53A6"/>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2D53A6"/>
            </w:tcBorders>
          </w:tcPr>
          <w:p>
            <w:pPr>
              <w:spacing w:after="0"/>
              <w:rPr>
                <w:sz w:val="12"/>
                <w:szCs w:val="12"/>
                <w:color w:val="auto"/>
              </w:rPr>
            </w:pPr>
          </w:p>
        </w:tc>
        <w:tc>
          <w:tcPr>
            <w:tcW w:w="11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3/15/2021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21,453</w:t>
            </w:r>
          </w:p>
        </w:tc>
        <w:tc>
          <w:tcPr>
            <w:tcW w:w="20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687,569</w:t>
            </w:r>
          </w:p>
        </w:tc>
        <w:tc>
          <w:tcPr>
            <w:tcW w:w="132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28,604</w:t>
            </w:r>
          </w:p>
        </w:tc>
        <w:tc>
          <w:tcPr>
            <w:tcW w:w="1340" w:type="dxa"/>
            <w:vAlign w:val="bottom"/>
            <w:tcBorders>
              <w:right w:val="single" w:sz="8" w:color="2D53A6"/>
            </w:tcBorders>
            <w:vMerge w:val="restart"/>
          </w:tcPr>
          <w:p>
            <w:pPr>
              <w:jc w:val="right"/>
              <w:spacing w:after="0"/>
              <w:rPr>
                <w:sz w:val="20"/>
                <w:szCs w:val="20"/>
                <w:color w:val="auto"/>
              </w:rPr>
            </w:pPr>
            <w:r>
              <w:rPr>
                <w:rFonts w:ascii="Arial" w:cs="Arial" w:eastAsia="Arial" w:hAnsi="Arial"/>
                <w:sz w:val="18"/>
                <w:szCs w:val="18"/>
                <w:color w:val="auto"/>
              </w:rPr>
              <w:t>916,758</w:t>
            </w:r>
          </w:p>
        </w:tc>
        <w:tc>
          <w:tcPr>
            <w:tcW w:w="0" w:type="dxa"/>
            <w:vAlign w:val="bottom"/>
          </w:tcPr>
          <w:p>
            <w:pPr>
              <w:spacing w:after="0"/>
              <w:rPr>
                <w:sz w:val="1"/>
                <w:szCs w:val="1"/>
                <w:color w:val="auto"/>
              </w:rPr>
            </w:pPr>
          </w:p>
        </w:tc>
      </w:tr>
      <w:tr>
        <w:trPr>
          <w:trHeight w:val="74"/>
        </w:trPr>
        <w:tc>
          <w:tcPr>
            <w:tcW w:w="1360" w:type="dxa"/>
            <w:vAlign w:val="bottom"/>
            <w:tcBorders>
              <w:right w:val="single" w:sz="8" w:color="2D53A6"/>
            </w:tcBorders>
          </w:tcPr>
          <w:p>
            <w:pPr>
              <w:spacing w:after="0"/>
              <w:rPr>
                <w:sz w:val="6"/>
                <w:szCs w:val="6"/>
                <w:color w:val="auto"/>
              </w:rPr>
            </w:pPr>
          </w:p>
        </w:tc>
        <w:tc>
          <w:tcPr>
            <w:tcW w:w="1360" w:type="dxa"/>
            <w:vAlign w:val="bottom"/>
            <w:tcBorders>
              <w:right w:val="single" w:sz="8" w:color="2D53A6"/>
            </w:tcBorders>
          </w:tcPr>
          <w:p>
            <w:pPr>
              <w:spacing w:after="0"/>
              <w:rPr>
                <w:sz w:val="6"/>
                <w:szCs w:val="6"/>
                <w:color w:val="auto"/>
              </w:rPr>
            </w:pPr>
          </w:p>
        </w:tc>
        <w:tc>
          <w:tcPr>
            <w:tcW w:w="1120" w:type="dxa"/>
            <w:vAlign w:val="bottom"/>
            <w:tcBorders>
              <w:right w:val="single" w:sz="8" w:color="2D53A6"/>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right w:val="single" w:sz="8" w:color="2D53A6"/>
            </w:tcBorders>
          </w:tcPr>
          <w:p>
            <w:pPr>
              <w:spacing w:after="0"/>
              <w:rPr>
                <w:sz w:val="6"/>
                <w:szCs w:val="6"/>
                <w:color w:val="auto"/>
              </w:rPr>
            </w:pPr>
          </w:p>
        </w:tc>
        <w:tc>
          <w:tcPr>
            <w:tcW w:w="1140" w:type="dxa"/>
            <w:vAlign w:val="bottom"/>
            <w:tcBorders>
              <w:right w:val="single" w:sz="8" w:color="2D53A6"/>
            </w:tcBorders>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Borders>
              <w:right w:val="single" w:sz="8" w:color="2D53A6"/>
            </w:tcBorders>
            <w:vMerge w:val="continue"/>
          </w:tcPr>
          <w:p>
            <w:pPr>
              <w:spacing w:after="0"/>
              <w:rPr>
                <w:sz w:val="6"/>
                <w:szCs w:val="6"/>
                <w:color w:val="auto"/>
              </w:rPr>
            </w:pPr>
          </w:p>
        </w:tc>
        <w:tc>
          <w:tcPr>
            <w:tcW w:w="1340" w:type="dxa"/>
            <w:vAlign w:val="bottom"/>
            <w:tcBorders>
              <w:right w:val="single" w:sz="8" w:color="2D53A6"/>
            </w:tcBorders>
            <w:vMerge w:val="continue"/>
          </w:tcPr>
          <w:p>
            <w:pPr>
              <w:spacing w:after="0"/>
              <w:rPr>
                <w:sz w:val="6"/>
                <w:szCs w:val="6"/>
                <w:color w:val="auto"/>
              </w:rPr>
            </w:pPr>
          </w:p>
        </w:tc>
        <w:tc>
          <w:tcPr>
            <w:tcW w:w="1320" w:type="dxa"/>
            <w:vAlign w:val="bottom"/>
            <w:tcBorders>
              <w:right w:val="single" w:sz="8" w:color="2D53A6"/>
            </w:tcBorders>
            <w:vMerge w:val="continue"/>
          </w:tcPr>
          <w:p>
            <w:pPr>
              <w:spacing w:after="0"/>
              <w:rPr>
                <w:sz w:val="6"/>
                <w:szCs w:val="6"/>
                <w:color w:val="auto"/>
              </w:rPr>
            </w:pPr>
          </w:p>
        </w:tc>
        <w:tc>
          <w:tcPr>
            <w:tcW w:w="1340" w:type="dxa"/>
            <w:vAlign w:val="bottom"/>
            <w:tcBorders>
              <w:right w:val="single" w:sz="8" w:color="2D53A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60" w:type="dxa"/>
            <w:vAlign w:val="bottom"/>
            <w:tcBorders>
              <w:bottom w:val="single" w:sz="8" w:color="2D53A6"/>
              <w:right w:val="single" w:sz="8" w:color="2D53A6"/>
            </w:tcBorders>
          </w:tcPr>
          <w:p>
            <w:pPr>
              <w:spacing w:after="0"/>
              <w:rPr>
                <w:sz w:val="20"/>
                <w:szCs w:val="20"/>
                <w:color w:val="auto"/>
              </w:rPr>
            </w:pPr>
          </w:p>
        </w:tc>
        <w:tc>
          <w:tcPr>
            <w:tcW w:w="1360" w:type="dxa"/>
            <w:vAlign w:val="bottom"/>
            <w:tcBorders>
              <w:bottom w:val="single" w:sz="8" w:color="2D53A6"/>
              <w:right w:val="single" w:sz="8" w:color="2D53A6"/>
            </w:tcBorders>
          </w:tcPr>
          <w:p>
            <w:pPr>
              <w:spacing w:after="0"/>
              <w:rPr>
                <w:sz w:val="20"/>
                <w:szCs w:val="20"/>
                <w:color w:val="auto"/>
              </w:rPr>
            </w:pPr>
          </w:p>
        </w:tc>
        <w:tc>
          <w:tcPr>
            <w:tcW w:w="1120" w:type="dxa"/>
            <w:vAlign w:val="bottom"/>
            <w:tcBorders>
              <w:bottom w:val="single" w:sz="8" w:color="2D53A6"/>
              <w:right w:val="single" w:sz="8" w:color="2D53A6"/>
            </w:tcBorders>
          </w:tcPr>
          <w:p>
            <w:pPr>
              <w:spacing w:after="0"/>
              <w:rPr>
                <w:sz w:val="20"/>
                <w:szCs w:val="20"/>
                <w:color w:val="auto"/>
              </w:rPr>
            </w:pPr>
          </w:p>
        </w:tc>
        <w:tc>
          <w:tcPr>
            <w:tcW w:w="120" w:type="dxa"/>
            <w:vAlign w:val="bottom"/>
            <w:tcBorders>
              <w:bottom w:val="single" w:sz="8" w:color="2D53A6"/>
            </w:tcBorders>
          </w:tcPr>
          <w:p>
            <w:pPr>
              <w:spacing w:after="0"/>
              <w:rPr>
                <w:sz w:val="20"/>
                <w:szCs w:val="20"/>
                <w:color w:val="auto"/>
              </w:rPr>
            </w:pPr>
          </w:p>
        </w:tc>
        <w:tc>
          <w:tcPr>
            <w:tcW w:w="1020" w:type="dxa"/>
            <w:vAlign w:val="bottom"/>
            <w:tcBorders>
              <w:bottom w:val="single" w:sz="8" w:color="2D53A6"/>
              <w:right w:val="single" w:sz="8" w:color="2D53A6"/>
            </w:tcBorders>
          </w:tcPr>
          <w:p>
            <w:pPr>
              <w:spacing w:after="0"/>
              <w:rPr>
                <w:sz w:val="20"/>
                <w:szCs w:val="20"/>
                <w:color w:val="auto"/>
              </w:rPr>
            </w:pP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3/14/2022</w:t>
            </w:r>
          </w:p>
        </w:tc>
        <w:tc>
          <w:tcPr>
            <w:tcW w:w="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54,844</w:t>
            </w:r>
          </w:p>
        </w:tc>
        <w:tc>
          <w:tcPr>
            <w:tcW w:w="2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1,757,750</w:t>
            </w:r>
          </w:p>
        </w:tc>
        <w:tc>
          <w:tcPr>
            <w:tcW w:w="13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54,844</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1,757,750</w:t>
            </w:r>
          </w:p>
        </w:tc>
        <w:tc>
          <w:tcPr>
            <w:tcW w:w="0" w:type="dxa"/>
            <w:vAlign w:val="bottom"/>
          </w:tcPr>
          <w:p>
            <w:pPr>
              <w:spacing w:after="0"/>
              <w:rPr>
                <w:sz w:val="1"/>
                <w:szCs w:val="1"/>
                <w:color w:val="auto"/>
              </w:rPr>
            </w:pPr>
          </w:p>
        </w:tc>
      </w:tr>
      <w:tr>
        <w:trPr>
          <w:trHeight w:val="210"/>
        </w:trPr>
        <w:tc>
          <w:tcPr>
            <w:tcW w:w="1360" w:type="dxa"/>
            <w:vAlign w:val="bottom"/>
            <w:tcBorders>
              <w:right w:val="single" w:sz="8" w:color="2D53A6"/>
            </w:tcBorders>
            <w:shd w:val="clear" w:color="auto" w:fill="E6E6E6"/>
          </w:tcPr>
          <w:p>
            <w:pPr>
              <w:spacing w:after="0"/>
              <w:rPr>
                <w:sz w:val="18"/>
                <w:szCs w:val="18"/>
                <w:color w:val="auto"/>
              </w:rPr>
            </w:pPr>
          </w:p>
        </w:tc>
        <w:tc>
          <w:tcPr>
            <w:tcW w:w="136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0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3/19/2019</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5,574</w:t>
            </w:r>
          </w:p>
        </w:tc>
        <w:tc>
          <w:tcPr>
            <w:tcW w:w="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178,647</w:t>
            </w:r>
          </w:p>
        </w:tc>
        <w:tc>
          <w:tcPr>
            <w:tcW w:w="13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360" w:type="dxa"/>
            <w:vAlign w:val="bottom"/>
            <w:tcBorders>
              <w:right w:val="single" w:sz="8" w:color="2D53A6"/>
            </w:tcBorders>
            <w:shd w:val="clear" w:color="auto" w:fill="E6E6E6"/>
          </w:tcPr>
          <w:p>
            <w:pPr>
              <w:spacing w:after="0"/>
              <w:rPr>
                <w:sz w:val="18"/>
                <w:szCs w:val="18"/>
                <w:color w:val="auto"/>
              </w:rPr>
            </w:pPr>
          </w:p>
        </w:tc>
        <w:tc>
          <w:tcPr>
            <w:tcW w:w="1120" w:type="dxa"/>
            <w:vAlign w:val="bottom"/>
            <w:tcBorders>
              <w:right w:val="single" w:sz="8" w:color="2D53A6"/>
            </w:tcBorders>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20" w:type="dxa"/>
            <w:vAlign w:val="bottom"/>
            <w:tcBorders>
              <w:right w:val="single" w:sz="8" w:color="2D53A6"/>
            </w:tcBorders>
            <w:shd w:val="clear" w:color="auto" w:fill="E6E6E6"/>
          </w:tcPr>
          <w:p>
            <w:pPr>
              <w:spacing w:after="0"/>
              <w:rPr>
                <w:sz w:val="18"/>
                <w:szCs w:val="18"/>
                <w:color w:val="auto"/>
              </w:rPr>
            </w:pPr>
          </w:p>
        </w:tc>
        <w:tc>
          <w:tcPr>
            <w:tcW w:w="11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3/17/2020</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13,325</w:t>
            </w:r>
          </w:p>
        </w:tc>
        <w:tc>
          <w:tcPr>
            <w:tcW w:w="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427,066</w:t>
            </w:r>
          </w:p>
        </w:tc>
        <w:tc>
          <w:tcPr>
            <w:tcW w:w="13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26,651</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854,165</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vMerge w:val="continue"/>
            <w:shd w:val="clear" w:color="auto" w:fill="E6E6E6"/>
          </w:tcPr>
          <w:p>
            <w:pPr>
              <w:spacing w:after="0"/>
              <w:rPr>
                <w:sz w:val="9"/>
                <w:szCs w:val="9"/>
                <w:color w:val="auto"/>
              </w:rPr>
            </w:pPr>
          </w:p>
        </w:tc>
        <w:tc>
          <w:tcPr>
            <w:tcW w:w="1360" w:type="dxa"/>
            <w:vAlign w:val="bottom"/>
            <w:tcBorders>
              <w:right w:val="single" w:sz="8" w:color="2D53A6"/>
            </w:tcBorders>
            <w:shd w:val="clear" w:color="auto" w:fill="E6E6E6"/>
          </w:tcPr>
          <w:p>
            <w:pPr>
              <w:spacing w:after="0"/>
              <w:rPr>
                <w:sz w:val="9"/>
                <w:szCs w:val="9"/>
                <w:color w:val="auto"/>
              </w:rPr>
            </w:pPr>
          </w:p>
        </w:tc>
        <w:tc>
          <w:tcPr>
            <w:tcW w:w="1120" w:type="dxa"/>
            <w:vAlign w:val="bottom"/>
            <w:tcBorders>
              <w:right w:val="single" w:sz="8" w:color="2D53A6"/>
            </w:tcBorders>
            <w:shd w:val="clear" w:color="auto" w:fill="E6E6E6"/>
          </w:tcPr>
          <w:p>
            <w:pPr>
              <w:spacing w:after="0"/>
              <w:rPr>
                <w:sz w:val="9"/>
                <w:szCs w:val="9"/>
                <w:color w:val="auto"/>
              </w:rPr>
            </w:pPr>
          </w:p>
        </w:tc>
        <w:tc>
          <w:tcPr>
            <w:tcW w:w="120" w:type="dxa"/>
            <w:vAlign w:val="bottom"/>
            <w:shd w:val="clear" w:color="auto" w:fill="E6E6E6"/>
          </w:tcPr>
          <w:p>
            <w:pPr>
              <w:spacing w:after="0"/>
              <w:rPr>
                <w:sz w:val="9"/>
                <w:szCs w:val="9"/>
                <w:color w:val="auto"/>
              </w:rPr>
            </w:pPr>
          </w:p>
        </w:tc>
        <w:tc>
          <w:tcPr>
            <w:tcW w:w="1020" w:type="dxa"/>
            <w:vAlign w:val="bottom"/>
            <w:tcBorders>
              <w:right w:val="single" w:sz="8" w:color="2D53A6"/>
            </w:tcBorders>
            <w:shd w:val="clear" w:color="auto" w:fill="E6E6E6"/>
          </w:tcPr>
          <w:p>
            <w:pPr>
              <w:spacing w:after="0"/>
              <w:rPr>
                <w:sz w:val="9"/>
                <w:szCs w:val="9"/>
                <w:color w:val="auto"/>
              </w:rPr>
            </w:pPr>
          </w:p>
        </w:tc>
        <w:tc>
          <w:tcPr>
            <w:tcW w:w="11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89"/>
              </w:rPr>
              <w:t>3/15/2021</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7,036</w:t>
            </w:r>
          </w:p>
        </w:tc>
        <w:tc>
          <w:tcPr>
            <w:tcW w:w="20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225,504</w:t>
            </w:r>
          </w:p>
        </w:tc>
        <w:tc>
          <w:tcPr>
            <w:tcW w:w="132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9,382</w:t>
            </w:r>
          </w:p>
        </w:tc>
        <w:tc>
          <w:tcPr>
            <w:tcW w:w="1340" w:type="dxa"/>
            <w:vAlign w:val="bottom"/>
            <w:tcBorders>
              <w:right w:val="single" w:sz="8" w:color="2D53A6"/>
            </w:tcBorders>
            <w:vMerge w:val="restart"/>
            <w:shd w:val="clear" w:color="auto" w:fill="E6E6E6"/>
          </w:tcPr>
          <w:p>
            <w:pPr>
              <w:jc w:val="right"/>
              <w:spacing w:after="0"/>
              <w:rPr>
                <w:sz w:val="20"/>
                <w:szCs w:val="20"/>
                <w:color w:val="auto"/>
              </w:rPr>
            </w:pPr>
            <w:r>
              <w:rPr>
                <w:rFonts w:ascii="Arial" w:cs="Arial" w:eastAsia="Arial" w:hAnsi="Arial"/>
                <w:sz w:val="18"/>
                <w:szCs w:val="18"/>
                <w:color w:val="auto"/>
              </w:rPr>
              <w:t>300,693</w:t>
            </w:r>
          </w:p>
        </w:tc>
        <w:tc>
          <w:tcPr>
            <w:tcW w:w="0" w:type="dxa"/>
            <w:vAlign w:val="bottom"/>
          </w:tcPr>
          <w:p>
            <w:pPr>
              <w:spacing w:after="0"/>
              <w:rPr>
                <w:sz w:val="1"/>
                <w:szCs w:val="1"/>
                <w:color w:val="auto"/>
              </w:rPr>
            </w:pPr>
          </w:p>
        </w:tc>
      </w:tr>
      <w:tr>
        <w:trPr>
          <w:trHeight w:val="108"/>
        </w:trPr>
        <w:tc>
          <w:tcPr>
            <w:tcW w:w="1360" w:type="dxa"/>
            <w:vAlign w:val="bottom"/>
            <w:tcBorders>
              <w:right w:val="single" w:sz="8" w:color="2D53A6"/>
            </w:tcBorders>
            <w:shd w:val="clear" w:color="auto" w:fill="E6E6E6"/>
          </w:tcPr>
          <w:p>
            <w:pPr>
              <w:spacing w:after="0"/>
              <w:rPr>
                <w:sz w:val="9"/>
                <w:szCs w:val="9"/>
                <w:color w:val="auto"/>
              </w:rPr>
            </w:pPr>
          </w:p>
        </w:tc>
        <w:tc>
          <w:tcPr>
            <w:tcW w:w="1360" w:type="dxa"/>
            <w:vAlign w:val="bottom"/>
            <w:tcBorders>
              <w:right w:val="single" w:sz="8" w:color="2D53A6"/>
            </w:tcBorders>
            <w:shd w:val="clear" w:color="auto" w:fill="E6E6E6"/>
          </w:tcPr>
          <w:p>
            <w:pPr>
              <w:spacing w:after="0"/>
              <w:rPr>
                <w:sz w:val="9"/>
                <w:szCs w:val="9"/>
                <w:color w:val="auto"/>
              </w:rPr>
            </w:pPr>
          </w:p>
        </w:tc>
        <w:tc>
          <w:tcPr>
            <w:tcW w:w="1120" w:type="dxa"/>
            <w:vAlign w:val="bottom"/>
            <w:tcBorders>
              <w:right w:val="single" w:sz="8" w:color="2D53A6"/>
            </w:tcBorders>
            <w:shd w:val="clear" w:color="auto" w:fill="E6E6E6"/>
          </w:tcPr>
          <w:p>
            <w:pPr>
              <w:spacing w:after="0"/>
              <w:rPr>
                <w:sz w:val="9"/>
                <w:szCs w:val="9"/>
                <w:color w:val="auto"/>
              </w:rPr>
            </w:pPr>
          </w:p>
        </w:tc>
        <w:tc>
          <w:tcPr>
            <w:tcW w:w="120" w:type="dxa"/>
            <w:vAlign w:val="bottom"/>
            <w:shd w:val="clear" w:color="auto" w:fill="E6E6E6"/>
          </w:tcPr>
          <w:p>
            <w:pPr>
              <w:spacing w:after="0"/>
              <w:rPr>
                <w:sz w:val="9"/>
                <w:szCs w:val="9"/>
                <w:color w:val="auto"/>
              </w:rPr>
            </w:pPr>
          </w:p>
        </w:tc>
        <w:tc>
          <w:tcPr>
            <w:tcW w:w="1020" w:type="dxa"/>
            <w:vAlign w:val="bottom"/>
            <w:tcBorders>
              <w:right w:val="single" w:sz="8" w:color="2D53A6"/>
            </w:tcBorders>
            <w:shd w:val="clear" w:color="auto" w:fill="E6E6E6"/>
          </w:tcPr>
          <w:p>
            <w:pPr>
              <w:spacing w:after="0"/>
              <w:rPr>
                <w:sz w:val="9"/>
                <w:szCs w:val="9"/>
                <w:color w:val="auto"/>
              </w:rPr>
            </w:pPr>
          </w:p>
        </w:tc>
        <w:tc>
          <w:tcPr>
            <w:tcW w:w="1140" w:type="dxa"/>
            <w:vAlign w:val="bottom"/>
            <w:tcBorders>
              <w:right w:val="single" w:sz="8" w:color="2D53A6"/>
            </w:tcBorders>
            <w:vMerge w:val="continue"/>
            <w:shd w:val="clear" w:color="auto" w:fill="E6E6E6"/>
          </w:tcPr>
          <w:p>
            <w:pPr>
              <w:spacing w:after="0"/>
              <w:rPr>
                <w:sz w:val="9"/>
                <w:szCs w:val="9"/>
                <w:color w:val="auto"/>
              </w:rPr>
            </w:pPr>
          </w:p>
        </w:tc>
        <w:tc>
          <w:tcPr>
            <w:tcW w:w="920" w:type="dxa"/>
            <w:vAlign w:val="bottom"/>
            <w:vMerge w:val="continue"/>
            <w:shd w:val="clear" w:color="auto" w:fill="E6E6E6"/>
          </w:tcPr>
          <w:p>
            <w:pPr>
              <w:spacing w:after="0"/>
              <w:rPr>
                <w:sz w:val="9"/>
                <w:szCs w:val="9"/>
                <w:color w:val="auto"/>
              </w:rPr>
            </w:pPr>
          </w:p>
        </w:tc>
        <w:tc>
          <w:tcPr>
            <w:tcW w:w="200" w:type="dxa"/>
            <w:vAlign w:val="bottom"/>
            <w:tcBorders>
              <w:right w:val="single" w:sz="8" w:color="2D53A6"/>
            </w:tcBorders>
            <w:vMerge w:val="continue"/>
            <w:shd w:val="clear" w:color="auto" w:fill="E6E6E6"/>
          </w:tcPr>
          <w:p>
            <w:pPr>
              <w:spacing w:after="0"/>
              <w:rPr>
                <w:sz w:val="9"/>
                <w:szCs w:val="9"/>
                <w:color w:val="auto"/>
              </w:rPr>
            </w:pPr>
          </w:p>
        </w:tc>
        <w:tc>
          <w:tcPr>
            <w:tcW w:w="1340" w:type="dxa"/>
            <w:vAlign w:val="bottom"/>
            <w:tcBorders>
              <w:right w:val="single" w:sz="8" w:color="2D53A6"/>
            </w:tcBorders>
            <w:vMerge w:val="continue"/>
            <w:shd w:val="clear" w:color="auto" w:fill="E6E6E6"/>
          </w:tcPr>
          <w:p>
            <w:pPr>
              <w:spacing w:after="0"/>
              <w:rPr>
                <w:sz w:val="9"/>
                <w:szCs w:val="9"/>
                <w:color w:val="auto"/>
              </w:rPr>
            </w:pPr>
          </w:p>
        </w:tc>
        <w:tc>
          <w:tcPr>
            <w:tcW w:w="1320" w:type="dxa"/>
            <w:vAlign w:val="bottom"/>
            <w:tcBorders>
              <w:right w:val="single" w:sz="8" w:color="2D53A6"/>
            </w:tcBorders>
            <w:vMerge w:val="continue"/>
            <w:shd w:val="clear" w:color="auto" w:fill="E6E6E6"/>
          </w:tcPr>
          <w:p>
            <w:pPr>
              <w:spacing w:after="0"/>
              <w:rPr>
                <w:sz w:val="9"/>
                <w:szCs w:val="9"/>
                <w:color w:val="auto"/>
              </w:rPr>
            </w:pPr>
          </w:p>
        </w:tc>
        <w:tc>
          <w:tcPr>
            <w:tcW w:w="1340" w:type="dxa"/>
            <w:vAlign w:val="bottom"/>
            <w:tcBorders>
              <w:right w:val="single" w:sz="8" w:color="2D53A6"/>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2D53A6"/>
              <w:right w:val="single" w:sz="8" w:color="2D53A6"/>
            </w:tcBorders>
            <w:shd w:val="clear" w:color="auto" w:fill="E6E6E6"/>
          </w:tcPr>
          <w:p>
            <w:pPr>
              <w:spacing w:after="0"/>
              <w:rPr>
                <w:sz w:val="18"/>
                <w:szCs w:val="18"/>
                <w:color w:val="auto"/>
              </w:rPr>
            </w:pPr>
          </w:p>
        </w:tc>
        <w:tc>
          <w:tcPr>
            <w:tcW w:w="1360" w:type="dxa"/>
            <w:vAlign w:val="bottom"/>
            <w:tcBorders>
              <w:bottom w:val="single" w:sz="8" w:color="2D53A6"/>
              <w:right w:val="single" w:sz="8" w:color="2D53A6"/>
            </w:tcBorders>
            <w:shd w:val="clear" w:color="auto" w:fill="E6E6E6"/>
          </w:tcPr>
          <w:p>
            <w:pPr>
              <w:spacing w:after="0"/>
              <w:rPr>
                <w:sz w:val="18"/>
                <w:szCs w:val="18"/>
                <w:color w:val="auto"/>
              </w:rPr>
            </w:pPr>
          </w:p>
        </w:tc>
        <w:tc>
          <w:tcPr>
            <w:tcW w:w="1120" w:type="dxa"/>
            <w:vAlign w:val="bottom"/>
            <w:tcBorders>
              <w:bottom w:val="single" w:sz="8" w:color="2D53A6"/>
              <w:right w:val="single" w:sz="8" w:color="2D53A6"/>
            </w:tcBorders>
            <w:shd w:val="clear" w:color="auto" w:fill="E6E6E6"/>
          </w:tcPr>
          <w:p>
            <w:pPr>
              <w:spacing w:after="0"/>
              <w:rPr>
                <w:sz w:val="18"/>
                <w:szCs w:val="18"/>
                <w:color w:val="auto"/>
              </w:rPr>
            </w:pPr>
          </w:p>
        </w:tc>
        <w:tc>
          <w:tcPr>
            <w:tcW w:w="120" w:type="dxa"/>
            <w:vAlign w:val="bottom"/>
            <w:tcBorders>
              <w:bottom w:val="single" w:sz="8" w:color="2D53A6"/>
            </w:tcBorders>
            <w:shd w:val="clear" w:color="auto" w:fill="E6E6E6"/>
          </w:tcPr>
          <w:p>
            <w:pPr>
              <w:spacing w:after="0"/>
              <w:rPr>
                <w:sz w:val="18"/>
                <w:szCs w:val="18"/>
                <w:color w:val="auto"/>
              </w:rPr>
            </w:pPr>
          </w:p>
        </w:tc>
        <w:tc>
          <w:tcPr>
            <w:tcW w:w="1020" w:type="dxa"/>
            <w:vAlign w:val="bottom"/>
            <w:tcBorders>
              <w:bottom w:val="single" w:sz="8" w:color="2D53A6"/>
              <w:right w:val="single" w:sz="8" w:color="2D53A6"/>
            </w:tcBorders>
            <w:shd w:val="clear" w:color="auto" w:fill="E6E6E6"/>
          </w:tcPr>
          <w:p>
            <w:pPr>
              <w:spacing w:after="0"/>
              <w:rPr>
                <w:sz w:val="18"/>
                <w:szCs w:val="18"/>
                <w:color w:val="auto"/>
              </w:rPr>
            </w:pPr>
          </w:p>
        </w:tc>
        <w:tc>
          <w:tcPr>
            <w:tcW w:w="11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3/14/2022</w:t>
            </w:r>
          </w:p>
        </w:tc>
        <w:tc>
          <w:tcPr>
            <w:tcW w:w="92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17,733</w:t>
            </w:r>
          </w:p>
        </w:tc>
        <w:tc>
          <w:tcPr>
            <w:tcW w:w="2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568,343</w:t>
            </w:r>
          </w:p>
        </w:tc>
        <w:tc>
          <w:tcPr>
            <w:tcW w:w="13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17,733</w:t>
            </w:r>
          </w:p>
        </w:tc>
        <w:tc>
          <w:tcPr>
            <w:tcW w:w="13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568,343</w:t>
            </w:r>
          </w:p>
        </w:tc>
        <w:tc>
          <w:tcPr>
            <w:tcW w:w="0" w:type="dxa"/>
            <w:vAlign w:val="bottom"/>
          </w:tcPr>
          <w:p>
            <w:pPr>
              <w:spacing w:after="0"/>
              <w:rPr>
                <w:sz w:val="1"/>
                <w:szCs w:val="1"/>
                <w:color w:val="auto"/>
              </w:rPr>
            </w:pPr>
          </w:p>
        </w:tc>
      </w:tr>
      <w:tr>
        <w:trPr>
          <w:trHeight w:val="195"/>
        </w:trPr>
        <w:tc>
          <w:tcPr>
            <w:tcW w:w="1360" w:type="dxa"/>
            <w:vAlign w:val="bottom"/>
            <w:tcBorders>
              <w:right w:val="single" w:sz="8" w:color="2D53A6"/>
            </w:tcBorders>
          </w:tcPr>
          <w:p>
            <w:pPr>
              <w:spacing w:after="0"/>
              <w:rPr>
                <w:sz w:val="16"/>
                <w:szCs w:val="16"/>
                <w:color w:val="auto"/>
              </w:rPr>
            </w:pPr>
          </w:p>
        </w:tc>
        <w:tc>
          <w:tcPr>
            <w:tcW w:w="136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3/19/2019</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3,716</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119,098</w:t>
            </w:r>
          </w:p>
        </w:tc>
        <w:tc>
          <w:tcPr>
            <w:tcW w:w="13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Christopher G.</w:t>
            </w:r>
          </w:p>
        </w:tc>
        <w:tc>
          <w:tcPr>
            <w:tcW w:w="1360" w:type="dxa"/>
            <w:vAlign w:val="bottom"/>
            <w:tcBorders>
              <w:right w:val="single" w:sz="8" w:color="2D53A6"/>
            </w:tcBorders>
          </w:tcPr>
          <w:p>
            <w:pPr>
              <w:spacing w:after="0"/>
              <w:rPr>
                <w:sz w:val="18"/>
                <w:szCs w:val="18"/>
                <w:color w:val="auto"/>
              </w:rPr>
            </w:pPr>
          </w:p>
        </w:tc>
        <w:tc>
          <w:tcPr>
            <w:tcW w:w="1120" w:type="dxa"/>
            <w:vAlign w:val="bottom"/>
            <w:tcBorders>
              <w:right w:val="single" w:sz="8" w:color="2D53A6"/>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2D53A6"/>
            </w:tcBorders>
          </w:tcPr>
          <w:p>
            <w:pPr>
              <w:spacing w:after="0"/>
              <w:rPr>
                <w:sz w:val="18"/>
                <w:szCs w:val="18"/>
                <w:color w:val="auto"/>
              </w:rPr>
            </w:pPr>
          </w:p>
        </w:tc>
        <w:tc>
          <w:tcPr>
            <w:tcW w:w="11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3/17/2020</w:t>
            </w:r>
          </w:p>
        </w:tc>
        <w:tc>
          <w:tcPr>
            <w:tcW w:w="920" w:type="dxa"/>
            <w:vAlign w:val="bottom"/>
          </w:tcPr>
          <w:p>
            <w:pPr>
              <w:jc w:val="right"/>
              <w:spacing w:after="0"/>
              <w:rPr>
                <w:sz w:val="20"/>
                <w:szCs w:val="20"/>
                <w:color w:val="auto"/>
              </w:rPr>
            </w:pPr>
            <w:r>
              <w:rPr>
                <w:rFonts w:ascii="Arial" w:cs="Arial" w:eastAsia="Arial" w:hAnsi="Arial"/>
                <w:sz w:val="18"/>
                <w:szCs w:val="18"/>
                <w:color w:val="auto"/>
              </w:rPr>
              <w:t>8,445</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270,662</w:t>
            </w:r>
          </w:p>
        </w:tc>
        <w:tc>
          <w:tcPr>
            <w:tcW w:w="13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16,891</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541,357</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Bohrson</w:t>
            </w:r>
          </w:p>
        </w:tc>
        <w:tc>
          <w:tcPr>
            <w:tcW w:w="1360" w:type="dxa"/>
            <w:vAlign w:val="bottom"/>
            <w:tcBorders>
              <w:right w:val="single" w:sz="8" w:color="2D53A6"/>
            </w:tcBorders>
          </w:tcPr>
          <w:p>
            <w:pPr>
              <w:spacing w:after="0"/>
              <w:rPr>
                <w:sz w:val="18"/>
                <w:szCs w:val="18"/>
                <w:color w:val="auto"/>
              </w:rPr>
            </w:pPr>
          </w:p>
        </w:tc>
        <w:tc>
          <w:tcPr>
            <w:tcW w:w="1120" w:type="dxa"/>
            <w:vAlign w:val="bottom"/>
            <w:tcBorders>
              <w:right w:val="single" w:sz="8" w:color="2D53A6"/>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2D53A6"/>
            </w:tcBorders>
          </w:tcPr>
          <w:p>
            <w:pPr>
              <w:spacing w:after="0"/>
              <w:rPr>
                <w:sz w:val="18"/>
                <w:szCs w:val="18"/>
                <w:color w:val="auto"/>
              </w:rPr>
            </w:pPr>
          </w:p>
        </w:tc>
        <w:tc>
          <w:tcPr>
            <w:tcW w:w="11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3/15/2021</w:t>
            </w:r>
          </w:p>
        </w:tc>
        <w:tc>
          <w:tcPr>
            <w:tcW w:w="920" w:type="dxa"/>
            <w:vAlign w:val="bottom"/>
          </w:tcPr>
          <w:p>
            <w:pPr>
              <w:jc w:val="right"/>
              <w:spacing w:after="0"/>
              <w:rPr>
                <w:sz w:val="20"/>
                <w:szCs w:val="20"/>
                <w:color w:val="auto"/>
              </w:rPr>
            </w:pPr>
            <w:r>
              <w:rPr>
                <w:rFonts w:ascii="Arial" w:cs="Arial" w:eastAsia="Arial" w:hAnsi="Arial"/>
                <w:sz w:val="18"/>
                <w:szCs w:val="18"/>
                <w:color w:val="auto"/>
              </w:rPr>
              <w:t>4,633</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148,488</w:t>
            </w:r>
          </w:p>
        </w:tc>
        <w:tc>
          <w:tcPr>
            <w:tcW w:w="13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6,178</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198,005</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2D53A6"/>
              <w:right w:val="single" w:sz="8" w:color="2D53A6"/>
            </w:tcBorders>
          </w:tcPr>
          <w:p>
            <w:pPr>
              <w:spacing w:after="0"/>
              <w:rPr>
                <w:sz w:val="20"/>
                <w:szCs w:val="20"/>
                <w:color w:val="auto"/>
              </w:rPr>
            </w:pPr>
          </w:p>
        </w:tc>
        <w:tc>
          <w:tcPr>
            <w:tcW w:w="1360" w:type="dxa"/>
            <w:vAlign w:val="bottom"/>
            <w:tcBorders>
              <w:bottom w:val="single" w:sz="8" w:color="2D53A6"/>
              <w:right w:val="single" w:sz="8" w:color="2D53A6"/>
            </w:tcBorders>
          </w:tcPr>
          <w:p>
            <w:pPr>
              <w:spacing w:after="0"/>
              <w:rPr>
                <w:sz w:val="20"/>
                <w:szCs w:val="20"/>
                <w:color w:val="auto"/>
              </w:rPr>
            </w:pPr>
          </w:p>
        </w:tc>
        <w:tc>
          <w:tcPr>
            <w:tcW w:w="1120" w:type="dxa"/>
            <w:vAlign w:val="bottom"/>
            <w:tcBorders>
              <w:bottom w:val="single" w:sz="8" w:color="2D53A6"/>
              <w:right w:val="single" w:sz="8" w:color="2D53A6"/>
            </w:tcBorders>
          </w:tcPr>
          <w:p>
            <w:pPr>
              <w:spacing w:after="0"/>
              <w:rPr>
                <w:sz w:val="20"/>
                <w:szCs w:val="20"/>
                <w:color w:val="auto"/>
              </w:rPr>
            </w:pPr>
          </w:p>
        </w:tc>
        <w:tc>
          <w:tcPr>
            <w:tcW w:w="120" w:type="dxa"/>
            <w:vAlign w:val="bottom"/>
            <w:tcBorders>
              <w:bottom w:val="single" w:sz="8" w:color="2D53A6"/>
            </w:tcBorders>
          </w:tcPr>
          <w:p>
            <w:pPr>
              <w:spacing w:after="0"/>
              <w:rPr>
                <w:sz w:val="20"/>
                <w:szCs w:val="20"/>
                <w:color w:val="auto"/>
              </w:rPr>
            </w:pPr>
          </w:p>
        </w:tc>
        <w:tc>
          <w:tcPr>
            <w:tcW w:w="1020" w:type="dxa"/>
            <w:vAlign w:val="bottom"/>
            <w:tcBorders>
              <w:bottom w:val="single" w:sz="8" w:color="2D53A6"/>
              <w:right w:val="single" w:sz="8" w:color="2D53A6"/>
            </w:tcBorders>
          </w:tcPr>
          <w:p>
            <w:pPr>
              <w:spacing w:after="0"/>
              <w:rPr>
                <w:sz w:val="20"/>
                <w:szCs w:val="20"/>
                <w:color w:val="auto"/>
              </w:rPr>
            </w:pP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3/14/2022</w:t>
            </w:r>
          </w:p>
        </w:tc>
        <w:tc>
          <w:tcPr>
            <w:tcW w:w="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11,700</w:t>
            </w:r>
          </w:p>
        </w:tc>
        <w:tc>
          <w:tcPr>
            <w:tcW w:w="2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374,985</w:t>
            </w:r>
          </w:p>
        </w:tc>
        <w:tc>
          <w:tcPr>
            <w:tcW w:w="13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11,700</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374,985</w:t>
            </w:r>
          </w:p>
        </w:tc>
        <w:tc>
          <w:tcPr>
            <w:tcW w:w="0" w:type="dxa"/>
            <w:vAlign w:val="bottom"/>
          </w:tcPr>
          <w:p>
            <w:pPr>
              <w:spacing w:after="0"/>
              <w:rPr>
                <w:sz w:val="1"/>
                <w:szCs w:val="1"/>
                <w:color w:val="auto"/>
              </w:rPr>
            </w:pPr>
          </w:p>
        </w:tc>
      </w:tr>
      <w:tr>
        <w:trPr>
          <w:trHeight w:val="210"/>
        </w:trPr>
        <w:tc>
          <w:tcPr>
            <w:tcW w:w="1360" w:type="dxa"/>
            <w:vAlign w:val="bottom"/>
            <w:tcBorders>
              <w:right w:val="single" w:sz="8" w:color="2D53A6"/>
            </w:tcBorders>
            <w:shd w:val="clear" w:color="auto" w:fill="E6E6E6"/>
          </w:tcPr>
          <w:p>
            <w:pPr>
              <w:spacing w:after="0"/>
              <w:rPr>
                <w:sz w:val="18"/>
                <w:szCs w:val="18"/>
                <w:color w:val="auto"/>
              </w:rPr>
            </w:pPr>
          </w:p>
        </w:tc>
        <w:tc>
          <w:tcPr>
            <w:tcW w:w="136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0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3/19/2019</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3,125</w:t>
            </w:r>
          </w:p>
        </w:tc>
        <w:tc>
          <w:tcPr>
            <w:tcW w:w="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100,156</w:t>
            </w:r>
          </w:p>
        </w:tc>
        <w:tc>
          <w:tcPr>
            <w:tcW w:w="13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w:t>
            </w:r>
          </w:p>
        </w:tc>
        <w:tc>
          <w:tcPr>
            <w:tcW w:w="1360" w:type="dxa"/>
            <w:vAlign w:val="bottom"/>
            <w:tcBorders>
              <w:right w:val="single" w:sz="8" w:color="2D53A6"/>
            </w:tcBorders>
            <w:shd w:val="clear" w:color="auto" w:fill="E6E6E6"/>
          </w:tcPr>
          <w:p>
            <w:pPr>
              <w:spacing w:after="0"/>
              <w:rPr>
                <w:sz w:val="18"/>
                <w:szCs w:val="18"/>
                <w:color w:val="auto"/>
              </w:rPr>
            </w:pPr>
          </w:p>
        </w:tc>
        <w:tc>
          <w:tcPr>
            <w:tcW w:w="1120" w:type="dxa"/>
            <w:vAlign w:val="bottom"/>
            <w:tcBorders>
              <w:right w:val="single" w:sz="8" w:color="2D53A6"/>
            </w:tcBorders>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20" w:type="dxa"/>
            <w:vAlign w:val="bottom"/>
            <w:tcBorders>
              <w:right w:val="single" w:sz="8" w:color="2D53A6"/>
            </w:tcBorders>
            <w:shd w:val="clear" w:color="auto" w:fill="E6E6E6"/>
          </w:tcPr>
          <w:p>
            <w:pPr>
              <w:spacing w:after="0"/>
              <w:rPr>
                <w:sz w:val="18"/>
                <w:szCs w:val="18"/>
                <w:color w:val="auto"/>
              </w:rPr>
            </w:pPr>
          </w:p>
        </w:tc>
        <w:tc>
          <w:tcPr>
            <w:tcW w:w="11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3/17/2020</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6,006</w:t>
            </w:r>
          </w:p>
        </w:tc>
        <w:tc>
          <w:tcPr>
            <w:tcW w:w="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192,492</w:t>
            </w:r>
          </w:p>
        </w:tc>
        <w:tc>
          <w:tcPr>
            <w:tcW w:w="13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12,012</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384,985</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Kampfer</w:t>
            </w:r>
          </w:p>
        </w:tc>
        <w:tc>
          <w:tcPr>
            <w:tcW w:w="1360" w:type="dxa"/>
            <w:vAlign w:val="bottom"/>
            <w:tcBorders>
              <w:right w:val="single" w:sz="8" w:color="2D53A6"/>
            </w:tcBorders>
            <w:shd w:val="clear" w:color="auto" w:fill="E6E6E6"/>
          </w:tcPr>
          <w:p>
            <w:pPr>
              <w:spacing w:after="0"/>
              <w:rPr>
                <w:sz w:val="18"/>
                <w:szCs w:val="18"/>
                <w:color w:val="auto"/>
              </w:rPr>
            </w:pPr>
          </w:p>
        </w:tc>
        <w:tc>
          <w:tcPr>
            <w:tcW w:w="1120" w:type="dxa"/>
            <w:vAlign w:val="bottom"/>
            <w:tcBorders>
              <w:right w:val="single" w:sz="8" w:color="2D53A6"/>
            </w:tcBorders>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20" w:type="dxa"/>
            <w:vAlign w:val="bottom"/>
            <w:tcBorders>
              <w:right w:val="single" w:sz="8" w:color="2D53A6"/>
            </w:tcBorders>
            <w:shd w:val="clear" w:color="auto" w:fill="E6E6E6"/>
          </w:tcPr>
          <w:p>
            <w:pPr>
              <w:spacing w:after="0"/>
              <w:rPr>
                <w:sz w:val="18"/>
                <w:szCs w:val="18"/>
                <w:color w:val="auto"/>
              </w:rPr>
            </w:pPr>
          </w:p>
        </w:tc>
        <w:tc>
          <w:tcPr>
            <w:tcW w:w="11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3/15/2021</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3,432</w:t>
            </w:r>
          </w:p>
        </w:tc>
        <w:tc>
          <w:tcPr>
            <w:tcW w:w="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109,996</w:t>
            </w:r>
          </w:p>
        </w:tc>
        <w:tc>
          <w:tcPr>
            <w:tcW w:w="132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4,576</w:t>
            </w:r>
          </w:p>
        </w:tc>
        <w:tc>
          <w:tcPr>
            <w:tcW w:w="13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146,661</w:t>
            </w:r>
          </w:p>
        </w:tc>
        <w:tc>
          <w:tcPr>
            <w:tcW w:w="0" w:type="dxa"/>
            <w:vAlign w:val="bottom"/>
          </w:tcPr>
          <w:p>
            <w:pPr>
              <w:spacing w:after="0"/>
              <w:rPr>
                <w:sz w:val="1"/>
                <w:szCs w:val="1"/>
                <w:color w:val="auto"/>
              </w:rPr>
            </w:pPr>
          </w:p>
        </w:tc>
      </w:tr>
      <w:tr>
        <w:trPr>
          <w:trHeight w:val="216"/>
        </w:trPr>
        <w:tc>
          <w:tcPr>
            <w:tcW w:w="1360" w:type="dxa"/>
            <w:vAlign w:val="bottom"/>
            <w:tcBorders>
              <w:bottom w:val="single" w:sz="8" w:color="2D53A6"/>
              <w:right w:val="single" w:sz="8" w:color="2D53A6"/>
            </w:tcBorders>
            <w:shd w:val="clear" w:color="auto" w:fill="E6E6E6"/>
          </w:tcPr>
          <w:p>
            <w:pPr>
              <w:spacing w:after="0"/>
              <w:rPr>
                <w:sz w:val="18"/>
                <w:szCs w:val="18"/>
                <w:color w:val="auto"/>
              </w:rPr>
            </w:pPr>
          </w:p>
        </w:tc>
        <w:tc>
          <w:tcPr>
            <w:tcW w:w="1360" w:type="dxa"/>
            <w:vAlign w:val="bottom"/>
            <w:tcBorders>
              <w:bottom w:val="single" w:sz="8" w:color="2D53A6"/>
              <w:right w:val="single" w:sz="8" w:color="2D53A6"/>
            </w:tcBorders>
            <w:shd w:val="clear" w:color="auto" w:fill="E6E6E6"/>
          </w:tcPr>
          <w:p>
            <w:pPr>
              <w:spacing w:after="0"/>
              <w:rPr>
                <w:sz w:val="18"/>
                <w:szCs w:val="18"/>
                <w:color w:val="auto"/>
              </w:rPr>
            </w:pPr>
          </w:p>
        </w:tc>
        <w:tc>
          <w:tcPr>
            <w:tcW w:w="1120" w:type="dxa"/>
            <w:vAlign w:val="bottom"/>
            <w:tcBorders>
              <w:bottom w:val="single" w:sz="8" w:color="2D53A6"/>
              <w:right w:val="single" w:sz="8" w:color="2D53A6"/>
            </w:tcBorders>
            <w:shd w:val="clear" w:color="auto" w:fill="E6E6E6"/>
          </w:tcPr>
          <w:p>
            <w:pPr>
              <w:spacing w:after="0"/>
              <w:rPr>
                <w:sz w:val="18"/>
                <w:szCs w:val="18"/>
                <w:color w:val="auto"/>
              </w:rPr>
            </w:pPr>
          </w:p>
        </w:tc>
        <w:tc>
          <w:tcPr>
            <w:tcW w:w="120" w:type="dxa"/>
            <w:vAlign w:val="bottom"/>
            <w:tcBorders>
              <w:bottom w:val="single" w:sz="8" w:color="2D53A6"/>
            </w:tcBorders>
            <w:shd w:val="clear" w:color="auto" w:fill="E6E6E6"/>
          </w:tcPr>
          <w:p>
            <w:pPr>
              <w:spacing w:after="0"/>
              <w:rPr>
                <w:sz w:val="18"/>
                <w:szCs w:val="18"/>
                <w:color w:val="auto"/>
              </w:rPr>
            </w:pPr>
          </w:p>
        </w:tc>
        <w:tc>
          <w:tcPr>
            <w:tcW w:w="1020" w:type="dxa"/>
            <w:vAlign w:val="bottom"/>
            <w:tcBorders>
              <w:bottom w:val="single" w:sz="8" w:color="2D53A6"/>
              <w:right w:val="single" w:sz="8" w:color="2D53A6"/>
            </w:tcBorders>
            <w:shd w:val="clear" w:color="auto" w:fill="E6E6E6"/>
          </w:tcPr>
          <w:p>
            <w:pPr>
              <w:spacing w:after="0"/>
              <w:rPr>
                <w:sz w:val="18"/>
                <w:szCs w:val="18"/>
                <w:color w:val="auto"/>
              </w:rPr>
            </w:pPr>
          </w:p>
        </w:tc>
        <w:tc>
          <w:tcPr>
            <w:tcW w:w="11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3/14/2022</w:t>
            </w:r>
          </w:p>
        </w:tc>
        <w:tc>
          <w:tcPr>
            <w:tcW w:w="92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8,683</w:t>
            </w:r>
          </w:p>
        </w:tc>
        <w:tc>
          <w:tcPr>
            <w:tcW w:w="2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278,290</w:t>
            </w:r>
          </w:p>
        </w:tc>
        <w:tc>
          <w:tcPr>
            <w:tcW w:w="13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8,683</w:t>
            </w:r>
          </w:p>
        </w:tc>
        <w:tc>
          <w:tcPr>
            <w:tcW w:w="13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278,290</w:t>
            </w:r>
          </w:p>
        </w:tc>
        <w:tc>
          <w:tcPr>
            <w:tcW w:w="0" w:type="dxa"/>
            <w:vAlign w:val="bottom"/>
          </w:tcPr>
          <w:p>
            <w:pPr>
              <w:spacing w:after="0"/>
              <w:rPr>
                <w:sz w:val="1"/>
                <w:szCs w:val="1"/>
                <w:color w:val="auto"/>
              </w:rPr>
            </w:pPr>
          </w:p>
        </w:tc>
      </w:tr>
      <w:tr>
        <w:trPr>
          <w:trHeight w:val="195"/>
        </w:trPr>
        <w:tc>
          <w:tcPr>
            <w:tcW w:w="1360" w:type="dxa"/>
            <w:vAlign w:val="bottom"/>
            <w:tcBorders>
              <w:right w:val="single" w:sz="8" w:color="2D53A6"/>
            </w:tcBorders>
          </w:tcPr>
          <w:p>
            <w:pPr>
              <w:spacing w:after="0"/>
              <w:rPr>
                <w:sz w:val="16"/>
                <w:szCs w:val="16"/>
                <w:color w:val="auto"/>
              </w:rPr>
            </w:pPr>
          </w:p>
        </w:tc>
        <w:tc>
          <w:tcPr>
            <w:tcW w:w="136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3/17/2020</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5,630</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180,442</w:t>
            </w:r>
          </w:p>
        </w:tc>
        <w:tc>
          <w:tcPr>
            <w:tcW w:w="132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11,261</w:t>
            </w:r>
          </w:p>
        </w:tc>
        <w:tc>
          <w:tcPr>
            <w:tcW w:w="13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360,915</w:t>
            </w:r>
          </w:p>
        </w:tc>
        <w:tc>
          <w:tcPr>
            <w:tcW w:w="0" w:type="dxa"/>
            <w:vAlign w:val="bottom"/>
          </w:tcPr>
          <w:p>
            <w:pPr>
              <w:spacing w:after="0"/>
              <w:rPr>
                <w:sz w:val="1"/>
                <w:szCs w:val="1"/>
                <w:color w:val="auto"/>
              </w:rPr>
            </w:pPr>
          </w:p>
        </w:tc>
      </w:tr>
      <w:tr>
        <w:trPr>
          <w:trHeight w:val="216"/>
        </w:trPr>
        <w:tc>
          <w:tcPr>
            <w:tcW w:w="1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360" w:type="dxa"/>
            <w:vAlign w:val="bottom"/>
            <w:tcBorders>
              <w:right w:val="single" w:sz="8" w:color="2D53A6"/>
            </w:tcBorders>
          </w:tcPr>
          <w:p>
            <w:pPr>
              <w:spacing w:after="0"/>
              <w:rPr>
                <w:sz w:val="18"/>
                <w:szCs w:val="18"/>
                <w:color w:val="auto"/>
              </w:rPr>
            </w:pPr>
          </w:p>
        </w:tc>
        <w:tc>
          <w:tcPr>
            <w:tcW w:w="1120" w:type="dxa"/>
            <w:vAlign w:val="bottom"/>
            <w:tcBorders>
              <w:right w:val="single" w:sz="8" w:color="2D53A6"/>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2D53A6"/>
            </w:tcBorders>
          </w:tcPr>
          <w:p>
            <w:pPr>
              <w:spacing w:after="0"/>
              <w:rPr>
                <w:sz w:val="18"/>
                <w:szCs w:val="18"/>
                <w:color w:val="auto"/>
              </w:rPr>
            </w:pPr>
          </w:p>
        </w:tc>
        <w:tc>
          <w:tcPr>
            <w:tcW w:w="11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3/15/2021</w:t>
            </w:r>
          </w:p>
        </w:tc>
        <w:tc>
          <w:tcPr>
            <w:tcW w:w="920" w:type="dxa"/>
            <w:vAlign w:val="bottom"/>
          </w:tcPr>
          <w:p>
            <w:pPr>
              <w:jc w:val="right"/>
              <w:spacing w:after="0"/>
              <w:rPr>
                <w:sz w:val="20"/>
                <w:szCs w:val="20"/>
                <w:color w:val="auto"/>
              </w:rPr>
            </w:pPr>
            <w:r>
              <w:rPr>
                <w:rFonts w:ascii="Arial" w:cs="Arial" w:eastAsia="Arial" w:hAnsi="Arial"/>
                <w:sz w:val="18"/>
                <w:szCs w:val="18"/>
                <w:color w:val="auto"/>
              </w:rPr>
              <w:t>3,003</w:t>
            </w:r>
          </w:p>
        </w:tc>
        <w:tc>
          <w:tcPr>
            <w:tcW w:w="200" w:type="dxa"/>
            <w:vAlign w:val="bottom"/>
            <w:tcBorders>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96,246</w:t>
            </w:r>
          </w:p>
        </w:tc>
        <w:tc>
          <w:tcPr>
            <w:tcW w:w="13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4,004</w:t>
            </w:r>
          </w:p>
        </w:tc>
        <w:tc>
          <w:tcPr>
            <w:tcW w:w="13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128,328</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2D53A6"/>
              <w:right w:val="single" w:sz="8" w:color="2D53A6"/>
            </w:tcBorders>
          </w:tcPr>
          <w:p>
            <w:pPr>
              <w:spacing w:after="0"/>
              <w:rPr>
                <w:sz w:val="20"/>
                <w:szCs w:val="20"/>
                <w:color w:val="auto"/>
              </w:rPr>
            </w:pPr>
          </w:p>
        </w:tc>
        <w:tc>
          <w:tcPr>
            <w:tcW w:w="1360" w:type="dxa"/>
            <w:vAlign w:val="bottom"/>
            <w:tcBorders>
              <w:bottom w:val="single" w:sz="8" w:color="2D53A6"/>
              <w:right w:val="single" w:sz="8" w:color="2D53A6"/>
            </w:tcBorders>
          </w:tcPr>
          <w:p>
            <w:pPr>
              <w:spacing w:after="0"/>
              <w:rPr>
                <w:sz w:val="20"/>
                <w:szCs w:val="20"/>
                <w:color w:val="auto"/>
              </w:rPr>
            </w:pPr>
          </w:p>
        </w:tc>
        <w:tc>
          <w:tcPr>
            <w:tcW w:w="1120" w:type="dxa"/>
            <w:vAlign w:val="bottom"/>
            <w:tcBorders>
              <w:bottom w:val="single" w:sz="8" w:color="2D53A6"/>
              <w:right w:val="single" w:sz="8" w:color="2D53A6"/>
            </w:tcBorders>
          </w:tcPr>
          <w:p>
            <w:pPr>
              <w:spacing w:after="0"/>
              <w:rPr>
                <w:sz w:val="20"/>
                <w:szCs w:val="20"/>
                <w:color w:val="auto"/>
              </w:rPr>
            </w:pPr>
          </w:p>
        </w:tc>
        <w:tc>
          <w:tcPr>
            <w:tcW w:w="120" w:type="dxa"/>
            <w:vAlign w:val="bottom"/>
            <w:tcBorders>
              <w:bottom w:val="single" w:sz="8" w:color="2D53A6"/>
            </w:tcBorders>
          </w:tcPr>
          <w:p>
            <w:pPr>
              <w:spacing w:after="0"/>
              <w:rPr>
                <w:sz w:val="20"/>
                <w:szCs w:val="20"/>
                <w:color w:val="auto"/>
              </w:rPr>
            </w:pPr>
          </w:p>
        </w:tc>
        <w:tc>
          <w:tcPr>
            <w:tcW w:w="1020" w:type="dxa"/>
            <w:vAlign w:val="bottom"/>
            <w:tcBorders>
              <w:bottom w:val="single" w:sz="8" w:color="2D53A6"/>
              <w:right w:val="single" w:sz="8" w:color="2D53A6"/>
            </w:tcBorders>
          </w:tcPr>
          <w:p>
            <w:pPr>
              <w:spacing w:after="0"/>
              <w:rPr>
                <w:sz w:val="20"/>
                <w:szCs w:val="20"/>
                <w:color w:val="auto"/>
              </w:rPr>
            </w:pPr>
          </w:p>
        </w:tc>
        <w:tc>
          <w:tcPr>
            <w:tcW w:w="11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3/14/2022</w:t>
            </w:r>
          </w:p>
        </w:tc>
        <w:tc>
          <w:tcPr>
            <w:tcW w:w="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7,678</w:t>
            </w:r>
          </w:p>
        </w:tc>
        <w:tc>
          <w:tcPr>
            <w:tcW w:w="2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5"/>
                <w:szCs w:val="15"/>
                <w:color w:val="auto"/>
                <w:w w:val="87"/>
              </w:rPr>
              <w:t>(1)</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246,080</w:t>
            </w:r>
          </w:p>
        </w:tc>
        <w:tc>
          <w:tcPr>
            <w:tcW w:w="13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7,678</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246,080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RSUs vest and shares are issued in four equal annual installments beginning one year after the date of grant.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a closing price of Cohu’s common stock of $32.05 as reported on the Nasdaq Global Select Market on December 31, 2022.</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PSUs granted under the 2020, 2021 and 2022 PSU program at the target award level. PSUs granted 2020, 2021 and 2022 vest 100% on the third anniversary of their grant.</w:t>
      </w:r>
    </w:p>
    <w:p>
      <w:pPr>
        <w:ind w:left="340" w:right="240" w:hanging="332"/>
        <w:spacing w:after="0" w:line="26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a closing price of Cohu’s common stock of $32.05 as reported on the Nasdaq Global Select Market on December 31, 2022. RSUs vest and shares are issued in four equal annual installments beginning one year after the date of grant.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2022 Option Exercise and Stock Vested</w:t>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shows all stock options exercised and the value realized upon exercise and all stock awards vested and the value realized upon vesting by our NEOs during fiscal 2022, which ended on December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Borders>
              <w:right w:val="single" w:sz="8" w:color="2D53A6"/>
            </w:tcBorders>
            <w:shd w:val="clear" w:color="auto" w:fill="2D53A6"/>
          </w:tcPr>
          <w:p>
            <w:pPr>
              <w:spacing w:after="0"/>
              <w:rPr>
                <w:sz w:val="18"/>
                <w:szCs w:val="18"/>
                <w:color w:val="auto"/>
              </w:rPr>
            </w:pPr>
          </w:p>
        </w:tc>
        <w:tc>
          <w:tcPr>
            <w:tcW w:w="4100" w:type="dxa"/>
            <w:vAlign w:val="bottom"/>
            <w:tcBorders>
              <w:right w:val="single" w:sz="8" w:color="2D53A6"/>
            </w:tcBorders>
            <w:gridSpan w:val="3"/>
            <w:shd w:val="clear" w:color="auto" w:fill="2D53A6"/>
          </w:tcPr>
          <w:p>
            <w:pPr>
              <w:jc w:val="right"/>
              <w:ind w:right="1371"/>
              <w:spacing w:after="0"/>
              <w:rPr>
                <w:sz w:val="20"/>
                <w:szCs w:val="20"/>
                <w:color w:val="auto"/>
              </w:rPr>
            </w:pPr>
            <w:r>
              <w:rPr>
                <w:rFonts w:ascii="Arial" w:cs="Arial" w:eastAsia="Arial" w:hAnsi="Arial"/>
                <w:sz w:val="18"/>
                <w:szCs w:val="18"/>
                <w:b w:val="1"/>
                <w:bCs w:val="1"/>
                <w:color w:val="FFFFFF"/>
              </w:rPr>
              <w:t>Option Awards</w:t>
            </w:r>
          </w:p>
        </w:tc>
        <w:tc>
          <w:tcPr>
            <w:tcW w:w="3980" w:type="dxa"/>
            <w:vAlign w:val="bottom"/>
            <w:tcBorders>
              <w:right w:val="single" w:sz="8" w:color="2D53A6"/>
            </w:tcBorders>
            <w:gridSpan w:val="2"/>
            <w:shd w:val="clear" w:color="auto" w:fill="2D53A6"/>
          </w:tcPr>
          <w:p>
            <w:pPr>
              <w:jc w:val="right"/>
              <w:ind w:right="1371"/>
              <w:spacing w:after="0"/>
              <w:rPr>
                <w:sz w:val="20"/>
                <w:szCs w:val="20"/>
                <w:color w:val="auto"/>
              </w:rPr>
            </w:pPr>
            <w:r>
              <w:rPr>
                <w:rFonts w:ascii="Arial" w:cs="Arial" w:eastAsia="Arial" w:hAnsi="Arial"/>
                <w:sz w:val="18"/>
                <w:szCs w:val="18"/>
                <w:b w:val="1"/>
                <w:bCs w:val="1"/>
                <w:color w:val="FFFFFF"/>
              </w:rPr>
              <w:t>Stock Awards</w:t>
            </w:r>
          </w:p>
        </w:tc>
      </w:tr>
      <w:tr>
        <w:trPr>
          <w:trHeight w:val="198"/>
        </w:trPr>
        <w:tc>
          <w:tcPr>
            <w:tcW w:w="3160" w:type="dxa"/>
            <w:vAlign w:val="bottom"/>
            <w:tcBorders>
              <w:right w:val="single" w:sz="8" w:color="2D53A6"/>
            </w:tcBorders>
            <w:shd w:val="clear" w:color="auto" w:fill="2D53A6"/>
          </w:tcPr>
          <w:p>
            <w:pPr>
              <w:spacing w:after="0"/>
              <w:rPr>
                <w:sz w:val="17"/>
                <w:szCs w:val="17"/>
                <w:color w:val="auto"/>
              </w:rPr>
            </w:pPr>
          </w:p>
        </w:tc>
        <w:tc>
          <w:tcPr>
            <w:tcW w:w="1500" w:type="dxa"/>
            <w:vAlign w:val="bottom"/>
            <w:shd w:val="clear" w:color="auto" w:fill="2D53A6"/>
          </w:tcPr>
          <w:p>
            <w:pPr>
              <w:jc w:val="center"/>
              <w:ind w:left="410"/>
              <w:spacing w:after="0" w:line="198" w:lineRule="exact"/>
              <w:rPr>
                <w:sz w:val="20"/>
                <w:szCs w:val="20"/>
                <w:color w:val="auto"/>
              </w:rPr>
            </w:pPr>
            <w:r>
              <w:rPr>
                <w:rFonts w:ascii="Arial" w:cs="Arial" w:eastAsia="Arial" w:hAnsi="Arial"/>
                <w:sz w:val="18"/>
                <w:szCs w:val="18"/>
                <w:b w:val="1"/>
                <w:bCs w:val="1"/>
                <w:color w:val="FFFFFF"/>
                <w:w w:val="94"/>
              </w:rPr>
              <w:t>Number</w:t>
            </w:r>
          </w:p>
        </w:tc>
        <w:tc>
          <w:tcPr>
            <w:tcW w:w="540" w:type="dxa"/>
            <w:vAlign w:val="bottom"/>
            <w:tcBorders>
              <w:right w:val="single" w:sz="8" w:color="2D53A6"/>
            </w:tcBorders>
            <w:shd w:val="clear" w:color="auto" w:fill="2D53A6"/>
          </w:tcPr>
          <w:p>
            <w:pPr>
              <w:spacing w:after="0"/>
              <w:rPr>
                <w:sz w:val="17"/>
                <w:szCs w:val="17"/>
                <w:color w:val="auto"/>
              </w:rPr>
            </w:pPr>
          </w:p>
        </w:tc>
        <w:tc>
          <w:tcPr>
            <w:tcW w:w="2060" w:type="dxa"/>
            <w:vAlign w:val="bottom"/>
            <w:tcBorders>
              <w:right w:val="single" w:sz="8" w:color="2D53A6"/>
            </w:tcBorders>
            <w:shd w:val="clear" w:color="auto" w:fill="2D53A6"/>
          </w:tcPr>
          <w:p>
            <w:pPr>
              <w:spacing w:after="0"/>
              <w:rPr>
                <w:sz w:val="17"/>
                <w:szCs w:val="17"/>
                <w:color w:val="auto"/>
              </w:rPr>
            </w:pPr>
          </w:p>
        </w:tc>
        <w:tc>
          <w:tcPr>
            <w:tcW w:w="2020" w:type="dxa"/>
            <w:vAlign w:val="bottom"/>
            <w:tcBorders>
              <w:right w:val="single" w:sz="8" w:color="2D53A6"/>
            </w:tcBorders>
            <w:shd w:val="clear" w:color="auto" w:fill="2D53A6"/>
          </w:tcPr>
          <w:p>
            <w:pPr>
              <w:jc w:val="center"/>
              <w:spacing w:after="0" w:line="198" w:lineRule="exact"/>
              <w:rPr>
                <w:sz w:val="20"/>
                <w:szCs w:val="20"/>
                <w:color w:val="auto"/>
              </w:rPr>
            </w:pPr>
            <w:r>
              <w:rPr>
                <w:rFonts w:ascii="Arial" w:cs="Arial" w:eastAsia="Arial" w:hAnsi="Arial"/>
                <w:sz w:val="18"/>
                <w:szCs w:val="18"/>
                <w:b w:val="1"/>
                <w:bCs w:val="1"/>
                <w:color w:val="FFFFFF"/>
                <w:w w:val="94"/>
              </w:rPr>
              <w:t>Number</w:t>
            </w:r>
          </w:p>
        </w:tc>
        <w:tc>
          <w:tcPr>
            <w:tcW w:w="1960" w:type="dxa"/>
            <w:vAlign w:val="bottom"/>
            <w:tcBorders>
              <w:right w:val="single" w:sz="8" w:color="2D53A6"/>
            </w:tcBorders>
            <w:shd w:val="clear" w:color="auto" w:fill="2D53A6"/>
          </w:tcPr>
          <w:p>
            <w:pPr>
              <w:spacing w:after="0"/>
              <w:rPr>
                <w:sz w:val="17"/>
                <w:szCs w:val="17"/>
                <w:color w:val="auto"/>
              </w:rPr>
            </w:pPr>
          </w:p>
        </w:tc>
      </w:tr>
      <w:tr>
        <w:trPr>
          <w:trHeight w:val="216"/>
        </w:trPr>
        <w:tc>
          <w:tcPr>
            <w:tcW w:w="316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500" w:type="dxa"/>
            <w:vAlign w:val="bottom"/>
            <w:shd w:val="clear" w:color="auto" w:fill="2D53A6"/>
          </w:tcPr>
          <w:p>
            <w:pPr>
              <w:jc w:val="center"/>
              <w:ind w:left="430"/>
              <w:spacing w:after="0"/>
              <w:rPr>
                <w:sz w:val="20"/>
                <w:szCs w:val="20"/>
                <w:color w:val="auto"/>
              </w:rPr>
            </w:pPr>
            <w:r>
              <w:rPr>
                <w:rFonts w:ascii="Arial" w:cs="Arial" w:eastAsia="Arial" w:hAnsi="Arial"/>
                <w:sz w:val="18"/>
                <w:szCs w:val="18"/>
                <w:b w:val="1"/>
                <w:bCs w:val="1"/>
                <w:color w:val="FFFFFF"/>
                <w:w w:val="85"/>
              </w:rPr>
              <w:t>of Shares</w:t>
            </w:r>
          </w:p>
        </w:tc>
        <w:tc>
          <w:tcPr>
            <w:tcW w:w="540" w:type="dxa"/>
            <w:vAlign w:val="bottom"/>
            <w:tcBorders>
              <w:right w:val="single" w:sz="8" w:color="2D53A6"/>
            </w:tcBorders>
            <w:shd w:val="clear" w:color="auto" w:fill="2D53A6"/>
          </w:tcPr>
          <w:p>
            <w:pPr>
              <w:spacing w:after="0"/>
              <w:rPr>
                <w:sz w:val="18"/>
                <w:szCs w:val="18"/>
                <w:color w:val="auto"/>
              </w:rPr>
            </w:pPr>
          </w:p>
        </w:tc>
        <w:tc>
          <w:tcPr>
            <w:tcW w:w="2060" w:type="dxa"/>
            <w:vAlign w:val="bottom"/>
            <w:tcBorders>
              <w:right w:val="single" w:sz="8" w:color="2D53A6"/>
            </w:tcBorders>
            <w:shd w:val="clear" w:color="auto" w:fill="2D53A6"/>
          </w:tcPr>
          <w:p>
            <w:pPr>
              <w:jc w:val="right"/>
              <w:ind w:right="391"/>
              <w:spacing w:after="0"/>
              <w:rPr>
                <w:sz w:val="20"/>
                <w:szCs w:val="20"/>
                <w:color w:val="auto"/>
              </w:rPr>
            </w:pPr>
            <w:r>
              <w:rPr>
                <w:rFonts w:ascii="Arial" w:cs="Arial" w:eastAsia="Arial" w:hAnsi="Arial"/>
                <w:sz w:val="18"/>
                <w:szCs w:val="18"/>
                <w:b w:val="1"/>
                <w:bCs w:val="1"/>
                <w:color w:val="FFFFFF"/>
              </w:rPr>
              <w:t>Value Realized</w:t>
            </w:r>
          </w:p>
        </w:tc>
        <w:tc>
          <w:tcPr>
            <w:tcW w:w="20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of Shares</w:t>
            </w:r>
          </w:p>
        </w:tc>
        <w:tc>
          <w:tcPr>
            <w:tcW w:w="1960" w:type="dxa"/>
            <w:vAlign w:val="bottom"/>
            <w:tcBorders>
              <w:right w:val="single" w:sz="8" w:color="2D53A6"/>
            </w:tcBorders>
            <w:shd w:val="clear" w:color="auto" w:fill="2D53A6"/>
          </w:tcPr>
          <w:p>
            <w:pPr>
              <w:jc w:val="right"/>
              <w:ind w:right="331"/>
              <w:spacing w:after="0"/>
              <w:rPr>
                <w:sz w:val="20"/>
                <w:szCs w:val="20"/>
                <w:color w:val="auto"/>
              </w:rPr>
            </w:pPr>
            <w:r>
              <w:rPr>
                <w:rFonts w:ascii="Arial" w:cs="Arial" w:eastAsia="Arial" w:hAnsi="Arial"/>
                <w:sz w:val="18"/>
                <w:szCs w:val="18"/>
                <w:b w:val="1"/>
                <w:bCs w:val="1"/>
                <w:color w:val="FFFFFF"/>
              </w:rPr>
              <w:t>Value Realized</w:t>
            </w:r>
          </w:p>
        </w:tc>
      </w:tr>
      <w:tr>
        <w:trPr>
          <w:trHeight w:val="216"/>
        </w:trPr>
        <w:tc>
          <w:tcPr>
            <w:tcW w:w="3160" w:type="dxa"/>
            <w:vAlign w:val="bottom"/>
            <w:tcBorders>
              <w:right w:val="single" w:sz="8" w:color="2D53A6"/>
            </w:tcBorders>
            <w:shd w:val="clear" w:color="auto" w:fill="2D53A6"/>
          </w:tcPr>
          <w:p>
            <w:pPr>
              <w:spacing w:after="0"/>
              <w:rPr>
                <w:sz w:val="18"/>
                <w:szCs w:val="18"/>
                <w:color w:val="auto"/>
              </w:rPr>
            </w:pPr>
          </w:p>
        </w:tc>
        <w:tc>
          <w:tcPr>
            <w:tcW w:w="1500" w:type="dxa"/>
            <w:vAlign w:val="bottom"/>
            <w:shd w:val="clear" w:color="auto" w:fill="2D53A6"/>
          </w:tcPr>
          <w:p>
            <w:pPr>
              <w:jc w:val="center"/>
              <w:ind w:left="430"/>
              <w:spacing w:after="0"/>
              <w:rPr>
                <w:sz w:val="20"/>
                <w:szCs w:val="20"/>
                <w:color w:val="auto"/>
              </w:rPr>
            </w:pPr>
            <w:r>
              <w:rPr>
                <w:rFonts w:ascii="Arial" w:cs="Arial" w:eastAsia="Arial" w:hAnsi="Arial"/>
                <w:sz w:val="18"/>
                <w:szCs w:val="18"/>
                <w:b w:val="1"/>
                <w:bCs w:val="1"/>
                <w:color w:val="FFFFFF"/>
                <w:w w:val="89"/>
              </w:rPr>
              <w:t>Acquired on</w:t>
            </w:r>
          </w:p>
        </w:tc>
        <w:tc>
          <w:tcPr>
            <w:tcW w:w="540" w:type="dxa"/>
            <w:vAlign w:val="bottom"/>
            <w:tcBorders>
              <w:right w:val="single" w:sz="8" w:color="2D53A6"/>
            </w:tcBorders>
            <w:shd w:val="clear" w:color="auto" w:fill="2D53A6"/>
          </w:tcPr>
          <w:p>
            <w:pPr>
              <w:spacing w:after="0"/>
              <w:rPr>
                <w:sz w:val="18"/>
                <w:szCs w:val="18"/>
                <w:color w:val="auto"/>
              </w:rPr>
            </w:pPr>
          </w:p>
        </w:tc>
        <w:tc>
          <w:tcPr>
            <w:tcW w:w="2060" w:type="dxa"/>
            <w:vAlign w:val="bottom"/>
            <w:tcBorders>
              <w:right w:val="single" w:sz="8" w:color="2D53A6"/>
            </w:tcBorders>
            <w:shd w:val="clear" w:color="auto" w:fill="2D53A6"/>
          </w:tcPr>
          <w:p>
            <w:pPr>
              <w:jc w:val="right"/>
              <w:ind w:right="271"/>
              <w:spacing w:after="0" w:line="216" w:lineRule="exact"/>
              <w:rPr>
                <w:sz w:val="20"/>
                <w:szCs w:val="20"/>
                <w:color w:val="auto"/>
              </w:rPr>
            </w:pPr>
            <w:r>
              <w:rPr>
                <w:rFonts w:ascii="Arial" w:cs="Arial" w:eastAsia="Arial" w:hAnsi="Arial"/>
                <w:sz w:val="16"/>
                <w:szCs w:val="16"/>
                <w:b w:val="1"/>
                <w:bCs w:val="1"/>
                <w:color w:val="FFFFFF"/>
              </w:rPr>
              <w:t xml:space="preserve">on Exercise ($) </w:t>
            </w:r>
            <w:r>
              <w:rPr>
                <w:rFonts w:ascii="Arial" w:cs="Arial" w:eastAsia="Arial" w:hAnsi="Arial"/>
                <w:sz w:val="25"/>
                <w:szCs w:val="25"/>
                <w:b w:val="1"/>
                <w:bCs w:val="1"/>
                <w:color w:val="FFFFFF"/>
                <w:vertAlign w:val="superscript"/>
              </w:rPr>
              <w:t>(1)</w:t>
            </w:r>
          </w:p>
        </w:tc>
        <w:tc>
          <w:tcPr>
            <w:tcW w:w="20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Acquired on</w:t>
            </w:r>
          </w:p>
        </w:tc>
        <w:tc>
          <w:tcPr>
            <w:tcW w:w="1960" w:type="dxa"/>
            <w:vAlign w:val="bottom"/>
            <w:tcBorders>
              <w:right w:val="single" w:sz="8" w:color="2D53A6"/>
            </w:tcBorders>
            <w:shd w:val="clear" w:color="auto" w:fill="2D53A6"/>
          </w:tcPr>
          <w:p>
            <w:pPr>
              <w:jc w:val="right"/>
              <w:ind w:right="251"/>
              <w:spacing w:after="0" w:line="216" w:lineRule="exact"/>
              <w:rPr>
                <w:sz w:val="20"/>
                <w:szCs w:val="20"/>
                <w:color w:val="auto"/>
              </w:rPr>
            </w:pPr>
            <w:r>
              <w:rPr>
                <w:rFonts w:ascii="Arial" w:cs="Arial" w:eastAsia="Arial" w:hAnsi="Arial"/>
                <w:sz w:val="16"/>
                <w:szCs w:val="16"/>
                <w:b w:val="1"/>
                <w:bCs w:val="1"/>
                <w:color w:val="FFFFFF"/>
              </w:rPr>
              <w:t xml:space="preserve">on Vesting ($) </w:t>
            </w:r>
            <w:r>
              <w:rPr>
                <w:rFonts w:ascii="Arial" w:cs="Arial" w:eastAsia="Arial" w:hAnsi="Arial"/>
                <w:sz w:val="25"/>
                <w:szCs w:val="25"/>
                <w:b w:val="1"/>
                <w:bCs w:val="1"/>
                <w:color w:val="FFFFFF"/>
                <w:vertAlign w:val="superscript"/>
              </w:rPr>
              <w:t>(3)</w:t>
            </w:r>
          </w:p>
        </w:tc>
      </w:tr>
      <w:tr>
        <w:trPr>
          <w:trHeight w:val="234"/>
        </w:trPr>
        <w:tc>
          <w:tcPr>
            <w:tcW w:w="3160" w:type="dxa"/>
            <w:vAlign w:val="bottom"/>
            <w:tcBorders>
              <w:right w:val="single" w:sz="8" w:color="2D53A6"/>
            </w:tcBorders>
            <w:shd w:val="clear" w:color="auto" w:fill="2D53A6"/>
          </w:tcPr>
          <w:p>
            <w:pPr>
              <w:spacing w:after="0"/>
              <w:rPr>
                <w:sz w:val="20"/>
                <w:szCs w:val="20"/>
                <w:color w:val="auto"/>
              </w:rPr>
            </w:pPr>
          </w:p>
        </w:tc>
        <w:tc>
          <w:tcPr>
            <w:tcW w:w="1500" w:type="dxa"/>
            <w:vAlign w:val="bottom"/>
            <w:shd w:val="clear" w:color="auto" w:fill="2D53A6"/>
          </w:tcPr>
          <w:p>
            <w:pPr>
              <w:jc w:val="center"/>
              <w:ind w:left="430"/>
              <w:spacing w:after="0"/>
              <w:rPr>
                <w:sz w:val="20"/>
                <w:szCs w:val="20"/>
                <w:color w:val="auto"/>
              </w:rPr>
            </w:pPr>
            <w:r>
              <w:rPr>
                <w:rFonts w:ascii="Arial" w:cs="Arial" w:eastAsia="Arial" w:hAnsi="Arial"/>
                <w:sz w:val="18"/>
                <w:szCs w:val="18"/>
                <w:b w:val="1"/>
                <w:bCs w:val="1"/>
                <w:color w:val="FFFFFF"/>
                <w:w w:val="89"/>
              </w:rPr>
              <w:t>Exercise (#)</w:t>
            </w:r>
          </w:p>
        </w:tc>
        <w:tc>
          <w:tcPr>
            <w:tcW w:w="540" w:type="dxa"/>
            <w:vAlign w:val="bottom"/>
            <w:tcBorders>
              <w:right w:val="single" w:sz="8" w:color="2D53A6"/>
            </w:tcBorders>
            <w:shd w:val="clear" w:color="auto" w:fill="2D53A6"/>
          </w:tcPr>
          <w:p>
            <w:pPr>
              <w:spacing w:after="0"/>
              <w:rPr>
                <w:sz w:val="20"/>
                <w:szCs w:val="20"/>
                <w:color w:val="auto"/>
              </w:rPr>
            </w:pPr>
          </w:p>
        </w:tc>
        <w:tc>
          <w:tcPr>
            <w:tcW w:w="2060" w:type="dxa"/>
            <w:vAlign w:val="bottom"/>
            <w:tcBorders>
              <w:right w:val="single" w:sz="8" w:color="2D53A6"/>
            </w:tcBorders>
            <w:shd w:val="clear" w:color="auto" w:fill="2D53A6"/>
          </w:tcPr>
          <w:p>
            <w:pPr>
              <w:spacing w:after="0"/>
              <w:rPr>
                <w:sz w:val="20"/>
                <w:szCs w:val="20"/>
                <w:color w:val="auto"/>
              </w:rPr>
            </w:pPr>
          </w:p>
        </w:tc>
        <w:tc>
          <w:tcPr>
            <w:tcW w:w="202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1"/>
              </w:rPr>
              <w:t xml:space="preserve">Vesting (#) </w:t>
            </w:r>
            <w:r>
              <w:rPr>
                <w:rFonts w:ascii="Arial" w:cs="Arial" w:eastAsia="Arial" w:hAnsi="Arial"/>
                <w:sz w:val="27"/>
                <w:szCs w:val="27"/>
                <w:b w:val="1"/>
                <w:bCs w:val="1"/>
                <w:color w:val="FFFFFF"/>
                <w:w w:val="91"/>
                <w:vertAlign w:val="superscript"/>
              </w:rPr>
              <w:t>(2)</w:t>
            </w:r>
          </w:p>
        </w:tc>
        <w:tc>
          <w:tcPr>
            <w:tcW w:w="1960" w:type="dxa"/>
            <w:vAlign w:val="bottom"/>
            <w:tcBorders>
              <w:right w:val="single" w:sz="8" w:color="2D53A6"/>
            </w:tcBorders>
            <w:shd w:val="clear" w:color="auto" w:fill="2D53A6"/>
          </w:tcPr>
          <w:p>
            <w:pPr>
              <w:spacing w:after="0"/>
              <w:rPr>
                <w:sz w:val="20"/>
                <w:szCs w:val="20"/>
                <w:color w:val="auto"/>
              </w:rPr>
            </w:pPr>
          </w:p>
        </w:tc>
      </w:tr>
      <w:tr>
        <w:trPr>
          <w:trHeight w:val="216"/>
        </w:trPr>
        <w:tc>
          <w:tcPr>
            <w:tcW w:w="316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500" w:type="dxa"/>
            <w:vAlign w:val="bottom"/>
            <w:tcBorders>
              <w:bottom w:val="single" w:sz="8" w:color="2D53A6"/>
            </w:tcBorders>
          </w:tcPr>
          <w:p>
            <w:pPr>
              <w:spacing w:after="0"/>
              <w:rPr>
                <w:sz w:val="18"/>
                <w:szCs w:val="18"/>
                <w:color w:val="auto"/>
              </w:rPr>
            </w:pPr>
          </w:p>
        </w:tc>
        <w:tc>
          <w:tcPr>
            <w:tcW w:w="5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76,026</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2,394,055</w:t>
            </w:r>
          </w:p>
        </w:tc>
      </w:tr>
      <w:tr>
        <w:trPr>
          <w:trHeight w:val="209"/>
        </w:trPr>
        <w:tc>
          <w:tcPr>
            <w:tcW w:w="3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500" w:type="dxa"/>
            <w:vAlign w:val="bottom"/>
            <w:tcBorders>
              <w:bottom w:val="single" w:sz="8" w:color="2D53A6"/>
            </w:tcBorders>
            <w:shd w:val="clear" w:color="auto" w:fill="E6E6E6"/>
          </w:tcPr>
          <w:p>
            <w:pPr>
              <w:spacing w:after="0"/>
              <w:rPr>
                <w:sz w:val="18"/>
                <w:szCs w:val="18"/>
                <w:color w:val="auto"/>
              </w:rPr>
            </w:pPr>
          </w:p>
        </w:tc>
        <w:tc>
          <w:tcPr>
            <w:tcW w:w="5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w w:val="90"/>
              </w:rPr>
              <w:t>12,442</w:t>
            </w:r>
          </w:p>
        </w:tc>
        <w:tc>
          <w:tcPr>
            <w:tcW w:w="20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224,931</w:t>
            </w:r>
          </w:p>
        </w:tc>
        <w:tc>
          <w:tcPr>
            <w:tcW w:w="20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27,771</w:t>
            </w:r>
          </w:p>
        </w:tc>
        <w:tc>
          <w:tcPr>
            <w:tcW w:w="19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876,268</w:t>
            </w:r>
          </w:p>
        </w:tc>
      </w:tr>
      <w:tr>
        <w:trPr>
          <w:trHeight w:val="209"/>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500" w:type="dxa"/>
            <w:vAlign w:val="bottom"/>
            <w:tcBorders>
              <w:bottom w:val="single" w:sz="8" w:color="2D53A6"/>
            </w:tcBorders>
          </w:tcPr>
          <w:p>
            <w:pPr>
              <w:spacing w:after="0"/>
              <w:rPr>
                <w:sz w:val="18"/>
                <w:szCs w:val="18"/>
                <w:color w:val="auto"/>
              </w:rPr>
            </w:pPr>
          </w:p>
        </w:tc>
        <w:tc>
          <w:tcPr>
            <w:tcW w:w="5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17,891</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564,481</w:t>
            </w:r>
          </w:p>
        </w:tc>
      </w:tr>
      <w:tr>
        <w:trPr>
          <w:trHeight w:val="210"/>
        </w:trPr>
        <w:tc>
          <w:tcPr>
            <w:tcW w:w="3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500" w:type="dxa"/>
            <w:vAlign w:val="bottom"/>
            <w:tcBorders>
              <w:bottom w:val="single" w:sz="8" w:color="2D53A6"/>
            </w:tcBorders>
            <w:shd w:val="clear" w:color="auto" w:fill="E6E6E6"/>
          </w:tcPr>
          <w:p>
            <w:pPr>
              <w:spacing w:after="0"/>
              <w:rPr>
                <w:sz w:val="18"/>
                <w:szCs w:val="18"/>
                <w:color w:val="auto"/>
              </w:rPr>
            </w:pPr>
          </w:p>
        </w:tc>
        <w:tc>
          <w:tcPr>
            <w:tcW w:w="5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14,630</w:t>
            </w:r>
          </w:p>
        </w:tc>
        <w:tc>
          <w:tcPr>
            <w:tcW w:w="19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462,536</w:t>
            </w:r>
          </w:p>
        </w:tc>
      </w:tr>
      <w:tr>
        <w:trPr>
          <w:trHeight w:val="209"/>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500" w:type="dxa"/>
            <w:vAlign w:val="bottom"/>
            <w:tcBorders>
              <w:bottom w:val="single" w:sz="8" w:color="2D53A6"/>
            </w:tcBorders>
          </w:tcPr>
          <w:p>
            <w:pPr>
              <w:spacing w:after="0"/>
              <w:rPr>
                <w:sz w:val="18"/>
                <w:szCs w:val="18"/>
                <w:color w:val="auto"/>
              </w:rPr>
            </w:pPr>
          </w:p>
        </w:tc>
        <w:tc>
          <w:tcPr>
            <w:tcW w:w="5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9,927</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288,810</w:t>
            </w:r>
          </w:p>
        </w:tc>
      </w:tr>
    </w:tbl>
    <w:p>
      <w:pPr>
        <w:spacing w:after="0" w:line="202" w:lineRule="exact"/>
        <w:rPr>
          <w:sz w:val="20"/>
          <w:szCs w:val="20"/>
          <w:color w:val="auto"/>
        </w:rPr>
      </w:pPr>
    </w:p>
    <w:p>
      <w:pPr>
        <w:ind w:left="340" w:right="120" w:hanging="332"/>
        <w:spacing w:after="0" w:line="25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the difference between the market price of Cohu’s common stock on the date of exercise and the exercise price, multiplied by the number of shares for which the option was exercised.</w:t>
      </w:r>
    </w:p>
    <w:p>
      <w:pPr>
        <w:spacing w:after="0" w:line="1" w:lineRule="exact"/>
        <w:rPr>
          <w:rFonts w:ascii="Arial" w:cs="Arial" w:eastAsia="Arial" w:hAnsi="Arial"/>
          <w:sz w:val="18"/>
          <w:szCs w:val="18"/>
          <w:color w:val="auto"/>
        </w:rPr>
      </w:pPr>
    </w:p>
    <w:p>
      <w:pPr>
        <w:ind w:left="340" w:right="100" w:hanging="332"/>
        <w:spacing w:after="0" w:line="216"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Number of shares acquired on vesting is before reduction for shares withheld to cover tax withholding. Cohu withheld the following number of shares for tax withholding: Dr. M</w:t>
      </w:r>
      <w:r>
        <w:rPr>
          <w:rFonts w:ascii="MS PGothic" w:cs="MS PGothic" w:eastAsia="MS PGothic" w:hAnsi="MS PGothic"/>
          <w:sz w:val="18"/>
          <w:szCs w:val="18"/>
          <w:color w:val="auto"/>
        </w:rPr>
        <w:t>✔</w:t>
      </w:r>
      <w:r>
        <w:rPr>
          <w:rFonts w:ascii="Arial" w:cs="Arial" w:eastAsia="Arial" w:hAnsi="Arial"/>
          <w:sz w:val="18"/>
          <w:szCs w:val="18"/>
          <w:color w:val="auto"/>
        </w:rPr>
        <w:t>ller, 37,696 shares; Mr. Jones, 13,771 shares; Mr. Bohrson, 8,873 shares, Mr. Kampfer, 7,256 shares; and Mr. Lawee, 2,915 shares.</w:t>
      </w:r>
    </w:p>
    <w:p>
      <w:pPr>
        <w:spacing w:after="0" w:line="1" w:lineRule="exact"/>
        <w:rPr>
          <w:rFonts w:ascii="Arial" w:cs="Arial" w:eastAsia="Arial" w:hAnsi="Arial"/>
          <w:sz w:val="18"/>
          <w:szCs w:val="18"/>
          <w:color w:val="auto"/>
        </w:rPr>
      </w:pPr>
    </w:p>
    <w:p>
      <w:pPr>
        <w:ind w:left="340" w:right="560" w:hanging="332"/>
        <w:spacing w:after="0" w:line="26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realized equals the number of units that vested multiplied by the per-share closing price of Cohu’s common stock on the vesting date. Amounts presented are gross amounts before required tax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Nonqualified Deferred Compensation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fifteen annual installments upon retirement and in lump sum or five, ten or fifteen annual installments upon disability, death, termination or change in control, as defined in the Deferred Compensation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none of our NEOs have any amounts deferred under the Deferred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31, 2022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 and amounts quoted in footnotes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Borders>
              <w:right w:val="single" w:sz="8" w:color="2D53A6"/>
            </w:tcBorders>
            <w:shd w:val="clear" w:color="auto" w:fill="2D53A6"/>
          </w:tcPr>
          <w:p>
            <w:pPr>
              <w:spacing w:after="0"/>
              <w:rPr>
                <w:sz w:val="17"/>
                <w:szCs w:val="17"/>
                <w:color w:val="auto"/>
              </w:rPr>
            </w:pP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1"/>
              </w:rPr>
              <w:t>Number of</w:t>
            </w:r>
          </w:p>
        </w:tc>
        <w:tc>
          <w:tcPr>
            <w:tcW w:w="1440" w:type="dxa"/>
            <w:vAlign w:val="bottom"/>
            <w:shd w:val="clear" w:color="auto" w:fill="2D53A6"/>
          </w:tcPr>
          <w:p>
            <w:pPr>
              <w:spacing w:after="0"/>
              <w:rPr>
                <w:sz w:val="17"/>
                <w:szCs w:val="17"/>
                <w:color w:val="auto"/>
              </w:rPr>
            </w:pPr>
          </w:p>
        </w:tc>
        <w:tc>
          <w:tcPr>
            <w:tcW w:w="180" w:type="dxa"/>
            <w:vAlign w:val="bottom"/>
            <w:tcBorders>
              <w:right w:val="single" w:sz="8" w:color="2D53A6"/>
            </w:tcBorders>
            <w:shd w:val="clear" w:color="auto" w:fill="2D53A6"/>
          </w:tcPr>
          <w:p>
            <w:pPr>
              <w:spacing w:after="0"/>
              <w:rPr>
                <w:sz w:val="17"/>
                <w:szCs w:val="17"/>
                <w:color w:val="auto"/>
              </w:rPr>
            </w:pPr>
          </w:p>
        </w:tc>
        <w:tc>
          <w:tcPr>
            <w:tcW w:w="2280" w:type="dxa"/>
            <w:vAlign w:val="bottom"/>
            <w:shd w:val="clear" w:color="auto" w:fill="2D53A6"/>
          </w:tcPr>
          <w:p>
            <w:pPr>
              <w:spacing w:after="0"/>
              <w:rPr>
                <w:sz w:val="17"/>
                <w:szCs w:val="17"/>
                <w:color w:val="auto"/>
              </w:rPr>
            </w:pPr>
          </w:p>
        </w:tc>
      </w:tr>
      <w:tr>
        <w:trPr>
          <w:trHeight w:val="216"/>
        </w:trPr>
        <w:tc>
          <w:tcPr>
            <w:tcW w:w="58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ind w:right="50"/>
              <w:spacing w:after="0"/>
              <w:rPr>
                <w:sz w:val="20"/>
                <w:szCs w:val="20"/>
                <w:color w:val="auto"/>
              </w:rPr>
            </w:pPr>
            <w:r>
              <w:rPr>
                <w:rFonts w:ascii="Arial" w:cs="Arial" w:eastAsia="Arial" w:hAnsi="Arial"/>
                <w:sz w:val="18"/>
                <w:szCs w:val="18"/>
                <w:b w:val="1"/>
                <w:bCs w:val="1"/>
                <w:color w:val="FFFFFF"/>
                <w:w w:val="85"/>
              </w:rPr>
              <w:t>securities</w:t>
            </w:r>
          </w:p>
        </w:tc>
        <w:tc>
          <w:tcPr>
            <w:tcW w:w="1440" w:type="dxa"/>
            <w:vAlign w:val="bottom"/>
            <w:shd w:val="clear" w:color="auto" w:fill="2D53A6"/>
          </w:tcPr>
          <w:p>
            <w:pPr>
              <w:spacing w:after="0"/>
              <w:rPr>
                <w:sz w:val="18"/>
                <w:szCs w:val="18"/>
                <w:color w:val="auto"/>
              </w:rPr>
            </w:pPr>
          </w:p>
        </w:tc>
        <w:tc>
          <w:tcPr>
            <w:tcW w:w="180" w:type="dxa"/>
            <w:vAlign w:val="bottom"/>
            <w:tcBorders>
              <w:right w:val="single" w:sz="8" w:color="2D53A6"/>
            </w:tcBorders>
            <w:shd w:val="clear" w:color="auto" w:fill="2D53A6"/>
          </w:tcPr>
          <w:p>
            <w:pPr>
              <w:spacing w:after="0"/>
              <w:rPr>
                <w:sz w:val="18"/>
                <w:szCs w:val="18"/>
                <w:color w:val="auto"/>
              </w:rPr>
            </w:pPr>
          </w:p>
        </w:tc>
        <w:tc>
          <w:tcPr>
            <w:tcW w:w="2280" w:type="dxa"/>
            <w:vAlign w:val="bottom"/>
            <w:shd w:val="clear" w:color="auto" w:fill="2D53A6"/>
          </w:tcPr>
          <w:p>
            <w:pPr>
              <w:spacing w:after="0"/>
              <w:rPr>
                <w:sz w:val="18"/>
                <w:szCs w:val="18"/>
                <w:color w:val="auto"/>
              </w:rPr>
            </w:pPr>
          </w:p>
        </w:tc>
      </w:tr>
      <w:tr>
        <w:trPr>
          <w:trHeight w:val="216"/>
        </w:trPr>
        <w:tc>
          <w:tcPr>
            <w:tcW w:w="58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85"/>
              </w:rPr>
              <w:t>to be issued</w:t>
            </w:r>
          </w:p>
        </w:tc>
        <w:tc>
          <w:tcPr>
            <w:tcW w:w="1620" w:type="dxa"/>
            <w:vAlign w:val="bottom"/>
            <w:tcBorders>
              <w:right w:val="single" w:sz="8" w:color="2D53A6"/>
            </w:tcBorders>
            <w:gridSpan w:val="2"/>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Weighted average</w:t>
            </w:r>
          </w:p>
        </w:tc>
        <w:tc>
          <w:tcPr>
            <w:tcW w:w="22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Number of securities</w:t>
            </w:r>
          </w:p>
        </w:tc>
      </w:tr>
      <w:tr>
        <w:trPr>
          <w:trHeight w:val="216"/>
        </w:trPr>
        <w:tc>
          <w:tcPr>
            <w:tcW w:w="58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85"/>
              </w:rPr>
              <w:t>upon exercise of</w:t>
            </w:r>
          </w:p>
        </w:tc>
        <w:tc>
          <w:tcPr>
            <w:tcW w:w="1440" w:type="dxa"/>
            <w:vAlign w:val="bottom"/>
            <w:shd w:val="clear" w:color="auto" w:fill="2D53A6"/>
          </w:tcPr>
          <w:p>
            <w:pPr>
              <w:jc w:val="center"/>
              <w:ind w:left="91"/>
              <w:spacing w:after="0"/>
              <w:rPr>
                <w:sz w:val="20"/>
                <w:szCs w:val="20"/>
                <w:color w:val="auto"/>
              </w:rPr>
            </w:pPr>
            <w:r>
              <w:rPr>
                <w:rFonts w:ascii="Arial" w:cs="Arial" w:eastAsia="Arial" w:hAnsi="Arial"/>
                <w:sz w:val="18"/>
                <w:szCs w:val="18"/>
                <w:b w:val="1"/>
                <w:bCs w:val="1"/>
                <w:color w:val="FFFFFF"/>
                <w:w w:val="85"/>
              </w:rPr>
              <w:t>exercise price of</w:t>
            </w:r>
          </w:p>
        </w:tc>
        <w:tc>
          <w:tcPr>
            <w:tcW w:w="180" w:type="dxa"/>
            <w:vAlign w:val="bottom"/>
            <w:tcBorders>
              <w:right w:val="single" w:sz="8" w:color="2D53A6"/>
            </w:tcBorders>
            <w:shd w:val="clear" w:color="auto" w:fill="2D53A6"/>
          </w:tcPr>
          <w:p>
            <w:pPr>
              <w:spacing w:after="0"/>
              <w:rPr>
                <w:sz w:val="18"/>
                <w:szCs w:val="18"/>
                <w:color w:val="auto"/>
              </w:rPr>
            </w:pPr>
          </w:p>
        </w:tc>
        <w:tc>
          <w:tcPr>
            <w:tcW w:w="22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available</w:t>
            </w:r>
          </w:p>
        </w:tc>
      </w:tr>
      <w:tr>
        <w:trPr>
          <w:trHeight w:val="216"/>
        </w:trPr>
        <w:tc>
          <w:tcPr>
            <w:tcW w:w="58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Plan category</w:t>
            </w: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87"/>
              </w:rPr>
              <w:t>outstanding</w:t>
            </w:r>
          </w:p>
        </w:tc>
        <w:tc>
          <w:tcPr>
            <w:tcW w:w="1440" w:type="dxa"/>
            <w:vAlign w:val="bottom"/>
            <w:shd w:val="clear" w:color="auto" w:fill="2D53A6"/>
          </w:tcPr>
          <w:p>
            <w:pPr>
              <w:jc w:val="center"/>
              <w:ind w:left="91"/>
              <w:spacing w:after="0"/>
              <w:rPr>
                <w:sz w:val="20"/>
                <w:szCs w:val="20"/>
                <w:color w:val="auto"/>
              </w:rPr>
            </w:pPr>
            <w:r>
              <w:rPr>
                <w:rFonts w:ascii="Arial" w:cs="Arial" w:eastAsia="Arial" w:hAnsi="Arial"/>
                <w:sz w:val="18"/>
                <w:szCs w:val="18"/>
                <w:b w:val="1"/>
                <w:bCs w:val="1"/>
                <w:color w:val="FFFFFF"/>
                <w:w w:val="87"/>
              </w:rPr>
              <w:t>outstanding</w:t>
            </w:r>
          </w:p>
        </w:tc>
        <w:tc>
          <w:tcPr>
            <w:tcW w:w="180" w:type="dxa"/>
            <w:vAlign w:val="bottom"/>
            <w:tcBorders>
              <w:right w:val="single" w:sz="8" w:color="2D53A6"/>
            </w:tcBorders>
            <w:shd w:val="clear" w:color="auto" w:fill="2D53A6"/>
          </w:tcPr>
          <w:p>
            <w:pPr>
              <w:spacing w:after="0"/>
              <w:rPr>
                <w:sz w:val="18"/>
                <w:szCs w:val="18"/>
                <w:color w:val="auto"/>
              </w:rPr>
            </w:pPr>
          </w:p>
        </w:tc>
        <w:tc>
          <w:tcPr>
            <w:tcW w:w="22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for future issuance under</w:t>
            </w:r>
          </w:p>
        </w:tc>
      </w:tr>
      <w:tr>
        <w:trPr>
          <w:trHeight w:val="216"/>
        </w:trPr>
        <w:tc>
          <w:tcPr>
            <w:tcW w:w="58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88"/>
              </w:rPr>
              <w:t>options,</w:t>
            </w:r>
          </w:p>
        </w:tc>
        <w:tc>
          <w:tcPr>
            <w:tcW w:w="1440" w:type="dxa"/>
            <w:vAlign w:val="bottom"/>
            <w:shd w:val="clear" w:color="auto" w:fill="2D53A6"/>
          </w:tcPr>
          <w:p>
            <w:pPr>
              <w:jc w:val="center"/>
              <w:ind w:left="91"/>
              <w:spacing w:after="0"/>
              <w:rPr>
                <w:sz w:val="20"/>
                <w:szCs w:val="20"/>
                <w:color w:val="auto"/>
              </w:rPr>
            </w:pPr>
            <w:r>
              <w:rPr>
                <w:rFonts w:ascii="Arial" w:cs="Arial" w:eastAsia="Arial" w:hAnsi="Arial"/>
                <w:sz w:val="18"/>
                <w:szCs w:val="18"/>
                <w:b w:val="1"/>
                <w:bCs w:val="1"/>
                <w:color w:val="FFFFFF"/>
                <w:w w:val="88"/>
              </w:rPr>
              <w:t>options,</w:t>
            </w:r>
          </w:p>
        </w:tc>
        <w:tc>
          <w:tcPr>
            <w:tcW w:w="180" w:type="dxa"/>
            <w:vAlign w:val="bottom"/>
            <w:tcBorders>
              <w:right w:val="single" w:sz="8" w:color="2D53A6"/>
            </w:tcBorders>
            <w:shd w:val="clear" w:color="auto" w:fill="2D53A6"/>
          </w:tcPr>
          <w:p>
            <w:pPr>
              <w:spacing w:after="0"/>
              <w:rPr>
                <w:sz w:val="18"/>
                <w:szCs w:val="18"/>
                <w:color w:val="auto"/>
              </w:rPr>
            </w:pPr>
          </w:p>
        </w:tc>
        <w:tc>
          <w:tcPr>
            <w:tcW w:w="22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equity compensation plans</w:t>
            </w:r>
          </w:p>
        </w:tc>
      </w:tr>
      <w:tr>
        <w:trPr>
          <w:trHeight w:val="216"/>
        </w:trPr>
        <w:tc>
          <w:tcPr>
            <w:tcW w:w="58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1"/>
              </w:rPr>
              <w:t>warrants and</w:t>
            </w:r>
          </w:p>
        </w:tc>
        <w:tc>
          <w:tcPr>
            <w:tcW w:w="1440" w:type="dxa"/>
            <w:vAlign w:val="bottom"/>
            <w:shd w:val="clear" w:color="auto" w:fill="2D53A6"/>
          </w:tcPr>
          <w:p>
            <w:pPr>
              <w:jc w:val="center"/>
              <w:ind w:left="91"/>
              <w:spacing w:after="0"/>
              <w:rPr>
                <w:sz w:val="20"/>
                <w:szCs w:val="20"/>
                <w:color w:val="auto"/>
              </w:rPr>
            </w:pPr>
            <w:r>
              <w:rPr>
                <w:rFonts w:ascii="Arial" w:cs="Arial" w:eastAsia="Arial" w:hAnsi="Arial"/>
                <w:sz w:val="18"/>
                <w:szCs w:val="18"/>
                <w:b w:val="1"/>
                <w:bCs w:val="1"/>
                <w:color w:val="FFFFFF"/>
                <w:w w:val="91"/>
              </w:rPr>
              <w:t>warrants and</w:t>
            </w:r>
          </w:p>
        </w:tc>
        <w:tc>
          <w:tcPr>
            <w:tcW w:w="180" w:type="dxa"/>
            <w:vAlign w:val="bottom"/>
            <w:tcBorders>
              <w:right w:val="single" w:sz="8" w:color="2D53A6"/>
            </w:tcBorders>
            <w:shd w:val="clear" w:color="auto" w:fill="2D53A6"/>
          </w:tcPr>
          <w:p>
            <w:pPr>
              <w:spacing w:after="0"/>
              <w:rPr>
                <w:sz w:val="18"/>
                <w:szCs w:val="18"/>
                <w:color w:val="auto"/>
              </w:rPr>
            </w:pPr>
          </w:p>
        </w:tc>
        <w:tc>
          <w:tcPr>
            <w:tcW w:w="22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(excluding securities</w:t>
            </w:r>
          </w:p>
        </w:tc>
      </w:tr>
      <w:tr>
        <w:trPr>
          <w:trHeight w:val="216"/>
        </w:trPr>
        <w:tc>
          <w:tcPr>
            <w:tcW w:w="5840" w:type="dxa"/>
            <w:vAlign w:val="bottom"/>
            <w:tcBorders>
              <w:right w:val="single" w:sz="8" w:color="2D53A6"/>
            </w:tcBorders>
            <w:shd w:val="clear" w:color="auto" w:fill="2D53A6"/>
          </w:tcPr>
          <w:p>
            <w:pPr>
              <w:spacing w:after="0"/>
              <w:rPr>
                <w:sz w:val="18"/>
                <w:szCs w:val="18"/>
                <w:color w:val="auto"/>
              </w:rPr>
            </w:pPr>
          </w:p>
        </w:tc>
        <w:tc>
          <w:tcPr>
            <w:tcW w:w="150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1"/>
              </w:rPr>
              <w:t>rights</w:t>
            </w:r>
          </w:p>
        </w:tc>
        <w:tc>
          <w:tcPr>
            <w:tcW w:w="1440" w:type="dxa"/>
            <w:vAlign w:val="bottom"/>
            <w:shd w:val="clear" w:color="auto" w:fill="2D53A6"/>
          </w:tcPr>
          <w:p>
            <w:pPr>
              <w:jc w:val="center"/>
              <w:ind w:left="91"/>
              <w:spacing w:after="0"/>
              <w:rPr>
                <w:sz w:val="20"/>
                <w:szCs w:val="20"/>
                <w:color w:val="auto"/>
              </w:rPr>
            </w:pPr>
            <w:r>
              <w:rPr>
                <w:rFonts w:ascii="Arial" w:cs="Arial" w:eastAsia="Arial" w:hAnsi="Arial"/>
                <w:sz w:val="18"/>
                <w:szCs w:val="18"/>
                <w:b w:val="1"/>
                <w:bCs w:val="1"/>
                <w:color w:val="FFFFFF"/>
                <w:w w:val="91"/>
              </w:rPr>
              <w:t>rights</w:t>
            </w:r>
          </w:p>
        </w:tc>
        <w:tc>
          <w:tcPr>
            <w:tcW w:w="180" w:type="dxa"/>
            <w:vAlign w:val="bottom"/>
            <w:tcBorders>
              <w:right w:val="single" w:sz="8" w:color="2D53A6"/>
            </w:tcBorders>
            <w:shd w:val="clear" w:color="auto" w:fill="2D53A6"/>
          </w:tcPr>
          <w:p>
            <w:pPr>
              <w:spacing w:after="0"/>
              <w:rPr>
                <w:sz w:val="18"/>
                <w:szCs w:val="18"/>
                <w:color w:val="auto"/>
              </w:rPr>
            </w:pPr>
          </w:p>
        </w:tc>
        <w:tc>
          <w:tcPr>
            <w:tcW w:w="22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reflected</w:t>
            </w:r>
          </w:p>
        </w:tc>
      </w:tr>
      <w:tr>
        <w:trPr>
          <w:trHeight w:val="234"/>
        </w:trPr>
        <w:tc>
          <w:tcPr>
            <w:tcW w:w="5840" w:type="dxa"/>
            <w:vAlign w:val="bottom"/>
            <w:tcBorders>
              <w:right w:val="single" w:sz="8" w:color="2D53A6"/>
            </w:tcBorders>
            <w:shd w:val="clear" w:color="auto" w:fill="2D53A6"/>
          </w:tcPr>
          <w:p>
            <w:pPr>
              <w:spacing w:after="0"/>
              <w:rPr>
                <w:sz w:val="20"/>
                <w:szCs w:val="20"/>
                <w:color w:val="auto"/>
              </w:rPr>
            </w:pPr>
          </w:p>
        </w:tc>
        <w:tc>
          <w:tcPr>
            <w:tcW w:w="1500" w:type="dxa"/>
            <w:vAlign w:val="bottom"/>
            <w:tcBorders>
              <w:right w:val="single" w:sz="8" w:color="2D53A6"/>
            </w:tcBorders>
            <w:shd w:val="clear" w:color="auto" w:fill="2D53A6"/>
          </w:tcPr>
          <w:p>
            <w:pPr>
              <w:jc w:val="center"/>
              <w:ind w:right="30"/>
              <w:spacing w:after="0" w:line="235" w:lineRule="exact"/>
              <w:rPr>
                <w:sz w:val="20"/>
                <w:szCs w:val="20"/>
                <w:color w:val="auto"/>
              </w:rPr>
            </w:pPr>
            <w:r>
              <w:rPr>
                <w:rFonts w:ascii="Arial" w:cs="Arial" w:eastAsia="Arial" w:hAnsi="Arial"/>
                <w:sz w:val="17"/>
                <w:szCs w:val="17"/>
                <w:b w:val="1"/>
                <w:bCs w:val="1"/>
                <w:color w:val="FFFFFF"/>
                <w:w w:val="88"/>
              </w:rPr>
              <w:t xml:space="preserve">(a) </w:t>
            </w:r>
            <w:r>
              <w:rPr>
                <w:rFonts w:ascii="Arial" w:cs="Arial" w:eastAsia="Arial" w:hAnsi="Arial"/>
                <w:sz w:val="27"/>
                <w:szCs w:val="27"/>
                <w:b w:val="1"/>
                <w:bCs w:val="1"/>
                <w:color w:val="FFFFFF"/>
                <w:w w:val="88"/>
                <w:vertAlign w:val="superscript"/>
              </w:rPr>
              <w:t>(1)</w:t>
            </w:r>
          </w:p>
        </w:tc>
        <w:tc>
          <w:tcPr>
            <w:tcW w:w="1440" w:type="dxa"/>
            <w:vAlign w:val="bottom"/>
            <w:shd w:val="clear" w:color="auto" w:fill="2D53A6"/>
          </w:tcPr>
          <w:p>
            <w:pPr>
              <w:jc w:val="center"/>
              <w:ind w:left="71"/>
              <w:spacing w:after="0" w:line="235" w:lineRule="exact"/>
              <w:rPr>
                <w:sz w:val="20"/>
                <w:szCs w:val="20"/>
                <w:color w:val="auto"/>
              </w:rPr>
            </w:pPr>
            <w:r>
              <w:rPr>
                <w:rFonts w:ascii="Arial" w:cs="Arial" w:eastAsia="Arial" w:hAnsi="Arial"/>
                <w:sz w:val="17"/>
                <w:szCs w:val="17"/>
                <w:b w:val="1"/>
                <w:bCs w:val="1"/>
                <w:color w:val="FFFFFF"/>
                <w:w w:val="90"/>
              </w:rPr>
              <w:t xml:space="preserve">(b) </w:t>
            </w:r>
            <w:r>
              <w:rPr>
                <w:rFonts w:ascii="Arial" w:cs="Arial" w:eastAsia="Arial" w:hAnsi="Arial"/>
                <w:sz w:val="27"/>
                <w:szCs w:val="27"/>
                <w:b w:val="1"/>
                <w:bCs w:val="1"/>
                <w:color w:val="FFFFFF"/>
                <w:w w:val="90"/>
                <w:vertAlign w:val="superscript"/>
              </w:rPr>
              <w:t>(2)</w:t>
            </w:r>
          </w:p>
        </w:tc>
        <w:tc>
          <w:tcPr>
            <w:tcW w:w="180" w:type="dxa"/>
            <w:vAlign w:val="bottom"/>
            <w:tcBorders>
              <w:right w:val="single" w:sz="8" w:color="2D53A6"/>
            </w:tcBorders>
            <w:shd w:val="clear" w:color="auto" w:fill="2D53A6"/>
          </w:tcPr>
          <w:p>
            <w:pPr>
              <w:spacing w:after="0"/>
              <w:rPr>
                <w:sz w:val="20"/>
                <w:szCs w:val="20"/>
                <w:color w:val="auto"/>
              </w:rPr>
            </w:pPr>
          </w:p>
        </w:tc>
        <w:tc>
          <w:tcPr>
            <w:tcW w:w="2280" w:type="dxa"/>
            <w:vAlign w:val="bottom"/>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5"/>
              </w:rPr>
              <w:t xml:space="preserve">in column (a)) (c) </w:t>
            </w:r>
            <w:r>
              <w:rPr>
                <w:rFonts w:ascii="Arial" w:cs="Arial" w:eastAsia="Arial" w:hAnsi="Arial"/>
                <w:sz w:val="27"/>
                <w:szCs w:val="27"/>
                <w:b w:val="1"/>
                <w:bCs w:val="1"/>
                <w:color w:val="FFFFFF"/>
                <w:w w:val="95"/>
                <w:vertAlign w:val="superscript"/>
              </w:rPr>
              <w:t>(3)</w:t>
            </w:r>
          </w:p>
        </w:tc>
      </w:tr>
      <w:tr>
        <w:trPr>
          <w:trHeight w:val="216"/>
        </w:trPr>
        <w:tc>
          <w:tcPr>
            <w:tcW w:w="58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2D53A6"/>
              <w:right w:val="single" w:sz="8" w:color="2D53A6"/>
            </w:tcBorders>
          </w:tcPr>
          <w:p>
            <w:pPr>
              <w:jc w:val="right"/>
              <w:ind w:right="10"/>
              <w:spacing w:after="0"/>
              <w:rPr>
                <w:sz w:val="20"/>
                <w:szCs w:val="20"/>
                <w:color w:val="auto"/>
              </w:rPr>
            </w:pPr>
            <w:r>
              <w:rPr>
                <w:rFonts w:ascii="Arial" w:cs="Arial" w:eastAsia="Arial" w:hAnsi="Arial"/>
                <w:sz w:val="18"/>
                <w:szCs w:val="18"/>
                <w:color w:val="auto"/>
              </w:rPr>
              <w:t>1,372</w:t>
            </w:r>
          </w:p>
        </w:tc>
        <w:tc>
          <w:tcPr>
            <w:tcW w:w="1440" w:type="dxa"/>
            <w:vAlign w:val="bottom"/>
            <w:tcBorders>
              <w:bottom w:val="single" w:sz="8" w:color="2D53A6"/>
            </w:tcBorders>
          </w:tcPr>
          <w:p>
            <w:pPr>
              <w:jc w:val="right"/>
              <w:ind w:right="11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2D53A6"/>
              <w:right w:val="single" w:sz="8" w:color="2D53A6"/>
            </w:tcBorders>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2D53A6"/>
            </w:tcBorders>
          </w:tcPr>
          <w:p>
            <w:pPr>
              <w:jc w:val="right"/>
              <w:ind w:right="11"/>
              <w:spacing w:after="0"/>
              <w:rPr>
                <w:sz w:val="20"/>
                <w:szCs w:val="20"/>
                <w:color w:val="auto"/>
              </w:rPr>
            </w:pPr>
            <w:r>
              <w:rPr>
                <w:rFonts w:ascii="Arial" w:cs="Arial" w:eastAsia="Arial" w:hAnsi="Arial"/>
                <w:sz w:val="18"/>
                <w:szCs w:val="18"/>
                <w:color w:val="auto"/>
              </w:rPr>
              <w:t>1,261</w:t>
            </w:r>
          </w:p>
        </w:tc>
      </w:tr>
      <w:tr>
        <w:trPr>
          <w:trHeight w:val="210"/>
        </w:trPr>
        <w:tc>
          <w:tcPr>
            <w:tcW w:w="58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5840" w:type="dxa"/>
            <w:vAlign w:val="bottom"/>
            <w:tcBorders>
              <w:right w:val="single" w:sz="8" w:color="2D53A6"/>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1,372</w:t>
            </w:r>
          </w:p>
        </w:tc>
        <w:tc>
          <w:tcPr>
            <w:tcW w:w="144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1,261</w:t>
            </w:r>
          </w:p>
        </w:tc>
      </w:tr>
      <w:tr>
        <w:trPr>
          <w:trHeight w:val="20"/>
        </w:trPr>
        <w:tc>
          <w:tcPr>
            <w:tcW w:w="5840" w:type="dxa"/>
            <w:vAlign w:val="bottom"/>
            <w:tcBorders>
              <w:bottom w:val="single" w:sz="8" w:color="2D53A6"/>
              <w:right w:val="single" w:sz="8" w:color="2D53A6"/>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-320675</wp:posOffset>
            </wp:positionV>
            <wp:extent cx="33655" cy="3340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-320675</wp:posOffset>
            </wp:positionV>
            <wp:extent cx="34290" cy="3340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82" w:lineRule="exact"/>
        <w:rPr>
          <w:sz w:val="20"/>
          <w:szCs w:val="20"/>
          <w:color w:val="auto"/>
        </w:rPr>
      </w:pPr>
    </w:p>
    <w:p>
      <w:pPr>
        <w:ind w:left="340" w:right="500" w:hanging="332"/>
        <w:spacing w:after="0" w:line="25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as no stock warrants or other rights were outstanding as of December 31, 2022.</w:t>
      </w:r>
    </w:p>
    <w:p>
      <w:pPr>
        <w:spacing w:after="0" w:line="1"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no exercise price.</w:t>
      </w: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346,498 shares of common stock reserved for future issuance under the Cohu 1997 Employee Stock Purchase Plan.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None of the Compensation Committee’s members during the last fiscal year have, at any time, been an officer or employee of Cohu. During fiscal 2022, no member of the Compensation Committee had any relationship with Cohu requiring disclosure under Item 404 of Regulation S-K. None of Cohu’s executive officers serves, or in fiscal 2022 has served, as a member of the board of directors or compensation committee of any entity that has one or more of its executive officers serving on Cohu’s Board or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Compensation Committee previously undertook, in consultation with its outside compensation advisory firm, Compensia, a review of its executive agreements. The objective of this review was to independently benchmark, assess best practices and develop standard agreements to be implemented as the Committee deemed appropriate among the Company’s executive officers. The Committee approved a form of executive severance agreement (the “Severance Agreement”) and form of change in control agreement (the “Change in Control Agreement”) for certain of the Company’s executive officers (each, an “Executive”), as described below. The Company first entered into the Severance Agreements and Change in Control Agreements on September 8, 2020.</w:t>
      </w:r>
    </w:p>
    <w:p>
      <w:pPr>
        <w:spacing w:after="0" w:line="192"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The Severance Agreement provides that if an Executive’s employment is terminated by the Company without Cause, or additionally only in the case of Dr. M</w:t>
      </w:r>
      <w:r>
        <w:rPr>
          <w:rFonts w:ascii="MS PGothic" w:cs="MS PGothic" w:eastAsia="MS PGothic" w:hAnsi="MS PGothic"/>
          <w:sz w:val="16"/>
          <w:szCs w:val="16"/>
          <w:color w:val="auto"/>
        </w:rPr>
        <w:t>✔</w:t>
      </w:r>
      <w:r>
        <w:rPr>
          <w:rFonts w:ascii="Arial" w:cs="Arial" w:eastAsia="Arial" w:hAnsi="Arial"/>
          <w:sz w:val="16"/>
          <w:szCs w:val="16"/>
          <w:color w:val="auto"/>
        </w:rPr>
        <w:t>ller, if he voluntarily resigns for Good Reason, then, subject to the Executive’s continued compliance with the obligations set forth in the Executive’s Confidentiality and Inventions Agreement and the Executive’s signing and not revoking a separation agreement and release of claims,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Dr. M</w:t>
      </w:r>
      <w:r>
        <w:rPr>
          <w:rFonts w:ascii="MS PGothic" w:cs="MS PGothic" w:eastAsia="MS PGothic" w:hAnsi="MS PGothic"/>
          <w:sz w:val="16"/>
          <w:szCs w:val="16"/>
          <w:color w:val="auto"/>
        </w:rPr>
        <w:t>✔</w:t>
      </w:r>
      <w:r>
        <w:rPr>
          <w:rFonts w:ascii="Arial" w:cs="Arial" w:eastAsia="Arial" w:hAnsi="Arial"/>
          <w:sz w:val="16"/>
          <w:szCs w:val="16"/>
          <w:color w:val="auto"/>
        </w:rPr>
        <w:t>ller), (B) for Cause by the Company, or (C) due to Executive’s death or disability, the Executive would not be entitled to receive any severance payments, but in the event of death their estate would be eligible for a pro-rata incentive bonus for the fiscal year in which the termination date occurs.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ind w:right="20"/>
        <w:spacing w:after="0" w:line="286" w:lineRule="auto"/>
        <w:rPr>
          <w:sz w:val="20"/>
          <w:szCs w:val="20"/>
          <w:color w:val="auto"/>
        </w:rPr>
      </w:pPr>
      <w:r>
        <w:rPr>
          <w:rFonts w:ascii="Arial" w:cs="Arial" w:eastAsia="Arial" w:hAnsi="Arial"/>
          <w:sz w:val="16"/>
          <w:szCs w:val="16"/>
          <w:color w:val="auto"/>
        </w:rPr>
        <w:t>The Change in Control Agreement provides that if an Executive’s employment is terminated by the Company without Cause or the Executive voluntarily resigns for Good Reason, in either case beginning sixty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their estate would be eligible for a pro- rata incentive bonus for the fiscal year in which the termination date occurs.</w:t>
      </w:r>
    </w:p>
    <w:p>
      <w:pPr>
        <w:spacing w:after="0" w:line="17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Agreements have a three (3) year Initial Term and will be automatically extended for successive two (2) year periods starting on September 8, 2023, as neither party had delivered written notice to the other party within six (6) months prior to the completion of the then effective Term that the Agreement would not be extended.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Borders>
              <w:right w:val="single" w:sz="8" w:color="2D53A6"/>
            </w:tcBorders>
            <w:shd w:val="clear" w:color="auto" w:fill="2D53A6"/>
          </w:tcPr>
          <w:p>
            <w:pPr>
              <w:spacing w:after="0"/>
              <w:rPr>
                <w:sz w:val="18"/>
                <w:szCs w:val="18"/>
                <w:color w:val="auto"/>
              </w:rPr>
            </w:pPr>
          </w:p>
        </w:tc>
        <w:tc>
          <w:tcPr>
            <w:tcW w:w="4300" w:type="dxa"/>
            <w:vAlign w:val="bottom"/>
            <w:tcBorders>
              <w:right w:val="single" w:sz="8" w:color="2D53A6"/>
            </w:tcBorders>
            <w:gridSpan w:val="2"/>
            <w:shd w:val="clear" w:color="auto" w:fill="2D53A6"/>
          </w:tcPr>
          <w:p>
            <w:pPr>
              <w:ind w:left="1300"/>
              <w:spacing w:after="0"/>
              <w:rPr>
                <w:sz w:val="20"/>
                <w:szCs w:val="20"/>
                <w:color w:val="auto"/>
              </w:rPr>
            </w:pPr>
            <w:r>
              <w:rPr>
                <w:rFonts w:ascii="Arial" w:cs="Arial" w:eastAsia="Arial" w:hAnsi="Arial"/>
                <w:sz w:val="18"/>
                <w:szCs w:val="18"/>
                <w:b w:val="1"/>
                <w:bCs w:val="1"/>
                <w:color w:val="FFFFFF"/>
              </w:rPr>
              <w:t>Severance Agreement</w:t>
            </w:r>
          </w:p>
        </w:tc>
        <w:tc>
          <w:tcPr>
            <w:tcW w:w="3800" w:type="dxa"/>
            <w:vAlign w:val="bottom"/>
            <w:gridSpan w:val="2"/>
            <w:shd w:val="clear" w:color="auto" w:fill="2D53A6"/>
          </w:tcPr>
          <w:p>
            <w:pPr>
              <w:ind w:left="740"/>
              <w:spacing w:after="0"/>
              <w:rPr>
                <w:sz w:val="20"/>
                <w:szCs w:val="20"/>
                <w:color w:val="auto"/>
              </w:rPr>
            </w:pPr>
            <w:r>
              <w:rPr>
                <w:rFonts w:ascii="Arial" w:cs="Arial" w:eastAsia="Arial" w:hAnsi="Arial"/>
                <w:sz w:val="18"/>
                <w:szCs w:val="18"/>
                <w:b w:val="1"/>
                <w:bCs w:val="1"/>
                <w:color w:val="FFFFFF"/>
              </w:rPr>
              <w:t>Change in Control Agreement</w:t>
            </w:r>
          </w:p>
        </w:tc>
        <w:tc>
          <w:tcPr>
            <w:tcW w:w="0" w:type="dxa"/>
            <w:vAlign w:val="bottom"/>
          </w:tcPr>
          <w:p>
            <w:pPr>
              <w:spacing w:after="0"/>
              <w:rPr>
                <w:sz w:val="1"/>
                <w:szCs w:val="1"/>
                <w:color w:val="auto"/>
              </w:rPr>
            </w:pPr>
          </w:p>
        </w:tc>
      </w:tr>
      <w:tr>
        <w:trPr>
          <w:trHeight w:val="198"/>
        </w:trPr>
        <w:tc>
          <w:tcPr>
            <w:tcW w:w="3140" w:type="dxa"/>
            <w:vAlign w:val="bottom"/>
            <w:tcBorders>
              <w:right w:val="single" w:sz="8" w:color="2D53A6"/>
            </w:tcBorders>
            <w:shd w:val="clear" w:color="auto" w:fill="2D53A6"/>
          </w:tcPr>
          <w:p>
            <w:pPr>
              <w:spacing w:after="0"/>
              <w:rPr>
                <w:sz w:val="17"/>
                <w:szCs w:val="17"/>
                <w:color w:val="auto"/>
              </w:rPr>
            </w:pPr>
          </w:p>
        </w:tc>
        <w:tc>
          <w:tcPr>
            <w:tcW w:w="2240" w:type="dxa"/>
            <w:vAlign w:val="bottom"/>
            <w:tcBorders>
              <w:right w:val="single" w:sz="8" w:color="2D53A6"/>
            </w:tcBorders>
            <w:shd w:val="clear" w:color="auto" w:fill="2D53A6"/>
          </w:tcPr>
          <w:p>
            <w:pPr>
              <w:spacing w:after="0"/>
              <w:rPr>
                <w:sz w:val="17"/>
                <w:szCs w:val="17"/>
                <w:color w:val="auto"/>
              </w:rPr>
            </w:pPr>
          </w:p>
        </w:tc>
        <w:tc>
          <w:tcPr>
            <w:tcW w:w="2060" w:type="dxa"/>
            <w:vAlign w:val="bottom"/>
            <w:tcBorders>
              <w:right w:val="single" w:sz="8" w:color="2D53A6"/>
            </w:tcBorders>
            <w:shd w:val="clear" w:color="auto" w:fill="2D53A6"/>
          </w:tcPr>
          <w:p>
            <w:pPr>
              <w:jc w:val="center"/>
              <w:spacing w:after="0" w:line="198" w:lineRule="exact"/>
              <w:rPr>
                <w:sz w:val="20"/>
                <w:szCs w:val="20"/>
                <w:color w:val="auto"/>
              </w:rPr>
            </w:pPr>
            <w:r>
              <w:rPr>
                <w:rFonts w:ascii="Arial" w:cs="Arial" w:eastAsia="Arial" w:hAnsi="Arial"/>
                <w:sz w:val="18"/>
                <w:szCs w:val="18"/>
                <w:b w:val="1"/>
                <w:bCs w:val="1"/>
                <w:color w:val="FFFFFF"/>
                <w:w w:val="99"/>
              </w:rPr>
              <w:t>COBRA</w:t>
            </w:r>
          </w:p>
        </w:tc>
        <w:tc>
          <w:tcPr>
            <w:tcW w:w="1740" w:type="dxa"/>
            <w:vAlign w:val="bottom"/>
            <w:tcBorders>
              <w:right w:val="single" w:sz="8" w:color="2D53A6"/>
            </w:tcBorders>
            <w:shd w:val="clear" w:color="auto" w:fill="2D53A6"/>
          </w:tcPr>
          <w:p>
            <w:pPr>
              <w:spacing w:after="0"/>
              <w:rPr>
                <w:sz w:val="17"/>
                <w:szCs w:val="17"/>
                <w:color w:val="auto"/>
              </w:rPr>
            </w:pPr>
          </w:p>
        </w:tc>
        <w:tc>
          <w:tcPr>
            <w:tcW w:w="2060" w:type="dxa"/>
            <w:vAlign w:val="bottom"/>
            <w:shd w:val="clear" w:color="auto" w:fill="2D53A6"/>
          </w:tcPr>
          <w:p>
            <w:pPr>
              <w:jc w:val="center"/>
              <w:spacing w:after="0" w:line="198" w:lineRule="exact"/>
              <w:rPr>
                <w:sz w:val="20"/>
                <w:szCs w:val="20"/>
                <w:color w:val="auto"/>
              </w:rPr>
            </w:pPr>
            <w:r>
              <w:rPr>
                <w:rFonts w:ascii="Arial" w:cs="Arial" w:eastAsia="Arial" w:hAnsi="Arial"/>
                <w:sz w:val="18"/>
                <w:szCs w:val="18"/>
                <w:b w:val="1"/>
                <w:bCs w:val="1"/>
                <w:color w:val="FFFFFF"/>
                <w:w w:val="99"/>
              </w:rPr>
              <w:t>COBRA</w:t>
            </w:r>
          </w:p>
        </w:tc>
        <w:tc>
          <w:tcPr>
            <w:tcW w:w="0" w:type="dxa"/>
            <w:vAlign w:val="bottom"/>
          </w:tcPr>
          <w:p>
            <w:pPr>
              <w:spacing w:after="0"/>
              <w:rPr>
                <w:sz w:val="1"/>
                <w:szCs w:val="1"/>
                <w:color w:val="auto"/>
              </w:rPr>
            </w:pPr>
          </w:p>
        </w:tc>
      </w:tr>
      <w:tr>
        <w:trPr>
          <w:trHeight w:val="216"/>
        </w:trPr>
        <w:tc>
          <w:tcPr>
            <w:tcW w:w="31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22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Multiplier</w:t>
            </w:r>
          </w:p>
        </w:tc>
        <w:tc>
          <w:tcPr>
            <w:tcW w:w="20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Premium</w:t>
            </w:r>
          </w:p>
        </w:tc>
        <w:tc>
          <w:tcPr>
            <w:tcW w:w="17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Multiplier</w:t>
            </w:r>
          </w:p>
        </w:tc>
        <w:tc>
          <w:tcPr>
            <w:tcW w:w="20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Premium</w:t>
            </w:r>
          </w:p>
        </w:tc>
        <w:tc>
          <w:tcPr>
            <w:tcW w:w="0" w:type="dxa"/>
            <w:vAlign w:val="bottom"/>
          </w:tcPr>
          <w:p>
            <w:pPr>
              <w:spacing w:after="0"/>
              <w:rPr>
                <w:sz w:val="1"/>
                <w:szCs w:val="1"/>
                <w:color w:val="auto"/>
              </w:rPr>
            </w:pPr>
          </w:p>
        </w:tc>
      </w:tr>
      <w:tr>
        <w:trPr>
          <w:trHeight w:val="234"/>
        </w:trPr>
        <w:tc>
          <w:tcPr>
            <w:tcW w:w="3140" w:type="dxa"/>
            <w:vAlign w:val="bottom"/>
            <w:tcBorders>
              <w:right w:val="single" w:sz="8" w:color="2D53A6"/>
            </w:tcBorders>
            <w:shd w:val="clear" w:color="auto" w:fill="2D53A6"/>
          </w:tcPr>
          <w:p>
            <w:pPr>
              <w:spacing w:after="0"/>
              <w:rPr>
                <w:sz w:val="20"/>
                <w:szCs w:val="20"/>
                <w:color w:val="auto"/>
              </w:rPr>
            </w:pPr>
          </w:p>
        </w:tc>
        <w:tc>
          <w:tcPr>
            <w:tcW w:w="2240" w:type="dxa"/>
            <w:vAlign w:val="bottom"/>
            <w:tcBorders>
              <w:right w:val="single" w:sz="8" w:color="2D53A6"/>
            </w:tcBorders>
            <w:shd w:val="clear" w:color="auto" w:fill="2D53A6"/>
          </w:tcPr>
          <w:p>
            <w:pPr>
              <w:spacing w:after="0"/>
              <w:rPr>
                <w:sz w:val="20"/>
                <w:szCs w:val="20"/>
                <w:color w:val="auto"/>
              </w:rPr>
            </w:pPr>
          </w:p>
        </w:tc>
        <w:tc>
          <w:tcPr>
            <w:tcW w:w="20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Payment Period</w:t>
            </w:r>
          </w:p>
        </w:tc>
        <w:tc>
          <w:tcPr>
            <w:tcW w:w="1740" w:type="dxa"/>
            <w:vAlign w:val="bottom"/>
            <w:tcBorders>
              <w:right w:val="single" w:sz="8" w:color="2D53A6"/>
            </w:tcBorders>
            <w:shd w:val="clear" w:color="auto" w:fill="2D53A6"/>
          </w:tcPr>
          <w:p>
            <w:pPr>
              <w:spacing w:after="0"/>
              <w:rPr>
                <w:sz w:val="20"/>
                <w:szCs w:val="20"/>
                <w:color w:val="auto"/>
              </w:rPr>
            </w:pPr>
          </w:p>
        </w:tc>
        <w:tc>
          <w:tcPr>
            <w:tcW w:w="20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Payment Period</w:t>
            </w:r>
          </w:p>
        </w:tc>
        <w:tc>
          <w:tcPr>
            <w:tcW w:w="0" w:type="dxa"/>
            <w:vAlign w:val="bottom"/>
          </w:tcPr>
          <w:p>
            <w:pPr>
              <w:spacing w:after="0"/>
              <w:rPr>
                <w:sz w:val="1"/>
                <w:szCs w:val="1"/>
                <w:color w:val="auto"/>
              </w:rPr>
            </w:pPr>
          </w:p>
        </w:tc>
      </w:tr>
      <w:tr>
        <w:trPr>
          <w:trHeight w:val="202"/>
        </w:trPr>
        <w:tc>
          <w:tcPr>
            <w:tcW w:w="3140" w:type="dxa"/>
            <w:vAlign w:val="bottom"/>
            <w:tcBorders>
              <w:right w:val="single" w:sz="8" w:color="2D53A6"/>
            </w:tcBorders>
          </w:tcPr>
          <w:p>
            <w:pPr>
              <w:spacing w:after="0" w:line="201"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2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0"/>
              </w:rPr>
              <w:t>18 months</w:t>
            </w:r>
          </w:p>
        </w:tc>
        <w:tc>
          <w:tcPr>
            <w:tcW w:w="1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200%</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0"/>
              </w:rPr>
              <w:t>24 months</w:t>
            </w:r>
          </w:p>
        </w:tc>
        <w:tc>
          <w:tcPr>
            <w:tcW w:w="0" w:type="dxa"/>
            <w:vAlign w:val="bottom"/>
          </w:tcPr>
          <w:p>
            <w:pPr>
              <w:spacing w:after="0"/>
              <w:rPr>
                <w:sz w:val="1"/>
                <w:szCs w:val="1"/>
                <w:color w:val="auto"/>
              </w:rPr>
            </w:pPr>
          </w:p>
        </w:tc>
      </w:tr>
      <w:tr>
        <w:trPr>
          <w:trHeight w:val="122"/>
        </w:trPr>
        <w:tc>
          <w:tcPr>
            <w:tcW w:w="31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i w:val="1"/>
                <w:iCs w:val="1"/>
                <w:color w:val="auto"/>
              </w:rPr>
              <w:t>President &amp; CEO</w:t>
            </w:r>
          </w:p>
        </w:tc>
        <w:tc>
          <w:tcPr>
            <w:tcW w:w="2240" w:type="dxa"/>
            <w:vAlign w:val="bottom"/>
            <w:tcBorders>
              <w:right w:val="single" w:sz="8" w:color="2D53A6"/>
            </w:tcBorders>
            <w:vMerge w:val="continue"/>
          </w:tcPr>
          <w:p>
            <w:pPr>
              <w:spacing w:after="0"/>
              <w:rPr>
                <w:sz w:val="10"/>
                <w:szCs w:val="10"/>
                <w:color w:val="auto"/>
              </w:rPr>
            </w:pPr>
          </w:p>
        </w:tc>
        <w:tc>
          <w:tcPr>
            <w:tcW w:w="2060" w:type="dxa"/>
            <w:vAlign w:val="bottom"/>
            <w:tcBorders>
              <w:right w:val="single" w:sz="8" w:color="2D53A6"/>
            </w:tcBorders>
            <w:vMerge w:val="continue"/>
          </w:tcPr>
          <w:p>
            <w:pPr>
              <w:spacing w:after="0"/>
              <w:rPr>
                <w:sz w:val="10"/>
                <w:szCs w:val="10"/>
                <w:color w:val="auto"/>
              </w:rPr>
            </w:pPr>
          </w:p>
        </w:tc>
        <w:tc>
          <w:tcPr>
            <w:tcW w:w="1740" w:type="dxa"/>
            <w:vAlign w:val="bottom"/>
            <w:tcBorders>
              <w:right w:val="single" w:sz="8" w:color="2D53A6"/>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tcBorders>
              <w:bottom w:val="single" w:sz="8" w:color="2D53A6"/>
              <w:right w:val="single" w:sz="8" w:color="2D53A6"/>
            </w:tcBorders>
            <w:vMerge w:val="continue"/>
          </w:tcPr>
          <w:p>
            <w:pPr>
              <w:spacing w:after="0"/>
              <w:rPr>
                <w:sz w:val="9"/>
                <w:szCs w:val="9"/>
                <w:color w:val="auto"/>
              </w:rPr>
            </w:pPr>
          </w:p>
        </w:tc>
        <w:tc>
          <w:tcPr>
            <w:tcW w:w="2240" w:type="dxa"/>
            <w:vAlign w:val="bottom"/>
            <w:tcBorders>
              <w:bottom w:val="single" w:sz="8" w:color="2D53A6"/>
              <w:right w:val="single" w:sz="8" w:color="2D53A6"/>
            </w:tcBorders>
          </w:tcPr>
          <w:p>
            <w:pPr>
              <w:spacing w:after="0"/>
              <w:rPr>
                <w:sz w:val="9"/>
                <w:szCs w:val="9"/>
                <w:color w:val="auto"/>
              </w:rPr>
            </w:pPr>
          </w:p>
        </w:tc>
        <w:tc>
          <w:tcPr>
            <w:tcW w:w="2060" w:type="dxa"/>
            <w:vAlign w:val="bottom"/>
            <w:tcBorders>
              <w:bottom w:val="single" w:sz="8" w:color="2D53A6"/>
              <w:right w:val="single" w:sz="8" w:color="2D53A6"/>
            </w:tcBorders>
          </w:tcPr>
          <w:p>
            <w:pPr>
              <w:spacing w:after="0"/>
              <w:rPr>
                <w:sz w:val="9"/>
                <w:szCs w:val="9"/>
                <w:color w:val="auto"/>
              </w:rPr>
            </w:pPr>
          </w:p>
        </w:tc>
        <w:tc>
          <w:tcPr>
            <w:tcW w:w="1740" w:type="dxa"/>
            <w:vAlign w:val="bottom"/>
            <w:tcBorders>
              <w:bottom w:val="single" w:sz="8" w:color="2D53A6"/>
              <w:right w:val="single" w:sz="8" w:color="2D53A6"/>
            </w:tcBorders>
          </w:tcPr>
          <w:p>
            <w:pPr>
              <w:spacing w:after="0"/>
              <w:rPr>
                <w:sz w:val="9"/>
                <w:szCs w:val="9"/>
                <w:color w:val="auto"/>
              </w:rPr>
            </w:pPr>
          </w:p>
        </w:tc>
        <w:tc>
          <w:tcPr>
            <w:tcW w:w="206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4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color w:val="auto"/>
              </w:rPr>
              <w:t>Jeffrey D. Jones</w:t>
            </w:r>
          </w:p>
        </w:tc>
        <w:tc>
          <w:tcPr>
            <w:tcW w:w="2240" w:type="dxa"/>
            <w:vAlign w:val="bottom"/>
            <w:tcBorders>
              <w:right w:val="single" w:sz="8" w:color="2D53A6"/>
            </w:tcBorders>
            <w:shd w:val="clear" w:color="auto" w:fill="E6E6E6"/>
          </w:tcPr>
          <w:p>
            <w:pPr>
              <w:spacing w:after="0"/>
              <w:rPr>
                <w:sz w:val="16"/>
                <w:szCs w:val="16"/>
                <w:color w:val="auto"/>
              </w:rPr>
            </w:pPr>
          </w:p>
        </w:tc>
        <w:tc>
          <w:tcPr>
            <w:tcW w:w="2060" w:type="dxa"/>
            <w:vAlign w:val="bottom"/>
            <w:tcBorders>
              <w:right w:val="single" w:sz="8" w:color="2D53A6"/>
            </w:tcBorders>
            <w:shd w:val="clear" w:color="auto" w:fill="E6E6E6"/>
          </w:tcPr>
          <w:p>
            <w:pPr>
              <w:spacing w:after="0"/>
              <w:rPr>
                <w:sz w:val="16"/>
                <w:szCs w:val="16"/>
                <w:color w:val="auto"/>
              </w:rPr>
            </w:pPr>
          </w:p>
        </w:tc>
        <w:tc>
          <w:tcPr>
            <w:tcW w:w="1740" w:type="dxa"/>
            <w:vAlign w:val="bottom"/>
            <w:tcBorders>
              <w:right w:val="single" w:sz="8" w:color="2D53A6"/>
            </w:tcBorders>
            <w:shd w:val="clear" w:color="auto" w:fill="E6E6E6"/>
          </w:tcPr>
          <w:p>
            <w:pPr>
              <w:spacing w:after="0"/>
              <w:rPr>
                <w:sz w:val="16"/>
                <w:szCs w:val="16"/>
                <w:color w:val="auto"/>
              </w:rPr>
            </w:pPr>
          </w:p>
        </w:tc>
        <w:tc>
          <w:tcPr>
            <w:tcW w:w="20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Sr. Vice President, Finance &amp; Chief</w:t>
            </w:r>
          </w:p>
        </w:tc>
        <w:tc>
          <w:tcPr>
            <w:tcW w:w="22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2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Financial Officer</w:t>
            </w:r>
          </w:p>
        </w:tc>
        <w:tc>
          <w:tcPr>
            <w:tcW w:w="2240" w:type="dxa"/>
            <w:vAlign w:val="bottom"/>
            <w:tcBorders>
              <w:bottom w:val="single" w:sz="8" w:color="2D53A6"/>
              <w:right w:val="single" w:sz="8" w:color="2D53A6"/>
            </w:tcBorders>
            <w:shd w:val="clear" w:color="auto" w:fill="E6E6E6"/>
          </w:tcPr>
          <w:p>
            <w:pPr>
              <w:spacing w:after="0"/>
              <w:rPr>
                <w:sz w:val="20"/>
                <w:szCs w:val="20"/>
                <w:color w:val="auto"/>
              </w:rPr>
            </w:pPr>
          </w:p>
        </w:tc>
        <w:tc>
          <w:tcPr>
            <w:tcW w:w="2060" w:type="dxa"/>
            <w:vAlign w:val="bottom"/>
            <w:tcBorders>
              <w:bottom w:val="single" w:sz="8" w:color="2D53A6"/>
              <w:right w:val="single" w:sz="8" w:color="2D53A6"/>
            </w:tcBorders>
            <w:shd w:val="clear" w:color="auto" w:fill="E6E6E6"/>
          </w:tcPr>
          <w:p>
            <w:pPr>
              <w:spacing w:after="0"/>
              <w:rPr>
                <w:sz w:val="20"/>
                <w:szCs w:val="20"/>
                <w:color w:val="auto"/>
              </w:rPr>
            </w:pPr>
          </w:p>
        </w:tc>
        <w:tc>
          <w:tcPr>
            <w:tcW w:w="1740" w:type="dxa"/>
            <w:vAlign w:val="bottom"/>
            <w:tcBorders>
              <w:bottom w:val="single" w:sz="8" w:color="2D53A6"/>
              <w:right w:val="single" w:sz="8" w:color="2D53A6"/>
            </w:tcBorders>
            <w:shd w:val="clear" w:color="auto" w:fill="E6E6E6"/>
          </w:tcPr>
          <w:p>
            <w:pPr>
              <w:spacing w:after="0"/>
              <w:rPr>
                <w:sz w:val="20"/>
                <w:szCs w:val="20"/>
                <w:color w:val="auto"/>
              </w:rPr>
            </w:pPr>
          </w:p>
        </w:tc>
        <w:tc>
          <w:tcPr>
            <w:tcW w:w="206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4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Christopher G. Bohrson</w:t>
            </w:r>
          </w:p>
        </w:tc>
        <w:tc>
          <w:tcPr>
            <w:tcW w:w="22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20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122"/>
        </w:trPr>
        <w:tc>
          <w:tcPr>
            <w:tcW w:w="31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i w:val="1"/>
                <w:iCs w:val="1"/>
                <w:color w:val="auto"/>
                <w:w w:val="91"/>
              </w:rPr>
              <w:t>Sr. Vice President, Chief Customer Officer</w:t>
            </w:r>
          </w:p>
        </w:tc>
        <w:tc>
          <w:tcPr>
            <w:tcW w:w="2240" w:type="dxa"/>
            <w:vAlign w:val="bottom"/>
            <w:tcBorders>
              <w:right w:val="single" w:sz="8" w:color="2D53A6"/>
            </w:tcBorders>
            <w:vMerge w:val="continue"/>
          </w:tcPr>
          <w:p>
            <w:pPr>
              <w:spacing w:after="0"/>
              <w:rPr>
                <w:sz w:val="10"/>
                <w:szCs w:val="10"/>
                <w:color w:val="auto"/>
              </w:rPr>
            </w:pPr>
          </w:p>
        </w:tc>
        <w:tc>
          <w:tcPr>
            <w:tcW w:w="2060" w:type="dxa"/>
            <w:vAlign w:val="bottom"/>
            <w:tcBorders>
              <w:right w:val="single" w:sz="8" w:color="2D53A6"/>
            </w:tcBorders>
            <w:vMerge w:val="continue"/>
          </w:tcPr>
          <w:p>
            <w:pPr>
              <w:spacing w:after="0"/>
              <w:rPr>
                <w:sz w:val="10"/>
                <w:szCs w:val="10"/>
                <w:color w:val="auto"/>
              </w:rPr>
            </w:pPr>
          </w:p>
        </w:tc>
        <w:tc>
          <w:tcPr>
            <w:tcW w:w="1740" w:type="dxa"/>
            <w:vAlign w:val="bottom"/>
            <w:tcBorders>
              <w:right w:val="single" w:sz="8" w:color="2D53A6"/>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tcBorders>
              <w:bottom w:val="single" w:sz="8" w:color="2D53A6"/>
              <w:right w:val="single" w:sz="8" w:color="2D53A6"/>
            </w:tcBorders>
            <w:vMerge w:val="continue"/>
          </w:tcPr>
          <w:p>
            <w:pPr>
              <w:spacing w:after="0"/>
              <w:rPr>
                <w:sz w:val="9"/>
                <w:szCs w:val="9"/>
                <w:color w:val="auto"/>
              </w:rPr>
            </w:pPr>
          </w:p>
        </w:tc>
        <w:tc>
          <w:tcPr>
            <w:tcW w:w="2240" w:type="dxa"/>
            <w:vAlign w:val="bottom"/>
            <w:tcBorders>
              <w:bottom w:val="single" w:sz="8" w:color="2D53A6"/>
              <w:right w:val="single" w:sz="8" w:color="2D53A6"/>
            </w:tcBorders>
          </w:tcPr>
          <w:p>
            <w:pPr>
              <w:spacing w:after="0"/>
              <w:rPr>
                <w:sz w:val="9"/>
                <w:szCs w:val="9"/>
                <w:color w:val="auto"/>
              </w:rPr>
            </w:pPr>
          </w:p>
        </w:tc>
        <w:tc>
          <w:tcPr>
            <w:tcW w:w="2060" w:type="dxa"/>
            <w:vAlign w:val="bottom"/>
            <w:tcBorders>
              <w:bottom w:val="single" w:sz="8" w:color="2D53A6"/>
              <w:right w:val="single" w:sz="8" w:color="2D53A6"/>
            </w:tcBorders>
          </w:tcPr>
          <w:p>
            <w:pPr>
              <w:spacing w:after="0"/>
              <w:rPr>
                <w:sz w:val="9"/>
                <w:szCs w:val="9"/>
                <w:color w:val="auto"/>
              </w:rPr>
            </w:pPr>
          </w:p>
        </w:tc>
        <w:tc>
          <w:tcPr>
            <w:tcW w:w="1740" w:type="dxa"/>
            <w:vAlign w:val="bottom"/>
            <w:tcBorders>
              <w:bottom w:val="single" w:sz="8" w:color="2D53A6"/>
              <w:right w:val="single" w:sz="8" w:color="2D53A6"/>
            </w:tcBorders>
          </w:tcPr>
          <w:p>
            <w:pPr>
              <w:spacing w:after="0"/>
              <w:rPr>
                <w:sz w:val="9"/>
                <w:szCs w:val="9"/>
                <w:color w:val="auto"/>
              </w:rPr>
            </w:pPr>
          </w:p>
        </w:tc>
        <w:tc>
          <w:tcPr>
            <w:tcW w:w="206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4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color w:val="auto"/>
              </w:rPr>
              <w:t>Thomas D. Kampfer</w:t>
            </w:r>
          </w:p>
        </w:tc>
        <w:tc>
          <w:tcPr>
            <w:tcW w:w="2240" w:type="dxa"/>
            <w:vAlign w:val="bottom"/>
            <w:tcBorders>
              <w:right w:val="single" w:sz="8" w:color="2D53A6"/>
            </w:tcBorders>
            <w:shd w:val="clear" w:color="auto" w:fill="E6E6E6"/>
          </w:tcPr>
          <w:p>
            <w:pPr>
              <w:spacing w:after="0"/>
              <w:rPr>
                <w:sz w:val="16"/>
                <w:szCs w:val="16"/>
                <w:color w:val="auto"/>
              </w:rPr>
            </w:pPr>
          </w:p>
        </w:tc>
        <w:tc>
          <w:tcPr>
            <w:tcW w:w="2060" w:type="dxa"/>
            <w:vAlign w:val="bottom"/>
            <w:tcBorders>
              <w:right w:val="single" w:sz="8" w:color="2D53A6"/>
            </w:tcBorders>
            <w:shd w:val="clear" w:color="auto" w:fill="E6E6E6"/>
          </w:tcPr>
          <w:p>
            <w:pPr>
              <w:spacing w:after="0"/>
              <w:rPr>
                <w:sz w:val="16"/>
                <w:szCs w:val="16"/>
                <w:color w:val="auto"/>
              </w:rPr>
            </w:pPr>
          </w:p>
        </w:tc>
        <w:tc>
          <w:tcPr>
            <w:tcW w:w="1740" w:type="dxa"/>
            <w:vAlign w:val="bottom"/>
            <w:tcBorders>
              <w:right w:val="single" w:sz="8" w:color="2D53A6"/>
            </w:tcBorders>
            <w:shd w:val="clear" w:color="auto" w:fill="E6E6E6"/>
          </w:tcPr>
          <w:p>
            <w:pPr>
              <w:spacing w:after="0"/>
              <w:rPr>
                <w:sz w:val="16"/>
                <w:szCs w:val="16"/>
                <w:color w:val="auto"/>
              </w:rPr>
            </w:pPr>
          </w:p>
        </w:tc>
        <w:tc>
          <w:tcPr>
            <w:tcW w:w="20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w w:val="97"/>
              </w:rPr>
              <w:t>Vice President Corporate Development,</w:t>
            </w:r>
          </w:p>
        </w:tc>
        <w:tc>
          <w:tcPr>
            <w:tcW w:w="22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20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General Counsel &amp; Secretary</w:t>
            </w:r>
          </w:p>
        </w:tc>
        <w:tc>
          <w:tcPr>
            <w:tcW w:w="2240" w:type="dxa"/>
            <w:vAlign w:val="bottom"/>
            <w:tcBorders>
              <w:bottom w:val="single" w:sz="8" w:color="2D53A6"/>
              <w:right w:val="single" w:sz="8" w:color="2D53A6"/>
            </w:tcBorders>
            <w:shd w:val="clear" w:color="auto" w:fill="E6E6E6"/>
          </w:tcPr>
          <w:p>
            <w:pPr>
              <w:spacing w:after="0"/>
              <w:rPr>
                <w:sz w:val="20"/>
                <w:szCs w:val="20"/>
                <w:color w:val="auto"/>
              </w:rPr>
            </w:pPr>
          </w:p>
        </w:tc>
        <w:tc>
          <w:tcPr>
            <w:tcW w:w="2060" w:type="dxa"/>
            <w:vAlign w:val="bottom"/>
            <w:tcBorders>
              <w:bottom w:val="single" w:sz="8" w:color="2D53A6"/>
              <w:right w:val="single" w:sz="8" w:color="2D53A6"/>
            </w:tcBorders>
            <w:shd w:val="clear" w:color="auto" w:fill="E6E6E6"/>
          </w:tcPr>
          <w:p>
            <w:pPr>
              <w:spacing w:after="0"/>
              <w:rPr>
                <w:sz w:val="20"/>
                <w:szCs w:val="20"/>
                <w:color w:val="auto"/>
              </w:rPr>
            </w:pPr>
          </w:p>
        </w:tc>
        <w:tc>
          <w:tcPr>
            <w:tcW w:w="1740" w:type="dxa"/>
            <w:vAlign w:val="bottom"/>
            <w:tcBorders>
              <w:bottom w:val="single" w:sz="8" w:color="2D53A6"/>
              <w:right w:val="single" w:sz="8" w:color="2D53A6"/>
            </w:tcBorders>
            <w:shd w:val="clear" w:color="auto" w:fill="E6E6E6"/>
          </w:tcPr>
          <w:p>
            <w:pPr>
              <w:spacing w:after="0"/>
              <w:rPr>
                <w:sz w:val="20"/>
                <w:szCs w:val="20"/>
                <w:color w:val="auto"/>
              </w:rPr>
            </w:pPr>
          </w:p>
        </w:tc>
        <w:tc>
          <w:tcPr>
            <w:tcW w:w="206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4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Ian P. Lawee</w:t>
            </w:r>
          </w:p>
        </w:tc>
        <w:tc>
          <w:tcPr>
            <w:tcW w:w="2240" w:type="dxa"/>
            <w:vAlign w:val="bottom"/>
            <w:tcBorders>
              <w:right w:val="single" w:sz="8" w:color="2D53A6"/>
            </w:tcBorders>
          </w:tcPr>
          <w:p>
            <w:pPr>
              <w:spacing w:after="0"/>
              <w:rPr>
                <w:sz w:val="16"/>
                <w:szCs w:val="16"/>
                <w:color w:val="auto"/>
              </w:rPr>
            </w:pPr>
          </w:p>
        </w:tc>
        <w:tc>
          <w:tcPr>
            <w:tcW w:w="2060" w:type="dxa"/>
            <w:vAlign w:val="bottom"/>
            <w:tcBorders>
              <w:right w:val="single" w:sz="8" w:color="2D53A6"/>
            </w:tcBorders>
          </w:tcPr>
          <w:p>
            <w:pPr>
              <w:spacing w:after="0"/>
              <w:rPr>
                <w:sz w:val="16"/>
                <w:szCs w:val="16"/>
                <w:color w:val="auto"/>
              </w:rPr>
            </w:pPr>
          </w:p>
        </w:tc>
        <w:tc>
          <w:tcPr>
            <w:tcW w:w="1740" w:type="dxa"/>
            <w:vAlign w:val="bottom"/>
            <w:tcBorders>
              <w:right w:val="single" w:sz="8" w:color="2D53A6"/>
            </w:tcBorders>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Borders>
              <w:right w:val="single" w:sz="8" w:color="2D53A6"/>
            </w:tcBorders>
          </w:tcPr>
          <w:p>
            <w:pPr>
              <w:spacing w:after="0"/>
              <w:rPr>
                <w:sz w:val="20"/>
                <w:szCs w:val="20"/>
                <w:color w:val="auto"/>
              </w:rPr>
            </w:pPr>
            <w:r>
              <w:rPr>
                <w:rFonts w:ascii="Arial" w:cs="Arial" w:eastAsia="Arial" w:hAnsi="Arial"/>
                <w:sz w:val="18"/>
                <w:szCs w:val="18"/>
                <w:i w:val="1"/>
                <w:iCs w:val="1"/>
                <w:color w:val="auto"/>
                <w:w w:val="99"/>
              </w:rPr>
              <w:t>Sr. Vice President &amp; General Manager,</w:t>
            </w:r>
          </w:p>
        </w:tc>
        <w:tc>
          <w:tcPr>
            <w:tcW w:w="22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c>
          <w:tcPr>
            <w:tcW w:w="20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Semiconductor Test Group</w:t>
            </w:r>
          </w:p>
        </w:tc>
        <w:tc>
          <w:tcPr>
            <w:tcW w:w="2240" w:type="dxa"/>
            <w:vAlign w:val="bottom"/>
            <w:tcBorders>
              <w:bottom w:val="single" w:sz="8" w:color="2D53A6"/>
              <w:right w:val="single" w:sz="8" w:color="2D53A6"/>
            </w:tcBorders>
          </w:tcPr>
          <w:p>
            <w:pPr>
              <w:spacing w:after="0"/>
              <w:rPr>
                <w:sz w:val="20"/>
                <w:szCs w:val="20"/>
                <w:color w:val="auto"/>
              </w:rPr>
            </w:pPr>
          </w:p>
        </w:tc>
        <w:tc>
          <w:tcPr>
            <w:tcW w:w="2060" w:type="dxa"/>
            <w:vAlign w:val="bottom"/>
            <w:tcBorders>
              <w:bottom w:val="single" w:sz="8" w:color="2D53A6"/>
              <w:right w:val="single" w:sz="8" w:color="2D53A6"/>
            </w:tcBorders>
          </w:tcPr>
          <w:p>
            <w:pPr>
              <w:spacing w:after="0"/>
              <w:rPr>
                <w:sz w:val="20"/>
                <w:szCs w:val="20"/>
                <w:color w:val="auto"/>
              </w:rPr>
            </w:pPr>
          </w:p>
        </w:tc>
        <w:tc>
          <w:tcPr>
            <w:tcW w:w="1740" w:type="dxa"/>
            <w:vAlign w:val="bottom"/>
            <w:tcBorders>
              <w:bottom w:val="single" w:sz="8" w:color="2D53A6"/>
              <w:right w:val="single" w:sz="8" w:color="2D53A6"/>
            </w:tcBorders>
          </w:tcPr>
          <w:p>
            <w:pPr>
              <w:spacing w:after="0"/>
              <w:rPr>
                <w:sz w:val="20"/>
                <w:szCs w:val="20"/>
                <w:color w:val="auto"/>
              </w:rPr>
            </w:pPr>
          </w:p>
        </w:tc>
        <w:tc>
          <w:tcPr>
            <w:tcW w:w="206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Termination in Connection with a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a change in control of Cohu means the occurrence of any of the following, in one or a series of related transactions:</w:t>
      </w:r>
    </w:p>
    <w:p>
      <w:pPr>
        <w:spacing w:after="0" w:line="225" w:lineRule="exact"/>
        <w:rPr>
          <w:sz w:val="20"/>
          <w:szCs w:val="20"/>
          <w:color w:val="auto"/>
        </w:rPr>
      </w:pPr>
    </w:p>
    <w:p>
      <w:pPr>
        <w:ind w:left="340" w:right="300" w:hanging="332"/>
        <w:spacing w:after="0" w:line="25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(“Person”) acquires ownership of Cohu’s securities that, together with the stock held by such Person, constitutes more than fifty percent (50%) of the total voting power of Cohu’s then outstanding stock;</w:t>
      </w:r>
    </w:p>
    <w:p>
      <w:pPr>
        <w:spacing w:after="0" w:line="1" w:lineRule="exact"/>
        <w:rPr>
          <w:rFonts w:ascii="Arial" w:cs="Arial" w:eastAsia="Arial" w:hAnsi="Arial"/>
          <w:sz w:val="18"/>
          <w:szCs w:val="18"/>
          <w:color w:val="auto"/>
        </w:rPr>
      </w:pPr>
    </w:p>
    <w:p>
      <w:pPr>
        <w:ind w:left="340" w:right="140" w:hanging="332"/>
        <w:spacing w:after="0" w:line="216"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change in the effective control of Cohu which occurs on the date that a majority of members of the Board is replaced during any twelve (12) month period (six (6) month period in the case of Dr. M</w:t>
      </w:r>
      <w:r>
        <w:rPr>
          <w:rFonts w:ascii="MS PGothic" w:cs="MS PGothic" w:eastAsia="MS PGothic" w:hAnsi="MS PGothic"/>
          <w:sz w:val="18"/>
          <w:szCs w:val="18"/>
          <w:color w:val="auto"/>
        </w:rPr>
        <w:t>✔</w:t>
      </w:r>
      <w:r>
        <w:rPr>
          <w:rFonts w:ascii="Arial" w:cs="Arial" w:eastAsia="Arial" w:hAnsi="Arial"/>
          <w:sz w:val="18"/>
          <w:szCs w:val="18"/>
          <w:color w:val="auto"/>
        </w:rPr>
        <w:t>ller) by members of the Board whose appointment or election is not endorsed by a majority of the members of the Board prior to the date of the appointment or election; or</w:t>
      </w:r>
    </w:p>
    <w:p>
      <w:pPr>
        <w:spacing w:after="0" w:line="1" w:lineRule="exact"/>
        <w:rPr>
          <w:rFonts w:ascii="Arial" w:cs="Arial" w:eastAsia="Arial" w:hAnsi="Arial"/>
          <w:sz w:val="18"/>
          <w:szCs w:val="18"/>
          <w:color w:val="auto"/>
        </w:rPr>
      </w:pPr>
    </w:p>
    <w:p>
      <w:pPr>
        <w:ind w:left="340" w:hanging="332"/>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Cohu’s assets which occurs on the date that any Person acquires (or has acquired during any twelve (12) month period ending on the date of the most recent acquisition by such Person or Persons) assets from Cohu that have a total gross fair market value equal to or more than fifty percent (50%) of the total gross fair market value of all of the assets of Cohu immediately prior to such acquisition or acquisitions.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80"/>
        <w:spacing w:after="0" w:line="286" w:lineRule="auto"/>
        <w:rPr>
          <w:sz w:val="20"/>
          <w:szCs w:val="20"/>
          <w:color w:val="auto"/>
        </w:rPr>
      </w:pPr>
      <w:r>
        <w:rPr>
          <w:rFonts w:ascii="Arial" w:cs="Arial" w:eastAsia="Arial" w:hAnsi="Arial"/>
          <w:sz w:val="17"/>
          <w:szCs w:val="17"/>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for the purposes of Section 409A of the Internal Revenue Code.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Additionally, 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event of the occurrence of both a change in control and the subsequent termination of employment (as applicable), as of December 31, 2022, the amounts payable to certain executive officers would have been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Borders>
              <w:right w:val="single" w:sz="8" w:color="2D53A6"/>
            </w:tcBorders>
            <w:shd w:val="clear" w:color="auto" w:fill="2D53A6"/>
          </w:tcPr>
          <w:p>
            <w:pPr>
              <w:spacing w:after="0"/>
              <w:rPr>
                <w:sz w:val="17"/>
                <w:szCs w:val="17"/>
                <w:color w:val="auto"/>
              </w:rPr>
            </w:pPr>
          </w:p>
        </w:tc>
        <w:tc>
          <w:tcPr>
            <w:tcW w:w="1580" w:type="dxa"/>
            <w:vAlign w:val="bottom"/>
            <w:tcBorders>
              <w:right w:val="single" w:sz="8" w:color="2D53A6"/>
            </w:tcBorders>
            <w:vMerge w:val="restart"/>
            <w:shd w:val="clear" w:color="auto" w:fill="2D53A6"/>
          </w:tcPr>
          <w:p>
            <w:pPr>
              <w:jc w:val="right"/>
              <w:ind w:right="510"/>
              <w:spacing w:after="0"/>
              <w:rPr>
                <w:sz w:val="20"/>
                <w:szCs w:val="20"/>
                <w:color w:val="auto"/>
              </w:rPr>
            </w:pPr>
            <w:r>
              <w:rPr>
                <w:rFonts w:ascii="Arial" w:cs="Arial" w:eastAsia="Arial" w:hAnsi="Arial"/>
                <w:sz w:val="18"/>
                <w:szCs w:val="18"/>
                <w:b w:val="1"/>
                <w:bCs w:val="1"/>
                <w:color w:val="FFFFFF"/>
              </w:rPr>
              <w:t>Total</w:t>
            </w:r>
          </w:p>
        </w:tc>
        <w:tc>
          <w:tcPr>
            <w:tcW w:w="1580" w:type="dxa"/>
            <w:vAlign w:val="bottom"/>
            <w:tcBorders>
              <w:right w:val="single" w:sz="8" w:color="2D53A6"/>
            </w:tcBorders>
            <w:vMerge w:val="restart"/>
            <w:shd w:val="clear" w:color="auto" w:fill="2D53A6"/>
          </w:tcPr>
          <w:p>
            <w:pPr>
              <w:jc w:val="right"/>
              <w:ind w:right="310"/>
              <w:spacing w:after="0"/>
              <w:rPr>
                <w:sz w:val="20"/>
                <w:szCs w:val="20"/>
                <w:color w:val="auto"/>
              </w:rPr>
            </w:pPr>
            <w:r>
              <w:rPr>
                <w:rFonts w:ascii="Arial" w:cs="Arial" w:eastAsia="Arial" w:hAnsi="Arial"/>
                <w:sz w:val="18"/>
                <w:szCs w:val="18"/>
                <w:b w:val="1"/>
                <w:bCs w:val="1"/>
                <w:color w:val="FFFFFF"/>
              </w:rPr>
              <w:t>Severance</w:t>
            </w:r>
          </w:p>
        </w:tc>
        <w:tc>
          <w:tcPr>
            <w:tcW w:w="1580" w:type="dxa"/>
            <w:vAlign w:val="bottom"/>
            <w:tcBorders>
              <w:right w:val="single" w:sz="8" w:color="2D53A6"/>
            </w:tcBorders>
            <w:vMerge w:val="restart"/>
            <w:shd w:val="clear" w:color="auto" w:fill="2D53A6"/>
          </w:tcPr>
          <w:p>
            <w:pPr>
              <w:jc w:val="right"/>
              <w:ind w:right="430"/>
              <w:spacing w:after="0"/>
              <w:rPr>
                <w:sz w:val="20"/>
                <w:szCs w:val="20"/>
                <w:color w:val="auto"/>
              </w:rPr>
            </w:pPr>
            <w:r>
              <w:rPr>
                <w:rFonts w:ascii="Arial" w:cs="Arial" w:eastAsia="Arial" w:hAnsi="Arial"/>
                <w:sz w:val="18"/>
                <w:szCs w:val="18"/>
                <w:b w:val="1"/>
                <w:bCs w:val="1"/>
                <w:color w:val="FFFFFF"/>
              </w:rPr>
              <w:t>Annual</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Medical</w:t>
            </w:r>
          </w:p>
        </w:tc>
        <w:tc>
          <w:tcPr>
            <w:tcW w:w="1560" w:type="dxa"/>
            <w:vAlign w:val="bottom"/>
            <w:vMerge w:val="restart"/>
            <w:shd w:val="clear" w:color="auto" w:fill="2D53A6"/>
          </w:tcPr>
          <w:p>
            <w:pPr>
              <w:jc w:val="right"/>
              <w:ind w:right="250"/>
              <w:spacing w:after="0"/>
              <w:rPr>
                <w:sz w:val="20"/>
                <w:szCs w:val="20"/>
                <w:color w:val="auto"/>
              </w:rPr>
            </w:pPr>
            <w:r>
              <w:rPr>
                <w:rFonts w:ascii="Arial" w:cs="Arial" w:eastAsia="Arial" w:hAnsi="Arial"/>
                <w:sz w:val="18"/>
                <w:szCs w:val="18"/>
                <w:b w:val="1"/>
                <w:bCs w:val="1"/>
                <w:color w:val="FFFFFF"/>
              </w:rPr>
              <w:t>RSUs/PSUs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580" w:type="dxa"/>
            <w:vAlign w:val="bottom"/>
            <w:tcBorders>
              <w:right w:val="single" w:sz="8" w:color="2D53A6"/>
            </w:tcBorders>
            <w:vMerge w:val="continue"/>
            <w:shd w:val="clear" w:color="auto" w:fill="2D53A6"/>
          </w:tcPr>
          <w:p>
            <w:pPr>
              <w:spacing w:after="0"/>
              <w:rPr>
                <w:sz w:val="9"/>
                <w:szCs w:val="9"/>
                <w:color w:val="auto"/>
              </w:rPr>
            </w:pPr>
          </w:p>
        </w:tc>
        <w:tc>
          <w:tcPr>
            <w:tcW w:w="1580" w:type="dxa"/>
            <w:vAlign w:val="bottom"/>
            <w:tcBorders>
              <w:right w:val="single" w:sz="8" w:color="2D53A6"/>
            </w:tcBorders>
            <w:vMerge w:val="continue"/>
            <w:shd w:val="clear" w:color="auto" w:fill="2D53A6"/>
          </w:tcPr>
          <w:p>
            <w:pPr>
              <w:spacing w:after="0"/>
              <w:rPr>
                <w:sz w:val="9"/>
                <w:szCs w:val="9"/>
                <w:color w:val="auto"/>
              </w:rPr>
            </w:pPr>
          </w:p>
        </w:tc>
        <w:tc>
          <w:tcPr>
            <w:tcW w:w="1580" w:type="dxa"/>
            <w:vAlign w:val="bottom"/>
            <w:tcBorders>
              <w:right w:val="single" w:sz="8" w:color="2D53A6"/>
            </w:tcBorders>
            <w:vMerge w:val="continue"/>
            <w:shd w:val="clear" w:color="auto" w:fill="2D53A6"/>
          </w:tcPr>
          <w:p>
            <w:pPr>
              <w:spacing w:after="0"/>
              <w:rPr>
                <w:sz w:val="9"/>
                <w:szCs w:val="9"/>
                <w:color w:val="auto"/>
              </w:rPr>
            </w:pPr>
          </w:p>
        </w:tc>
        <w:tc>
          <w:tcPr>
            <w:tcW w:w="15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15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80" w:type="dxa"/>
            <w:vAlign w:val="bottom"/>
            <w:tcBorders>
              <w:right w:val="single" w:sz="8" w:color="2D53A6"/>
            </w:tcBorders>
            <w:vMerge w:val="continue"/>
            <w:shd w:val="clear" w:color="auto" w:fill="2D53A6"/>
          </w:tcPr>
          <w:p>
            <w:pPr>
              <w:spacing w:after="0"/>
              <w:rPr>
                <w:sz w:val="9"/>
                <w:szCs w:val="9"/>
                <w:color w:val="auto"/>
              </w:rPr>
            </w:pPr>
          </w:p>
        </w:tc>
        <w:tc>
          <w:tcPr>
            <w:tcW w:w="1580" w:type="dxa"/>
            <w:vAlign w:val="bottom"/>
            <w:tcBorders>
              <w:right w:val="single" w:sz="8" w:color="2D53A6"/>
            </w:tcBorders>
            <w:vMerge w:val="restart"/>
            <w:shd w:val="clear" w:color="auto" w:fill="2D53A6"/>
          </w:tcPr>
          <w:p>
            <w:pPr>
              <w:jc w:val="right"/>
              <w:ind w:right="590"/>
              <w:spacing w:after="0"/>
              <w:rPr>
                <w:sz w:val="20"/>
                <w:szCs w:val="20"/>
                <w:color w:val="auto"/>
              </w:rPr>
            </w:pPr>
            <w:r>
              <w:rPr>
                <w:rFonts w:ascii="Arial" w:cs="Arial" w:eastAsia="Arial" w:hAnsi="Arial"/>
                <w:sz w:val="18"/>
                <w:szCs w:val="18"/>
                <w:b w:val="1"/>
                <w:bCs w:val="1"/>
                <w:color w:val="FFFFFF"/>
              </w:rPr>
              <w:t>($)</w:t>
            </w:r>
          </w:p>
        </w:tc>
        <w:tc>
          <w:tcPr>
            <w:tcW w:w="1580" w:type="dxa"/>
            <w:vAlign w:val="bottom"/>
            <w:tcBorders>
              <w:right w:val="single" w:sz="8" w:color="2D53A6"/>
            </w:tcBorders>
            <w:vMerge w:val="restart"/>
            <w:shd w:val="clear" w:color="auto" w:fill="2D53A6"/>
          </w:tcPr>
          <w:p>
            <w:pPr>
              <w:jc w:val="right"/>
              <w:ind w:right="490"/>
              <w:spacing w:after="0" w:line="288"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29"/>
                <w:szCs w:val="29"/>
                <w:b w:val="1"/>
                <w:bCs w:val="1"/>
                <w:color w:val="FFFFFF"/>
                <w:vertAlign w:val="superscript"/>
              </w:rPr>
              <w:t>(1)</w:t>
            </w:r>
          </w:p>
        </w:tc>
        <w:tc>
          <w:tcPr>
            <w:tcW w:w="1580" w:type="dxa"/>
            <w:vAlign w:val="bottom"/>
            <w:tcBorders>
              <w:right w:val="single" w:sz="8" w:color="2D53A6"/>
            </w:tcBorders>
            <w:vMerge w:val="restart"/>
            <w:shd w:val="clear" w:color="auto" w:fill="2D53A6"/>
          </w:tcPr>
          <w:p>
            <w:pPr>
              <w:jc w:val="right"/>
              <w:ind w:right="230"/>
              <w:spacing w:after="0" w:line="288" w:lineRule="exact"/>
              <w:rPr>
                <w:sz w:val="20"/>
                <w:szCs w:val="20"/>
                <w:color w:val="auto"/>
              </w:rPr>
            </w:pPr>
            <w:r>
              <w:rPr>
                <w:rFonts w:ascii="Arial" w:cs="Arial" w:eastAsia="Arial" w:hAnsi="Arial"/>
                <w:sz w:val="18"/>
                <w:szCs w:val="18"/>
                <w:b w:val="1"/>
                <w:bCs w:val="1"/>
                <w:color w:val="FFFFFF"/>
              </w:rPr>
              <w:t xml:space="preserve">Bonus ($) </w:t>
            </w:r>
            <w:r>
              <w:rPr>
                <w:rFonts w:ascii="Arial" w:cs="Arial" w:eastAsia="Arial" w:hAnsi="Arial"/>
                <w:sz w:val="29"/>
                <w:szCs w:val="29"/>
                <w:b w:val="1"/>
                <w:bCs w:val="1"/>
                <w:color w:val="FFFFFF"/>
                <w:vertAlign w:val="superscript"/>
              </w:rPr>
              <w:t>(1)</w:t>
            </w:r>
          </w:p>
        </w:tc>
        <w:tc>
          <w:tcPr>
            <w:tcW w:w="1560" w:type="dxa"/>
            <w:vAlign w:val="bottom"/>
            <w:tcBorders>
              <w:right w:val="single" w:sz="8" w:color="2D53A6"/>
            </w:tcBorders>
            <w:vMerge w:val="continue"/>
            <w:shd w:val="clear" w:color="auto" w:fill="2D53A6"/>
          </w:tcPr>
          <w:p>
            <w:pPr>
              <w:spacing w:after="0"/>
              <w:rPr>
                <w:sz w:val="9"/>
                <w:szCs w:val="9"/>
                <w:color w:val="auto"/>
              </w:rPr>
            </w:pPr>
          </w:p>
        </w:tc>
        <w:tc>
          <w:tcPr>
            <w:tcW w:w="1560" w:type="dxa"/>
            <w:vAlign w:val="bottom"/>
            <w:vMerge w:val="restart"/>
            <w:shd w:val="clear" w:color="auto" w:fill="2D53A6"/>
          </w:tcPr>
          <w:p>
            <w:pPr>
              <w:jc w:val="right"/>
              <w:ind w:right="470"/>
              <w:spacing w:after="0" w:line="288"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29"/>
                <w:szCs w:val="29"/>
                <w:b w:val="1"/>
                <w:bCs w:val="1"/>
                <w:color w:val="FFFFFF"/>
                <w:vertAlign w:val="superscript"/>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380" w:type="dxa"/>
            <w:vAlign w:val="bottom"/>
            <w:tcBorders>
              <w:bottom w:val="single" w:sz="8" w:color="2D53A6"/>
              <w:right w:val="single" w:sz="8" w:color="2D53A6"/>
            </w:tcBorders>
            <w:shd w:val="clear" w:color="auto" w:fill="2D53A6"/>
          </w:tcPr>
          <w:p>
            <w:pPr>
              <w:spacing w:after="0"/>
              <w:rPr>
                <w:sz w:val="18"/>
                <w:szCs w:val="18"/>
                <w:color w:val="auto"/>
              </w:rPr>
            </w:pPr>
          </w:p>
        </w:tc>
        <w:tc>
          <w:tcPr>
            <w:tcW w:w="1580" w:type="dxa"/>
            <w:vAlign w:val="bottom"/>
            <w:tcBorders>
              <w:bottom w:val="single" w:sz="8" w:color="2D53A6"/>
              <w:right w:val="single" w:sz="8" w:color="2D53A6"/>
            </w:tcBorders>
            <w:vMerge w:val="continue"/>
            <w:shd w:val="clear" w:color="auto" w:fill="2D53A6"/>
          </w:tcPr>
          <w:p>
            <w:pPr>
              <w:spacing w:after="0"/>
              <w:rPr>
                <w:sz w:val="18"/>
                <w:szCs w:val="18"/>
                <w:color w:val="auto"/>
              </w:rPr>
            </w:pPr>
          </w:p>
        </w:tc>
        <w:tc>
          <w:tcPr>
            <w:tcW w:w="1580" w:type="dxa"/>
            <w:vAlign w:val="bottom"/>
            <w:tcBorders>
              <w:bottom w:val="single" w:sz="8" w:color="2D53A6"/>
              <w:right w:val="single" w:sz="8" w:color="2D53A6"/>
            </w:tcBorders>
            <w:vMerge w:val="continue"/>
            <w:shd w:val="clear" w:color="auto" w:fill="2D53A6"/>
          </w:tcPr>
          <w:p>
            <w:pPr>
              <w:spacing w:after="0"/>
              <w:rPr>
                <w:sz w:val="18"/>
                <w:szCs w:val="18"/>
                <w:color w:val="auto"/>
              </w:rPr>
            </w:pPr>
          </w:p>
        </w:tc>
        <w:tc>
          <w:tcPr>
            <w:tcW w:w="1580" w:type="dxa"/>
            <w:vAlign w:val="bottom"/>
            <w:tcBorders>
              <w:bottom w:val="single" w:sz="8" w:color="2D53A6"/>
              <w:right w:val="single" w:sz="8" w:color="2D53A6"/>
            </w:tcBorders>
            <w:vMerge w:val="continue"/>
            <w:shd w:val="clear" w:color="auto" w:fill="2D53A6"/>
          </w:tcPr>
          <w:p>
            <w:pPr>
              <w:spacing w:after="0"/>
              <w:rPr>
                <w:sz w:val="18"/>
                <w:szCs w:val="18"/>
                <w:color w:val="auto"/>
              </w:rPr>
            </w:pPr>
          </w:p>
        </w:tc>
        <w:tc>
          <w:tcPr>
            <w:tcW w:w="15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 xml:space="preserve">($) </w:t>
            </w:r>
            <w:r>
              <w:rPr>
                <w:rFonts w:ascii="Arial" w:cs="Arial" w:eastAsia="Arial" w:hAnsi="Arial"/>
                <w:sz w:val="14"/>
                <w:szCs w:val="14"/>
                <w:b w:val="1"/>
                <w:bCs w:val="1"/>
                <w:color w:val="FFFFFF"/>
                <w:w w:val="99"/>
              </w:rPr>
              <w:t>(2)</w:t>
            </w:r>
          </w:p>
        </w:tc>
        <w:tc>
          <w:tcPr>
            <w:tcW w:w="1560" w:type="dxa"/>
            <w:vAlign w:val="bottom"/>
            <w:tcBorders>
              <w:bottom w:val="single" w:sz="8" w:color="2D53A6"/>
            </w:tcBorders>
            <w:vMerge w:val="continue"/>
            <w:shd w:val="clear" w:color="auto" w:fill="2D53A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12,924,215</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2,700,000</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675,000</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75,812</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9,473,403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4,599,870</w:t>
            </w:r>
          </w:p>
        </w:tc>
        <w:tc>
          <w:tcPr>
            <w:tcW w:w="1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1,114,350</w:t>
            </w:r>
          </w:p>
        </w:tc>
        <w:tc>
          <w:tcPr>
            <w:tcW w:w="1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305,900</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56,859</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3,122,761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3,318,193</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981,750</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269,500</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39,363</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2,027,580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2,579,638</w:t>
            </w:r>
          </w:p>
        </w:tc>
        <w:tc>
          <w:tcPr>
            <w:tcW w:w="1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850,500</w:t>
            </w:r>
          </w:p>
        </w:tc>
        <w:tc>
          <w:tcPr>
            <w:tcW w:w="1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189,000</w:t>
            </w:r>
          </w:p>
        </w:tc>
        <w:tc>
          <w:tcPr>
            <w:tcW w:w="15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49,268</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1,490,870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2,257,960</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762,600</w:t>
            </w:r>
          </w:p>
        </w:tc>
        <w:tc>
          <w:tcPr>
            <w:tcW w:w="1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180,400</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56,869</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1,258,091</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right="420" w:hanging="332"/>
        <w:spacing w:after="0" w:line="240" w:lineRule="exact"/>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cash severance benefits payable in the event of a qualifying termination under the Change in Control Agreements for Dr. M</w:t>
      </w:r>
      <w:r>
        <w:rPr>
          <w:rFonts w:ascii="MS PGothic" w:cs="MS PGothic" w:eastAsia="MS PGothic" w:hAnsi="MS PGothic"/>
          <w:sz w:val="17"/>
          <w:szCs w:val="17"/>
          <w:color w:val="auto"/>
        </w:rPr>
        <w:t>✔</w:t>
      </w:r>
      <w:r>
        <w:rPr>
          <w:rFonts w:ascii="Arial" w:cs="Arial" w:eastAsia="Arial" w:hAnsi="Arial"/>
          <w:sz w:val="17"/>
          <w:szCs w:val="17"/>
          <w:color w:val="auto"/>
        </w:rPr>
        <w:t>ller and Messrs. Jones, Bohrson and Kampfer, and Lawee. These amounts are based on the individual’s fiscal 2022 base salary.</w:t>
      </w:r>
    </w:p>
    <w:p>
      <w:pPr>
        <w:ind w:left="340" w:right="160" w:hanging="332"/>
        <w:spacing w:after="0" w:line="216"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reimbursement for continued health care benefits pursuant to COBRA, twenty-for (24) months for Dr. M</w:t>
      </w:r>
      <w:r>
        <w:rPr>
          <w:rFonts w:ascii="MS PGothic" w:cs="MS PGothic" w:eastAsia="MS PGothic" w:hAnsi="MS PGothic"/>
          <w:sz w:val="18"/>
          <w:szCs w:val="18"/>
          <w:color w:val="auto"/>
        </w:rPr>
        <w:t>✔</w:t>
      </w:r>
      <w:r>
        <w:rPr>
          <w:rFonts w:ascii="Arial" w:cs="Arial" w:eastAsia="Arial" w:hAnsi="Arial"/>
          <w:sz w:val="18"/>
          <w:szCs w:val="18"/>
          <w:color w:val="auto"/>
        </w:rPr>
        <w:t>ller, and eighteen (18) months for Messrs. Jones, Bohrson, Kampfer and Lawee.</w:t>
      </w:r>
    </w:p>
    <w:p>
      <w:pPr>
        <w:ind w:left="340" w:right="20" w:hanging="332"/>
        <w:spacing w:after="0" w:line="216"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and PSUs have been calculated based on the total unvested RSUs and PSUs and the closing price of Cohu’s common stock of $32.05 on December 31, 2022, prior to the payment of associated taxes, held by Dr. M</w:t>
      </w:r>
      <w:r>
        <w:rPr>
          <w:rFonts w:ascii="MS PGothic" w:cs="MS PGothic" w:eastAsia="MS PGothic" w:hAnsi="MS PGothic"/>
          <w:sz w:val="18"/>
          <w:szCs w:val="18"/>
          <w:color w:val="auto"/>
        </w:rPr>
        <w:t>✔</w:t>
      </w:r>
      <w:r>
        <w:rPr>
          <w:rFonts w:ascii="Arial" w:cs="Arial" w:eastAsia="Arial" w:hAnsi="Arial"/>
          <w:sz w:val="18"/>
          <w:szCs w:val="18"/>
          <w:color w:val="auto"/>
        </w:rPr>
        <w:t>ller and Messrs. Jones, Bohrson, Kampfer and Lawee as of December 31, 2022.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Estimated Payments Upon a Qualifying Termination Not in Connection with a Change of Control</w:t>
      </w:r>
    </w:p>
    <w:p>
      <w:pPr>
        <w:spacing w:after="0" w:line="192" w:lineRule="exact"/>
        <w:rPr>
          <w:sz w:val="20"/>
          <w:szCs w:val="20"/>
          <w:color w:val="auto"/>
        </w:rPr>
      </w:pPr>
    </w:p>
    <w:p>
      <w:pPr>
        <w:ind w:right="80"/>
        <w:spacing w:after="0" w:line="232" w:lineRule="exact"/>
        <w:rPr>
          <w:sz w:val="20"/>
          <w:szCs w:val="20"/>
          <w:color w:val="auto"/>
        </w:rPr>
      </w:pPr>
      <w:r>
        <w:rPr>
          <w:rFonts w:ascii="Arial" w:cs="Arial" w:eastAsia="Arial" w:hAnsi="Arial"/>
          <w:sz w:val="18"/>
          <w:szCs w:val="18"/>
          <w:color w:val="auto"/>
        </w:rPr>
        <w:t>In the event of termination of employment not in connection with a change of control in the case for Dr. M</w:t>
      </w:r>
      <w:r>
        <w:rPr>
          <w:rFonts w:ascii="MS PGothic" w:cs="MS PGothic" w:eastAsia="MS PGothic" w:hAnsi="MS PGothic"/>
          <w:sz w:val="18"/>
          <w:szCs w:val="18"/>
          <w:color w:val="auto"/>
        </w:rPr>
        <w:t>✔</w:t>
      </w:r>
      <w:r>
        <w:rPr>
          <w:rFonts w:ascii="Arial" w:cs="Arial" w:eastAsia="Arial" w:hAnsi="Arial"/>
          <w:sz w:val="18"/>
          <w:szCs w:val="18"/>
          <w:color w:val="auto"/>
        </w:rPr>
        <w:t>ller and Messrs. Jones, Bohrson, Kampfer and Lawee by Cohu without cause, or by Dr. M</w:t>
      </w:r>
      <w:r>
        <w:rPr>
          <w:rFonts w:ascii="MS PGothic" w:cs="MS PGothic" w:eastAsia="MS PGothic" w:hAnsi="MS PGothic"/>
          <w:sz w:val="18"/>
          <w:szCs w:val="18"/>
          <w:color w:val="auto"/>
        </w:rPr>
        <w:t>✔</w:t>
      </w:r>
      <w:r>
        <w:rPr>
          <w:rFonts w:ascii="Arial" w:cs="Arial" w:eastAsia="Arial" w:hAnsi="Arial"/>
          <w:sz w:val="18"/>
          <w:szCs w:val="18"/>
          <w:color w:val="auto"/>
        </w:rPr>
        <w:t>ller for Good Reason as of December 31, 2022, the amounts payable to each executive officer would have been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Borders>
              <w:right w:val="single" w:sz="8" w:color="2D53A6"/>
            </w:tcBorders>
            <w:shd w:val="clear" w:color="auto" w:fill="2D53A6"/>
          </w:tcPr>
          <w:p>
            <w:pPr>
              <w:spacing w:after="0"/>
              <w:rPr>
                <w:sz w:val="17"/>
                <w:szCs w:val="17"/>
                <w:color w:val="auto"/>
              </w:rPr>
            </w:pPr>
          </w:p>
        </w:tc>
        <w:tc>
          <w:tcPr>
            <w:tcW w:w="1660" w:type="dxa"/>
            <w:vAlign w:val="bottom"/>
            <w:vMerge w:val="restart"/>
            <w:shd w:val="clear" w:color="auto" w:fill="2D53A6"/>
          </w:tcPr>
          <w:p>
            <w:pPr>
              <w:jc w:val="center"/>
              <w:ind w:left="810"/>
              <w:spacing w:after="0"/>
              <w:rPr>
                <w:sz w:val="20"/>
                <w:szCs w:val="20"/>
                <w:color w:val="auto"/>
              </w:rPr>
            </w:pPr>
            <w:r>
              <w:rPr>
                <w:rFonts w:ascii="Arial" w:cs="Arial" w:eastAsia="Arial" w:hAnsi="Arial"/>
                <w:sz w:val="18"/>
                <w:szCs w:val="18"/>
                <w:b w:val="1"/>
                <w:bCs w:val="1"/>
                <w:color w:val="FFFFFF"/>
                <w:w w:val="92"/>
              </w:rPr>
              <w:t>Total</w:t>
            </w:r>
          </w:p>
        </w:tc>
        <w:tc>
          <w:tcPr>
            <w:tcW w:w="920" w:type="dxa"/>
            <w:vAlign w:val="bottom"/>
            <w:tcBorders>
              <w:right w:val="single" w:sz="8" w:color="2D53A6"/>
            </w:tcBorders>
            <w:shd w:val="clear" w:color="auto" w:fill="2D53A6"/>
          </w:tcPr>
          <w:p>
            <w:pPr>
              <w:spacing w:after="0"/>
              <w:rPr>
                <w:sz w:val="17"/>
                <w:szCs w:val="17"/>
                <w:color w:val="auto"/>
              </w:rPr>
            </w:pPr>
          </w:p>
        </w:tc>
        <w:tc>
          <w:tcPr>
            <w:tcW w:w="2580" w:type="dxa"/>
            <w:vAlign w:val="bottom"/>
            <w:tcBorders>
              <w:right w:val="single" w:sz="8" w:color="2D53A6"/>
            </w:tcBorders>
            <w:vMerge w:val="restart"/>
            <w:shd w:val="clear" w:color="auto" w:fill="2D53A6"/>
          </w:tcPr>
          <w:p>
            <w:pPr>
              <w:jc w:val="right"/>
              <w:ind w:right="810"/>
              <w:spacing w:after="0"/>
              <w:rPr>
                <w:sz w:val="20"/>
                <w:szCs w:val="20"/>
                <w:color w:val="auto"/>
              </w:rPr>
            </w:pPr>
            <w:r>
              <w:rPr>
                <w:rFonts w:ascii="Arial" w:cs="Arial" w:eastAsia="Arial" w:hAnsi="Arial"/>
                <w:sz w:val="18"/>
                <w:szCs w:val="18"/>
                <w:b w:val="1"/>
                <w:bCs w:val="1"/>
                <w:color w:val="FFFFFF"/>
              </w:rPr>
              <w:t>Severance</w:t>
            </w:r>
          </w:p>
        </w:tc>
        <w:tc>
          <w:tcPr>
            <w:tcW w:w="25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Medical</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660" w:type="dxa"/>
            <w:vAlign w:val="bottom"/>
            <w:vMerge w:val="continue"/>
            <w:shd w:val="clear" w:color="auto" w:fill="2D53A6"/>
          </w:tcPr>
          <w:p>
            <w:pPr>
              <w:spacing w:after="0"/>
              <w:rPr>
                <w:sz w:val="9"/>
                <w:szCs w:val="9"/>
                <w:color w:val="auto"/>
              </w:rPr>
            </w:pPr>
          </w:p>
        </w:tc>
        <w:tc>
          <w:tcPr>
            <w:tcW w:w="920" w:type="dxa"/>
            <w:vAlign w:val="bottom"/>
            <w:tcBorders>
              <w:right w:val="single" w:sz="8" w:color="2D53A6"/>
            </w:tcBorders>
            <w:shd w:val="clear" w:color="auto" w:fill="2D53A6"/>
          </w:tcPr>
          <w:p>
            <w:pPr>
              <w:spacing w:after="0"/>
              <w:rPr>
                <w:sz w:val="9"/>
                <w:szCs w:val="9"/>
                <w:color w:val="auto"/>
              </w:rPr>
            </w:pPr>
          </w:p>
        </w:tc>
        <w:tc>
          <w:tcPr>
            <w:tcW w:w="2580" w:type="dxa"/>
            <w:vAlign w:val="bottom"/>
            <w:tcBorders>
              <w:right w:val="single" w:sz="8" w:color="2D53A6"/>
            </w:tcBorders>
            <w:vMerge w:val="continue"/>
            <w:shd w:val="clear" w:color="auto" w:fill="2D53A6"/>
          </w:tcPr>
          <w:p>
            <w:pPr>
              <w:spacing w:after="0"/>
              <w:rPr>
                <w:sz w:val="9"/>
                <w:szCs w:val="9"/>
                <w:color w:val="auto"/>
              </w:rPr>
            </w:pPr>
          </w:p>
        </w:tc>
        <w:tc>
          <w:tcPr>
            <w:tcW w:w="25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vMerge w:val="continue"/>
            <w:shd w:val="clear" w:color="auto" w:fill="2D53A6"/>
          </w:tcPr>
          <w:p>
            <w:pPr>
              <w:spacing w:after="0"/>
              <w:rPr>
                <w:sz w:val="9"/>
                <w:szCs w:val="9"/>
                <w:color w:val="auto"/>
              </w:rPr>
            </w:pPr>
          </w:p>
        </w:tc>
        <w:tc>
          <w:tcPr>
            <w:tcW w:w="1660" w:type="dxa"/>
            <w:vAlign w:val="bottom"/>
            <w:vMerge w:val="restart"/>
            <w:shd w:val="clear" w:color="auto" w:fill="2D53A6"/>
          </w:tcPr>
          <w:p>
            <w:pPr>
              <w:jc w:val="right"/>
              <w:ind w:right="190"/>
              <w:spacing w:after="0"/>
              <w:rPr>
                <w:sz w:val="20"/>
                <w:szCs w:val="20"/>
                <w:color w:val="auto"/>
              </w:rPr>
            </w:pPr>
            <w:r>
              <w:rPr>
                <w:rFonts w:ascii="Arial" w:cs="Arial" w:eastAsia="Arial" w:hAnsi="Arial"/>
                <w:sz w:val="18"/>
                <w:szCs w:val="18"/>
                <w:b w:val="1"/>
                <w:bCs w:val="1"/>
                <w:color w:val="FFFFFF"/>
              </w:rPr>
              <w:t>($)</w:t>
            </w:r>
          </w:p>
        </w:tc>
        <w:tc>
          <w:tcPr>
            <w:tcW w:w="920" w:type="dxa"/>
            <w:vAlign w:val="bottom"/>
            <w:tcBorders>
              <w:right w:val="single" w:sz="8" w:color="2D53A6"/>
            </w:tcBorders>
            <w:shd w:val="clear" w:color="auto" w:fill="2D53A6"/>
          </w:tcPr>
          <w:p>
            <w:pPr>
              <w:spacing w:after="0"/>
              <w:rPr>
                <w:sz w:val="9"/>
                <w:szCs w:val="9"/>
                <w:color w:val="auto"/>
              </w:rPr>
            </w:pPr>
          </w:p>
        </w:tc>
        <w:tc>
          <w:tcPr>
            <w:tcW w:w="2580" w:type="dxa"/>
            <w:vAlign w:val="bottom"/>
            <w:tcBorders>
              <w:right w:val="single" w:sz="8" w:color="2D53A6"/>
            </w:tcBorders>
            <w:vMerge w:val="restart"/>
            <w:shd w:val="clear" w:color="auto" w:fill="2D53A6"/>
          </w:tcPr>
          <w:p>
            <w:pPr>
              <w:jc w:val="right"/>
              <w:ind w:right="990"/>
              <w:spacing w:after="0"/>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(1)</w:t>
            </w:r>
          </w:p>
        </w:tc>
        <w:tc>
          <w:tcPr>
            <w:tcW w:w="258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500" w:type="dxa"/>
            <w:vAlign w:val="bottom"/>
            <w:tcBorders>
              <w:right w:val="single" w:sz="8" w:color="2D53A6"/>
            </w:tcBorders>
            <w:shd w:val="clear" w:color="auto" w:fill="2D53A6"/>
          </w:tcPr>
          <w:p>
            <w:pPr>
              <w:spacing w:after="0"/>
              <w:rPr>
                <w:sz w:val="10"/>
                <w:szCs w:val="10"/>
                <w:color w:val="auto"/>
              </w:rPr>
            </w:pPr>
          </w:p>
        </w:tc>
        <w:tc>
          <w:tcPr>
            <w:tcW w:w="1660" w:type="dxa"/>
            <w:vAlign w:val="bottom"/>
            <w:vMerge w:val="continue"/>
            <w:shd w:val="clear" w:color="auto" w:fill="2D53A6"/>
          </w:tcPr>
          <w:p>
            <w:pPr>
              <w:spacing w:after="0"/>
              <w:rPr>
                <w:sz w:val="10"/>
                <w:szCs w:val="10"/>
                <w:color w:val="auto"/>
              </w:rPr>
            </w:pPr>
          </w:p>
        </w:tc>
        <w:tc>
          <w:tcPr>
            <w:tcW w:w="920" w:type="dxa"/>
            <w:vAlign w:val="bottom"/>
            <w:tcBorders>
              <w:right w:val="single" w:sz="8" w:color="2D53A6"/>
            </w:tcBorders>
            <w:shd w:val="clear" w:color="auto" w:fill="2D53A6"/>
          </w:tcPr>
          <w:p>
            <w:pPr>
              <w:spacing w:after="0"/>
              <w:rPr>
                <w:sz w:val="10"/>
                <w:szCs w:val="10"/>
                <w:color w:val="auto"/>
              </w:rPr>
            </w:pPr>
          </w:p>
        </w:tc>
        <w:tc>
          <w:tcPr>
            <w:tcW w:w="2580" w:type="dxa"/>
            <w:vAlign w:val="bottom"/>
            <w:tcBorders>
              <w:right w:val="single" w:sz="8" w:color="2D53A6"/>
            </w:tcBorders>
            <w:vMerge w:val="continue"/>
            <w:shd w:val="clear" w:color="auto" w:fill="2D53A6"/>
          </w:tcPr>
          <w:p>
            <w:pPr>
              <w:spacing w:after="0"/>
              <w:rPr>
                <w:sz w:val="10"/>
                <w:szCs w:val="10"/>
                <w:color w:val="auto"/>
              </w:rPr>
            </w:pPr>
          </w:p>
        </w:tc>
        <w:tc>
          <w:tcPr>
            <w:tcW w:w="2580" w:type="dxa"/>
            <w:vAlign w:val="bottom"/>
            <w:tcBorders>
              <w:right w:val="single" w:sz="8" w:color="2D53A6"/>
            </w:tcBorders>
            <w:vMerge w:val="restart"/>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2"/>
              </w:rPr>
              <w:t xml:space="preserve">($) </w:t>
            </w:r>
            <w:r>
              <w:rPr>
                <w:rFonts w:ascii="Arial" w:cs="Arial" w:eastAsia="Arial" w:hAnsi="Arial"/>
                <w:sz w:val="27"/>
                <w:szCs w:val="27"/>
                <w:b w:val="1"/>
                <w:bCs w:val="1"/>
                <w:color w:val="FFFFFF"/>
                <w:w w:val="92"/>
                <w:vertAlign w:val="superscript"/>
              </w:rPr>
              <w:t>(2)</w:t>
            </w:r>
          </w:p>
        </w:tc>
        <w:tc>
          <w:tcPr>
            <w:tcW w:w="0" w:type="dxa"/>
            <w:vAlign w:val="bottom"/>
          </w:tcPr>
          <w:p>
            <w:pPr>
              <w:spacing w:after="0"/>
              <w:rPr>
                <w:sz w:val="1"/>
                <w:szCs w:val="1"/>
                <w:color w:val="auto"/>
              </w:rPr>
            </w:pPr>
          </w:p>
        </w:tc>
      </w:tr>
      <w:tr>
        <w:trPr>
          <w:trHeight w:val="108"/>
        </w:trPr>
        <w:tc>
          <w:tcPr>
            <w:tcW w:w="3500" w:type="dxa"/>
            <w:vAlign w:val="bottom"/>
            <w:tcBorders>
              <w:right w:val="single" w:sz="8" w:color="2D53A6"/>
            </w:tcBorders>
            <w:shd w:val="clear" w:color="auto" w:fill="2D53A6"/>
          </w:tcPr>
          <w:p>
            <w:pPr>
              <w:spacing w:after="0"/>
              <w:rPr>
                <w:sz w:val="9"/>
                <w:szCs w:val="9"/>
                <w:color w:val="auto"/>
              </w:rPr>
            </w:pPr>
          </w:p>
        </w:tc>
        <w:tc>
          <w:tcPr>
            <w:tcW w:w="1660" w:type="dxa"/>
            <w:vAlign w:val="bottom"/>
            <w:shd w:val="clear" w:color="auto" w:fill="2D53A6"/>
          </w:tcPr>
          <w:p>
            <w:pPr>
              <w:spacing w:after="0"/>
              <w:rPr>
                <w:sz w:val="9"/>
                <w:szCs w:val="9"/>
                <w:color w:val="auto"/>
              </w:rPr>
            </w:pPr>
          </w:p>
        </w:tc>
        <w:tc>
          <w:tcPr>
            <w:tcW w:w="920" w:type="dxa"/>
            <w:vAlign w:val="bottom"/>
            <w:tcBorders>
              <w:right w:val="single" w:sz="8" w:color="2D53A6"/>
            </w:tcBorders>
            <w:shd w:val="clear" w:color="auto" w:fill="2D53A6"/>
          </w:tcPr>
          <w:p>
            <w:pPr>
              <w:spacing w:after="0"/>
              <w:rPr>
                <w:sz w:val="9"/>
                <w:szCs w:val="9"/>
                <w:color w:val="auto"/>
              </w:rPr>
            </w:pPr>
          </w:p>
        </w:tc>
        <w:tc>
          <w:tcPr>
            <w:tcW w:w="2580" w:type="dxa"/>
            <w:vAlign w:val="bottom"/>
            <w:tcBorders>
              <w:right w:val="single" w:sz="8" w:color="2D53A6"/>
            </w:tcBorders>
            <w:shd w:val="clear" w:color="auto" w:fill="2D53A6"/>
          </w:tcPr>
          <w:p>
            <w:pPr>
              <w:spacing w:after="0"/>
              <w:rPr>
                <w:sz w:val="9"/>
                <w:szCs w:val="9"/>
                <w:color w:val="auto"/>
              </w:rPr>
            </w:pPr>
          </w:p>
        </w:tc>
        <w:tc>
          <w:tcPr>
            <w:tcW w:w="258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2D53A6"/>
              <w:right w:val="single" w:sz="8" w:color="2D53A6"/>
            </w:tcBorders>
          </w:tcPr>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660" w:type="dxa"/>
            <w:vAlign w:val="bottom"/>
            <w:tcBorders>
              <w:bottom w:val="single" w:sz="8" w:color="2D53A6"/>
            </w:tcBorders>
          </w:tcPr>
          <w:p>
            <w:pPr>
              <w:spacing w:after="0"/>
              <w:rPr>
                <w:sz w:val="18"/>
                <w:szCs w:val="18"/>
                <w:color w:val="auto"/>
              </w:rPr>
            </w:pP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1,069,359</w:t>
            </w:r>
          </w:p>
        </w:tc>
        <w:tc>
          <w:tcPr>
            <w:tcW w:w="2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1,012,500</w:t>
            </w:r>
          </w:p>
        </w:tc>
        <w:tc>
          <w:tcPr>
            <w:tcW w:w="2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660" w:type="dxa"/>
            <w:vAlign w:val="bottom"/>
            <w:tcBorders>
              <w:bottom w:val="single" w:sz="8" w:color="2D53A6"/>
            </w:tcBorders>
            <w:shd w:val="clear" w:color="auto" w:fill="E6E6E6"/>
          </w:tcPr>
          <w:p>
            <w:pPr>
              <w:spacing w:after="0"/>
              <w:rPr>
                <w:sz w:val="18"/>
                <w:szCs w:val="18"/>
                <w:color w:val="auto"/>
              </w:rPr>
            </w:pP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474,906</w:t>
            </w:r>
          </w:p>
        </w:tc>
        <w:tc>
          <w:tcPr>
            <w:tcW w:w="2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437,000</w:t>
            </w:r>
          </w:p>
        </w:tc>
        <w:tc>
          <w:tcPr>
            <w:tcW w:w="2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37,906</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660" w:type="dxa"/>
            <w:vAlign w:val="bottom"/>
            <w:tcBorders>
              <w:bottom w:val="single" w:sz="8" w:color="2D53A6"/>
            </w:tcBorders>
          </w:tcPr>
          <w:p>
            <w:pPr>
              <w:spacing w:after="0"/>
              <w:rPr>
                <w:sz w:val="18"/>
                <w:szCs w:val="18"/>
                <w:color w:val="auto"/>
              </w:rPr>
            </w:pP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411,242</w:t>
            </w:r>
          </w:p>
        </w:tc>
        <w:tc>
          <w:tcPr>
            <w:tcW w:w="2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385,000</w:t>
            </w:r>
          </w:p>
        </w:tc>
        <w:tc>
          <w:tcPr>
            <w:tcW w:w="2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26,242</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660" w:type="dxa"/>
            <w:vAlign w:val="bottom"/>
            <w:tcBorders>
              <w:bottom w:val="single" w:sz="8" w:color="2D53A6"/>
            </w:tcBorders>
            <w:shd w:val="clear" w:color="auto" w:fill="E6E6E6"/>
          </w:tcPr>
          <w:p>
            <w:pPr>
              <w:spacing w:after="0"/>
              <w:rPr>
                <w:sz w:val="18"/>
                <w:szCs w:val="18"/>
                <w:color w:val="auto"/>
              </w:rPr>
            </w:pP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410,845</w:t>
            </w:r>
          </w:p>
        </w:tc>
        <w:tc>
          <w:tcPr>
            <w:tcW w:w="2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378,000</w:t>
            </w:r>
          </w:p>
        </w:tc>
        <w:tc>
          <w:tcPr>
            <w:tcW w:w="25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32,845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660" w:type="dxa"/>
            <w:vAlign w:val="bottom"/>
            <w:tcBorders>
              <w:bottom w:val="single" w:sz="8" w:color="2D53A6"/>
            </w:tcBorders>
          </w:tcPr>
          <w:p>
            <w:pPr>
              <w:spacing w:after="0"/>
              <w:rPr>
                <w:sz w:val="18"/>
                <w:szCs w:val="18"/>
                <w:color w:val="auto"/>
              </w:rPr>
            </w:pP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365,913</w:t>
            </w:r>
          </w:p>
        </w:tc>
        <w:tc>
          <w:tcPr>
            <w:tcW w:w="2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328,000</w:t>
            </w:r>
          </w:p>
        </w:tc>
        <w:tc>
          <w:tcPr>
            <w:tcW w:w="25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37,913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right="20" w:hanging="332"/>
        <w:spacing w:after="0" w:line="239"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the cash severance benefits payable in the event of a qualifying termination under Dr. M</w:t>
      </w:r>
      <w:r>
        <w:rPr>
          <w:rFonts w:ascii="MS PGothic" w:cs="MS PGothic" w:eastAsia="MS PGothic" w:hAnsi="MS PGothic"/>
          <w:sz w:val="18"/>
          <w:szCs w:val="18"/>
          <w:color w:val="auto"/>
        </w:rPr>
        <w:t>✔</w:t>
      </w:r>
      <w:r>
        <w:rPr>
          <w:rFonts w:ascii="Arial" w:cs="Arial" w:eastAsia="Arial" w:hAnsi="Arial"/>
          <w:sz w:val="18"/>
          <w:szCs w:val="18"/>
          <w:color w:val="auto"/>
        </w:rPr>
        <w:t>ller’s and Messrs. Jones’, Bohrson’s, Kampfer’s and Lawee’s respective Severance Agreement. These amounts are based on the individual’s fiscal 2022 base salary.</w:t>
      </w:r>
    </w:p>
    <w:p>
      <w:pPr>
        <w:spacing w:after="0" w:line="1" w:lineRule="exact"/>
        <w:rPr>
          <w:rFonts w:ascii="Arial" w:cs="Arial" w:eastAsia="Arial" w:hAnsi="Arial"/>
          <w:sz w:val="18"/>
          <w:szCs w:val="18"/>
          <w:color w:val="auto"/>
        </w:rPr>
      </w:pPr>
    </w:p>
    <w:p>
      <w:pPr>
        <w:ind w:left="340" w:right="440" w:hanging="332"/>
        <w:spacing w:after="0" w:line="216"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reimbursement for continued health care benefits pursuant to COBRA, eighteen (18) months for Dr. M</w:t>
      </w:r>
      <w:r>
        <w:rPr>
          <w:rFonts w:ascii="MS PGothic" w:cs="MS PGothic" w:eastAsia="MS PGothic" w:hAnsi="MS PGothic"/>
          <w:sz w:val="18"/>
          <w:szCs w:val="18"/>
          <w:color w:val="auto"/>
        </w:rPr>
        <w:t>✔</w:t>
      </w:r>
      <w:r>
        <w:rPr>
          <w:rFonts w:ascii="Arial" w:cs="Arial" w:eastAsia="Arial" w:hAnsi="Arial"/>
          <w:sz w:val="18"/>
          <w:szCs w:val="18"/>
          <w:color w:val="auto"/>
        </w:rPr>
        <w:t>ller, and twelve (12) months for Messrs. Jones, Bohrson, Kampfer and Lawee.</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FFFFFF"/>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311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Audit Committee Report</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Composition</w:t>
      </w:r>
    </w:p>
    <w:p>
      <w:pPr>
        <w:spacing w:after="0" w:line="21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Andrew M. Caggia and Yon Y. Jorden.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Responsibilities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92"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2D53A6"/>
        </w:rPr>
        <w:t>Review with Management and Independent Registered Public Accounting Firm</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this context, the Audit Committee has reviewed and discussed the audited consolidated financial statements contained in Cohu’s Annual Report on Form 10-K for the year ended December 31, 2022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spacing w:after="0" w:line="17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2D53A6"/>
        </w:rPr>
        <w:t>Summary</w:t>
      </w:r>
    </w:p>
    <w:p>
      <w:pPr>
        <w:spacing w:after="0" w:line="21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31, 2022, for filing with the SEC.</w:t>
      </w:r>
    </w:p>
    <w:p>
      <w:pPr>
        <w:spacing w:after="0" w:line="18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Audit Committee appointed Ernst &amp; Young LLP as Cohu’s independent registered public accounting firm for fiscal 2023 and recommends to stockholders that they ratify the appointment of Ernst &amp; Young LLP as Cohu’s independent registered public accounting firm for fiscal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225" w:lineRule="exact"/>
        <w:rPr>
          <w:sz w:val="20"/>
          <w:szCs w:val="20"/>
          <w:color w:val="auto"/>
        </w:rPr>
      </w:pPr>
    </w:p>
    <w:p>
      <w:pPr>
        <w:ind w:left="3020"/>
        <w:spacing w:after="0"/>
        <w:tabs>
          <w:tab w:leader="none" w:pos="5420" w:val="left"/>
          <w:tab w:leader="none" w:pos="7200" w:val="left"/>
        </w:tabs>
        <w:rPr>
          <w:sz w:val="20"/>
          <w:szCs w:val="20"/>
          <w:color w:val="auto"/>
        </w:rPr>
      </w:pPr>
      <w:r>
        <w:rPr>
          <w:rFonts w:ascii="Arial" w:cs="Arial" w:eastAsia="Arial" w:hAnsi="Arial"/>
          <w:sz w:val="18"/>
          <w:szCs w:val="18"/>
          <w:color w:val="auto"/>
        </w:rPr>
        <w:t>William E. Bendush (Chair)</w:t>
      </w:r>
      <w:r>
        <w:rPr>
          <w:sz w:val="20"/>
          <w:szCs w:val="20"/>
          <w:color w:val="auto"/>
        </w:rPr>
        <w:tab/>
      </w:r>
      <w:r>
        <w:rPr>
          <w:rFonts w:ascii="Arial" w:cs="Arial" w:eastAsia="Arial" w:hAnsi="Arial"/>
          <w:sz w:val="18"/>
          <w:szCs w:val="18"/>
          <w:color w:val="auto"/>
        </w:rPr>
        <w:t>Andrew M. Caggia</w:t>
      </w:r>
      <w:r>
        <w:rPr>
          <w:sz w:val="20"/>
          <w:szCs w:val="20"/>
          <w:color w:val="auto"/>
        </w:rPr>
        <w:tab/>
      </w:r>
      <w:r>
        <w:rPr>
          <w:rFonts w:ascii="Arial" w:cs="Arial" w:eastAsia="Arial" w:hAnsi="Arial"/>
          <w:sz w:val="16"/>
          <w:szCs w:val="16"/>
          <w:color w:val="auto"/>
        </w:rPr>
        <w:t>Yon Y. Jorden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Principal Accounting Fees and Services</w:t>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31, 2022 and December 25,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(in thousands)</w:t>
            </w:r>
          </w:p>
        </w:tc>
        <w:tc>
          <w:tcPr>
            <w:tcW w:w="320" w:type="dxa"/>
            <w:vAlign w:val="bottom"/>
            <w:shd w:val="clear" w:color="auto" w:fill="2D53A6"/>
          </w:tcPr>
          <w:p>
            <w:pPr>
              <w:spacing w:after="0"/>
              <w:rPr>
                <w:sz w:val="18"/>
                <w:szCs w:val="18"/>
                <w:color w:val="auto"/>
              </w:rPr>
            </w:pPr>
          </w:p>
        </w:tc>
        <w:tc>
          <w:tcPr>
            <w:tcW w:w="1160" w:type="dxa"/>
            <w:vAlign w:val="bottom"/>
            <w:shd w:val="clear" w:color="auto" w:fill="2D53A6"/>
          </w:tcPr>
          <w:p>
            <w:pPr>
              <w:jc w:val="right"/>
              <w:ind w:right="470"/>
              <w:spacing w:after="0"/>
              <w:rPr>
                <w:sz w:val="20"/>
                <w:szCs w:val="20"/>
                <w:color w:val="auto"/>
              </w:rPr>
            </w:pPr>
            <w:r>
              <w:rPr>
                <w:rFonts w:ascii="Arial" w:cs="Arial" w:eastAsia="Arial" w:hAnsi="Arial"/>
                <w:sz w:val="18"/>
                <w:szCs w:val="18"/>
                <w:b w:val="1"/>
                <w:bCs w:val="1"/>
                <w:color w:val="FFFFFF"/>
              </w:rPr>
              <w:t>2022</w:t>
            </w:r>
          </w:p>
        </w:tc>
        <w:tc>
          <w:tcPr>
            <w:tcW w:w="100" w:type="dxa"/>
            <w:vAlign w:val="bottom"/>
            <w:tcBorders>
              <w:right w:val="single" w:sz="8" w:color="2D53A6"/>
            </w:tcBorders>
            <w:shd w:val="clear" w:color="auto" w:fill="2D53A6"/>
          </w:tcPr>
          <w:p>
            <w:pPr>
              <w:spacing w:after="0"/>
              <w:rPr>
                <w:sz w:val="18"/>
                <w:szCs w:val="18"/>
                <w:color w:val="auto"/>
              </w:rPr>
            </w:pPr>
          </w:p>
        </w:tc>
        <w:tc>
          <w:tcPr>
            <w:tcW w:w="100" w:type="dxa"/>
            <w:vAlign w:val="bottom"/>
            <w:shd w:val="clear" w:color="auto" w:fill="2D53A6"/>
          </w:tcPr>
          <w:p>
            <w:pPr>
              <w:spacing w:after="0"/>
              <w:rPr>
                <w:sz w:val="18"/>
                <w:szCs w:val="18"/>
                <w:color w:val="auto"/>
              </w:rPr>
            </w:pPr>
          </w:p>
        </w:tc>
        <w:tc>
          <w:tcPr>
            <w:tcW w:w="320" w:type="dxa"/>
            <w:vAlign w:val="bottom"/>
            <w:shd w:val="clear" w:color="auto" w:fill="2D53A6"/>
          </w:tcPr>
          <w:p>
            <w:pPr>
              <w:spacing w:after="0"/>
              <w:rPr>
                <w:sz w:val="18"/>
                <w:szCs w:val="18"/>
                <w:color w:val="auto"/>
              </w:rPr>
            </w:pPr>
          </w:p>
        </w:tc>
        <w:tc>
          <w:tcPr>
            <w:tcW w:w="1140" w:type="dxa"/>
            <w:vAlign w:val="bottom"/>
            <w:shd w:val="clear" w:color="auto" w:fill="2D53A6"/>
          </w:tcPr>
          <w:p>
            <w:pPr>
              <w:jc w:val="right"/>
              <w:ind w:right="470"/>
              <w:spacing w:after="0"/>
              <w:rPr>
                <w:sz w:val="20"/>
                <w:szCs w:val="20"/>
                <w:color w:val="auto"/>
              </w:rPr>
            </w:pPr>
            <w:r>
              <w:rPr>
                <w:rFonts w:ascii="Arial" w:cs="Arial" w:eastAsia="Arial" w:hAnsi="Arial"/>
                <w:sz w:val="18"/>
                <w:szCs w:val="18"/>
                <w:b w:val="1"/>
                <w:bCs w:val="1"/>
                <w:color w:val="FFFFFF"/>
              </w:rPr>
              <w:t>2021</w:t>
            </w:r>
          </w:p>
        </w:tc>
        <w:tc>
          <w:tcPr>
            <w:tcW w:w="100" w:type="dxa"/>
            <w:vAlign w:val="bottom"/>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2D53A6"/>
              <w:right w:val="single" w:sz="8" w:color="2D53A6"/>
            </w:tcBorders>
          </w:tcPr>
          <w:p>
            <w:pPr>
              <w:spacing w:after="0" w:line="216"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5"/>
                <w:szCs w:val="25"/>
                <w:color w:val="auto"/>
                <w:vertAlign w:val="superscript"/>
              </w:rPr>
              <w:t>(1)</w:t>
            </w:r>
          </w:p>
        </w:tc>
        <w:tc>
          <w:tcPr>
            <w:tcW w:w="320" w:type="dxa"/>
            <w:vAlign w:val="bottom"/>
            <w:tcBorders>
              <w:bottom w:val="single" w:sz="8" w:color="2D53A6"/>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2D53A6"/>
              <w:right w:val="single" w:sz="8" w:color="2D53A6"/>
            </w:tcBorders>
          </w:tcPr>
          <w:p>
            <w:pPr>
              <w:spacing w:after="0"/>
              <w:rPr>
                <w:sz w:val="18"/>
                <w:szCs w:val="18"/>
                <w:color w:val="auto"/>
              </w:rPr>
            </w:pPr>
          </w:p>
        </w:tc>
        <w:tc>
          <w:tcPr>
            <w:tcW w:w="420" w:type="dxa"/>
            <w:vAlign w:val="bottom"/>
            <w:tcBorders>
              <w:bottom w:val="single" w:sz="8" w:color="2D53A6"/>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Audit-Related Fees</w:t>
            </w:r>
          </w:p>
        </w:tc>
        <w:tc>
          <w:tcPr>
            <w:tcW w:w="320" w:type="dxa"/>
            <w:vAlign w:val="bottom"/>
            <w:tcBorders>
              <w:bottom w:val="single" w:sz="8" w:color="2D53A6"/>
            </w:tcBorders>
          </w:tcPr>
          <w:p>
            <w:pPr>
              <w:spacing w:after="0"/>
              <w:rPr>
                <w:sz w:val="18"/>
                <w:szCs w:val="18"/>
                <w:color w:val="auto"/>
              </w:rPr>
            </w:pPr>
          </w:p>
        </w:tc>
        <w:tc>
          <w:tcPr>
            <w:tcW w:w="11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2D53A6"/>
              <w:right w:val="single" w:sz="8" w:color="2D53A6"/>
            </w:tcBorders>
          </w:tcPr>
          <w:p>
            <w:pPr>
              <w:spacing w:after="0"/>
              <w:rPr>
                <w:sz w:val="18"/>
                <w:szCs w:val="18"/>
                <w:color w:val="auto"/>
              </w:rPr>
            </w:pPr>
          </w:p>
        </w:tc>
        <w:tc>
          <w:tcPr>
            <w:tcW w:w="100" w:type="dxa"/>
            <w:vAlign w:val="bottom"/>
            <w:tcBorders>
              <w:bottom w:val="single" w:sz="8" w:color="2D53A6"/>
            </w:tcBorders>
          </w:tcPr>
          <w:p>
            <w:pPr>
              <w:spacing w:after="0"/>
              <w:rPr>
                <w:sz w:val="18"/>
                <w:szCs w:val="18"/>
                <w:color w:val="auto"/>
              </w:rPr>
            </w:pPr>
          </w:p>
        </w:tc>
        <w:tc>
          <w:tcPr>
            <w:tcW w:w="320" w:type="dxa"/>
            <w:vAlign w:val="bottom"/>
            <w:tcBorders>
              <w:bottom w:val="single" w:sz="8" w:color="2D53A6"/>
            </w:tcBorders>
          </w:tcPr>
          <w:p>
            <w:pPr>
              <w:spacing w:after="0"/>
              <w:rPr>
                <w:sz w:val="18"/>
                <w:szCs w:val="18"/>
                <w:color w:val="auto"/>
              </w:rPr>
            </w:pPr>
          </w:p>
        </w:tc>
        <w:tc>
          <w:tcPr>
            <w:tcW w:w="1240" w:type="dxa"/>
            <w:vAlign w:val="bottom"/>
            <w:tcBorders>
              <w:bottom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1"/>
        </w:trPr>
        <w:tc>
          <w:tcPr>
            <w:tcW w:w="800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Tax Fees: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right w:val="single" w:sz="8" w:color="2D53A6"/>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Borders>
              <w:right w:val="single" w:sz="8" w:color="2D53A6"/>
            </w:tcBorders>
          </w:tcPr>
          <w:p>
            <w:pPr>
              <w:ind w:left="180"/>
              <w:spacing w:after="0" w:line="216" w:lineRule="exact"/>
              <w:rPr>
                <w:sz w:val="20"/>
                <w:szCs w:val="20"/>
                <w:color w:val="auto"/>
              </w:rPr>
            </w:pPr>
            <w:r>
              <w:rPr>
                <w:rFonts w:ascii="Arial" w:cs="Arial" w:eastAsia="Arial" w:hAnsi="Arial"/>
                <w:sz w:val="16"/>
                <w:szCs w:val="16"/>
                <w:color w:val="auto"/>
              </w:rPr>
              <w:t xml:space="preserve">Tax Compliance </w:t>
            </w:r>
            <w:r>
              <w:rPr>
                <w:rFonts w:ascii="Arial" w:cs="Arial" w:eastAsia="Arial" w:hAnsi="Arial"/>
                <w:sz w:val="25"/>
                <w:szCs w:val="25"/>
                <w:color w:val="auto"/>
                <w:vertAlign w:val="superscript"/>
              </w:rPr>
              <w:t>(2)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right w:val="single" w:sz="8" w:color="2D53A6"/>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000" w:type="dxa"/>
            <w:vAlign w:val="bottom"/>
            <w:tcBorders>
              <w:right w:val="single" w:sz="8" w:color="2D53A6"/>
            </w:tcBorders>
          </w:tcPr>
          <w:p>
            <w:pPr>
              <w:ind w:left="180"/>
              <w:spacing w:after="0" w:line="230" w:lineRule="exact"/>
              <w:rPr>
                <w:sz w:val="20"/>
                <w:szCs w:val="20"/>
                <w:color w:val="auto"/>
              </w:rPr>
            </w:pPr>
            <w:r>
              <w:rPr>
                <w:rFonts w:ascii="Arial" w:cs="Arial" w:eastAsia="Arial" w:hAnsi="Arial"/>
                <w:sz w:val="16"/>
                <w:szCs w:val="16"/>
                <w:color w:val="auto"/>
              </w:rPr>
              <w:t xml:space="preserve">Tax Planning and Advice </w:t>
            </w:r>
            <w:r>
              <w:rPr>
                <w:rFonts w:ascii="Arial" w:cs="Arial" w:eastAsia="Arial" w:hAnsi="Arial"/>
                <w:sz w:val="26"/>
                <w:szCs w:val="26"/>
                <w:color w:val="auto"/>
                <w:vertAlign w:val="superscript"/>
              </w:rPr>
              <w:t>(3)</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right w:val="single" w:sz="8" w:color="2D53A6"/>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4"/>
        </w:trPr>
        <w:tc>
          <w:tcPr>
            <w:tcW w:w="8000" w:type="dxa"/>
            <w:vAlign w:val="bottom"/>
            <w:tcBorders>
              <w:right w:val="single" w:sz="8" w:color="2D53A6"/>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right w:val="single" w:sz="8" w:color="2D53A6"/>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2D53A6"/>
            </w:tcBorders>
          </w:tcPr>
          <w:p>
            <w:pPr>
              <w:spacing w:after="0"/>
              <w:rPr>
                <w:sz w:val="17"/>
                <w:szCs w:val="17"/>
                <w:color w:val="auto"/>
              </w:rPr>
            </w:pPr>
          </w:p>
        </w:tc>
        <w:tc>
          <w:tcPr>
            <w:tcW w:w="1160" w:type="dxa"/>
            <w:vAlign w:val="bottom"/>
            <w:tcBorders>
              <w:bottom w:val="single" w:sz="8" w:color="2D53A6"/>
            </w:tcBorders>
          </w:tcPr>
          <w:p>
            <w:pPr>
              <w:spacing w:after="0"/>
              <w:rPr>
                <w:sz w:val="17"/>
                <w:szCs w:val="17"/>
                <w:color w:val="auto"/>
              </w:rPr>
            </w:pPr>
          </w:p>
        </w:tc>
        <w:tc>
          <w:tcPr>
            <w:tcW w:w="100" w:type="dxa"/>
            <w:vAlign w:val="bottom"/>
            <w:tcBorders>
              <w:bottom w:val="single" w:sz="8" w:color="2D53A6"/>
              <w:right w:val="single" w:sz="8" w:color="2D53A6"/>
            </w:tcBorders>
          </w:tcPr>
          <w:p>
            <w:pPr>
              <w:spacing w:after="0"/>
              <w:rPr>
                <w:sz w:val="17"/>
                <w:szCs w:val="17"/>
                <w:color w:val="auto"/>
              </w:rPr>
            </w:pPr>
          </w:p>
        </w:tc>
        <w:tc>
          <w:tcPr>
            <w:tcW w:w="100" w:type="dxa"/>
            <w:vAlign w:val="bottom"/>
            <w:tcBorders>
              <w:bottom w:val="single" w:sz="8" w:color="2D53A6"/>
            </w:tcBorders>
          </w:tcPr>
          <w:p>
            <w:pPr>
              <w:spacing w:after="0"/>
              <w:rPr>
                <w:sz w:val="17"/>
                <w:szCs w:val="17"/>
                <w:color w:val="auto"/>
              </w:rPr>
            </w:pPr>
          </w:p>
        </w:tc>
        <w:tc>
          <w:tcPr>
            <w:tcW w:w="320" w:type="dxa"/>
            <w:vAlign w:val="bottom"/>
            <w:tcBorders>
              <w:bottom w:val="single" w:sz="8" w:color="2D53A6"/>
            </w:tcBorders>
          </w:tcPr>
          <w:p>
            <w:pPr>
              <w:spacing w:after="0"/>
              <w:rPr>
                <w:sz w:val="17"/>
                <w:szCs w:val="17"/>
                <w:color w:val="auto"/>
              </w:rPr>
            </w:pPr>
          </w:p>
        </w:tc>
        <w:tc>
          <w:tcPr>
            <w:tcW w:w="1240" w:type="dxa"/>
            <w:vAlign w:val="bottom"/>
            <w:tcBorders>
              <w:bottom w:val="single" w:sz="8" w:color="2D53A6"/>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Borders>
              <w:right w:val="single" w:sz="8" w:color="2D53A6"/>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2D53A6"/>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2D53A6"/>
              <w:right w:val="single" w:sz="8" w:color="2D53A6"/>
            </w:tcBorders>
          </w:tcPr>
          <w:p>
            <w:pPr>
              <w:spacing w:after="0"/>
              <w:rPr>
                <w:sz w:val="17"/>
                <w:szCs w:val="17"/>
                <w:color w:val="auto"/>
              </w:rPr>
            </w:pPr>
          </w:p>
        </w:tc>
        <w:tc>
          <w:tcPr>
            <w:tcW w:w="320" w:type="dxa"/>
            <w:vAlign w:val="bottom"/>
            <w:tcBorders>
              <w:bottom w:val="single" w:sz="8" w:color="2D53A6"/>
            </w:tcBorders>
          </w:tcPr>
          <w:p>
            <w:pPr>
              <w:spacing w:after="0"/>
              <w:rPr>
                <w:sz w:val="17"/>
                <w:szCs w:val="17"/>
                <w:color w:val="auto"/>
              </w:rPr>
            </w:pPr>
          </w:p>
        </w:tc>
        <w:tc>
          <w:tcPr>
            <w:tcW w:w="1160" w:type="dxa"/>
            <w:vAlign w:val="bottom"/>
            <w:tcBorders>
              <w:bottom w:val="single" w:sz="8" w:color="2D53A6"/>
            </w:tcBorders>
          </w:tcPr>
          <w:p>
            <w:pPr>
              <w:spacing w:after="0"/>
              <w:rPr>
                <w:sz w:val="17"/>
                <w:szCs w:val="17"/>
                <w:color w:val="auto"/>
              </w:rPr>
            </w:pPr>
          </w:p>
        </w:tc>
        <w:tc>
          <w:tcPr>
            <w:tcW w:w="100" w:type="dxa"/>
            <w:vAlign w:val="bottom"/>
            <w:tcBorders>
              <w:bottom w:val="single" w:sz="8" w:color="2D53A6"/>
              <w:right w:val="single" w:sz="8" w:color="2D53A6"/>
            </w:tcBorders>
          </w:tcPr>
          <w:p>
            <w:pPr>
              <w:spacing w:after="0"/>
              <w:rPr>
                <w:sz w:val="17"/>
                <w:szCs w:val="17"/>
                <w:color w:val="auto"/>
              </w:rPr>
            </w:pPr>
          </w:p>
        </w:tc>
        <w:tc>
          <w:tcPr>
            <w:tcW w:w="420" w:type="dxa"/>
            <w:vAlign w:val="bottom"/>
            <w:tcBorders>
              <w:bottom w:val="single" w:sz="8" w:color="2D53A6"/>
            </w:tcBorders>
            <w:gridSpan w:val="2"/>
          </w:tcPr>
          <w:p>
            <w:pPr>
              <w:spacing w:after="0"/>
              <w:rPr>
                <w:sz w:val="17"/>
                <w:szCs w:val="17"/>
                <w:color w:val="auto"/>
              </w:rPr>
            </w:pPr>
          </w:p>
        </w:tc>
        <w:tc>
          <w:tcPr>
            <w:tcW w:w="1240" w:type="dxa"/>
            <w:vAlign w:val="bottom"/>
            <w:tcBorders>
              <w:bottom w:val="single" w:sz="8" w:color="2D53A6"/>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0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right w:val="single" w:sz="8" w:color="2D53A6"/>
            </w:tcBorders>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0"/>
        </w:trPr>
        <w:tc>
          <w:tcPr>
            <w:tcW w:w="8000" w:type="dxa"/>
            <w:vAlign w:val="bottom"/>
            <w:tcBorders>
              <w:bottom w:val="single" w:sz="8" w:color="2D53A6"/>
              <w:right w:val="single" w:sz="8" w:color="2D53A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2D53A6"/>
              <w:right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2022 and 2021, 100% of the non-audit fees were pre-approved by the Audit Committee.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187" w:lineRule="exact"/>
        <w:rPr>
          <w:sz w:val="20"/>
          <w:szCs w:val="20"/>
          <w:color w:val="auto"/>
        </w:rPr>
      </w:pPr>
    </w:p>
    <w:p>
      <w:pPr>
        <w:ind w:left="340" w:right="80" w:hanging="332"/>
        <w:spacing w:after="0" w:line="25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spacing w:after="0" w:line="2"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review or preparation of Cohu’s federal, state and foreign tax returns and (ii) tax return examinations.</w:t>
      </w: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Tax planning and advisory fees were primarily driven by legal entity consolidation and restructuring initiatives arising from the Xcerra acquisition.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1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8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4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8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w:t>
      </w:r>
    </w:p>
    <w:p>
      <w:pPr>
        <w:ind w:left="980" w:right="140" w:hanging="324"/>
        <w:spacing w:after="0" w:line="290"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transactions will be disclosed in Cohu’s applicable filings with the SEC as required under SEC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- 2024 Annual Meeting</w:t>
      </w: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2024 Annual Meeting of Stockholders of Cohu must be received at Cohu’s offices on or before November 29, 2023 in order to be considered for inclusion in Cohu’s proxy statement and form of proxy relating to such meeting.</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stockholder intends to submit a proposal at the 2024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October 30, 2023 and no later than November 29, 2023.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2024 Annual Meeting of Stockholders of Cohu.</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March 11, 2024.</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Annual Report on Form 10-K</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Copies of Cohu’s Annual Report on Form 10-K for the year ended December 31, 2022, as filed with the SEC are available to stockholders without charge upon written request addressed to Investor Relations, Cohu, Inc., 12367 Crosthwaite Circle, Poway, California 92064-6817. The Annual Report on Form 10-K is also available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Thomas D. Kampfer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2023</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1" w:right="499" w:bottom="1440" w:gutter="0" w:footer="0" w:header="0"/>
        </w:sectPr>
      </w:pPr>
    </w:p>
    <w:bookmarkStart w:id="60" w:name="page61"/>
    <w:bookmarkEnd w:id="60"/>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40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694055"/>
                    </a:xfrm>
                    <a:prstGeom prst="rect">
                      <a:avLst/>
                    </a:prstGeom>
                    <a:noFill/>
                  </pic:spPr>
                </pic:pic>
              </a:graphicData>
            </a:graphic>
          </wp:anchor>
        </w:drawing>
        <w:t>Voting Proposals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No. 1: Election of Directors</w:t>
      </w:r>
    </w:p>
    <w:p>
      <w:pPr>
        <w:spacing w:after="0" w:line="21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(2) Class 1 directors are standing for re-election for a term expiring in 2026. The shares represented by proxies in the accompanying form will be voted by the proxy holders in accordance with the instructions given by the voting stockholders. If no specific instructions are given, however, the shares will be voted for the election of the two (2) nominees named below. Should any nominee decline or become unable to accept nomination or election, which is not anticipated, the proxies will be voted for such substitute nominee as may be designated by a majority of the Board of Directors.</w:t>
      </w:r>
    </w:p>
    <w:p>
      <w:pPr>
        <w:spacing w:after="0" w:line="16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Each of the two (2)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1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428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the nominees named below.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2D53A6"/>
        </w:rPr>
        <w:t>Directors Whose Term Expires in 2026 (if elected) -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6985</wp:posOffset>
            </wp:positionV>
            <wp:extent cx="4629150" cy="21088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29150" cy="21088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960" w:type="dxa"/>
            <w:vAlign w:val="bottom"/>
            <w:tcBorders>
              <w:top w:val="single" w:sz="8" w:color="2D53A6"/>
              <w:right w:val="single" w:sz="8" w:color="2D53A6"/>
            </w:tcBorders>
            <w:shd w:val="clear" w:color="auto" w:fill="E6E6E6"/>
          </w:tcPr>
          <w:p>
            <w:pPr>
              <w:spacing w:after="0"/>
              <w:rPr>
                <w:sz w:val="19"/>
                <w:szCs w:val="19"/>
                <w:color w:val="auto"/>
              </w:rPr>
            </w:pPr>
          </w:p>
        </w:tc>
        <w:tc>
          <w:tcPr>
            <w:tcW w:w="7280" w:type="dxa"/>
            <w:vAlign w:val="bottom"/>
            <w:tcBorders>
              <w:top w:val="single" w:sz="8" w:color="2D53A6"/>
            </w:tcBorders>
            <w:shd w:val="clear" w:color="auto" w:fill="E6E6E6"/>
          </w:tcPr>
          <w:p>
            <w:pPr>
              <w:ind w:left="80"/>
              <w:spacing w:after="0" w:line="222" w:lineRule="exact"/>
              <w:rPr>
                <w:sz w:val="20"/>
                <w:szCs w:val="20"/>
                <w:color w:val="auto"/>
              </w:rPr>
            </w:pPr>
            <w:r>
              <w:rPr>
                <w:rFonts w:ascii="Arial" w:cs="Arial" w:eastAsia="Arial" w:hAnsi="Arial"/>
                <w:sz w:val="22"/>
                <w:szCs w:val="22"/>
                <w:color w:val="2D53A6"/>
              </w:rPr>
              <w:t>Business Experience and Other Directorships</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shd w:val="clear" w:color="auto" w:fill="E6E6E6"/>
          </w:tcPr>
          <w:p>
            <w:pPr>
              <w:spacing w:after="0"/>
              <w:rPr>
                <w:sz w:val="18"/>
                <w:szCs w:val="18"/>
                <w:color w:val="auto"/>
              </w:rPr>
            </w:pP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7"/>
              </w:rPr>
              <w:t>Mr. Bendush is the retired Senior Vice President and Chief Financial Officer of Applied Micro</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shd w:val="clear" w:color="auto" w:fill="E6E6E6"/>
          </w:tcPr>
          <w:p>
            <w:pPr>
              <w:spacing w:after="0"/>
              <w:rPr>
                <w:sz w:val="18"/>
                <w:szCs w:val="18"/>
                <w:color w:val="auto"/>
              </w:rPr>
            </w:pP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2"/>
              </w:rPr>
              <w:t>Circuits Corporation (“AMCC”), a communications semiconductor company, and during his tenure</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22"/>
                <w:szCs w:val="22"/>
                <w:b w:val="1"/>
                <w:bCs w:val="1"/>
                <w:color w:val="2D53A6"/>
              </w:rPr>
              <w:t>William E. Bendush</w:t>
            </w: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0"/>
              </w:rPr>
              <w:t>an S&amp;P 500 constituent company, where he served from 1999 to 2003. Mr. Bendush was a director</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vMerge w:val="continue"/>
            <w:shd w:val="clear" w:color="auto" w:fill="E6E6E6"/>
          </w:tcPr>
          <w:p>
            <w:pPr>
              <w:spacing w:after="0"/>
              <w:rPr>
                <w:sz w:val="18"/>
                <w:szCs w:val="18"/>
                <w:color w:val="auto"/>
              </w:rPr>
            </w:pP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1"/>
              </w:rPr>
              <w:t>of Microsemi Corp. from 2003 until the company was acquired in 2018, and also previously served</w:t>
            </w:r>
          </w:p>
        </w:tc>
        <w:tc>
          <w:tcPr>
            <w:tcW w:w="0" w:type="dxa"/>
            <w:vAlign w:val="bottom"/>
          </w:tcPr>
          <w:p>
            <w:pPr>
              <w:spacing w:after="0"/>
              <w:rPr>
                <w:sz w:val="1"/>
                <w:szCs w:val="1"/>
                <w:color w:val="auto"/>
              </w:rPr>
            </w:pPr>
          </w:p>
        </w:tc>
      </w:tr>
      <w:tr>
        <w:trPr>
          <w:trHeight w:val="230"/>
        </w:trPr>
        <w:tc>
          <w:tcPr>
            <w:tcW w:w="39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Director since 2011</w:t>
            </w: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0"/>
              </w:rPr>
              <w:t>as a director at Conexant Systems, Inc. (2008 to 2011) and Smartflex Systems, Inc. (1993 to 1999).</w:t>
            </w:r>
          </w:p>
        </w:tc>
        <w:tc>
          <w:tcPr>
            <w:tcW w:w="0" w:type="dxa"/>
            <w:vAlign w:val="bottom"/>
          </w:tcPr>
          <w:p>
            <w:pPr>
              <w:spacing w:after="0"/>
              <w:rPr>
                <w:sz w:val="1"/>
                <w:szCs w:val="1"/>
                <w:color w:val="auto"/>
              </w:rPr>
            </w:pPr>
          </w:p>
        </w:tc>
      </w:tr>
      <w:tr>
        <w:trPr>
          <w:trHeight w:val="230"/>
        </w:trPr>
        <w:tc>
          <w:tcPr>
            <w:tcW w:w="39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Age 74</w:t>
            </w:r>
          </w:p>
        </w:tc>
        <w:tc>
          <w:tcPr>
            <w:tcW w:w="7280" w:type="dxa"/>
            <w:vAlign w:val="bottom"/>
            <w:vMerge w:val="restart"/>
            <w:shd w:val="clear" w:color="auto" w:fill="E6E6E6"/>
          </w:tcPr>
          <w:p>
            <w:pPr>
              <w:ind w:left="80"/>
              <w:spacing w:after="0"/>
              <w:rPr>
                <w:sz w:val="20"/>
                <w:szCs w:val="20"/>
                <w:color w:val="auto"/>
              </w:rPr>
            </w:pPr>
            <w:r>
              <w:rPr>
                <w:rFonts w:ascii="Arial" w:cs="Arial" w:eastAsia="Arial" w:hAnsi="Arial"/>
                <w:sz w:val="22"/>
                <w:szCs w:val="22"/>
                <w:color w:val="2D53A6"/>
              </w:rPr>
              <w:t>Experience Qualifications and Attributes</w:t>
            </w:r>
          </w:p>
        </w:tc>
        <w:tc>
          <w:tcPr>
            <w:tcW w:w="0" w:type="dxa"/>
            <w:vAlign w:val="bottom"/>
          </w:tcPr>
          <w:p>
            <w:pPr>
              <w:spacing w:after="0"/>
              <w:rPr>
                <w:sz w:val="1"/>
                <w:szCs w:val="1"/>
                <w:color w:val="auto"/>
              </w:rPr>
            </w:pPr>
          </w:p>
        </w:tc>
      </w:tr>
      <w:tr>
        <w:trPr>
          <w:trHeight w:val="215"/>
        </w:trPr>
        <w:tc>
          <w:tcPr>
            <w:tcW w:w="39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b w:val="1"/>
                <w:bCs w:val="1"/>
                <w:color w:val="2D53A6"/>
              </w:rPr>
              <w:t>Board Committees:</w:t>
            </w:r>
          </w:p>
        </w:tc>
        <w:tc>
          <w:tcPr>
            <w:tcW w:w="728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2D53A6"/>
            </w:tcBorders>
            <w:vMerge w:val="continue"/>
            <w:shd w:val="clear" w:color="auto" w:fill="E6E6E6"/>
          </w:tcPr>
          <w:p>
            <w:pPr>
              <w:spacing w:after="0"/>
              <w:rPr>
                <w:sz w:val="17"/>
                <w:szCs w:val="17"/>
                <w:color w:val="auto"/>
              </w:rPr>
            </w:pPr>
          </w:p>
        </w:tc>
        <w:tc>
          <w:tcPr>
            <w:tcW w:w="72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w w:val="98"/>
              </w:rPr>
              <w:t>We believe Mr. Bendush’s qualifications to sit on our Board include his extensive board and</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Audit Committee (Chair)</w:t>
            </w: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3"/>
              </w:rPr>
              <w:t>executive experience in the semiconductor industry and his experience with financial accounting</w:t>
            </w:r>
          </w:p>
        </w:tc>
        <w:tc>
          <w:tcPr>
            <w:tcW w:w="0" w:type="dxa"/>
            <w:vAlign w:val="bottom"/>
          </w:tcPr>
          <w:p>
            <w:pPr>
              <w:spacing w:after="0"/>
              <w:rPr>
                <w:sz w:val="1"/>
                <w:szCs w:val="1"/>
                <w:color w:val="auto"/>
              </w:rPr>
            </w:pPr>
          </w:p>
        </w:tc>
      </w:tr>
      <w:tr>
        <w:trPr>
          <w:trHeight w:val="230"/>
        </w:trPr>
        <w:tc>
          <w:tcPr>
            <w:tcW w:w="39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Nominating and Governance</w:t>
            </w: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4"/>
              </w:rPr>
              <w:t>matters for complex global organizations as well as his knowledge of business strategy. He has</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shd w:val="clear" w:color="auto" w:fill="E6E6E6"/>
          </w:tcPr>
          <w:p>
            <w:pPr>
              <w:spacing w:after="0"/>
              <w:rPr>
                <w:sz w:val="18"/>
                <w:szCs w:val="18"/>
                <w:color w:val="auto"/>
              </w:rPr>
            </w:pP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4"/>
              </w:rPr>
              <w:t>been a member of four public company audit committees and chaired three, and also served as</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shd w:val="clear" w:color="auto" w:fill="E6E6E6"/>
          </w:tcPr>
          <w:p>
            <w:pPr>
              <w:spacing w:after="0"/>
              <w:rPr>
                <w:sz w:val="18"/>
                <w:szCs w:val="18"/>
                <w:color w:val="auto"/>
              </w:rPr>
            </w:pP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1"/>
              </w:rPr>
              <w:t>Chair of Microsemi’s compensation and nominating and governance committees during portions of</w:t>
            </w:r>
          </w:p>
        </w:tc>
        <w:tc>
          <w:tcPr>
            <w:tcW w:w="0" w:type="dxa"/>
            <w:vAlign w:val="bottom"/>
          </w:tcPr>
          <w:p>
            <w:pPr>
              <w:spacing w:after="0"/>
              <w:rPr>
                <w:sz w:val="1"/>
                <w:szCs w:val="1"/>
                <w:color w:val="auto"/>
              </w:rPr>
            </w:pPr>
          </w:p>
        </w:tc>
      </w:tr>
      <w:tr>
        <w:trPr>
          <w:trHeight w:val="216"/>
        </w:trPr>
        <w:tc>
          <w:tcPr>
            <w:tcW w:w="3960" w:type="dxa"/>
            <w:vAlign w:val="bottom"/>
            <w:tcBorders>
              <w:right w:val="single" w:sz="8" w:color="2D53A6"/>
            </w:tcBorders>
            <w:shd w:val="clear" w:color="auto" w:fill="E6E6E6"/>
          </w:tcPr>
          <w:p>
            <w:pPr>
              <w:spacing w:after="0"/>
              <w:rPr>
                <w:sz w:val="18"/>
                <w:szCs w:val="18"/>
                <w:color w:val="auto"/>
              </w:rPr>
            </w:pPr>
          </w:p>
        </w:tc>
        <w:tc>
          <w:tcPr>
            <w:tcW w:w="7280" w:type="dxa"/>
            <w:vAlign w:val="bottom"/>
            <w:shd w:val="clear" w:color="auto" w:fill="E6E6E6"/>
          </w:tcPr>
          <w:p>
            <w:pPr>
              <w:ind w:left="80"/>
              <w:spacing w:after="0"/>
              <w:rPr>
                <w:sz w:val="20"/>
                <w:szCs w:val="20"/>
                <w:color w:val="auto"/>
              </w:rPr>
            </w:pPr>
            <w:r>
              <w:rPr>
                <w:rFonts w:ascii="Arial" w:cs="Arial" w:eastAsia="Arial" w:hAnsi="Arial"/>
                <w:sz w:val="18"/>
                <w:szCs w:val="18"/>
                <w:color w:val="auto"/>
                <w:w w:val="99"/>
              </w:rPr>
              <w:t>his tenure there. Mr. Bendush qualifies as an “audit committee financial expert” under SEC</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2D53A6"/>
              <w:right w:val="single" w:sz="8" w:color="2D53A6"/>
            </w:tcBorders>
            <w:shd w:val="clear" w:color="auto" w:fill="E6E6E6"/>
          </w:tcPr>
          <w:p>
            <w:pPr>
              <w:spacing w:after="0"/>
              <w:rPr>
                <w:sz w:val="20"/>
                <w:szCs w:val="20"/>
                <w:color w:val="auto"/>
              </w:rPr>
            </w:pPr>
          </w:p>
        </w:tc>
        <w:tc>
          <w:tcPr>
            <w:tcW w:w="7280" w:type="dxa"/>
            <w:vAlign w:val="bottom"/>
            <w:tcBorders>
              <w:bottom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guidelines.</w:t>
            </w:r>
          </w:p>
        </w:tc>
        <w:tc>
          <w:tcPr>
            <w:tcW w:w="0" w:type="dxa"/>
            <w:vAlign w:val="bottom"/>
          </w:tcPr>
          <w:p>
            <w:pPr>
              <w:spacing w:after="0"/>
              <w:rPr>
                <w:sz w:val="1"/>
                <w:szCs w:val="1"/>
                <w:color w:val="auto"/>
              </w:rPr>
            </w:pPr>
          </w:p>
        </w:tc>
      </w:tr>
      <w:tr>
        <w:trPr>
          <w:trHeight w:val="426"/>
        </w:trPr>
        <w:tc>
          <w:tcPr>
            <w:tcW w:w="3960" w:type="dxa"/>
            <w:vAlign w:val="bottom"/>
          </w:tcPr>
          <w:p>
            <w:pPr>
              <w:spacing w:after="0"/>
              <w:rPr>
                <w:sz w:val="24"/>
                <w:szCs w:val="24"/>
                <w:color w:val="auto"/>
              </w:rPr>
            </w:pPr>
          </w:p>
        </w:tc>
        <w:tc>
          <w:tcPr>
            <w:tcW w:w="7280" w:type="dxa"/>
            <w:vAlign w:val="bottom"/>
          </w:tcPr>
          <w:p>
            <w:pPr>
              <w:ind w:left="15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7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2"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Nina L. Richardson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 64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Other Current Public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Resideo Technologies Inc., Silicon Laboratories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26574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657475"/>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Currently, she serves as managing director of Three Rivers Energy, Inc., a company she co-founded in 2004, and she has been an independent consultant since March 2015. Ms. Richardson also currently serves as a director of Silicon Laboratories Inc., a position she has held since January 2016; and as a director of Resideo Technologies, Inc., a position she has held since October 2018. She previously served as a director at Eargo, Inc. (2020 to 2022), Zayo Group Holdings, Inc. (2015 to 2018), Callidus Software, Inc. (2017 to 2018) and Silicon Graphics International Corp. (“SGI”) (2016).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is presently Chair of two public company nominating and governance committees.</w:t>
      </w:r>
    </w:p>
    <w:p>
      <w:pPr>
        <w:spacing w:after="0" w:line="195" w:lineRule="exact"/>
        <w:rPr>
          <w:sz w:val="20"/>
          <w:szCs w:val="20"/>
          <w:color w:val="auto"/>
        </w:rPr>
      </w:pPr>
    </w:p>
    <w:p>
      <w:pPr>
        <w:sectPr>
          <w:pgSz w:w="11900" w:h="16838" w:orient="portrait"/>
          <w:cols w:equalWidth="0" w:num="2">
            <w:col w:w="3780" w:space="260"/>
            <w:col w:w="7200"/>
          </w:cols>
          <w:pgMar w:left="320" w:top="591" w:right="339" w:bottom="1440" w:gutter="0" w:footer="0" w:header="0"/>
        </w:sectPr>
      </w:pPr>
    </w:p>
    <w:p>
      <w:pPr>
        <w:spacing w:after="0"/>
        <w:rPr>
          <w:sz w:val="20"/>
          <w:szCs w:val="20"/>
          <w:color w:val="auto"/>
        </w:rPr>
      </w:pPr>
      <w:r>
        <w:rPr>
          <w:rFonts w:ascii="Arial" w:cs="Arial" w:eastAsia="Arial" w:hAnsi="Arial"/>
          <w:sz w:val="16"/>
          <w:szCs w:val="16"/>
          <w:color w:val="auto"/>
        </w:rPr>
        <w:t>Information Concerning Other Continuing Directors Not Standing for Election in 2023</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2D53A6"/>
        </w:rPr>
        <w:t>Directors Whose Term Expires in 2024 - Class 2</w:t>
      </w:r>
    </w:p>
    <w:p>
      <w:pPr>
        <w:sectPr>
          <w:pgSz w:w="11900" w:h="16838" w:orient="portrait"/>
          <w:cols w:equalWidth="0" w:num="1">
            <w:col w:w="11240"/>
          </w:cols>
          <w:pgMar w:left="320" w:top="5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Andrew M. Caggia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 74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ind w:right="1240"/>
        <w:spacing w:after="0" w:line="255" w:lineRule="auto"/>
        <w:rPr>
          <w:sz w:val="20"/>
          <w:szCs w:val="20"/>
          <w:color w:val="auto"/>
        </w:rPr>
      </w:pPr>
      <w:r>
        <w:rPr>
          <w:rFonts w:ascii="Arial" w:cs="Arial" w:eastAsia="Arial" w:hAnsi="Arial"/>
          <w:sz w:val="18"/>
          <w:szCs w:val="18"/>
          <w:color w:val="auto"/>
        </w:rPr>
        <w:t>Audit Committee Nominating and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697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ind w:right="20"/>
        <w:spacing w:after="0" w:line="252" w:lineRule="auto"/>
        <w:rPr>
          <w:sz w:val="20"/>
          <w:szCs w:val="20"/>
          <w:color w:val="auto"/>
        </w:rPr>
      </w:pPr>
      <w:r>
        <w:rPr>
          <w:rFonts w:ascii="Arial" w:cs="Arial" w:eastAsia="Arial" w:hAnsi="Arial"/>
          <w:sz w:val="18"/>
          <w:szCs w:val="18"/>
          <w:color w:val="auto"/>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w:t>
      </w:r>
    </w:p>
    <w:p>
      <w:pPr>
        <w:spacing w:after="0" w:line="200" w:lineRule="exact"/>
        <w:rPr>
          <w:sz w:val="20"/>
          <w:szCs w:val="20"/>
          <w:color w:val="auto"/>
        </w:rPr>
      </w:pPr>
    </w:p>
    <w:p>
      <w:pPr>
        <w:sectPr>
          <w:pgSz w:w="11900" w:h="16838" w:orient="portrait"/>
          <w:cols w:equalWidth="0" w:num="2">
            <w:col w:w="3320" w:space="720"/>
            <w:col w:w="7200"/>
          </w:cols>
          <w:pgMar w:left="320" w:top="591" w:right="33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62" w:name="page63"/>
    <w:bookmarkEnd w:id="62"/>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Yon Y. Jorden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Other Current Public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Company Boards:</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Alignment Healthcare, Inc., Capstone Green Energy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22459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ind w:right="40"/>
        <w:spacing w:after="0" w:line="268" w:lineRule="auto"/>
        <w:rPr>
          <w:sz w:val="20"/>
          <w:szCs w:val="20"/>
          <w:color w:val="auto"/>
        </w:rPr>
      </w:pPr>
      <w:r>
        <w:rPr>
          <w:rFonts w:ascii="Arial" w:cs="Arial" w:eastAsia="Arial" w:hAnsi="Arial"/>
          <w:sz w:val="17"/>
          <w:szCs w:val="17"/>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of Capstone Green Energy, a position she has held since April 2017; as a director of Alignment Healthcare, Inc., a position she has held since January 2022, and as a director for the not-for-profit Methodist Health System, a position she has held since 2008. She previously served as a director at Maxwell Technologies (2008 to 2017), BioScrip (2014 to 2015), Magnetek, Inc. (2004 to 2013) and U.S. Oncology (2008 to 2010).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w:t>
      </w:r>
    </w:p>
    <w:p>
      <w:pPr>
        <w:ind w:right="120"/>
        <w:spacing w:after="0" w:line="323" w:lineRule="auto"/>
        <w:rPr>
          <w:sz w:val="20"/>
          <w:szCs w:val="20"/>
          <w:color w:val="auto"/>
        </w:rPr>
      </w:pPr>
      <w:r>
        <w:rPr>
          <w:rFonts w:ascii="Arial" w:cs="Arial" w:eastAsia="Arial" w:hAnsi="Arial"/>
          <w:sz w:val="16"/>
          <w:szCs w:val="16"/>
          <w:color w:val="auto"/>
        </w:rPr>
        <w:t>expert” under SEC guidelines. She is also a board leadership fellow of the National Association of Corporate Directors, demonstrating her commitment and leadership as a board member.</w:t>
      </w:r>
    </w:p>
    <w:p>
      <w:pPr>
        <w:spacing w:after="0" w:line="158" w:lineRule="exact"/>
        <w:rPr>
          <w:sz w:val="20"/>
          <w:szCs w:val="20"/>
          <w:color w:val="auto"/>
        </w:rPr>
      </w:pPr>
    </w:p>
    <w:p>
      <w:pPr>
        <w:sectPr>
          <w:pgSz w:w="11900" w:h="16838" w:orient="portrait"/>
          <w:cols w:equalWidth="0" w:num="2">
            <w:col w:w="3780" w:space="260"/>
            <w:col w:w="720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color w:val="2D53A6"/>
        </w:rPr>
        <w:t>Luis A. M</w:t>
      </w:r>
      <w:r>
        <w:rPr>
          <w:rFonts w:ascii="MS PGothic" w:cs="MS PGothic" w:eastAsia="MS PGothic" w:hAnsi="MS PGothic"/>
          <w:sz w:val="22"/>
          <w:szCs w:val="22"/>
          <w:color w:val="000000"/>
          <w:shd w:val="clear" w:color="auto" w:fill="2D53A6"/>
        </w:rPr>
        <w:t>✔</w:t>
      </w:r>
      <w:r>
        <w:rPr>
          <w:rFonts w:ascii="Arial" w:cs="Arial" w:eastAsia="Arial" w:hAnsi="Arial"/>
          <w:sz w:val="22"/>
          <w:szCs w:val="22"/>
          <w:b w:val="1"/>
          <w:bCs w:val="1"/>
          <w:color w:val="2D53A6"/>
        </w:rPr>
        <w:t>ller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 53</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2D53A6"/>
        </w:rPr>
        <w:t>Other Current Public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9716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203" w:lineRule="exact"/>
        <w:rPr>
          <w:sz w:val="20"/>
          <w:szCs w:val="20"/>
          <w:color w:val="auto"/>
        </w:rPr>
      </w:pPr>
      <w:r>
        <w:rPr>
          <w:rFonts w:ascii="Arial" w:cs="Arial" w:eastAsia="Arial" w:hAnsi="Arial"/>
          <w:sz w:val="16"/>
          <w:szCs w:val="16"/>
          <w:color w:val="auto"/>
        </w:rPr>
        <w:t>Dr. M</w:t>
      </w:r>
      <w:r>
        <w:rPr>
          <w:rFonts w:ascii="MS PGothic" w:cs="MS PGothic" w:eastAsia="MS PGothic" w:hAnsi="MS PGothic"/>
          <w:sz w:val="16"/>
          <w:szCs w:val="16"/>
          <w:color w:val="auto"/>
        </w:rPr>
        <w:t>✔</w:t>
      </w:r>
      <w:r>
        <w:rPr>
          <w:rFonts w:ascii="Arial" w:cs="Arial" w:eastAsia="Arial" w:hAnsi="Arial"/>
          <w:sz w:val="16"/>
          <w:szCs w:val="16"/>
          <w:color w:val="auto"/>
        </w:rPr>
        <w:t>ller has been the President and Chief Executive Officer of Cohu since December 28, 2014. He also currently serves as a director of Celestica Inc., a position he has held since August 2021.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w:t>
      </w:r>
      <w:r>
        <w:rPr>
          <w:rFonts w:ascii="MS PGothic" w:cs="MS PGothic" w:eastAsia="MS PGothic" w:hAnsi="MS PGothic"/>
          <w:sz w:val="16"/>
          <w:szCs w:val="16"/>
          <w:color w:val="auto"/>
        </w:rPr>
        <w:t>✔</w:t>
      </w:r>
      <w:r>
        <w:rPr>
          <w:rFonts w:ascii="Arial" w:cs="Arial" w:eastAsia="Arial" w:hAnsi="Arial"/>
          <w:sz w:val="16"/>
          <w:szCs w:val="16"/>
          <w:color w:val="auto"/>
        </w:rPr>
        <w:t>ller spent nine years at Teradyne Inc., where he held management positions in engineering and business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6" w:lineRule="exact"/>
        <w:rPr>
          <w:sz w:val="20"/>
          <w:szCs w:val="20"/>
          <w:color w:val="auto"/>
        </w:rPr>
      </w:pPr>
    </w:p>
    <w:p>
      <w:pPr>
        <w:ind w:right="100"/>
        <w:spacing w:after="0" w:line="217" w:lineRule="exact"/>
        <w:rPr>
          <w:sz w:val="20"/>
          <w:szCs w:val="20"/>
          <w:color w:val="auto"/>
        </w:rPr>
      </w:pPr>
      <w:r>
        <w:rPr>
          <w:rFonts w:ascii="Arial" w:cs="Arial" w:eastAsia="Arial" w:hAnsi="Arial"/>
          <w:sz w:val="18"/>
          <w:szCs w:val="18"/>
          <w:color w:val="auto"/>
        </w:rPr>
        <w:t>We believe Dr. M</w:t>
      </w:r>
      <w:r>
        <w:rPr>
          <w:rFonts w:ascii="MS PGothic" w:cs="MS PGothic" w:eastAsia="MS PGothic" w:hAnsi="MS PGothic"/>
          <w:sz w:val="18"/>
          <w:szCs w:val="18"/>
          <w:color w:val="auto"/>
        </w:rPr>
        <w:t>✔</w:t>
      </w:r>
      <w:r>
        <w:rPr>
          <w:rFonts w:ascii="Arial" w:cs="Arial" w:eastAsia="Arial" w:hAnsi="Arial"/>
          <w:sz w:val="18"/>
          <w:szCs w:val="18"/>
          <w:color w:val="auto"/>
        </w:rPr>
        <w:t>ller’s qualifications to sit on our Board include his extensive executive, including CEO, experience in the semiconductor equipment industry, broad knowledge of business development and strategy, semiconductor technologies, corporate governance and international operations.</w:t>
      </w:r>
    </w:p>
    <w:p>
      <w:pPr>
        <w:spacing w:after="0" w:line="200" w:lineRule="exact"/>
        <w:rPr>
          <w:sz w:val="20"/>
          <w:szCs w:val="20"/>
          <w:color w:val="auto"/>
        </w:rPr>
      </w:pPr>
    </w:p>
    <w:p>
      <w:pPr>
        <w:sectPr>
          <w:pgSz w:w="11900" w:h="16838" w:orient="portrait"/>
          <w:cols w:equalWidth="0" w:num="2">
            <w:col w:w="3320" w:space="720"/>
            <w:col w:w="7200"/>
          </w:cols>
          <w:pgMar w:left="320" w:top="591" w:right="339"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9"/>
          <w:szCs w:val="19"/>
          <w:color w:val="2D53A6"/>
        </w:rPr>
        <w:t>Directors Whose Term Expires in 2025 - Class 3</w:t>
      </w:r>
    </w:p>
    <w:p>
      <w:pPr>
        <w:sectPr>
          <w:pgSz w:w="11900" w:h="16838" w:orient="portrait"/>
          <w:cols w:equalWidth="0" w:num="1">
            <w:col w:w="11180"/>
          </w:cols>
          <w:pgMar w:left="320" w:top="57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Steven J. Bilodeau</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 64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Compensation Committee (Chair) Nominating and Governance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971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7"/>
          <w:szCs w:val="17"/>
          <w:color w:val="auto"/>
        </w:rPr>
        <w:t>Mr. Bilodeau is the retired President and Chief Executive Officer of Standard Microsystems Corporation (“SMSC”), a semiconductor manufacturer, where he served from 1999 until 2008. Mr. Bilodeau served as a director of Maxwell Technologies from May 2016 and was appointed Chairperson in May 2017 until its sale to Tesla in May 2019. Mr. Bilodeau also served as a director of SMSC from 1999 until 2012, and as SMSC’s Chairperson of the Board from 2000 until 2012. Mr. Bilodeau also previously served as a director of NuHorizons Electronic Corp., Conexant Systems, Inc. and Gennum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130810</wp:posOffset>
            </wp:positionV>
            <wp:extent cx="7132320" cy="19716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380"/>
            <w:col w:w="7140"/>
          </w:cols>
          <w:pgMar w:left="320" w:top="57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James A. Donahue</w:t>
      </w:r>
    </w:p>
    <w:p>
      <w:pPr>
        <w:spacing w:after="0" w:line="19" w:lineRule="exact"/>
        <w:rPr>
          <w:sz w:val="20"/>
          <w:szCs w:val="20"/>
          <w:color w:val="auto"/>
        </w:rPr>
      </w:pPr>
    </w:p>
    <w:p>
      <w:pPr>
        <w:ind w:right="700"/>
        <w:spacing w:after="0" w:line="254" w:lineRule="auto"/>
        <w:rPr>
          <w:sz w:val="20"/>
          <w:szCs w:val="20"/>
          <w:color w:val="auto"/>
        </w:rPr>
      </w:pPr>
      <w:r>
        <w:rPr>
          <w:rFonts w:ascii="Arial" w:cs="Arial" w:eastAsia="Arial" w:hAnsi="Arial"/>
          <w:sz w:val="18"/>
          <w:szCs w:val="18"/>
          <w:color w:val="auto"/>
        </w:rPr>
        <w:t>Director since 1999 (non-executive Director since 2015) Age 74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3"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We believe Mr. Donahue’s qualifications to sit on our Board include his extensive board and executive, including CEO, experience in the semiconductor equipment industry and broad knowledge of business development and strategy, corporate governance and operations.</w:t>
      </w:r>
    </w:p>
    <w:p>
      <w:pPr>
        <w:spacing w:after="0" w:line="169" w:lineRule="exact"/>
        <w:rPr>
          <w:sz w:val="20"/>
          <w:szCs w:val="20"/>
          <w:color w:val="auto"/>
        </w:rPr>
      </w:pPr>
    </w:p>
    <w:p>
      <w:pPr>
        <w:sectPr>
          <w:pgSz w:w="11900" w:h="16838" w:orient="portrait"/>
          <w:cols w:equalWidth="0" w:num="2">
            <w:col w:w="3320" w:space="720"/>
            <w:col w:w="7140"/>
          </w:cols>
          <w:pgMar w:left="320" w:top="577" w:right="3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Andreas W. Mattes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2657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657475"/>
                    </a:xfrm>
                    <a:prstGeom prst="rect">
                      <a:avLst/>
                    </a:prstGeom>
                    <a:noFill/>
                  </pic:spPr>
                </pic:pic>
              </a:graphicData>
            </a:graphic>
          </wp:anchor>
        </w:drawing>
      </w:r>
    </w:p>
    <w:p>
      <w:pPr>
        <w:spacing w:after="0" w:line="267" w:lineRule="auto"/>
        <w:rPr>
          <w:sz w:val="20"/>
          <w:szCs w:val="20"/>
          <w:color w:val="auto"/>
        </w:rPr>
      </w:pPr>
      <w:r>
        <w:rPr>
          <w:rFonts w:ascii="Arial" w:cs="Arial" w:eastAsia="Arial" w:hAnsi="Arial"/>
          <w:sz w:val="17"/>
          <w:szCs w:val="17"/>
          <w:color w:val="auto"/>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also served on the board of Velodyne Lidar, Inc., from June 2022 to February 2023 when the company merged with another entity.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2D53A6"/>
        </w:rPr>
        <w:t>Experience Qualifications and Attributes</w:t>
      </w:r>
    </w:p>
    <w:p>
      <w:pPr>
        <w:spacing w:after="0" w:line="1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p>
      <w:pPr>
        <w:spacing w:after="0" w:line="200" w:lineRule="exact"/>
        <w:rPr>
          <w:sz w:val="20"/>
          <w:szCs w:val="20"/>
          <w:color w:val="auto"/>
        </w:rPr>
      </w:pPr>
    </w:p>
    <w:p>
      <w:pPr>
        <w:sectPr>
          <w:pgSz w:w="11900" w:h="16838" w:orient="portrait"/>
          <w:cols w:equalWidth="0" w:num="2">
            <w:col w:w="3320" w:space="720"/>
            <w:col w:w="7200"/>
          </w:cols>
          <w:pgMar w:left="320" w:top="591" w:right="339" w:bottom="144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2: Advisory Vote to Approve Named 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At our 2017 annual meeting, our Board recommended and our stockholders approved holding an advisory vote on the compensation of our NEOs every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year. In connection with Proposal No. 2, we are holding an advisory vote on the frequency of the stockholder vote on executive compensation. </w:t>
      </w:r>
      <w:r>
        <w:rPr>
          <w:rFonts w:ascii="Arial" w:cs="Arial" w:eastAsia="Arial" w:hAnsi="Arial"/>
          <w:sz w:val="17"/>
          <w:szCs w:val="17"/>
          <w:i w:val="1"/>
          <w:iCs w:val="1"/>
          <w:color w:val="auto"/>
        </w:rPr>
        <w:t>See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Proposal No. 3: Advisory vote on the frequency of holding an advisory vote on Named Executive Officer compensation.</w:t>
      </w:r>
      <w:r>
        <w:rPr>
          <w:rFonts w:ascii="Arial" w:cs="Arial" w:eastAsia="Arial" w:hAnsi="Arial"/>
          <w:sz w:val="17"/>
          <w:szCs w:val="17"/>
          <w:color w:val="auto"/>
        </w:rPr>
        <w:t>” Accordingly, as required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14A of the Securities Exchange Act of 1934, as amended, we are asking our stockholders to cast an advisory vote to approve the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NEOs as described in this proxy statement.</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last year’s annual meeting, we provided our stockholders with the opportunity to cast an advisory vote regarding the compensation of our NEOs as disclosed in the proxy statement for the 2022 Annual Meeting of Stockholders. At our 2022 Annual Meeting, our stockholders approved the proposal, with approximately 99% of the votes cast voting in favor of the proposal.</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Program and Philosophy</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under the Compensation Discussion and Analysis section of this proxy statement (the “CD&amp;A”), the Compensation Committee has structured our executive compensation program to achieve the following key objectives:</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pay for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36" w:lineRule="exact"/>
        <w:rPr>
          <w:rFonts w:ascii="Arial" w:cs="Arial" w:eastAsia="Arial" w:hAnsi="Arial"/>
          <w:sz w:val="18"/>
          <w:szCs w:val="18"/>
          <w:color w:val="auto"/>
        </w:rPr>
      </w:pPr>
    </w:p>
    <w:p>
      <w:pPr>
        <w:ind w:left="660" w:right="98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business objectives while balancing rewards for short- term and long-term performance;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3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urge stockholders to read the CD&amp;A beginning on page 21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majority of the votes cast is required to approve Proposal No. 2. Brokers do not have discretion to vote on this proposal without your instruction. If you do not instruct your broker how to vote on this proposal, your broker will deliver a non-vote on this proposal.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2D53A6"/>
        </w:rPr>
        <w:t>Recommendation of the Board</w:t>
      </w: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NEOs as described in this proxy statement by voting in favor of the following resolution:</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“RESOLVED, that the stockholders of Cohu approve, in a non-binding vote, the compensation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NEOs as disclosed pursuant to the CD&amp;A, the tabular disclosure regarding such compensation, and the accompanying narrative disclosure set forth in the proxy statement relating to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2023 Annual Meeting of Stockholders.</w:t>
      </w:r>
      <w:r>
        <w:rPr>
          <w:rFonts w:ascii="Arial" w:cs="Arial" w:eastAsia="Arial" w:hAnsi="Arial"/>
          <w:sz w:val="18"/>
          <w:szCs w:val="18"/>
          <w:color w:val="auto"/>
        </w:rPr>
        <w: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6172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375" w:lineRule="exact"/>
        <w:rPr>
          <w:sz w:val="20"/>
          <w:szCs w:val="20"/>
          <w:color w:val="auto"/>
        </w:rPr>
      </w:pPr>
    </w:p>
    <w:p>
      <w:pPr>
        <w:ind w:right="360"/>
        <w:spacing w:after="0" w:line="256"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on an advisory basis, of the resolution on executive compensation.</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3: Advisory vote on the frequency of holding an advisory vote on Named Executive Officer compensation</w:t>
      </w: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Dodd-Frank Act and related rules of the SEC, we are providing our stockholders with the opportunity to indicate their preference as to how frequently we should present an advisory vote to our stockholders regarding the compensation of our NEOs (similar to Proposal 2). Stockholders may indicate their preference to do so once every year, every two years, or every three years. We last conducted a “Say When on Pay” advisory vote in 2017 and are required to seek such advisory vote no less frequently than once every 6 years.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After careful consideration of this Proposal, our Board has determined that an advisory vote on executive compensation that occurs every year is the most appropriate selection and embodies our Compensation Committee’s and Board’s commitment to open dialogue with our stockholders regarding key corporate governance issues, including matters relating to executive compensation. The Board believes that an annual advisory vote on executive compensation has in the past and will continue to provide a useful process for our stockholders to provide meaningful input to the Compensation Committee and the Board on our executive compensation philosophy, policies and practices. While the Board believes that its recommendation is appropriate at this time, stockholders are not voting to approve or disapprove the Board’s recommendation. Instead, our stockholders are being asked to indicate their preference, on an advisory basis, as to whether a non-binding stockholder advisory vote on the approval of our named executive officer compensation practices should be held every year, every two years, or every three years.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Stockholders may cast a vote on their preferred voting frequency by choosing the option of every “1 Year,” “2 Years” or “3 Years,” or abstain from voting, in response to the resolution presented below:</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1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choice of frequency that receives the highest number of affirmative “FOR” votes will be considered the advisory vote of our stockholders. Brokers do not have discretion to vote on this proposal without your instruction. If you do not instruct your broker how to vote on this proposal, your broker will deliver a non-vote on this proposal.</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13"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b w:val="1"/>
          <w:bCs w:val="1"/>
          <w:i w:val="1"/>
          <w:iCs w:val="1"/>
          <w:color w:val="auto"/>
        </w:rPr>
        <w:t xml:space="preserve">For the above reasons, we are asking our stockholders to indicate their support for the compensation of our NEOs as </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RESOLVED, that the option of once every </w:t>
      </w:r>
      <w:r>
        <w:rPr>
          <w:rFonts w:ascii="Arial" w:cs="Arial" w:eastAsia="Arial" w:hAnsi="Arial"/>
          <w:sz w:val="15"/>
          <w:szCs w:val="15"/>
          <w:color w:val="auto"/>
        </w:rPr>
        <w:t>“</w:t>
      </w:r>
      <w:r>
        <w:rPr>
          <w:rFonts w:ascii="Arial" w:cs="Arial" w:eastAsia="Arial" w:hAnsi="Arial"/>
          <w:sz w:val="15"/>
          <w:szCs w:val="15"/>
          <w:b w:val="1"/>
          <w:bCs w:val="1"/>
          <w:i w:val="1"/>
          <w:iCs w:val="1"/>
          <w:color w:val="auto"/>
        </w:rPr>
        <w:t>1 Year,</w:t>
      </w:r>
      <w:r>
        <w:rPr>
          <w:rFonts w:ascii="Arial" w:cs="Arial" w:eastAsia="Arial" w:hAnsi="Arial"/>
          <w:sz w:val="15"/>
          <w:szCs w:val="15"/>
          <w:color w:val="auto"/>
        </w:rPr>
        <w:t>” “</w:t>
      </w:r>
      <w:r>
        <w:rPr>
          <w:rFonts w:ascii="Arial" w:cs="Arial" w:eastAsia="Arial" w:hAnsi="Arial"/>
          <w:sz w:val="15"/>
          <w:szCs w:val="15"/>
          <w:b w:val="1"/>
          <w:bCs w:val="1"/>
          <w:i w:val="1"/>
          <w:iCs w:val="1"/>
          <w:color w:val="auto"/>
        </w:rPr>
        <w:t>2 Years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or </w:t>
      </w:r>
      <w:r>
        <w:rPr>
          <w:rFonts w:ascii="Arial" w:cs="Arial" w:eastAsia="Arial" w:hAnsi="Arial"/>
          <w:sz w:val="15"/>
          <w:szCs w:val="15"/>
          <w:color w:val="auto"/>
        </w:rPr>
        <w:t>“</w:t>
      </w:r>
      <w:r>
        <w:rPr>
          <w:rFonts w:ascii="Arial" w:cs="Arial" w:eastAsia="Arial" w:hAnsi="Arial"/>
          <w:sz w:val="15"/>
          <w:szCs w:val="15"/>
          <w:b w:val="1"/>
          <w:bCs w:val="1"/>
          <w:i w:val="1"/>
          <w:iCs w:val="1"/>
          <w:color w:val="auto"/>
        </w:rPr>
        <w:t>3 Years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that receives the highest number of stockholder votes cast for this resolution will be determined to be the preferred frequency with which the Company is advised to hold a non-binding stockholder advisory vote to approve the compensation of its named executive officers, as disclosed pursuant to the Securities and Exchange Commission</w:t>
      </w:r>
      <w:r>
        <w:rPr>
          <w:rFonts w:ascii="Arial" w:cs="Arial" w:eastAsia="Arial" w:hAnsi="Arial"/>
          <w:sz w:val="15"/>
          <w:szCs w:val="15"/>
          <w:color w:val="auto"/>
        </w:rPr>
        <w:t>’</w:t>
      </w:r>
      <w:r>
        <w:rPr>
          <w:rFonts w:ascii="Arial" w:cs="Arial" w:eastAsia="Arial" w:hAnsi="Arial"/>
          <w:sz w:val="15"/>
          <w:szCs w:val="15"/>
          <w:b w:val="1"/>
          <w:bCs w:val="1"/>
          <w:i w:val="1"/>
          <w:iCs w:val="1"/>
          <w:color w:val="auto"/>
        </w:rPr>
        <w:t>s compensation disclosure rules (which disclosure includes the Compensation Discussion and Analysis, the Summary Compensation Table and the other related tables and disclosure).</w:t>
      </w:r>
      <w:r>
        <w:rPr>
          <w:rFonts w:ascii="Arial" w:cs="Arial" w:eastAsia="Arial" w:hAnsi="Arial"/>
          <w:sz w:val="15"/>
          <w:szCs w:val="15"/>
          <w:color w:val="auto"/>
        </w:rPr>
        <w:t>”</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option that receives the highest number of votes cast by stockholders will be the preferred frequency selected by our stockholders in response to the resolution presented above. As an advisory vote, this proposal is non-binding, will not be construed as overruling a decision by the Compensation Committee, the Board or the Company, and will not create or imply any additional fiduciary duties of the Compensation Committee, the Board or the Company or imply any change to such fiduciary duties. Nevertheless, the Compensation Committee, the Board and the Company highly value the opinions of our stockholders, and intend to consider the outcome of this vote when making future decisions regarding how often to submit a non-binding advisory vote to our stockholders regarding the compensation of our named executive officers. At our 2017 annual meeting, our Board recommended and our stockholders approved holding an advisory vote on the compensation of our NEOs every year. Accordingly, as required by Section 14A of the Securities Exchange Act of 1934, as amended, as required to be done at least every six years, we are asking our stockholders to cast an advisory vote to approve the compensation of our NEOs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6172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391" w:lineRule="exact"/>
        <w:rPr>
          <w:sz w:val="20"/>
          <w:szCs w:val="20"/>
          <w:color w:val="auto"/>
        </w:rPr>
      </w:pPr>
    </w:p>
    <w:p>
      <w:pPr>
        <w:ind w:right="180"/>
        <w:spacing w:after="0" w:line="334" w:lineRule="auto"/>
        <w:rPr>
          <w:sz w:val="20"/>
          <w:szCs w:val="20"/>
          <w:color w:val="auto"/>
        </w:rPr>
      </w:pPr>
      <w:r>
        <w:rPr>
          <w:rFonts w:ascii="Arial" w:cs="Arial" w:eastAsia="Arial" w:hAnsi="Arial"/>
          <w:sz w:val="19"/>
          <w:szCs w:val="19"/>
          <w:b w:val="1"/>
          <w:bCs w:val="1"/>
          <w:color w:val="FFFFFF"/>
        </w:rPr>
        <w:t xml:space="preserve">The Board of Directors unanimously recommends a vote </w:t>
      </w:r>
      <w:r>
        <w:rPr>
          <w:rFonts w:ascii="Arial" w:cs="Arial" w:eastAsia="Arial" w:hAnsi="Arial"/>
          <w:sz w:val="19"/>
          <w:szCs w:val="19"/>
          <w:color w:val="FFFFFF"/>
        </w:rPr>
        <w:t>√ “</w:t>
      </w:r>
      <w:r>
        <w:rPr>
          <w:rFonts w:ascii="Arial" w:cs="Arial" w:eastAsia="Arial" w:hAnsi="Arial"/>
          <w:sz w:val="19"/>
          <w:szCs w:val="19"/>
          <w:b w:val="1"/>
          <w:bCs w:val="1"/>
          <w:color w:val="FFFFFF"/>
        </w:rPr>
        <w:t>FOR</w:t>
      </w:r>
      <w:r>
        <w:rPr>
          <w:rFonts w:ascii="Arial" w:cs="Arial" w:eastAsia="Arial" w:hAnsi="Arial"/>
          <w:sz w:val="19"/>
          <w:szCs w:val="19"/>
          <w:color w:val="FFFFFF"/>
        </w:rPr>
        <w:t>”</w:t>
      </w:r>
      <w:r>
        <w:rPr>
          <w:rFonts w:ascii="Arial" w:cs="Arial" w:eastAsia="Arial" w:hAnsi="Arial"/>
          <w:sz w:val="19"/>
          <w:szCs w:val="19"/>
          <w:b w:val="1"/>
          <w:bCs w:val="1"/>
          <w:color w:val="FFFFFF"/>
        </w:rPr>
        <w:t xml:space="preserve"> for the option of every </w:t>
      </w:r>
      <w:r>
        <w:rPr>
          <w:rFonts w:ascii="Arial" w:cs="Arial" w:eastAsia="Arial" w:hAnsi="Arial"/>
          <w:sz w:val="19"/>
          <w:szCs w:val="19"/>
          <w:color w:val="FFFFFF"/>
        </w:rPr>
        <w:t>“</w:t>
      </w:r>
      <w:r>
        <w:rPr>
          <w:rFonts w:ascii="Arial" w:cs="Arial" w:eastAsia="Arial" w:hAnsi="Arial"/>
          <w:sz w:val="19"/>
          <w:szCs w:val="19"/>
          <w:b w:val="1"/>
          <w:bCs w:val="1"/>
          <w:color w:val="FFFFFF"/>
        </w:rPr>
        <w:t>1 Year,</w:t>
      </w:r>
      <w:r>
        <w:rPr>
          <w:rFonts w:ascii="Arial" w:cs="Arial" w:eastAsia="Arial" w:hAnsi="Arial"/>
          <w:sz w:val="19"/>
          <w:szCs w:val="19"/>
          <w:color w:val="FFFFFF"/>
        </w:rPr>
        <w:t>”</w:t>
      </w:r>
      <w:r>
        <w:rPr>
          <w:rFonts w:ascii="Arial" w:cs="Arial" w:eastAsia="Arial" w:hAnsi="Arial"/>
          <w:sz w:val="19"/>
          <w:szCs w:val="19"/>
          <w:b w:val="1"/>
          <w:bCs w:val="1"/>
          <w:color w:val="FFFFFF"/>
        </w:rPr>
        <w:t xml:space="preserve"> on an advisory basis, on the resolution on the frequency of holding an advisory vote on Named Executive Officer compensation.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4: Approval of Amendments to the Cohu, Inc. 2005 Equity Incentive Plan</w:t>
      </w:r>
    </w:p>
    <w:p>
      <w:pPr>
        <w:spacing w:after="0" w:line="21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We are asking stockholders to approve certain amendments to our 2005 Equity Incentive Plan (the “2005 Plan”), which will among other things, increase the number of shares of our common stock available for issuance under the 2005 Plan by an additional 3,200,000 shares. As proposed to be amended, our 2005 Plan contains the following material changes from the terms which are currently in effect for our 2005 Plan (the “</w:t>
      </w:r>
      <w:r>
        <w:rPr>
          <w:rFonts w:ascii="Arial" w:cs="Arial" w:eastAsia="Arial" w:hAnsi="Arial"/>
          <w:sz w:val="16"/>
          <w:szCs w:val="16"/>
          <w:u w:val="single" w:color="auto"/>
          <w:color w:val="auto"/>
        </w:rPr>
        <w:t>2005 Plan Amendments</w:t>
      </w:r>
      <w:r>
        <w:rPr>
          <w:rFonts w:ascii="Arial" w:cs="Arial" w:eastAsia="Arial" w:hAnsi="Arial"/>
          <w:sz w:val="16"/>
          <w:szCs w:val="16"/>
          <w:color w:val="auto"/>
        </w:rPr>
        <w:t>”):</w:t>
      </w:r>
    </w:p>
    <w:p>
      <w:pPr>
        <w:spacing w:after="0" w:line="149" w:lineRule="exact"/>
        <w:rPr>
          <w:sz w:val="20"/>
          <w:szCs w:val="20"/>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the number of shares of common stock available for issuance under the 2005 Plan by an additional 3,200,000 shares,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specifies an annual limit of $750,000 on our non-employee director compensation,</w:t>
      </w:r>
    </w:p>
    <w:p>
      <w:pPr>
        <w:spacing w:after="0" w:line="36" w:lineRule="exact"/>
        <w:rPr>
          <w:rFonts w:ascii="Arial" w:cs="Arial" w:eastAsia="Arial" w:hAnsi="Arial"/>
          <w:sz w:val="18"/>
          <w:szCs w:val="18"/>
          <w:color w:val="auto"/>
        </w:rPr>
      </w:pPr>
    </w:p>
    <w:p>
      <w:pPr>
        <w:ind w:left="820" w:right="60" w:hanging="326"/>
        <w:spacing w:after="0" w:line="258"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the amounts permitted for cash payouts of performance awards from the current limit of $2,000,000 to $4,000,000 per each fiscal year in the performance period, and</w:t>
      </w:r>
    </w:p>
    <w:p>
      <w:pPr>
        <w:spacing w:after="0" w:line="1" w:lineRule="exact"/>
        <w:rPr>
          <w:rFonts w:ascii="Arial" w:cs="Arial" w:eastAsia="Arial" w:hAnsi="Arial"/>
          <w:sz w:val="18"/>
          <w:szCs w:val="18"/>
          <w:color w:val="auto"/>
        </w:rPr>
      </w:pPr>
    </w:p>
    <w:p>
      <w:pPr>
        <w:ind w:left="820" w:right="560" w:hanging="326"/>
        <w:spacing w:after="0" w:line="260"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that performance goals used for setting the vesting criteria of performance awards may be any selected measures of objective or subjective business, financial, individual performance or other performance criteria.</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recommends stockholders approve the 2005 Plan Amendments to promote our long-term growth and profitability by aligning the interests of our key employees with those of other stockholders and providing additional incentives to enhance stockholder value.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Apart from our broad-based 1997 Employee Stock Purchase Plan (see </w:t>
      </w:r>
      <w:r>
        <w:rPr>
          <w:rFonts w:ascii="Arial" w:cs="Arial" w:eastAsia="Arial" w:hAnsi="Arial"/>
          <w:sz w:val="18"/>
          <w:szCs w:val="18"/>
          <w:u w:val="single" w:color="auto"/>
          <w:color w:val="auto"/>
        </w:rPr>
        <w:t>Proposal No. 5</w:t>
      </w:r>
      <w:r>
        <w:rPr>
          <w:rFonts w:ascii="Arial" w:cs="Arial" w:eastAsia="Arial" w:hAnsi="Arial"/>
          <w:sz w:val="18"/>
          <w:szCs w:val="18"/>
          <w:color w:val="auto"/>
        </w:rPr>
        <w:t xml:space="preserve"> in this proxy statement), the 2005 Plan is our only active employee equity incentive plan. As a result, we believe that the current authorized number of shares under the 2005 Plan is completely inadequate to provide reasonable incentives to our employees going forward. Non-approval of the 2005 Plan Amendments may compel us to increase the cash component of employee compensation because the Company would need to replace components of compensation previously delivered through equity awards.</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our share-based compensation programs, we are committed to using equity incentive awards prudently and within reasonable limits. We closely monitor our share award annual “burn rate.” Our annual burn rate is determined by dividing a) two-times the number of our common shares subject to “full-value” time-based awards we grant during a fiscal year (currently all in the form of RSUs) and the performance share units (“</w:t>
      </w:r>
      <w:r>
        <w:rPr>
          <w:rFonts w:ascii="Arial" w:cs="Arial" w:eastAsia="Arial" w:hAnsi="Arial"/>
          <w:sz w:val="17"/>
          <w:szCs w:val="17"/>
          <w:u w:val="single" w:color="auto"/>
          <w:color w:val="auto"/>
        </w:rPr>
        <w:t>PSUs</w:t>
      </w:r>
      <w:r>
        <w:rPr>
          <w:rFonts w:ascii="Arial" w:cs="Arial" w:eastAsia="Arial" w:hAnsi="Arial"/>
          <w:sz w:val="17"/>
          <w:szCs w:val="17"/>
          <w:color w:val="auto"/>
        </w:rPr>
        <w:t>”) that are earned and become vested based on the achievement of the applicable performance goals during the fiscal year by b) the weighted average number of our shares of common stock outstanding during that fiscal year. We do not include deferred stock unit awards issued in lieu of cash compensation of equal value in determining the burn rate illustrated in the following table.</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20" w:type="dxa"/>
            <w:vAlign w:val="bottom"/>
            <w:tcBorders>
              <w:left w:val="single" w:sz="8" w:color="auto"/>
            </w:tcBorders>
            <w:shd w:val="clear" w:color="auto" w:fill="2D53A6"/>
          </w:tcPr>
          <w:p>
            <w:pPr>
              <w:spacing w:after="0"/>
              <w:rPr>
                <w:sz w:val="18"/>
                <w:szCs w:val="18"/>
                <w:color w:val="auto"/>
              </w:rPr>
            </w:pPr>
          </w:p>
        </w:tc>
        <w:tc>
          <w:tcPr>
            <w:tcW w:w="1920" w:type="dxa"/>
            <w:vAlign w:val="bottom"/>
            <w:shd w:val="clear" w:color="auto" w:fill="2D53A6"/>
          </w:tcPr>
          <w:p>
            <w:pPr>
              <w:spacing w:after="0"/>
              <w:rPr>
                <w:sz w:val="18"/>
                <w:szCs w:val="18"/>
                <w:color w:val="auto"/>
              </w:rPr>
            </w:pPr>
          </w:p>
        </w:tc>
        <w:tc>
          <w:tcPr>
            <w:tcW w:w="400" w:type="dxa"/>
            <w:vAlign w:val="bottom"/>
            <w:shd w:val="clear" w:color="auto" w:fill="2D53A6"/>
          </w:tcPr>
          <w:p>
            <w:pPr>
              <w:spacing w:after="0"/>
              <w:rPr>
                <w:sz w:val="18"/>
                <w:szCs w:val="18"/>
                <w:color w:val="auto"/>
              </w:rPr>
            </w:pPr>
          </w:p>
        </w:tc>
        <w:tc>
          <w:tcPr>
            <w:tcW w:w="1340" w:type="dxa"/>
            <w:vAlign w:val="bottom"/>
            <w:shd w:val="clear" w:color="auto" w:fill="2D53A6"/>
          </w:tcPr>
          <w:p>
            <w:pPr>
              <w:spacing w:after="0"/>
              <w:rPr>
                <w:sz w:val="18"/>
                <w:szCs w:val="18"/>
                <w:color w:val="auto"/>
              </w:rPr>
            </w:pPr>
          </w:p>
        </w:tc>
        <w:tc>
          <w:tcPr>
            <w:tcW w:w="1340" w:type="dxa"/>
            <w:vAlign w:val="bottom"/>
            <w:shd w:val="clear" w:color="auto" w:fill="2D53A6"/>
          </w:tcPr>
          <w:p>
            <w:pPr>
              <w:spacing w:after="0"/>
              <w:rPr>
                <w:sz w:val="18"/>
                <w:szCs w:val="18"/>
                <w:color w:val="auto"/>
              </w:rPr>
            </w:pPr>
          </w:p>
        </w:tc>
        <w:tc>
          <w:tcPr>
            <w:tcW w:w="1300" w:type="dxa"/>
            <w:vAlign w:val="bottom"/>
            <w:shd w:val="clear" w:color="auto" w:fill="2D53A6"/>
          </w:tcPr>
          <w:p>
            <w:pPr>
              <w:spacing w:after="0"/>
              <w:rPr>
                <w:sz w:val="18"/>
                <w:szCs w:val="18"/>
                <w:color w:val="auto"/>
              </w:rPr>
            </w:pP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Weighted</w:t>
            </w:r>
          </w:p>
        </w:tc>
        <w:tc>
          <w:tcPr>
            <w:tcW w:w="1380" w:type="dxa"/>
            <w:vAlign w:val="bottom"/>
            <w:tcBorders>
              <w:right w:val="single" w:sz="8" w:color="auto"/>
            </w:tcBorders>
            <w:shd w:val="clear" w:color="auto" w:fill="2D53A6"/>
          </w:tcPr>
          <w:p>
            <w:pPr>
              <w:spacing w:after="0"/>
              <w:rPr>
                <w:sz w:val="18"/>
                <w:szCs w:val="18"/>
                <w:color w:val="auto"/>
              </w:rPr>
            </w:pPr>
          </w:p>
        </w:tc>
      </w:tr>
      <w:tr>
        <w:trPr>
          <w:trHeight w:val="216"/>
        </w:trPr>
        <w:tc>
          <w:tcPr>
            <w:tcW w:w="2220" w:type="dxa"/>
            <w:vAlign w:val="bottom"/>
            <w:tcBorders>
              <w:left w:val="single" w:sz="8" w:color="auto"/>
            </w:tcBorders>
            <w:shd w:val="clear" w:color="auto" w:fill="2D53A6"/>
          </w:tcPr>
          <w:p>
            <w:pPr>
              <w:spacing w:after="0"/>
              <w:rPr>
                <w:sz w:val="18"/>
                <w:szCs w:val="18"/>
                <w:color w:val="auto"/>
              </w:rPr>
            </w:pPr>
          </w:p>
        </w:tc>
        <w:tc>
          <w:tcPr>
            <w:tcW w:w="1920" w:type="dxa"/>
            <w:vAlign w:val="bottom"/>
            <w:shd w:val="clear" w:color="auto" w:fill="2D53A6"/>
          </w:tcPr>
          <w:p>
            <w:pPr>
              <w:spacing w:after="0"/>
              <w:rPr>
                <w:sz w:val="18"/>
                <w:szCs w:val="18"/>
                <w:color w:val="auto"/>
              </w:rPr>
            </w:pPr>
          </w:p>
        </w:tc>
        <w:tc>
          <w:tcPr>
            <w:tcW w:w="400" w:type="dxa"/>
            <w:vAlign w:val="bottom"/>
            <w:shd w:val="clear" w:color="auto" w:fill="2D53A6"/>
          </w:tcPr>
          <w:p>
            <w:pPr>
              <w:spacing w:after="0"/>
              <w:rPr>
                <w:sz w:val="18"/>
                <w:szCs w:val="18"/>
                <w:color w:val="auto"/>
              </w:rPr>
            </w:pPr>
          </w:p>
        </w:tc>
        <w:tc>
          <w:tcPr>
            <w:tcW w:w="1340" w:type="dxa"/>
            <w:vAlign w:val="bottom"/>
            <w:shd w:val="clear" w:color="auto" w:fill="2D53A6"/>
          </w:tcPr>
          <w:p>
            <w:pPr>
              <w:spacing w:after="0"/>
              <w:rPr>
                <w:sz w:val="18"/>
                <w:szCs w:val="18"/>
                <w:color w:val="auto"/>
              </w:rPr>
            </w:pPr>
          </w:p>
        </w:tc>
        <w:tc>
          <w:tcPr>
            <w:tcW w:w="1340" w:type="dxa"/>
            <w:vAlign w:val="bottom"/>
            <w:shd w:val="clear" w:color="auto" w:fill="2D53A6"/>
          </w:tcPr>
          <w:p>
            <w:pPr>
              <w:spacing w:after="0"/>
              <w:rPr>
                <w:sz w:val="18"/>
                <w:szCs w:val="18"/>
                <w:color w:val="auto"/>
              </w:rPr>
            </w:pPr>
          </w:p>
        </w:tc>
        <w:tc>
          <w:tcPr>
            <w:tcW w:w="1300" w:type="dxa"/>
            <w:vAlign w:val="bottom"/>
            <w:shd w:val="clear" w:color="auto" w:fill="2D53A6"/>
          </w:tcPr>
          <w:p>
            <w:pPr>
              <w:spacing w:after="0"/>
              <w:rPr>
                <w:sz w:val="18"/>
                <w:szCs w:val="18"/>
                <w:color w:val="auto"/>
              </w:rPr>
            </w:pP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Average</w:t>
            </w:r>
          </w:p>
        </w:tc>
        <w:tc>
          <w:tcPr>
            <w:tcW w:w="1380" w:type="dxa"/>
            <w:vAlign w:val="bottom"/>
            <w:tcBorders>
              <w:right w:val="single" w:sz="8" w:color="auto"/>
            </w:tcBorders>
            <w:shd w:val="clear" w:color="auto" w:fill="2D53A6"/>
          </w:tcPr>
          <w:p>
            <w:pPr>
              <w:spacing w:after="0"/>
              <w:rPr>
                <w:sz w:val="18"/>
                <w:szCs w:val="18"/>
                <w:color w:val="auto"/>
              </w:rPr>
            </w:pPr>
          </w:p>
        </w:tc>
      </w:tr>
      <w:tr>
        <w:trPr>
          <w:trHeight w:val="216"/>
        </w:trPr>
        <w:tc>
          <w:tcPr>
            <w:tcW w:w="2220" w:type="dxa"/>
            <w:vAlign w:val="bottom"/>
            <w:tcBorders>
              <w:left w:val="single" w:sz="8" w:color="auto"/>
            </w:tcBorders>
            <w:shd w:val="clear" w:color="auto" w:fill="2D53A6"/>
          </w:tcPr>
          <w:p>
            <w:pPr>
              <w:spacing w:after="0"/>
              <w:rPr>
                <w:sz w:val="18"/>
                <w:szCs w:val="18"/>
                <w:color w:val="auto"/>
              </w:rPr>
            </w:pPr>
          </w:p>
        </w:tc>
        <w:tc>
          <w:tcPr>
            <w:tcW w:w="1920" w:type="dxa"/>
            <w:vAlign w:val="bottom"/>
            <w:shd w:val="clear" w:color="auto" w:fill="2D53A6"/>
          </w:tcPr>
          <w:p>
            <w:pPr>
              <w:spacing w:after="0"/>
              <w:rPr>
                <w:sz w:val="18"/>
                <w:szCs w:val="18"/>
                <w:color w:val="auto"/>
              </w:rPr>
            </w:pPr>
          </w:p>
        </w:tc>
        <w:tc>
          <w:tcPr>
            <w:tcW w:w="400" w:type="dxa"/>
            <w:vAlign w:val="bottom"/>
            <w:shd w:val="clear" w:color="auto" w:fill="2D53A6"/>
          </w:tcPr>
          <w:p>
            <w:pPr>
              <w:spacing w:after="0"/>
              <w:rPr>
                <w:sz w:val="18"/>
                <w:szCs w:val="18"/>
                <w:color w:val="auto"/>
              </w:rPr>
            </w:pPr>
          </w:p>
        </w:tc>
        <w:tc>
          <w:tcPr>
            <w:tcW w:w="1340" w:type="dxa"/>
            <w:vAlign w:val="bottom"/>
            <w:shd w:val="clear" w:color="auto" w:fill="2D53A6"/>
          </w:tcPr>
          <w:p>
            <w:pPr>
              <w:spacing w:after="0"/>
              <w:rPr>
                <w:sz w:val="18"/>
                <w:szCs w:val="18"/>
                <w:color w:val="auto"/>
              </w:rPr>
            </w:pPr>
          </w:p>
        </w:tc>
        <w:tc>
          <w:tcPr>
            <w:tcW w:w="1340" w:type="dxa"/>
            <w:vAlign w:val="bottom"/>
            <w:shd w:val="clear" w:color="auto" w:fill="2D53A6"/>
          </w:tcPr>
          <w:p>
            <w:pPr>
              <w:spacing w:after="0"/>
              <w:rPr>
                <w:sz w:val="18"/>
                <w:szCs w:val="18"/>
                <w:color w:val="auto"/>
              </w:rPr>
            </w:pPr>
          </w:p>
        </w:tc>
        <w:tc>
          <w:tcPr>
            <w:tcW w:w="1300" w:type="dxa"/>
            <w:vAlign w:val="bottom"/>
            <w:shd w:val="clear" w:color="auto" w:fill="2D53A6"/>
          </w:tcPr>
          <w:p>
            <w:pPr>
              <w:ind w:left="100"/>
              <w:spacing w:after="0"/>
              <w:rPr>
                <w:sz w:val="20"/>
                <w:szCs w:val="20"/>
                <w:color w:val="auto"/>
              </w:rPr>
            </w:pPr>
            <w:r>
              <w:rPr>
                <w:rFonts w:ascii="Arial" w:cs="Arial" w:eastAsia="Arial" w:hAnsi="Arial"/>
                <w:sz w:val="18"/>
                <w:szCs w:val="18"/>
                <w:b w:val="1"/>
                <w:bCs w:val="1"/>
                <w:color w:val="FFFFFF"/>
              </w:rPr>
              <w:t>Total RSUs</w:t>
            </w: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Common</w:t>
            </w:r>
          </w:p>
        </w:tc>
        <w:tc>
          <w:tcPr>
            <w:tcW w:w="1380" w:type="dxa"/>
            <w:vAlign w:val="bottom"/>
            <w:tcBorders>
              <w:right w:val="single" w:sz="8" w:color="auto"/>
            </w:tcBorders>
            <w:shd w:val="clear" w:color="auto" w:fill="2D53A6"/>
          </w:tcPr>
          <w:p>
            <w:pPr>
              <w:spacing w:after="0"/>
              <w:rPr>
                <w:sz w:val="18"/>
                <w:szCs w:val="18"/>
                <w:color w:val="auto"/>
              </w:rPr>
            </w:pPr>
          </w:p>
        </w:tc>
      </w:tr>
      <w:tr>
        <w:trPr>
          <w:trHeight w:val="216"/>
        </w:trPr>
        <w:tc>
          <w:tcPr>
            <w:tcW w:w="2220" w:type="dxa"/>
            <w:vAlign w:val="bottom"/>
            <w:tcBorders>
              <w:left w:val="single" w:sz="8" w:color="auto"/>
            </w:tcBorders>
            <w:shd w:val="clear" w:color="auto" w:fill="2D53A6"/>
          </w:tcPr>
          <w:p>
            <w:pPr>
              <w:spacing w:after="0"/>
              <w:rPr>
                <w:sz w:val="18"/>
                <w:szCs w:val="18"/>
                <w:color w:val="auto"/>
              </w:rPr>
            </w:pPr>
          </w:p>
        </w:tc>
        <w:tc>
          <w:tcPr>
            <w:tcW w:w="1920" w:type="dxa"/>
            <w:vAlign w:val="bottom"/>
            <w:shd w:val="clear" w:color="auto" w:fill="2D53A6"/>
          </w:tcPr>
          <w:p>
            <w:pPr>
              <w:ind w:left="1060"/>
              <w:spacing w:after="0"/>
              <w:rPr>
                <w:sz w:val="20"/>
                <w:szCs w:val="20"/>
                <w:color w:val="auto"/>
              </w:rPr>
            </w:pPr>
            <w:r>
              <w:rPr>
                <w:rFonts w:ascii="Arial" w:cs="Arial" w:eastAsia="Arial" w:hAnsi="Arial"/>
                <w:sz w:val="18"/>
                <w:szCs w:val="18"/>
                <w:b w:val="1"/>
                <w:bCs w:val="1"/>
                <w:color w:val="FFFFFF"/>
              </w:rPr>
              <w:t>Options</w:t>
            </w:r>
          </w:p>
        </w:tc>
        <w:tc>
          <w:tcPr>
            <w:tcW w:w="400" w:type="dxa"/>
            <w:vAlign w:val="bottom"/>
            <w:shd w:val="clear" w:color="auto" w:fill="2D53A6"/>
          </w:tcPr>
          <w:p>
            <w:pPr>
              <w:spacing w:after="0"/>
              <w:rPr>
                <w:sz w:val="18"/>
                <w:szCs w:val="18"/>
                <w:color w:val="auto"/>
              </w:rPr>
            </w:pP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RSUs</w:t>
            </w: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PSUs</w:t>
            </w:r>
          </w:p>
        </w:tc>
        <w:tc>
          <w:tcPr>
            <w:tcW w:w="1300" w:type="dxa"/>
            <w:vAlign w:val="bottom"/>
            <w:shd w:val="clear" w:color="auto" w:fill="2D53A6"/>
          </w:tcPr>
          <w:p>
            <w:pPr>
              <w:ind w:left="100"/>
              <w:spacing w:after="0"/>
              <w:rPr>
                <w:sz w:val="20"/>
                <w:szCs w:val="20"/>
                <w:color w:val="auto"/>
              </w:rPr>
            </w:pPr>
            <w:r>
              <w:rPr>
                <w:rFonts w:ascii="Arial" w:cs="Arial" w:eastAsia="Arial" w:hAnsi="Arial"/>
                <w:sz w:val="18"/>
                <w:szCs w:val="18"/>
                <w:b w:val="1"/>
                <w:bCs w:val="1"/>
                <w:color w:val="FFFFFF"/>
              </w:rPr>
              <w:t>Granted and</w:t>
            </w: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Share</w:t>
            </w:r>
          </w:p>
        </w:tc>
        <w:tc>
          <w:tcPr>
            <w:tcW w:w="1380" w:type="dxa"/>
            <w:vAlign w:val="bottom"/>
            <w:tcBorders>
              <w:right w:val="single" w:sz="8" w:color="auto"/>
            </w:tcBorders>
            <w:shd w:val="clear" w:color="auto" w:fill="2D53A6"/>
          </w:tcPr>
          <w:p>
            <w:pPr>
              <w:spacing w:after="0"/>
              <w:rPr>
                <w:sz w:val="18"/>
                <w:szCs w:val="18"/>
                <w:color w:val="auto"/>
              </w:rPr>
            </w:pPr>
          </w:p>
        </w:tc>
      </w:tr>
      <w:tr>
        <w:trPr>
          <w:trHeight w:val="234"/>
        </w:trPr>
        <w:tc>
          <w:tcPr>
            <w:tcW w:w="2220" w:type="dxa"/>
            <w:vAlign w:val="bottom"/>
            <w:tcBorders>
              <w:left w:val="single" w:sz="8" w:color="auto"/>
            </w:tcBorders>
            <w:shd w:val="clear" w:color="auto" w:fill="2D53A6"/>
          </w:tcPr>
          <w:p>
            <w:pPr>
              <w:ind w:left="20"/>
              <w:spacing w:after="0"/>
              <w:rPr>
                <w:sz w:val="20"/>
                <w:szCs w:val="20"/>
                <w:color w:val="auto"/>
              </w:rPr>
            </w:pPr>
            <w:r>
              <w:rPr>
                <w:rFonts w:ascii="Arial" w:cs="Arial" w:eastAsia="Arial" w:hAnsi="Arial"/>
                <w:sz w:val="18"/>
                <w:szCs w:val="18"/>
                <w:b w:val="1"/>
                <w:bCs w:val="1"/>
                <w:color w:val="FFFFFF"/>
              </w:rPr>
              <w:t>Fiscal Year</w:t>
            </w:r>
          </w:p>
        </w:tc>
        <w:tc>
          <w:tcPr>
            <w:tcW w:w="1920" w:type="dxa"/>
            <w:vAlign w:val="bottom"/>
            <w:shd w:val="clear" w:color="auto" w:fill="2D53A6"/>
          </w:tcPr>
          <w:p>
            <w:pPr>
              <w:ind w:left="1060"/>
              <w:spacing w:after="0"/>
              <w:rPr>
                <w:sz w:val="20"/>
                <w:szCs w:val="20"/>
                <w:color w:val="auto"/>
              </w:rPr>
            </w:pPr>
            <w:r>
              <w:rPr>
                <w:rFonts w:ascii="Arial" w:cs="Arial" w:eastAsia="Arial" w:hAnsi="Arial"/>
                <w:sz w:val="18"/>
                <w:szCs w:val="18"/>
                <w:b w:val="1"/>
                <w:bCs w:val="1"/>
                <w:color w:val="FFFFFF"/>
              </w:rPr>
              <w:t>Granted</w:t>
            </w:r>
          </w:p>
        </w:tc>
        <w:tc>
          <w:tcPr>
            <w:tcW w:w="400" w:type="dxa"/>
            <w:vAlign w:val="bottom"/>
            <w:shd w:val="clear" w:color="auto" w:fill="2D53A6"/>
          </w:tcPr>
          <w:p>
            <w:pPr>
              <w:spacing w:after="0"/>
              <w:rPr>
                <w:sz w:val="20"/>
                <w:szCs w:val="20"/>
                <w:color w:val="auto"/>
              </w:rPr>
            </w:pP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Granted</w:t>
            </w:r>
          </w:p>
        </w:tc>
        <w:tc>
          <w:tcPr>
            <w:tcW w:w="1340" w:type="dxa"/>
            <w:vAlign w:val="bottom"/>
            <w:shd w:val="clear" w:color="auto" w:fill="2D53A6"/>
          </w:tcPr>
          <w:p>
            <w:pPr>
              <w:ind w:left="120"/>
              <w:spacing w:after="0" w:line="235" w:lineRule="exact"/>
              <w:rPr>
                <w:sz w:val="20"/>
                <w:szCs w:val="20"/>
                <w:color w:val="auto"/>
              </w:rPr>
            </w:pPr>
            <w:r>
              <w:rPr>
                <w:rFonts w:ascii="Arial" w:cs="Arial" w:eastAsia="Arial" w:hAnsi="Arial"/>
                <w:sz w:val="17"/>
                <w:szCs w:val="17"/>
                <w:b w:val="1"/>
                <w:bCs w:val="1"/>
                <w:color w:val="FFFFFF"/>
              </w:rPr>
              <w:t xml:space="preserve">Vested </w:t>
            </w:r>
            <w:r>
              <w:rPr>
                <w:rFonts w:ascii="Arial" w:cs="Arial" w:eastAsia="Arial" w:hAnsi="Arial"/>
                <w:sz w:val="27"/>
                <w:szCs w:val="27"/>
                <w:b w:val="1"/>
                <w:bCs w:val="1"/>
                <w:color w:val="FFFFFF"/>
                <w:vertAlign w:val="superscript"/>
              </w:rPr>
              <w:t>(1)</w:t>
            </w:r>
          </w:p>
        </w:tc>
        <w:tc>
          <w:tcPr>
            <w:tcW w:w="1300" w:type="dxa"/>
            <w:vAlign w:val="bottom"/>
            <w:shd w:val="clear" w:color="auto" w:fill="2D53A6"/>
          </w:tcPr>
          <w:p>
            <w:pPr>
              <w:ind w:left="100"/>
              <w:spacing w:after="0"/>
              <w:rPr>
                <w:sz w:val="20"/>
                <w:szCs w:val="20"/>
                <w:color w:val="auto"/>
              </w:rPr>
            </w:pPr>
            <w:r>
              <w:rPr>
                <w:rFonts w:ascii="Arial" w:cs="Arial" w:eastAsia="Arial" w:hAnsi="Arial"/>
                <w:sz w:val="18"/>
                <w:szCs w:val="18"/>
                <w:b w:val="1"/>
                <w:bCs w:val="1"/>
                <w:color w:val="FFFFFF"/>
              </w:rPr>
              <w:t>PSUs Vested</w:t>
            </w:r>
          </w:p>
        </w:tc>
        <w:tc>
          <w:tcPr>
            <w:tcW w:w="1340" w:type="dxa"/>
            <w:vAlign w:val="bottom"/>
            <w:shd w:val="clear" w:color="auto" w:fill="2D53A6"/>
          </w:tcPr>
          <w:p>
            <w:pPr>
              <w:ind w:left="120"/>
              <w:spacing w:after="0"/>
              <w:rPr>
                <w:sz w:val="20"/>
                <w:szCs w:val="20"/>
                <w:color w:val="auto"/>
              </w:rPr>
            </w:pPr>
            <w:r>
              <w:rPr>
                <w:rFonts w:ascii="Arial" w:cs="Arial" w:eastAsia="Arial" w:hAnsi="Arial"/>
                <w:sz w:val="18"/>
                <w:szCs w:val="18"/>
                <w:b w:val="1"/>
                <w:bCs w:val="1"/>
                <w:color w:val="FFFFFF"/>
              </w:rPr>
              <w:t>Outstanding</w:t>
            </w:r>
          </w:p>
        </w:tc>
        <w:tc>
          <w:tcPr>
            <w:tcW w:w="1380" w:type="dxa"/>
            <w:vAlign w:val="bottom"/>
            <w:tcBorders>
              <w:right w:val="single" w:sz="8" w:color="auto"/>
            </w:tcBorders>
            <w:shd w:val="clear" w:color="auto" w:fill="2D53A6"/>
          </w:tcPr>
          <w:p>
            <w:pPr>
              <w:jc w:val="right"/>
              <w:ind w:right="370"/>
              <w:spacing w:after="0"/>
              <w:rPr>
                <w:sz w:val="20"/>
                <w:szCs w:val="20"/>
                <w:color w:val="auto"/>
              </w:rPr>
            </w:pPr>
            <w:r>
              <w:rPr>
                <w:rFonts w:ascii="Arial" w:cs="Arial" w:eastAsia="Arial" w:hAnsi="Arial"/>
                <w:sz w:val="18"/>
                <w:szCs w:val="18"/>
                <w:b w:val="1"/>
                <w:bCs w:val="1"/>
                <w:color w:val="FFFFFF"/>
              </w:rPr>
              <w:t>Burn Rate</w:t>
            </w:r>
          </w:p>
        </w:tc>
      </w:tr>
      <w:tr>
        <w:trPr>
          <w:trHeight w:val="216"/>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426,201</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55,009</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481,210</w:t>
            </w:r>
          </w:p>
        </w:tc>
        <w:tc>
          <w:tcPr>
            <w:tcW w:w="1340" w:type="dxa"/>
            <w:vAlign w:val="bottom"/>
          </w:tcPr>
          <w:p>
            <w:pPr>
              <w:ind w:left="420"/>
              <w:spacing w:after="0"/>
              <w:rPr>
                <w:sz w:val="20"/>
                <w:szCs w:val="20"/>
                <w:color w:val="auto"/>
              </w:rPr>
            </w:pPr>
            <w:r>
              <w:rPr>
                <w:rFonts w:ascii="Arial" w:cs="Arial" w:eastAsia="Arial" w:hAnsi="Arial"/>
                <w:sz w:val="18"/>
                <w:szCs w:val="18"/>
                <w:color w:val="auto"/>
                <w:w w:val="99"/>
              </w:rPr>
              <w:t>48,799,403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2220" w:type="dxa"/>
            <w:vAlign w:val="bottom"/>
            <w:tcBorders>
              <w:left w:val="single" w:sz="8" w:color="auto"/>
            </w:tcBorders>
            <w:shd w:val="clear" w:color="auto" w:fill="E6E6E6"/>
          </w:tcPr>
          <w:p>
            <w:pPr>
              <w:ind w:left="20"/>
              <w:spacing w:after="0"/>
              <w:rPr>
                <w:sz w:val="20"/>
                <w:szCs w:val="20"/>
                <w:color w:val="auto"/>
              </w:rPr>
            </w:pPr>
            <w:r>
              <w:rPr>
                <w:rFonts w:ascii="Arial" w:cs="Arial" w:eastAsia="Arial" w:hAnsi="Arial"/>
                <w:sz w:val="18"/>
                <w:szCs w:val="18"/>
                <w:color w:val="auto"/>
              </w:rPr>
              <w:t>2021</w:t>
            </w:r>
          </w:p>
        </w:tc>
        <w:tc>
          <w:tcPr>
            <w:tcW w:w="1920" w:type="dxa"/>
            <w:vAlign w:val="bottom"/>
            <w:shd w:val="clear" w:color="auto" w:fill="E6E6E6"/>
          </w:tcPr>
          <w:p>
            <w:pPr>
              <w:spacing w:after="0"/>
              <w:rPr>
                <w:sz w:val="18"/>
                <w:szCs w:val="18"/>
                <w:color w:val="auto"/>
              </w:rPr>
            </w:pPr>
          </w:p>
        </w:tc>
        <w:tc>
          <w:tcPr>
            <w:tcW w:w="40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258,953</w:t>
            </w:r>
          </w:p>
        </w:tc>
        <w:tc>
          <w:tcPr>
            <w:tcW w:w="13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124,688</w:t>
            </w:r>
          </w:p>
        </w:tc>
        <w:tc>
          <w:tcPr>
            <w:tcW w:w="130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383,641</w:t>
            </w:r>
          </w:p>
        </w:tc>
        <w:tc>
          <w:tcPr>
            <w:tcW w:w="1340" w:type="dxa"/>
            <w:vAlign w:val="bottom"/>
            <w:shd w:val="clear" w:color="auto" w:fill="E6E6E6"/>
          </w:tcPr>
          <w:p>
            <w:pPr>
              <w:ind w:left="420"/>
              <w:spacing w:after="0"/>
              <w:rPr>
                <w:sz w:val="20"/>
                <w:szCs w:val="20"/>
                <w:color w:val="auto"/>
              </w:rPr>
            </w:pPr>
            <w:r>
              <w:rPr>
                <w:rFonts w:ascii="Arial" w:cs="Arial" w:eastAsia="Arial" w:hAnsi="Arial"/>
                <w:sz w:val="18"/>
                <w:szCs w:val="18"/>
                <w:color w:val="auto"/>
                <w:w w:val="99"/>
              </w:rPr>
              <w:t>48,459,893</w:t>
            </w:r>
          </w:p>
        </w:tc>
        <w:tc>
          <w:tcPr>
            <w:tcW w:w="1380" w:type="dxa"/>
            <w:vAlign w:val="bottom"/>
            <w:tcBorders>
              <w:right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192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755,941</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39,075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795,016</w:t>
            </w:r>
          </w:p>
        </w:tc>
        <w:tc>
          <w:tcPr>
            <w:tcW w:w="1340" w:type="dxa"/>
            <w:vAlign w:val="bottom"/>
          </w:tcPr>
          <w:p>
            <w:pPr>
              <w:ind w:left="420"/>
              <w:spacing w:after="0"/>
              <w:rPr>
                <w:sz w:val="20"/>
                <w:szCs w:val="20"/>
                <w:color w:val="auto"/>
              </w:rPr>
            </w:pPr>
            <w:r>
              <w:rPr>
                <w:rFonts w:ascii="Arial" w:cs="Arial" w:eastAsia="Arial" w:hAnsi="Arial"/>
                <w:sz w:val="18"/>
                <w:szCs w:val="18"/>
                <w:color w:val="auto"/>
                <w:w w:val="99"/>
              </w:rPr>
              <w:t>41,854,328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2220" w:type="dxa"/>
            <w:vAlign w:val="bottom"/>
            <w:tcBorders>
              <w:left w:val="single" w:sz="8" w:color="auto"/>
              <w:bottom w:val="single" w:sz="8" w:color="auto"/>
            </w:tcBorders>
            <w:shd w:val="clear" w:color="auto" w:fill="E6E6E6"/>
          </w:tcPr>
          <w:p>
            <w:pPr>
              <w:ind w:left="20"/>
              <w:spacing w:after="0"/>
              <w:rPr>
                <w:sz w:val="20"/>
                <w:szCs w:val="20"/>
                <w:color w:val="auto"/>
              </w:rPr>
            </w:pPr>
            <w:r>
              <w:rPr>
                <w:rFonts w:ascii="Arial" w:cs="Arial" w:eastAsia="Arial" w:hAnsi="Arial"/>
                <w:sz w:val="18"/>
                <w:szCs w:val="18"/>
                <w:color w:val="auto"/>
              </w:rPr>
              <w:t>3-Year Average</w:t>
            </w:r>
          </w:p>
        </w:tc>
        <w:tc>
          <w:tcPr>
            <w:tcW w:w="1920" w:type="dxa"/>
            <w:vAlign w:val="bottom"/>
            <w:tcBorders>
              <w:bottom w:val="single" w:sz="8" w:color="auto"/>
            </w:tcBorders>
            <w:shd w:val="clear" w:color="auto" w:fill="E6E6E6"/>
          </w:tcPr>
          <w:p>
            <w:pPr>
              <w:spacing w:after="0"/>
              <w:rPr>
                <w:sz w:val="19"/>
                <w:szCs w:val="19"/>
                <w:color w:val="auto"/>
              </w:rPr>
            </w:pPr>
          </w:p>
        </w:tc>
        <w:tc>
          <w:tcPr>
            <w:tcW w:w="400" w:type="dxa"/>
            <w:vAlign w:val="bottom"/>
            <w:tcBorders>
              <w:bottom w:val="single" w:sz="8" w:color="auto"/>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6E6E6"/>
          </w:tcPr>
          <w:p>
            <w:pPr>
              <w:jc w:val="right"/>
              <w:ind w:right="10"/>
              <w:spacing w:after="0"/>
              <w:rPr>
                <w:sz w:val="20"/>
                <w:szCs w:val="20"/>
                <w:color w:val="auto"/>
              </w:rPr>
            </w:pPr>
            <w:r>
              <w:rPr>
                <w:rFonts w:ascii="Arial" w:cs="Arial" w:eastAsia="Arial" w:hAnsi="Arial"/>
                <w:sz w:val="18"/>
                <w:szCs w:val="18"/>
                <w:color w:val="auto"/>
              </w:rPr>
              <w:t>480,365</w:t>
            </w:r>
          </w:p>
        </w:tc>
        <w:tc>
          <w:tcPr>
            <w:tcW w:w="134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72,924</w:t>
            </w:r>
          </w:p>
        </w:tc>
        <w:tc>
          <w:tcPr>
            <w:tcW w:w="1300" w:type="dxa"/>
            <w:vAlign w:val="bottom"/>
            <w:tcBorders>
              <w:bottom w:val="single" w:sz="8" w:color="auto"/>
            </w:tcBorders>
            <w:shd w:val="clear" w:color="auto" w:fill="E6E6E6"/>
          </w:tcPr>
          <w:p>
            <w:pPr>
              <w:jc w:val="right"/>
              <w:ind w:right="10"/>
              <w:spacing w:after="0"/>
              <w:rPr>
                <w:sz w:val="20"/>
                <w:szCs w:val="20"/>
                <w:color w:val="auto"/>
              </w:rPr>
            </w:pPr>
            <w:r>
              <w:rPr>
                <w:rFonts w:ascii="Arial" w:cs="Arial" w:eastAsia="Arial" w:hAnsi="Arial"/>
                <w:sz w:val="18"/>
                <w:szCs w:val="18"/>
                <w:color w:val="auto"/>
              </w:rPr>
              <w:t>553,289</w:t>
            </w:r>
          </w:p>
        </w:tc>
        <w:tc>
          <w:tcPr>
            <w:tcW w:w="1340" w:type="dxa"/>
            <w:vAlign w:val="bottom"/>
            <w:tcBorders>
              <w:bottom w:val="single" w:sz="8" w:color="auto"/>
            </w:tcBorders>
            <w:shd w:val="clear" w:color="auto" w:fill="E6E6E6"/>
          </w:tcPr>
          <w:p>
            <w:pPr>
              <w:ind w:left="420"/>
              <w:spacing w:after="0"/>
              <w:rPr>
                <w:sz w:val="20"/>
                <w:szCs w:val="20"/>
                <w:color w:val="auto"/>
              </w:rPr>
            </w:pPr>
            <w:r>
              <w:rPr>
                <w:rFonts w:ascii="Arial" w:cs="Arial" w:eastAsia="Arial" w:hAnsi="Arial"/>
                <w:sz w:val="18"/>
                <w:szCs w:val="18"/>
                <w:color w:val="auto"/>
                <w:w w:val="99"/>
              </w:rPr>
              <w:t>46,371,208</w:t>
            </w:r>
          </w:p>
        </w:tc>
        <w:tc>
          <w:tcPr>
            <w:tcW w:w="1380" w:type="dxa"/>
            <w:vAlign w:val="bottom"/>
            <w:tcBorders>
              <w:bottom w:val="single" w:sz="8" w:color="auto"/>
              <w:right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2.45%</w:t>
            </w:r>
          </w:p>
        </w:tc>
      </w:tr>
    </w:tbl>
    <w:p>
      <w:pPr>
        <w:spacing w:after="0" w:line="202" w:lineRule="exact"/>
        <w:rPr>
          <w:sz w:val="20"/>
          <w:szCs w:val="20"/>
          <w:color w:val="auto"/>
        </w:rPr>
      </w:pPr>
    </w:p>
    <w:p>
      <w:pPr>
        <w:ind w:left="340" w:right="14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number of PSUs which were earned and became vested in the fiscal year and which are reported as “Released” in our annual report on Form 10-K for the applicable fiscal year. For additional information on the number of our PSUs outstanding, granted, vested and cancelled for each fiscal year, please see our annual report on Form 10-K for such fiscal year.</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16, 2023, the closing price of our common stock on the Nasdaq Global Select Market was $37.68 per share. As of March 16, 2023, 47,288,231 shares of our common stock were outstanding. As of March 16, 2023, awards covering 1,821,927 shares were outstanding under the 2005 Plan and have yet to be exercised or settled in shares of common stock. Accordingly, as of March 16, 2023, a total of 441,300 shares remained available for the future grant of awards under the 2005 Plan.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determining the number of shares to request for approval under the 2005 Plan Amendments, our Compensation Committee considered various factors, including our recent share usage, anticipated hiring needs in the next two years, potential dilution, our current stock price, recent experiences in the equity awards expected by new hire candidates, and general guidance from institutional proxy advisory firms, such as ISS, that our stockholders might consider in evaluating the 2005 Plan Amendment. After reviewing this information, our Compensation Committee decided to request that our stockholders approve an additional 3,200,000 shares for issuance under the 2005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ind w:right="100"/>
        <w:spacing w:after="0" w:line="257" w:lineRule="auto"/>
        <w:rPr>
          <w:sz w:val="20"/>
          <w:szCs w:val="20"/>
          <w:color w:val="auto"/>
        </w:rPr>
      </w:pPr>
      <w:r>
        <w:rPr>
          <w:rFonts w:ascii="Arial" w:cs="Arial" w:eastAsia="Arial" w:hAnsi="Arial"/>
          <w:sz w:val="18"/>
          <w:szCs w:val="18"/>
          <w:color w:val="auto"/>
        </w:rPr>
        <w:t>Based on our current equity award practices, the Compensation Committee estimates that the additional shares that would be authorized by the 2005 Plan Amendments may be sufficient to provide us with an opportunity to grant equity awards for approximately three (3) years. Circumstances that could alter this estimate include the future price of our common shares,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Board adopted the 2005 Plan Amendments on March 14, 2023, subject to approval by our stockholders. If stockholders do not approve the 2005 Plan Amendments, the maximum number of shares that may be issued under the 2005 Plan will not be increased and the other terms of the 2005 Plan will not be changed.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Highlights of the 2005 Plan</w:t>
      </w:r>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2005 Plan, as amended, continues to contain provisions that we believe are consistent with best practices in equity compensation and which protect the stockholders’ interests, as described below.</w:t>
      </w:r>
    </w:p>
    <w:p>
      <w:pPr>
        <w:spacing w:after="0" w:line="170" w:lineRule="exact"/>
        <w:rPr>
          <w:sz w:val="20"/>
          <w:szCs w:val="20"/>
          <w:color w:val="auto"/>
        </w:rPr>
      </w:pPr>
    </w:p>
    <w:p>
      <w:pPr>
        <w:ind w:left="820" w:right="120" w:hanging="326"/>
        <w:spacing w:after="0" w:line="25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evergreen authorization</w:t>
      </w:r>
      <w:r>
        <w:rPr>
          <w:rFonts w:ascii="Arial" w:cs="Arial" w:eastAsia="Arial" w:hAnsi="Arial"/>
          <w:sz w:val="18"/>
          <w:szCs w:val="18"/>
          <w:color w:val="auto"/>
        </w:rPr>
        <w:t>. The 2005 Plan does not have an evergreen provision, which would have permitted an annual increase in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pool without further stockholder approval.</w:t>
      </w:r>
    </w:p>
    <w:p>
      <w:pPr>
        <w:spacing w:after="0" w:line="1"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Gross share counting</w:t>
      </w:r>
      <w:r>
        <w:rPr>
          <w:rFonts w:ascii="Arial" w:cs="Arial" w:eastAsia="Arial" w:hAnsi="Arial"/>
          <w:sz w:val="18"/>
          <w:szCs w:val="18"/>
          <w:color w:val="auto"/>
        </w:rPr>
        <w:t>. The 2005 Plan generally provides for gross share counting. The number of shares remaining available for grant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Plan is reduced by the gross number of shares subject to options and stock appreciation rights, including those settled on a net basis, and any shares withheld for taxes in connection with the vesting or settlement of any award will not again be available for the future grant of awards. Further, any shares of our common stock we repurchase in the open market with option exercise proceeds will not increase the maximum number of shares that may be issued under the 2005 Plan.</w:t>
      </w:r>
    </w:p>
    <w:p>
      <w:pPr>
        <w:spacing w:after="0" w:line="1" w:lineRule="exact"/>
        <w:rPr>
          <w:rFonts w:ascii="Arial" w:cs="Arial" w:eastAsia="Arial" w:hAnsi="Arial"/>
          <w:sz w:val="18"/>
          <w:szCs w:val="18"/>
          <w:color w:val="auto"/>
        </w:rPr>
      </w:pPr>
    </w:p>
    <w:p>
      <w:pPr>
        <w:ind w:left="820" w:hanging="326"/>
        <w:spacing w:after="0" w:line="265"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Individual award limits</w:t>
      </w:r>
      <w:r>
        <w:rPr>
          <w:rFonts w:ascii="Arial" w:cs="Arial" w:eastAsia="Arial" w:hAnsi="Arial"/>
          <w:sz w:val="17"/>
          <w:szCs w:val="17"/>
          <w:color w:val="auto"/>
        </w:rPr>
        <w:t>. The 2005 Plan limits the maximum number of shares for which share-denominated awards may be granted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in any fiscal year (or earned for each fiscal year contained in a performance period) and the maximum dollar amount that an employee may earn for each fiscal year contained in a performance period under a cash-denominated award.</w:t>
      </w:r>
    </w:p>
    <w:p>
      <w:pPr>
        <w:ind w:left="820" w:right="40" w:hanging="326"/>
        <w:spacing w:after="0" w:line="250"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Minimum vesting</w:t>
      </w:r>
      <w:r>
        <w:rPr>
          <w:rFonts w:ascii="Arial" w:cs="Arial" w:eastAsia="Arial" w:hAnsi="Arial"/>
          <w:sz w:val="18"/>
          <w:szCs w:val="18"/>
          <w:color w:val="auto"/>
        </w:rPr>
        <w:t>. The 2005 Plan requires each award to have a minimum vesting period of one year, except for 5% of the aggregate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authorized for issuance under the 2005 Plan, or if vesting is accelerated upon a participant’s death or disability or in connection with a change in control.</w:t>
      </w:r>
    </w:p>
    <w:p>
      <w:pPr>
        <w:spacing w:after="0" w:line="1" w:lineRule="exact"/>
        <w:rPr>
          <w:rFonts w:ascii="Arial" w:cs="Arial" w:eastAsia="Arial" w:hAnsi="Arial"/>
          <w:sz w:val="18"/>
          <w:szCs w:val="18"/>
          <w:color w:val="auto"/>
        </w:rPr>
      </w:pPr>
    </w:p>
    <w:p>
      <w:pPr>
        <w:ind w:left="820" w:right="80" w:hanging="326"/>
        <w:spacing w:after="0" w:line="265"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No automatic vesting upon a change in control</w:t>
      </w:r>
      <w:r>
        <w:rPr>
          <w:rFonts w:ascii="Arial" w:cs="Arial" w:eastAsia="Arial" w:hAnsi="Arial"/>
          <w:sz w:val="17"/>
          <w:szCs w:val="17"/>
          <w:color w:val="auto"/>
        </w:rPr>
        <w:t>. The 2005 Plan does not provide for automatic acceleration of award vesting upon a change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 An acquiring corporation may assume, continue or substitute new awards for outstanding awards, and if it does so, the vesting of the outstanding awards will generally not accelerate on the change in control. The vesting of awards that are not assumed, continued or replaced by a publicly held corporation will be accelerated. The plan administrator has the discretion to accelerate the vesting of outstanding awards or to require that participants exchange outstanding stock-based awards for a payment in cash.</w:t>
      </w:r>
    </w:p>
    <w:p>
      <w:pPr>
        <w:ind w:left="820" w:right="40" w:hanging="326"/>
        <w:spacing w:after="0" w:line="250"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Prohibition on repricing</w:t>
      </w:r>
      <w:r>
        <w:rPr>
          <w:rFonts w:ascii="Arial" w:cs="Arial" w:eastAsia="Arial" w:hAnsi="Arial"/>
          <w:sz w:val="18"/>
          <w:szCs w:val="18"/>
          <w:color w:val="auto"/>
        </w:rPr>
        <w:t>. The 2005 Plan prohibits the repricing of options or stock appreciation rights without the approval of our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cancellation and replacement of options or stock appreciation rights with a grant of options or stock appreciation rights having lower exercise prices, a grant of full-value awards or payments in cash.</w:t>
      </w:r>
    </w:p>
    <w:p>
      <w:pPr>
        <w:spacing w:after="0" w:line="1" w:lineRule="exact"/>
        <w:rPr>
          <w:rFonts w:ascii="Arial" w:cs="Arial" w:eastAsia="Arial" w:hAnsi="Arial"/>
          <w:sz w:val="18"/>
          <w:szCs w:val="18"/>
          <w:color w:val="auto"/>
        </w:rPr>
      </w:pPr>
    </w:p>
    <w:p>
      <w:pPr>
        <w:ind w:left="820" w:right="80" w:hanging="326"/>
        <w:spacing w:after="0" w:line="250"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discounted options or stock appreciation rights</w:t>
      </w:r>
      <w:r>
        <w:rPr>
          <w:rFonts w:ascii="Arial" w:cs="Arial" w:eastAsia="Arial" w:hAnsi="Arial"/>
          <w:sz w:val="18"/>
          <w:szCs w:val="18"/>
          <w:color w:val="auto"/>
        </w:rPr>
        <w:t>. Options and stock appreciation rights must have an exercise price or base price at or above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fair market value per share of our common stock on the date of grant.</w:t>
      </w: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tax gross-ups</w:t>
      </w:r>
      <w:r>
        <w:rPr>
          <w:rFonts w:ascii="Arial" w:cs="Arial" w:eastAsia="Arial" w:hAnsi="Arial"/>
          <w:sz w:val="18"/>
          <w:szCs w:val="18"/>
          <w:color w:val="auto"/>
        </w:rPr>
        <w:t>. The 2005 Plan does not provide for any tax gross-ups.</w:t>
      </w:r>
    </w:p>
    <w:p>
      <w:pPr>
        <w:spacing w:after="0" w:line="21" w:lineRule="exact"/>
        <w:rPr>
          <w:rFonts w:ascii="Arial" w:cs="Arial" w:eastAsia="Arial" w:hAnsi="Arial"/>
          <w:sz w:val="18"/>
          <w:szCs w:val="18"/>
          <w:color w:val="auto"/>
        </w:rPr>
      </w:pPr>
    </w:p>
    <w:p>
      <w:pPr>
        <w:ind w:left="820" w:right="80" w:hanging="326"/>
        <w:spacing w:after="0" w:line="25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liberal change-in-control definition</w:t>
      </w:r>
      <w:r>
        <w:rPr>
          <w:rFonts w:ascii="Arial" w:cs="Arial" w:eastAsia="Arial" w:hAnsi="Arial"/>
          <w:sz w:val="18"/>
          <w:szCs w:val="18"/>
          <w:color w:val="auto"/>
        </w:rPr>
        <w:t>. Under the 2005 Plan, a change in control occurs upon the consummation of the transaction rather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announcement or stockholder approval of the transaction.</w:t>
      </w:r>
    </w:p>
    <w:p>
      <w:pPr>
        <w:spacing w:after="0" w:line="1" w:lineRule="exact"/>
        <w:rPr>
          <w:rFonts w:ascii="Arial" w:cs="Arial" w:eastAsia="Arial" w:hAnsi="Arial"/>
          <w:sz w:val="18"/>
          <w:szCs w:val="18"/>
          <w:color w:val="auto"/>
        </w:rPr>
      </w:pPr>
    </w:p>
    <w:p>
      <w:pPr>
        <w:ind w:left="820" w:right="120" w:hanging="326"/>
        <w:spacing w:after="0" w:line="290"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dividends and dividend equivalents</w:t>
      </w:r>
      <w:r>
        <w:rPr>
          <w:rFonts w:ascii="Arial" w:cs="Arial" w:eastAsia="Arial" w:hAnsi="Arial"/>
          <w:sz w:val="17"/>
          <w:szCs w:val="17"/>
          <w:color w:val="auto"/>
        </w:rPr>
        <w:t>. Any dividends or dividend equivalents payable in connection with an award will be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same restrictions as the underlying award and will not be paid until and unless such award vests or is settled, if later.</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2D53A6"/>
        </w:rPr>
        <w:t>Summary of the 2005 Plan</w:t>
      </w:r>
    </w:p>
    <w:p>
      <w:pPr>
        <w:spacing w:after="0" w:line="21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A summary of the principal provisions of the 2005 Plan, as amended, is set forth below. The summary is qualified by reference to the full text of the amended 2005 Plan, a copy of which is attached as </w:t>
      </w:r>
      <w:r>
        <w:rPr>
          <w:rFonts w:ascii="Arial" w:cs="Arial" w:eastAsia="Arial" w:hAnsi="Arial"/>
          <w:sz w:val="18"/>
          <w:szCs w:val="18"/>
          <w:b w:val="1"/>
          <w:bCs w:val="1"/>
          <w:u w:val="single" w:color="auto"/>
          <w:color w:val="auto"/>
        </w:rPr>
        <w:t>Appendix B</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ind w:right="100"/>
        <w:spacing w:after="0" w:line="296"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purpose of the 2005 Plan is to advance the interests of the Company by providing an incentive program that will enable the Company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employees, consultants and directors upon whose judgment, interest and efforts the Company’s success is dependent and to provide them with an equity interest in the success of the Company in order to motivate superior performance. These incentives may be provided through the grant of stock options, stock appreciation rights, restricted stock, restricted stock units, performance shares (which may consist of performance share units (“</w:t>
      </w:r>
      <w:r>
        <w:rPr>
          <w:rFonts w:ascii="Arial" w:cs="Arial" w:eastAsia="Arial" w:hAnsi="Arial"/>
          <w:sz w:val="16"/>
          <w:szCs w:val="16"/>
          <w:u w:val="single" w:color="auto"/>
          <w:color w:val="auto"/>
        </w:rPr>
        <w:t>PSUs</w:t>
      </w:r>
      <w:r>
        <w:rPr>
          <w:rFonts w:ascii="Arial" w:cs="Arial" w:eastAsia="Arial" w:hAnsi="Arial"/>
          <w:sz w:val="16"/>
          <w:szCs w:val="16"/>
          <w:color w:val="auto"/>
        </w:rPr>
        <w:t>”), deferred stock units (“</w:t>
      </w:r>
      <w:r>
        <w:rPr>
          <w:rFonts w:ascii="Arial" w:cs="Arial" w:eastAsia="Arial" w:hAnsi="Arial"/>
          <w:sz w:val="16"/>
          <w:szCs w:val="16"/>
          <w:u w:val="single" w:color="auto"/>
          <w:color w:val="auto"/>
        </w:rPr>
        <w:t>DSUs</w:t>
      </w:r>
      <w:r>
        <w:rPr>
          <w:rFonts w:ascii="Arial" w:cs="Arial" w:eastAsia="Arial" w:hAnsi="Arial"/>
          <w:sz w:val="16"/>
          <w:szCs w:val="16"/>
          <w:color w:val="auto"/>
        </w:rPr>
        <w:t>”), performance units, certain other stock-based awards and cash-based performance awards.</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If the 2005 Plan Amendments are approved by the stockholders, the aggregate number of shares authorized for issuance under the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will increase by 3,200,000 shares to 13,430,747 shares.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any award granted under the 2005 Plan expires, lapses or otherwise terminates for any reason without having been exercised or settled in full, or if shares subject to forfeiture or repurchase are forfeited or repurchased by the Company, any such shares that are reacquired or subject to such a terminated award will again become available for issuance under the 2005 Plan. Upon any stock dividend, stock split, reverse stock split, recapitalization or similar change in our capital structure, appropriate adjustments will be made to the shares subject to the 2005 Plan, to the award limits described below and to all outstanding awards. However, shares will not again become available for issuance under the 2005 Plan if they are (i) withheld or surrendered to satisfy tax withholding obligations, (ii) surrendered in payment of stock option exercise prices (either by means of a cashless exercise, attestation or actual surrender of shares) or (iii) subject to a stock appreciation right and are not issued upon settlement of the stock appreciation right.</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 xml:space="preserve">Limitation on Awards and Other Compensation to Nonemployee Directors. </w:t>
      </w:r>
      <w:r>
        <w:rPr>
          <w:rFonts w:ascii="Arial" w:cs="Arial" w:eastAsia="Arial" w:hAnsi="Arial"/>
          <w:sz w:val="17"/>
          <w:szCs w:val="17"/>
          <w:color w:val="auto"/>
        </w:rPr>
        <w:t>The 2005 Plan provides for an annual limit of $750,000 for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awarded to any nonemployee director during each calendar year, including both shares of stock subject to 2005 Plan awards (calculating the value of any such awards based on the grant date fair value of such awards for financial reporting purposes) and any cash fees paid to such nonemployee director (but excluding any expense reimbursements or distributions from any deferred compensation program.</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Award Limits</w:t>
      </w:r>
      <w:r>
        <w:rPr>
          <w:rFonts w:ascii="Arial" w:cs="Arial" w:eastAsia="Arial" w:hAnsi="Arial"/>
          <w:sz w:val="17"/>
          <w:szCs w:val="17"/>
          <w:color w:val="auto"/>
        </w:rPr>
        <w:t>. The 2005 Plan limits the numbers of shares for which awards may be granted or dollar value for which awards may be paid during specified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periods of time, subject to appropriate adjustment in the event of any change in the capital structure of the Company, as follows:</w:t>
      </w:r>
    </w:p>
    <w:p>
      <w:pPr>
        <w:spacing w:after="0" w:line="142" w:lineRule="exact"/>
        <w:rPr>
          <w:sz w:val="20"/>
          <w:szCs w:val="20"/>
          <w:color w:val="auto"/>
        </w:rPr>
      </w:pPr>
    </w:p>
    <w:p>
      <w:pPr>
        <w:ind w:left="820" w:right="500" w:hanging="326"/>
        <w:spacing w:after="0" w:line="289"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Options and Stock Appreciation Rights</w:t>
      </w:r>
      <w:r>
        <w:rPr>
          <w:rFonts w:ascii="Arial" w:cs="Arial" w:eastAsia="Arial" w:hAnsi="Arial"/>
          <w:sz w:val="16"/>
          <w:szCs w:val="16"/>
          <w:color w:val="auto"/>
        </w:rPr>
        <w:t>. No employee may be granted in any fiscal year of the Company options or stock appreciation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which in the aggregate are for more than 500,000 shares, provided that the Company may make an additional one-time grant to any newly-hired employee of a stock option or stock appreciation right award for the purchase of up to an additional 250,000 shares.</w:t>
      </w:r>
    </w:p>
    <w:p>
      <w:pPr>
        <w:spacing w:after="0" w:line="1" w:lineRule="exact"/>
        <w:rPr>
          <w:rFonts w:ascii="Arial" w:cs="Arial" w:eastAsia="Arial" w:hAnsi="Arial"/>
          <w:sz w:val="16"/>
          <w:szCs w:val="16"/>
          <w:color w:val="auto"/>
        </w:rPr>
      </w:pPr>
    </w:p>
    <w:p>
      <w:pPr>
        <w:ind w:left="820" w:right="220" w:hanging="326"/>
        <w:spacing w:after="0" w:line="265" w:lineRule="auto"/>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Restricted stock and RSUs</w:t>
      </w:r>
      <w:r>
        <w:rPr>
          <w:rFonts w:ascii="Arial" w:cs="Arial" w:eastAsia="Arial" w:hAnsi="Arial"/>
          <w:sz w:val="17"/>
          <w:szCs w:val="17"/>
          <w:color w:val="auto"/>
        </w:rPr>
        <w:t>. No employee may be granted in any fiscal year of the Company one or more awards of restricted stock or RSUs</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not performance shares for more than 200,000 shares, provided that the Company may make an additional one-time grant to any newly-hired employee of a restricted stock or RSU award for up to an additional 100,000 shares.</w:t>
      </w:r>
    </w:p>
    <w:p>
      <w:pPr>
        <w:ind w:left="820" w:hanging="326"/>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Performance Shares and Performance Units</w:t>
      </w:r>
      <w:r>
        <w:rPr>
          <w:rFonts w:ascii="Arial" w:cs="Arial" w:eastAsia="Arial" w:hAnsi="Arial"/>
          <w:sz w:val="17"/>
          <w:szCs w:val="17"/>
          <w:color w:val="auto"/>
        </w:rPr>
        <w:t>. For each fiscal year of the Company contained in the applicable performance period,</w:t>
      </w:r>
    </w:p>
    <w:p>
      <w:pPr>
        <w:spacing w:after="0" w:line="20" w:lineRule="exact"/>
        <w:rPr>
          <w:rFonts w:ascii="Arial" w:cs="Arial" w:eastAsia="Arial" w:hAnsi="Arial"/>
          <w:sz w:val="17"/>
          <w:szCs w:val="17"/>
          <w:color w:val="auto"/>
        </w:rPr>
      </w:pPr>
    </w:p>
    <w:p>
      <w:pPr>
        <w:ind w:left="820" w:right="40"/>
        <w:spacing w:after="0" w:line="281" w:lineRule="auto"/>
        <w:rPr>
          <w:rFonts w:ascii="Arial" w:cs="Arial" w:eastAsia="Arial" w:hAnsi="Arial"/>
          <w:sz w:val="17"/>
          <w:szCs w:val="17"/>
          <w:color w:val="auto"/>
        </w:rPr>
      </w:pPr>
      <w:r>
        <w:rPr>
          <w:rFonts w:ascii="Arial" w:cs="Arial" w:eastAsia="Arial" w:hAnsi="Arial"/>
          <w:sz w:val="16"/>
          <w:szCs w:val="16"/>
          <w:color w:val="auto"/>
        </w:rPr>
        <w:t>no employee may be granted awards of performance shares (which may include PSUs) that could result in the employee receiving an issuance of more than 250,000 shares of common stock or awards of performance units that could result in the employee receiving a cash payout of more than $4,000,000. A participant may not receive an award of performance shares and performance units with respect to any performance period.</w:t>
      </w:r>
    </w:p>
    <w:p>
      <w:pPr>
        <w:spacing w:after="0" w:line="1" w:lineRule="exact"/>
        <w:rPr>
          <w:rFonts w:ascii="Arial" w:cs="Arial" w:eastAsia="Arial" w:hAnsi="Arial"/>
          <w:sz w:val="17"/>
          <w:szCs w:val="17"/>
          <w:color w:val="auto"/>
        </w:rPr>
      </w:pPr>
    </w:p>
    <w:p>
      <w:pPr>
        <w:ind w:left="820" w:right="280" w:hanging="326"/>
        <w:spacing w:after="0" w:line="260"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Performance Bonus Awards</w:t>
      </w:r>
      <w:r>
        <w:rPr>
          <w:rFonts w:ascii="Arial" w:cs="Arial" w:eastAsia="Arial" w:hAnsi="Arial"/>
          <w:sz w:val="18"/>
          <w:szCs w:val="18"/>
          <w:color w:val="auto"/>
        </w:rPr>
        <w:t>. No participant may be paid a performance cash bonus which is greater than $4,000,000 for each fiscal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contained in the applicable performance period.</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2005 Plan is administered by the Compensation Committee of the Board of Directors, or, in the absence of such committee,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(for purposes of this summary, the term “Committee” refers to either such committee or the Board of Directors). Subject to the provisions of the 2005 Plan, the Committee determines in its discretion the persons to whom and the times at which awards are granted, the types and sizes of such awards, and all of their terms and conditions. All awards granted under the 2005 Plan must be evidenced by a written agreement between the Company and the participant specifying the number of shares subject to the award and the other terms and conditions of the award, consistent with the requirements of the 2005 Plan. The Committee may amend, cancel, renew any award, waive any restrictions or conditions applicable to any award, and accelerate, continue, extend or defer the vesting of any award. The 2005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2005 Plan. The Committee will interpret the 2005 Plan and awards granted thereunder, and all determinations of the Committee will be final and binding on all persons having an interest in the 2005 Plan or any award.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ind w:right="200"/>
        <w:spacing w:after="0" w:line="273" w:lineRule="auto"/>
        <w:rPr>
          <w:sz w:val="20"/>
          <w:szCs w:val="20"/>
          <w:color w:val="auto"/>
        </w:rPr>
      </w:pPr>
      <w:r>
        <w:rPr>
          <w:rFonts w:ascii="Arial" w:cs="Arial" w:eastAsia="Arial" w:hAnsi="Arial"/>
          <w:sz w:val="17"/>
          <w:szCs w:val="17"/>
          <w:b w:val="1"/>
          <w:bCs w:val="1"/>
          <w:i w:val="1"/>
          <w:iCs w:val="1"/>
          <w:color w:val="auto"/>
        </w:rPr>
        <w:t>Prohibition of Option and SAR Repricing</w:t>
      </w:r>
      <w:r>
        <w:rPr>
          <w:rFonts w:ascii="Arial" w:cs="Arial" w:eastAsia="Arial" w:hAnsi="Arial"/>
          <w:sz w:val="17"/>
          <w:szCs w:val="17"/>
          <w:color w:val="auto"/>
        </w:rPr>
        <w:t>. The 2005 Plan expressly provides that, without the approval of a majority of the votes cast in person or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full-value awards in exchange for the cancellation of such outstanding options or stock appreciation rights, or (3) the cancellation of such outstanding options or stock appreciation rights in exchange for payments in cash.</w:t>
      </w:r>
    </w:p>
    <w:p>
      <w:pPr>
        <w:spacing w:after="0" w:line="17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Minimum Vesting</w:t>
      </w:r>
      <w:r>
        <w:rPr>
          <w:rFonts w:ascii="Arial" w:cs="Arial" w:eastAsia="Arial" w:hAnsi="Arial"/>
          <w:sz w:val="17"/>
          <w:szCs w:val="17"/>
          <w:color w:val="auto"/>
        </w:rPr>
        <w:t>. No more than 5% of the aggregate number of shares authorized under the 2005 Plan may be issued pursuant to awards that provide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vesting over a period of less than one year. This minimum vesting requirement will not prohibit the Committee from accelerating the vesting of awards in connection with a “Change in Control,” as defined by the 2005 Plan, or upon a participant’s death or disability.</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Awards other than incentive stock options may be granted to employees, directors and consultants of the Company or any present or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or subsidiary corporations of the Company. As of March 16, 2023, the Company had approximately 3,000 employees, no consultants and seven (7) non-employee directors who are eligible to receive awards under the 2005 Plan.</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Incentive stock options are no longer eligible to be granted under the 2005 Plan. At the time incentive stock options were eligible to be granted under the 2005 Plan, they were only eligible to be granted to individuals who, at the time of grant, were employees of the Company or any parent or subsidiary corporation of the Company. The plan terms described below as applicable to incentive stock options reflect the permitted terms of such awards when they were previously eligible to be granted under the 2005 Plan.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The exercise price of each option may not be less than the fair market value of a share of our common stock on the date of grant. 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incentive stock option granted to a person who at the time of grant owns stock possessing more than 10% of the total combined voting power of all classes of stock of the Company or any parent or subsidiary corporation of the Company (a “Ten Percent Stockholder”) must have an exercise price equal to at least 110% of the fair market value of a share of common stock on the date of grant.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2005 Plan provides that the option exercise price may be paid in cash, by check, or in cash equivalent, by the assignment of the proceeds of a sale with respect to some or all of the shares being acquired upon the exercise of the option, to the extent legally permitted, by tender of shares of common stock owned by the optionee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optionee has made adequate provision for federal, state, local and foreign taxes, if any, relating to the exercise of the option, including, if permitted or required by the Company, through the optionee’s surrender of a portion of the option shares to the Company.</w:t>
      </w:r>
    </w:p>
    <w:p>
      <w:pPr>
        <w:spacing w:after="0" w:line="16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Options will become vested and exercisable at such times or upon such events and subject to such terms, conditions, performance criteria or restrictions as specified by the Committee, subject to the minimum vesting requirements described above. The maximum term of any option granted under the 2005 Plan is ten years, provided that an incentive stock option granted to a Ten Percent Stockholder must have a term not exceeding five years. The Committee will specify in each written option agreement, and solely in its discretion, the period of post-termination exercise applicable to each option.</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Generally, stock options are nontransferable by the optionee other than by will or by the laws of descent and distribution, and are exercisable during the optionee’s lifetime only by the optionee. However, a nonstatutory stock option may be assigned or transferred to the extent permitted by the Committee in its sole discretion, other than to a third party financial institution for value.</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Stock Appreciation Rights</w:t>
      </w:r>
      <w:r>
        <w:rPr>
          <w:rFonts w:ascii="Arial" w:cs="Arial" w:eastAsia="Arial" w:hAnsi="Arial"/>
          <w:sz w:val="16"/>
          <w:szCs w:val="16"/>
          <w:color w:val="auto"/>
        </w:rPr>
        <w:t>. A stock appreciation right gives a participant the right to receive the appreciation in the fair market value of 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between the date of grant of the award and the date of its exercise. The Company may pay the appreciation either in cash or in shares of common stock. The Committee may grant stock appreciation rights under the 2005 Plan in tandem with a related stock option or as a freestanding award. A tandem stock appreciation right is exercisable only at the time and to the same extent that the related option is exercisable, and its exercise causes the related option to be canceled. Freestanding stock appreciation rights vest and become exercisable at the times and on the terms established by the Committee, subject to the minimum vesting requirements described above. The maximum term of any stock appreciation right granted under the 2005 Plan is ten years.</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appreciation rights are generally nontransferable by the participant other than by will or by the laws of descent and distribution, and are generally exercisable during the participant’s lifetime only by the participant.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2" w:name="page73"/>
    <w:bookmarkEnd w:id="72"/>
    <w:p>
      <w:pPr>
        <w:ind w:right="60"/>
        <w:spacing w:after="0" w:line="272" w:lineRule="auto"/>
        <w:rPr>
          <w:sz w:val="20"/>
          <w:szCs w:val="20"/>
          <w:color w:val="auto"/>
        </w:rPr>
      </w:pPr>
      <w:r>
        <w:rPr>
          <w:rFonts w:ascii="Arial" w:cs="Arial" w:eastAsia="Arial" w:hAnsi="Arial"/>
          <w:sz w:val="17"/>
          <w:szCs w:val="17"/>
          <w:b w:val="1"/>
          <w:bCs w:val="1"/>
          <w:i w:val="1"/>
          <w:iCs w:val="1"/>
          <w:color w:val="auto"/>
        </w:rPr>
        <w:t>Restricted Stock Awards</w:t>
      </w:r>
      <w:r>
        <w:rPr>
          <w:rFonts w:ascii="Arial" w:cs="Arial" w:eastAsia="Arial" w:hAnsi="Arial"/>
          <w:sz w:val="17"/>
          <w:szCs w:val="17"/>
          <w:color w:val="auto"/>
        </w:rPr>
        <w:t>. The Committee may grant restricted stock awards under the 2005 Plan in the form of a restricted stock bonus, for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furnishes consideration in the form of services to the Company. Restricted stock awards may be subject to vesting conditions based on such service or performance criteria as the Committee specifies, subject to the minimum vesting requirements described above, and the shares acquired may not be transferred by the participant until vested. Unless otherwise provided by the Committee, a participant will forfeit any shares of restricted stock as to which the restrictions have not lapsed prior to the participant’s termination of service. Participants holding restricted stock will have the right to vote the shares and to receive any dividends or other distributions paid with respect to our common stock, except that such dividends and other distributions will be subject to the same restrictions as the original award.</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The Committee may grant RSUs under the 2005 Plan which represent a right to receive shares of common stock at a future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participant’s award agreement. No monetary payment is required for receipt of RSUs or the shares issued in settlement of the award, the consideration for which is furnished in the form of the participant’s services to the Company. The Committee may grant RSU awards subject to vesting conditions based on such service or performance criteria as the Committee specifies, subject to the minimum vesting requirements described above. Participants have no voting rights or rights to receive cash dividends with respect to RSU awards until the RSUs vest and shares of common stock are issued in settlement of such awards. Non-employee directors who elect to defer settlement of their RSU shares are eligible to receive dividend equivalents during the deferral period and are paid when the award is ultimately settled at the deferred settlement date. The Committee may grant RSUs that entitle their holders to receive dividend equivalents, which are rights to receive additional RSUs for a number of shares whose value is equal to any cash dividends we pay and that are subject to the same vesting conditions and settled at the time that the vested RSUs are settled.</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The Committee may grant performance awards subject to such conditions and the attainment of such performance goals over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as the Committee determines, subject to the minimum vesting requirements described above. The performance goals are set forth in a written agreement between the Company and the participant. These awards may be designated as performance shares (which may include PSUs) or as cash-settled performance units or other cash-based performance bonuses.</w:t>
      </w:r>
    </w:p>
    <w:p>
      <w:pPr>
        <w:spacing w:after="0" w:line="187"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Performance shares may be granted in the form of restricted stock or PSU and represent the right to earn or receive shares subject to attainment of performance goals. Performance units represent the right to receive a cash payment, the amount of which is determined by reference to the value of a specified number of our shares, subject to the attainment of performance goals. Cash-based performance bonuses represent the right to receive a cash payment determined pursuant to such formula and other terms as determined by the Committee, subject to the attainment of performance goals.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Performance awards will specify a predetermined amount of cash or shares that may be earned by the participant to the extent that one or more performance goals are attained within the applicable performance period. In granting a performance award, the Committee will establish one or more performance goals based on the attainment of specified target levels with respect to one or more measures of objective or subjective business, financial, or individual performance or other performance criteria as may be selected by the Committee.</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Following completion of the applicable performance period, the Committee will determine the extent to which the applicable performance goals have been attained and the resulting value to be paid, or number of shares to be issued to or otherwise earned by the participant. In its discretion, the Committee may provide for the payment to a participant awarded performance shares of dividend equivalents with respect to cash dividends paid on the Company’s common stock, provided that the dividend equivalents will be paid only to the extent that the performance award becomes vested and nonforfeitable.</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performance award may be sold or transferred other than by will or the laws of descent and distribution prior to the end of the applicable performance period.</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Deferred Stock Unit Awards</w:t>
      </w:r>
      <w:r>
        <w:rPr>
          <w:rFonts w:ascii="Arial" w:cs="Arial" w:eastAsia="Arial" w:hAnsi="Arial"/>
          <w:sz w:val="17"/>
          <w:szCs w:val="17"/>
          <w:color w:val="auto"/>
        </w:rPr>
        <w:t>. The 2005 Plan provides that the Committee may grant deferred stock unit awards in lieu of payment in cash or stock of all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portion of such participant’s cash and/or stock compensation. Deferred stock units are unfunded bookkeeping units, each representing a right to receive one share of our common stock in accordance with the terms and conditions of a deferred stock unit award agreement.</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Deferred stock unit awards granted in lieu of earned cash compensation are fully vested upon grant and will be settled by distribution to the participant of a number of whole shares of common stock equal to the number of units subject to the award on a date set forth in the participant’s written agreement in accordance with the terms of the 2005 Plan at the time of his or her advance election. Such deferred stock units granted in lieu of earned cash compensation are not subject to the minimum vesting requirements described above. The Committee may also grant deferred stock units that are linked to the achievement of performance goals or other vesting criteria, in which case they would be subject to the minimum vesting requirements.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right="60"/>
        <w:spacing w:after="0" w:line="255" w:lineRule="auto"/>
        <w:rPr>
          <w:sz w:val="20"/>
          <w:szCs w:val="20"/>
          <w:color w:val="auto"/>
        </w:rPr>
      </w:pPr>
      <w:r>
        <w:rPr>
          <w:rFonts w:ascii="Arial" w:cs="Arial" w:eastAsia="Arial" w:hAnsi="Arial"/>
          <w:sz w:val="18"/>
          <w:szCs w:val="18"/>
          <w:color w:val="auto"/>
        </w:rPr>
        <w:t>A holder of a deferred stock unit has no voting rights or other rights as a stockholder until shares of common stock are issued to the participant in settlement of the deferred stock unit. However, the Committee may grant deferred stock units entitling their holders to be credited with dividend equivalents with respect to any payment of cash dividends on an equivalent number of shares of common stock. Such dividend equivalents will be credited in the form of additional whole and fractional units determined by the fair market value of a share of common stock on the dividend payment date and will be paid to the holder at the same time that the deferred stock units are settled. Prior to settlement, no deferred stock unit may be assigned or transferred other than by will or the laws of descent and distribution.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The Committee may also grant one or more awards not specifically identified by the terms of the 2005 Plan that would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with either: (i) a share of stock; (ii) the right to purchase a share of stock; (iii) has a value derived from a share of stock; or (iv) an exercise or conversion privilege related to a share of stock. Other stock-based awards may be subject to vesting conditions based on such service or performance criteria as the Committee specifies, subject to the minimum vesting requirements described above, and any such award may not be transferred by the participant until vested.</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The 2005 Plan defines a “Change in Control” of the Company as any of the following events upon which the stockholders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immediately before the event do not retain immediately after the event, in substantially the same proportions as their ownership of shares of the Company’s voting stock immediately before the event, direct or indirect beneficial ownership of a majority of the total combined voting power of the voting securities of the Company, its successor or the corporation to which the assets of the Company were transferred: (i) a sale or exchange by the stockholders in a single or series of related transactions of more than 50% of the Company’s voting stock; (ii) a merger or consolidation in which the Company is a party; (iii) the sale, exchange or transfer of all or substantially all of the assets of the Company; or (iv) a liquidation or dissolution of the Company. If a Change in Control occurs, the surviving, continuing, successor or purchasing corporation or parent corporation thereof may, without any participant’s consent, assume or continue any or all outstanding awards or substitute substantially equivalent new awards for any or all outstanding awards. The 2005 Plan also authorizes the Committee, in its discretion and without the consent of any participant, to cancel each or any award denominated in shares of stock upon a Change in Control in exchange for a payment to the participant with respect each share subject to the cancelled award of an amount equal to the excess of the consideration to be paid per share of common stock in the Change in Control transaction over the exercise or purchase price per share, if any, under the award.</w:t>
      </w:r>
    </w:p>
    <w:p>
      <w:pPr>
        <w:spacing w:after="0" w:line="1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event of a Change in Control in which outstanding awards are not assumed, continued or replaced by a publicly held corporation, then all unexercisable, unvested or unpaid portions of such outstanding awards will become immediately exercisable, vested and payable in full immediately prior to the date of the Change in Control.</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Any award not assumed, exercised or settled prior to the Change in Control will terminate. The 2005 Plan authorizes the Committee, in its discretion, to provide for different treatment of any award, as may be specified in such award’s written agreement, which may provide for acceleration of the vesting or settlement of any award, or provide for longer periods of exercisability, upon a Change in Control.</w:t>
      </w:r>
    </w:p>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Termination or Amendment</w:t>
      </w:r>
      <w:r>
        <w:rPr>
          <w:rFonts w:ascii="Arial" w:cs="Arial" w:eastAsia="Arial" w:hAnsi="Arial"/>
          <w:sz w:val="16"/>
          <w:szCs w:val="16"/>
          <w:color w:val="auto"/>
        </w:rPr>
        <w:t>. The 2005 Plan will continue in effect until the first to occur of (i) its termination by the Board or (ii) the date on which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available for issuance under the 2005 Plan have been issued and all restrictions on such shares under the terms of the 2005 Plan and the agreements evidencing awards granted under the 2005 Plan have lapsed. Incentive stock options were not eligible to be granted under the 2005 Plan after May 10,</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2015. The Board may terminate or amend the 2005 Plan at any time, provided that no amendment may be made without stockholder approval if the Board deems such approval necessary for compliance with any applicable tax or securities law or other regulatory requirements, including the requirements of any stock exchange or market system on which the common stock of the Company is then listed. No termination or amendment may affect any outstanding award unless expressly provided by the Board, and, in any event, may not materially adversely affect an outstanding award without the consent of the participant unless necessary to comply with any applicable law, regulation or rule.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2D53A6"/>
        </w:rPr>
        <w:t>Summary of U.S. Federal Income Tax Consequences</w:t>
      </w:r>
    </w:p>
    <w:p>
      <w:pPr>
        <w:spacing w:after="0" w:line="21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following is only a summary of the United States federal income tax consequences to participants who receive 2005 Plan awards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2005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ind w:right="80"/>
        <w:spacing w:after="0" w:line="269" w:lineRule="auto"/>
        <w:rPr>
          <w:sz w:val="20"/>
          <w:szCs w:val="20"/>
          <w:color w:val="auto"/>
        </w:rPr>
      </w:pPr>
      <w:r>
        <w:rPr>
          <w:rFonts w:ascii="Arial" w:cs="Arial" w:eastAsia="Arial" w:hAnsi="Arial"/>
          <w:sz w:val="17"/>
          <w:szCs w:val="17"/>
          <w:b w:val="1"/>
          <w:bCs w:val="1"/>
          <w:i w:val="1"/>
          <w:iCs w:val="1"/>
          <w:color w:val="auto"/>
        </w:rPr>
        <w:t>Incentive Stock Options</w:t>
      </w:r>
      <w:r>
        <w:rPr>
          <w:rFonts w:ascii="Arial" w:cs="Arial" w:eastAsia="Arial" w:hAnsi="Arial"/>
          <w:sz w:val="17"/>
          <w:szCs w:val="17"/>
          <w:color w:val="auto"/>
        </w:rPr>
        <w:t>. An optionee recognizes no taxable income for regular income tax purposes as a result of the grant or exercise of an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option qualifying under Section 422 of the Code. Optionees who neither dispose of their shares within two years following the date the option was granted nor within one year following the exercise of the option will normally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determination date (see discussion under “Nonstatutory Stock Options” below)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8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difference between the option exercise price and the fair market value of the shares on the determination date of an incentive stock option (see discussion under “Nonstatutory Stock Options” below)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Nonstatutory Stock Options</w:t>
      </w:r>
      <w:r>
        <w:rPr>
          <w:rFonts w:ascii="Arial" w:cs="Arial" w:eastAsia="Arial" w:hAnsi="Arial"/>
          <w:sz w:val="18"/>
          <w:szCs w:val="18"/>
          <w:color w:val="auto"/>
        </w:rPr>
        <w:t>. Options not designated or qualifying as incentive stock options will be nonstatutory stock options having no special tax status.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optionee generally recognizes no taxable income as the result of the grant of such an option. Upon exercise of a nonstatutory stock option, the optionee normally recognizes ordinary income in the amount of the difference between the option exercise price and the fair market value of the shares on the determination date (as defined below). If the optionee is an employee, such ordinary income generally is subject to withholding of income and employment taxes.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“determination date” is the date on which a nonstatutory stock option is exercised unless the shares are subject to a substantial risk of forfeiture (as in the case where an optionee is permitted to exercise an unvested option and receive unvested shares which, until they vest, are subject to the Company’s right to repurchase them at the original exercise price upon the optionee’s termination of service) and are not transferable, in which case the determination date is the earlier of (i) the date on which the shares become transferable or (ii) the date on which the shares are no longer subject to a substantial risk of forfeiture. If the determination date is after the exercise date, the optionee may elect, pursuant to Section 83(b) of the Code, to have the exercise date be the determination date by filing an election with the Internal Revenue Service no later than 30 days after the date the option is exercised. Upon the sale of stock acquired by the exercise of a nonstatutory stock option, any gain or loss, based on the difference between the sale price and the fair market value on the determination date, will be taxed as capital gain or loss. No tax deduction is available to the Company with respect to the grant of a nonstatutory stock option or the sale of the stock acquired pursuant to such grant. The Company generally should be entitled to a deduction equal to the amount of ordinary income recognized by the optionee as a result of the exercise of a nonstatutory stock option, except to the extent such deduction is limited by applicable provisions of the Code.</w:t>
      </w:r>
    </w:p>
    <w:p>
      <w:pPr>
        <w:spacing w:after="0" w:line="18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No taxable income is recognized when a stock appreciation right is granted to a participant. Upon exercise, the participant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ordinary income in an amount equal to the amount of cash received and the fair market value of any shares of our common stock received. Any additional gain or loss recognized upon any later disposition of the shares would be capital gain or loss.</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Restricted Stock Awards</w:t>
      </w:r>
      <w:r>
        <w:rPr>
          <w:rFonts w:ascii="Arial" w:cs="Arial" w:eastAsia="Arial" w:hAnsi="Arial"/>
          <w:sz w:val="17"/>
          <w:szCs w:val="17"/>
          <w:color w:val="auto"/>
        </w:rPr>
        <w:t>. A participant acquiring restricted stock generally will recognize ordinary income equal to the fair market value of the shares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date” (as defined above under “Nonstatutory Stock Options”). If the participant is an employee, such ordinary income generally is subject to withholding of income and employment taxes.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ind w:right="20"/>
        <w:spacing w:after="0" w:line="270" w:lineRule="auto"/>
        <w:rPr>
          <w:sz w:val="20"/>
          <w:szCs w:val="20"/>
          <w:color w:val="auto"/>
        </w:rPr>
      </w:pPr>
      <w:r>
        <w:rPr>
          <w:rFonts w:ascii="Arial" w:cs="Arial" w:eastAsia="Arial" w:hAnsi="Arial"/>
          <w:sz w:val="17"/>
          <w:szCs w:val="17"/>
          <w:b w:val="1"/>
          <w:bCs w:val="1"/>
          <w:i w:val="1"/>
          <w:iCs w:val="1"/>
          <w:color w:val="auto"/>
        </w:rPr>
        <w:t>Performance and Restricted Stock Units Awards</w:t>
      </w:r>
      <w:r>
        <w:rPr>
          <w:rFonts w:ascii="Arial" w:cs="Arial" w:eastAsia="Arial" w:hAnsi="Arial"/>
          <w:sz w:val="17"/>
          <w:szCs w:val="17"/>
          <w:color w:val="auto"/>
        </w:rPr>
        <w:t>. A participant generally will recognize no income upon the grant of performance shares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PSUs), performance units, RSUs and cash-based performance bonus opportunities. Upon the settlement and/or payment of such awards, 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If the participant receives shares of restricted stock, the participant generally will be taxed in the same manner as described above (see discussion under “Restricted Stock”). Upon the sale of any shares received, any gain or loss, based on the difference between the sale price and the fair market value on the “determination date” (as defined above under “Nonstatutory Stock Options”),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Deferred Stock Unit Awards</w:t>
      </w:r>
      <w:r>
        <w:rPr>
          <w:rFonts w:ascii="Arial" w:cs="Arial" w:eastAsia="Arial" w:hAnsi="Arial"/>
          <w:sz w:val="18"/>
          <w:szCs w:val="18"/>
          <w:color w:val="auto"/>
        </w:rPr>
        <w:t>. A participant generally will recognize no income upon the grant of a Deferred Stock Unit Award. Upon the settlement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an award, the participant normally will recognize ordinary income in the year of settlement in an amount equal to the fair market value of any unrestricted shares of our common stock received.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A participant generally will recognize income with respect to any other stock-based award at the time and in the manner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applicable provisions of the Code and such taxation will depend upon the specifics of any such award.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Section 162(m) or other applicable provisions of the Code.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2D53A6"/>
        </w:rPr>
        <w:t>Historical Plan Benefits</w:t>
      </w:r>
    </w:p>
    <w:p>
      <w:pPr>
        <w:spacing w:after="0" w:line="21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Stock Options Granted to Certain Individuals and Groups</w:t>
      </w:r>
      <w:r>
        <w:rPr>
          <w:rFonts w:ascii="Arial" w:cs="Arial" w:eastAsia="Arial" w:hAnsi="Arial"/>
          <w:sz w:val="18"/>
          <w:szCs w:val="18"/>
          <w:color w:val="auto"/>
        </w:rPr>
        <w:t>. The number of awards (if any) that an individual may receive under the 2005 Plan is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of the Compensation Committee and therefore cannot be determined in advance. Our executive officers are eligible to receive awards under the 2005 Plan and, accordingly, our executive officers have an interest in this proposal. The following table sets forth the total number of shares of the Company’s common stock subject to awards granted under the 2005 Plan to the listed persons and groups since the initial adoption of the 2005 Plan through March 16, 2023.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74"/>
        </w:trPr>
        <w:tc>
          <w:tcPr>
            <w:tcW w:w="7740" w:type="dxa"/>
            <w:vAlign w:val="bottom"/>
          </w:tcPr>
          <w:p>
            <w:pPr>
              <w:spacing w:after="0"/>
              <w:rPr>
                <w:sz w:val="20"/>
                <w:szCs w:val="20"/>
                <w:color w:val="auto"/>
              </w:rPr>
            </w:pPr>
            <w:r>
              <w:rPr>
                <w:rFonts w:ascii="Arial" w:cs="Arial" w:eastAsia="Arial" w:hAnsi="Arial"/>
                <w:sz w:val="22"/>
                <w:szCs w:val="22"/>
                <w:color w:val="2D53A6"/>
              </w:rPr>
              <w:t>Aggregate Past Grants Under the 2005 Plan</w:t>
            </w:r>
          </w:p>
        </w:tc>
        <w:tc>
          <w:tcPr>
            <w:tcW w:w="18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06"/>
        </w:trPr>
        <w:tc>
          <w:tcPr>
            <w:tcW w:w="7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7740" w:type="dxa"/>
            <w:vAlign w:val="bottom"/>
            <w:shd w:val="clear" w:color="auto" w:fill="2D53A6"/>
          </w:tcPr>
          <w:p>
            <w:pPr>
              <w:spacing w:after="0"/>
              <w:rPr>
                <w:sz w:val="18"/>
                <w:szCs w:val="18"/>
                <w:color w:val="auto"/>
              </w:rPr>
            </w:pPr>
          </w:p>
        </w:tc>
        <w:tc>
          <w:tcPr>
            <w:tcW w:w="1840" w:type="dxa"/>
            <w:vAlign w:val="bottom"/>
            <w:shd w:val="clear" w:color="auto" w:fill="2D53A6"/>
          </w:tcPr>
          <w:p>
            <w:pPr>
              <w:ind w:left="260"/>
              <w:spacing w:after="0" w:line="216" w:lineRule="exact"/>
              <w:rPr>
                <w:sz w:val="20"/>
                <w:szCs w:val="20"/>
                <w:color w:val="auto"/>
              </w:rPr>
            </w:pPr>
            <w:r>
              <w:rPr>
                <w:rFonts w:ascii="Arial" w:cs="Arial" w:eastAsia="Arial" w:hAnsi="Arial"/>
                <w:sz w:val="22"/>
                <w:szCs w:val="22"/>
                <w:b w:val="1"/>
                <w:bCs w:val="1"/>
                <w:color w:val="FFFFFF"/>
              </w:rPr>
              <w:t>Number of</w:t>
            </w:r>
          </w:p>
        </w:tc>
        <w:tc>
          <w:tcPr>
            <w:tcW w:w="1660" w:type="dxa"/>
            <w:vAlign w:val="bottom"/>
            <w:shd w:val="clear" w:color="auto" w:fill="2D53A6"/>
          </w:tcPr>
          <w:p>
            <w:pPr>
              <w:ind w:left="120"/>
              <w:spacing w:after="0" w:line="216" w:lineRule="exact"/>
              <w:rPr>
                <w:sz w:val="20"/>
                <w:szCs w:val="20"/>
                <w:color w:val="auto"/>
              </w:rPr>
            </w:pPr>
            <w:r>
              <w:rPr>
                <w:rFonts w:ascii="Arial" w:cs="Arial" w:eastAsia="Arial" w:hAnsi="Arial"/>
                <w:sz w:val="22"/>
                <w:szCs w:val="22"/>
                <w:b w:val="1"/>
                <w:bCs w:val="1"/>
                <w:color w:val="FFFFFF"/>
              </w:rPr>
              <w:t>Number of</w:t>
            </w:r>
          </w:p>
        </w:tc>
      </w:tr>
      <w:tr>
        <w:trPr>
          <w:trHeight w:val="243"/>
        </w:trPr>
        <w:tc>
          <w:tcPr>
            <w:tcW w:w="7740" w:type="dxa"/>
            <w:vAlign w:val="bottom"/>
            <w:shd w:val="clear" w:color="auto" w:fill="2D53A6"/>
          </w:tcPr>
          <w:p>
            <w:pPr>
              <w:spacing w:after="0"/>
              <w:rPr>
                <w:sz w:val="21"/>
                <w:szCs w:val="21"/>
                <w:color w:val="auto"/>
              </w:rPr>
            </w:pPr>
          </w:p>
        </w:tc>
        <w:tc>
          <w:tcPr>
            <w:tcW w:w="1840" w:type="dxa"/>
            <w:vAlign w:val="bottom"/>
            <w:shd w:val="clear" w:color="auto" w:fill="2D53A6"/>
          </w:tcPr>
          <w:p>
            <w:pPr>
              <w:ind w:left="260"/>
              <w:spacing w:after="0" w:line="243" w:lineRule="exact"/>
              <w:rPr>
                <w:sz w:val="20"/>
                <w:szCs w:val="20"/>
                <w:color w:val="auto"/>
              </w:rPr>
            </w:pPr>
            <w:r>
              <w:rPr>
                <w:rFonts w:ascii="Arial" w:cs="Arial" w:eastAsia="Arial" w:hAnsi="Arial"/>
                <w:sz w:val="22"/>
                <w:szCs w:val="22"/>
                <w:b w:val="1"/>
                <w:bCs w:val="1"/>
                <w:color w:val="FFFFFF"/>
              </w:rPr>
              <w:t>Options</w:t>
            </w:r>
          </w:p>
        </w:tc>
        <w:tc>
          <w:tcPr>
            <w:tcW w:w="1660" w:type="dxa"/>
            <w:vAlign w:val="bottom"/>
            <w:shd w:val="clear" w:color="auto" w:fill="2D53A6"/>
          </w:tcPr>
          <w:p>
            <w:pPr>
              <w:ind w:left="120"/>
              <w:spacing w:after="0" w:line="243" w:lineRule="exact"/>
              <w:rPr>
                <w:sz w:val="20"/>
                <w:szCs w:val="20"/>
                <w:color w:val="auto"/>
              </w:rPr>
            </w:pPr>
            <w:r>
              <w:rPr>
                <w:rFonts w:ascii="Arial" w:cs="Arial" w:eastAsia="Arial" w:hAnsi="Arial"/>
                <w:sz w:val="22"/>
                <w:szCs w:val="22"/>
                <w:b w:val="1"/>
                <w:bCs w:val="1"/>
                <w:color w:val="FFFFFF"/>
              </w:rPr>
              <w:t>RSUs/PSUs</w:t>
            </w:r>
          </w:p>
        </w:tc>
      </w:tr>
      <w:tr>
        <w:trPr>
          <w:trHeight w:val="270"/>
        </w:trPr>
        <w:tc>
          <w:tcPr>
            <w:tcW w:w="7740" w:type="dxa"/>
            <w:vAlign w:val="bottom"/>
            <w:shd w:val="clear" w:color="auto" w:fill="2D53A6"/>
          </w:tcPr>
          <w:p>
            <w:pPr>
              <w:spacing w:after="0"/>
              <w:rPr>
                <w:sz w:val="20"/>
                <w:szCs w:val="20"/>
                <w:color w:val="auto"/>
              </w:rPr>
            </w:pPr>
            <w:r>
              <w:rPr>
                <w:rFonts w:ascii="Arial" w:cs="Arial" w:eastAsia="Arial" w:hAnsi="Arial"/>
                <w:sz w:val="22"/>
                <w:szCs w:val="22"/>
                <w:b w:val="1"/>
                <w:bCs w:val="1"/>
                <w:color w:val="FFFFFF"/>
              </w:rPr>
              <w:t>Name and Position</w:t>
            </w:r>
          </w:p>
        </w:tc>
        <w:tc>
          <w:tcPr>
            <w:tcW w:w="1840" w:type="dxa"/>
            <w:vAlign w:val="bottom"/>
            <w:shd w:val="clear" w:color="auto" w:fill="2D53A6"/>
          </w:tcPr>
          <w:p>
            <w:pPr>
              <w:ind w:left="260"/>
              <w:spacing w:after="0"/>
              <w:rPr>
                <w:sz w:val="20"/>
                <w:szCs w:val="20"/>
                <w:color w:val="auto"/>
              </w:rPr>
            </w:pPr>
            <w:r>
              <w:rPr>
                <w:rFonts w:ascii="Arial" w:cs="Arial" w:eastAsia="Arial" w:hAnsi="Arial"/>
                <w:sz w:val="22"/>
                <w:szCs w:val="22"/>
                <w:b w:val="1"/>
                <w:bCs w:val="1"/>
                <w:color w:val="FFFFFF"/>
              </w:rPr>
              <w:t>Granted</w:t>
            </w:r>
          </w:p>
        </w:tc>
        <w:tc>
          <w:tcPr>
            <w:tcW w:w="1660" w:type="dxa"/>
            <w:vAlign w:val="bottom"/>
            <w:shd w:val="clear" w:color="auto" w:fill="2D53A6"/>
          </w:tcPr>
          <w:p>
            <w:pPr>
              <w:ind w:left="120"/>
              <w:spacing w:after="0"/>
              <w:rPr>
                <w:sz w:val="20"/>
                <w:szCs w:val="20"/>
                <w:color w:val="auto"/>
              </w:rPr>
            </w:pPr>
            <w:r>
              <w:rPr>
                <w:rFonts w:ascii="Arial" w:cs="Arial" w:eastAsia="Arial" w:hAnsi="Arial"/>
                <w:sz w:val="22"/>
                <w:szCs w:val="22"/>
                <w:b w:val="1"/>
                <w:bCs w:val="1"/>
                <w:color w:val="FFFFFF"/>
              </w:rPr>
              <w:t>Granted</w:t>
            </w: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840" w:type="dxa"/>
            <w:vAlign w:val="bottom"/>
          </w:tcPr>
          <w:p>
            <w:pPr>
              <w:jc w:val="right"/>
              <w:ind w:right="5"/>
              <w:spacing w:after="0"/>
              <w:rPr>
                <w:sz w:val="20"/>
                <w:szCs w:val="20"/>
                <w:color w:val="auto"/>
              </w:rPr>
            </w:pPr>
            <w:r>
              <w:rPr>
                <w:rFonts w:ascii="Arial" w:cs="Arial" w:eastAsia="Arial" w:hAnsi="Arial"/>
                <w:sz w:val="18"/>
                <w:szCs w:val="18"/>
                <w:color w:val="auto"/>
              </w:rPr>
              <w:t>255,721</w:t>
            </w:r>
          </w:p>
        </w:tc>
        <w:tc>
          <w:tcPr>
            <w:tcW w:w="1660" w:type="dxa"/>
            <w:vAlign w:val="bottom"/>
          </w:tcPr>
          <w:p>
            <w:pPr>
              <w:jc w:val="right"/>
              <w:ind w:right="5"/>
              <w:spacing w:after="0"/>
              <w:rPr>
                <w:sz w:val="20"/>
                <w:szCs w:val="20"/>
                <w:color w:val="auto"/>
              </w:rPr>
            </w:pPr>
            <w:r>
              <w:rPr>
                <w:rFonts w:ascii="Arial" w:cs="Arial" w:eastAsia="Arial" w:hAnsi="Arial"/>
                <w:sz w:val="18"/>
                <w:szCs w:val="18"/>
                <w:color w:val="auto"/>
              </w:rPr>
              <w:t>1,076,198</w:t>
            </w:r>
          </w:p>
        </w:tc>
      </w:tr>
      <w:tr>
        <w:trPr>
          <w:trHeight w:val="202"/>
        </w:trPr>
        <w:tc>
          <w:tcPr>
            <w:tcW w:w="7740" w:type="dxa"/>
            <w:vAlign w:val="bottom"/>
            <w:shd w:val="clear" w:color="auto" w:fill="E6E6E6"/>
          </w:tcPr>
          <w:p>
            <w:pPr>
              <w:spacing w:after="0" w:line="201" w:lineRule="exact"/>
              <w:rPr>
                <w:sz w:val="20"/>
                <w:szCs w:val="20"/>
                <w:color w:val="auto"/>
              </w:rPr>
            </w:pPr>
            <w:r>
              <w:rPr>
                <w:rFonts w:ascii="Arial" w:cs="Arial" w:eastAsia="Arial" w:hAnsi="Arial"/>
                <w:sz w:val="18"/>
                <w:szCs w:val="18"/>
                <w:color w:val="auto"/>
              </w:rPr>
              <w:t>Jeffrey D. Jones</w:t>
            </w:r>
          </w:p>
        </w:tc>
        <w:tc>
          <w:tcPr>
            <w:tcW w:w="1840" w:type="dxa"/>
            <w:vAlign w:val="bottom"/>
            <w:shd w:val="clear" w:color="auto" w:fill="E6E6E6"/>
          </w:tcPr>
          <w:p>
            <w:pPr>
              <w:spacing w:after="0"/>
              <w:rPr>
                <w:sz w:val="17"/>
                <w:szCs w:val="17"/>
                <w:color w:val="auto"/>
              </w:rPr>
            </w:pPr>
          </w:p>
        </w:tc>
        <w:tc>
          <w:tcPr>
            <w:tcW w:w="1660" w:type="dxa"/>
            <w:vAlign w:val="bottom"/>
            <w:shd w:val="clear" w:color="auto" w:fill="E6E6E6"/>
          </w:tcPr>
          <w:p>
            <w:pPr>
              <w:spacing w:after="0"/>
              <w:rPr>
                <w:sz w:val="17"/>
                <w:szCs w:val="17"/>
                <w:color w:val="auto"/>
              </w:rPr>
            </w:pPr>
          </w:p>
        </w:tc>
      </w:tr>
      <w:tr>
        <w:trPr>
          <w:trHeight w:val="230"/>
        </w:trPr>
        <w:tc>
          <w:tcPr>
            <w:tcW w:w="7740" w:type="dxa"/>
            <w:vAlign w:val="bottom"/>
            <w:shd w:val="clear" w:color="auto" w:fill="E6E6E6"/>
          </w:tcPr>
          <w:p>
            <w:pPr>
              <w:spacing w:after="0"/>
              <w:rPr>
                <w:sz w:val="20"/>
                <w:szCs w:val="20"/>
                <w:color w:val="auto"/>
              </w:rPr>
            </w:pPr>
            <w:r>
              <w:rPr>
                <w:rFonts w:ascii="Arial" w:cs="Arial" w:eastAsia="Arial" w:hAnsi="Arial"/>
                <w:sz w:val="18"/>
                <w:szCs w:val="18"/>
                <w:i w:val="1"/>
                <w:iCs w:val="1"/>
                <w:color w:val="auto"/>
              </w:rPr>
              <w:t>Senior Vice President Finance and Chief Financial Officer</w:t>
            </w:r>
          </w:p>
        </w:tc>
        <w:tc>
          <w:tcPr>
            <w:tcW w:w="1840" w:type="dxa"/>
            <w:vAlign w:val="bottom"/>
            <w:shd w:val="clear" w:color="auto" w:fill="E6E6E6"/>
          </w:tcPr>
          <w:p>
            <w:pPr>
              <w:jc w:val="right"/>
              <w:ind w:right="5"/>
              <w:spacing w:after="0"/>
              <w:rPr>
                <w:sz w:val="20"/>
                <w:szCs w:val="20"/>
                <w:color w:val="auto"/>
              </w:rPr>
            </w:pPr>
            <w:r>
              <w:rPr>
                <w:rFonts w:ascii="Arial" w:cs="Arial" w:eastAsia="Arial" w:hAnsi="Arial"/>
                <w:sz w:val="18"/>
                <w:szCs w:val="18"/>
                <w:color w:val="auto"/>
              </w:rPr>
              <w:t>175,972</w:t>
            </w:r>
          </w:p>
        </w:tc>
        <w:tc>
          <w:tcPr>
            <w:tcW w:w="1660" w:type="dxa"/>
            <w:vAlign w:val="bottom"/>
            <w:shd w:val="clear" w:color="auto" w:fill="E6E6E6"/>
          </w:tcPr>
          <w:p>
            <w:pPr>
              <w:jc w:val="right"/>
              <w:ind w:right="5"/>
              <w:spacing w:after="0"/>
              <w:rPr>
                <w:sz w:val="20"/>
                <w:szCs w:val="20"/>
                <w:color w:val="auto"/>
              </w:rPr>
            </w:pPr>
            <w:r>
              <w:rPr>
                <w:rFonts w:ascii="Arial" w:cs="Arial" w:eastAsia="Arial" w:hAnsi="Arial"/>
                <w:sz w:val="18"/>
                <w:szCs w:val="18"/>
                <w:color w:val="auto"/>
              </w:rPr>
              <w:t>426,763</w:t>
            </w: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rPr>
              <w:t>Christopher G. Bohrson</w:t>
            </w: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i w:val="1"/>
                <w:iCs w:val="1"/>
                <w:color w:val="auto"/>
              </w:rPr>
              <w:t>Senior Vice President and Chief Customer Officer</w:t>
            </w:r>
          </w:p>
        </w:tc>
        <w:tc>
          <w:tcPr>
            <w:tcW w:w="18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
              <w:spacing w:after="0"/>
              <w:rPr>
                <w:sz w:val="20"/>
                <w:szCs w:val="20"/>
                <w:color w:val="auto"/>
              </w:rPr>
            </w:pPr>
            <w:r>
              <w:rPr>
                <w:rFonts w:ascii="Arial" w:cs="Arial" w:eastAsia="Arial" w:hAnsi="Arial"/>
                <w:sz w:val="18"/>
                <w:szCs w:val="18"/>
                <w:color w:val="auto"/>
              </w:rPr>
              <w:t>186,016</w:t>
            </w:r>
          </w:p>
        </w:tc>
      </w:tr>
      <w:tr>
        <w:trPr>
          <w:trHeight w:val="202"/>
        </w:trPr>
        <w:tc>
          <w:tcPr>
            <w:tcW w:w="7740" w:type="dxa"/>
            <w:vAlign w:val="bottom"/>
            <w:shd w:val="clear" w:color="auto" w:fill="E6E6E6"/>
          </w:tcPr>
          <w:p>
            <w:pPr>
              <w:spacing w:after="0" w:line="201" w:lineRule="exact"/>
              <w:rPr>
                <w:sz w:val="20"/>
                <w:szCs w:val="20"/>
                <w:color w:val="auto"/>
              </w:rPr>
            </w:pPr>
            <w:r>
              <w:rPr>
                <w:rFonts w:ascii="Arial" w:cs="Arial" w:eastAsia="Arial" w:hAnsi="Arial"/>
                <w:sz w:val="18"/>
                <w:szCs w:val="18"/>
                <w:color w:val="auto"/>
              </w:rPr>
              <w:t>Thomas D. Kampfer</w:t>
            </w:r>
          </w:p>
        </w:tc>
        <w:tc>
          <w:tcPr>
            <w:tcW w:w="1840" w:type="dxa"/>
            <w:vAlign w:val="bottom"/>
            <w:shd w:val="clear" w:color="auto" w:fill="E6E6E6"/>
          </w:tcPr>
          <w:p>
            <w:pPr>
              <w:spacing w:after="0"/>
              <w:rPr>
                <w:sz w:val="17"/>
                <w:szCs w:val="17"/>
                <w:color w:val="auto"/>
              </w:rPr>
            </w:pPr>
          </w:p>
        </w:tc>
        <w:tc>
          <w:tcPr>
            <w:tcW w:w="1660" w:type="dxa"/>
            <w:vAlign w:val="bottom"/>
            <w:shd w:val="clear" w:color="auto" w:fill="E6E6E6"/>
          </w:tcPr>
          <w:p>
            <w:pPr>
              <w:spacing w:after="0"/>
              <w:rPr>
                <w:sz w:val="17"/>
                <w:szCs w:val="17"/>
                <w:color w:val="auto"/>
              </w:rPr>
            </w:pPr>
          </w:p>
        </w:tc>
      </w:tr>
      <w:tr>
        <w:trPr>
          <w:trHeight w:val="230"/>
        </w:trPr>
        <w:tc>
          <w:tcPr>
            <w:tcW w:w="7740" w:type="dxa"/>
            <w:vAlign w:val="bottom"/>
            <w:shd w:val="clear" w:color="auto" w:fill="E6E6E6"/>
          </w:tcPr>
          <w:p>
            <w:pPr>
              <w:spacing w:after="0"/>
              <w:rPr>
                <w:sz w:val="20"/>
                <w:szCs w:val="20"/>
                <w:color w:val="auto"/>
              </w:rPr>
            </w:pPr>
            <w:r>
              <w:rPr>
                <w:rFonts w:ascii="Arial" w:cs="Arial" w:eastAsia="Arial" w:hAnsi="Arial"/>
                <w:sz w:val="18"/>
                <w:szCs w:val="18"/>
                <w:i w:val="1"/>
                <w:iCs w:val="1"/>
                <w:color w:val="auto"/>
              </w:rPr>
              <w:t>Vice President Corporate Development, General Counsel and Secretary</w:t>
            </w:r>
          </w:p>
        </w:tc>
        <w:tc>
          <w:tcPr>
            <w:tcW w:w="1840" w:type="dxa"/>
            <w:vAlign w:val="bottom"/>
            <w:shd w:val="clear" w:color="auto" w:fill="E6E6E6"/>
          </w:tcPr>
          <w:p>
            <w:pPr>
              <w:jc w:val="right"/>
              <w:ind w:right="5"/>
              <w:spacing w:after="0"/>
              <w:rPr>
                <w:sz w:val="20"/>
                <w:szCs w:val="20"/>
                <w:color w:val="auto"/>
              </w:rPr>
            </w:pPr>
            <w:r>
              <w:rPr>
                <w:rFonts w:ascii="Arial" w:cs="Arial" w:eastAsia="Arial" w:hAnsi="Arial"/>
                <w:sz w:val="18"/>
                <w:szCs w:val="18"/>
                <w:color w:val="auto"/>
              </w:rPr>
              <w:t>-</w:t>
            </w:r>
          </w:p>
        </w:tc>
        <w:tc>
          <w:tcPr>
            <w:tcW w:w="1660" w:type="dxa"/>
            <w:vAlign w:val="bottom"/>
            <w:shd w:val="clear" w:color="auto" w:fill="E6E6E6"/>
          </w:tcPr>
          <w:p>
            <w:pPr>
              <w:jc w:val="right"/>
              <w:ind w:right="5"/>
              <w:spacing w:after="0"/>
              <w:rPr>
                <w:sz w:val="20"/>
                <w:szCs w:val="20"/>
                <w:color w:val="auto"/>
              </w:rPr>
            </w:pPr>
            <w:r>
              <w:rPr>
                <w:rFonts w:ascii="Arial" w:cs="Arial" w:eastAsia="Arial" w:hAnsi="Arial"/>
                <w:sz w:val="18"/>
                <w:szCs w:val="18"/>
                <w:color w:val="auto"/>
              </w:rPr>
              <w:t>125,088</w:t>
            </w: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rPr>
              <w:t>Ian P. Lawee</w:t>
            </w: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i w:val="1"/>
                <w:iCs w:val="1"/>
                <w:color w:val="auto"/>
              </w:rPr>
              <w:t>Senior Vice President and General Manager, Semiconductor Test Group</w:t>
            </w:r>
          </w:p>
        </w:tc>
        <w:tc>
          <w:tcPr>
            <w:tcW w:w="18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
              <w:spacing w:after="0"/>
              <w:rPr>
                <w:sz w:val="20"/>
                <w:szCs w:val="20"/>
                <w:color w:val="auto"/>
              </w:rPr>
            </w:pPr>
            <w:r>
              <w:rPr>
                <w:rFonts w:ascii="Arial" w:cs="Arial" w:eastAsia="Arial" w:hAnsi="Arial"/>
                <w:sz w:val="18"/>
                <w:szCs w:val="18"/>
                <w:color w:val="auto"/>
              </w:rPr>
              <w:t>75,769</w:t>
            </w:r>
          </w:p>
        </w:tc>
      </w:tr>
      <w:tr>
        <w:trPr>
          <w:trHeight w:val="216"/>
        </w:trPr>
        <w:tc>
          <w:tcPr>
            <w:tcW w:w="7740" w:type="dxa"/>
            <w:vAlign w:val="bottom"/>
            <w:shd w:val="clear" w:color="auto" w:fill="E6E6E6"/>
          </w:tcPr>
          <w:p>
            <w:pPr>
              <w:spacing w:after="0"/>
              <w:rPr>
                <w:sz w:val="20"/>
                <w:szCs w:val="20"/>
                <w:color w:val="auto"/>
              </w:rPr>
            </w:pPr>
            <w:r>
              <w:rPr>
                <w:rFonts w:ascii="Arial" w:cs="Arial" w:eastAsia="Arial" w:hAnsi="Arial"/>
                <w:sz w:val="18"/>
                <w:szCs w:val="18"/>
                <w:color w:val="auto"/>
              </w:rPr>
              <w:t>All Current Named Executive Officers, as a Group (5 Persons)</w:t>
            </w:r>
          </w:p>
        </w:tc>
        <w:tc>
          <w:tcPr>
            <w:tcW w:w="1840" w:type="dxa"/>
            <w:vAlign w:val="bottom"/>
            <w:shd w:val="clear" w:color="auto" w:fill="E6E6E6"/>
          </w:tcPr>
          <w:p>
            <w:pPr>
              <w:jc w:val="right"/>
              <w:ind w:right="5"/>
              <w:spacing w:after="0"/>
              <w:rPr>
                <w:sz w:val="20"/>
                <w:szCs w:val="20"/>
                <w:color w:val="auto"/>
              </w:rPr>
            </w:pPr>
            <w:r>
              <w:rPr>
                <w:rFonts w:ascii="Arial" w:cs="Arial" w:eastAsia="Arial" w:hAnsi="Arial"/>
                <w:sz w:val="18"/>
                <w:szCs w:val="18"/>
                <w:color w:val="auto"/>
              </w:rPr>
              <w:t>431,693</w:t>
            </w:r>
          </w:p>
        </w:tc>
        <w:tc>
          <w:tcPr>
            <w:tcW w:w="1660" w:type="dxa"/>
            <w:vAlign w:val="bottom"/>
            <w:shd w:val="clear" w:color="auto" w:fill="E6E6E6"/>
          </w:tcPr>
          <w:p>
            <w:pPr>
              <w:jc w:val="right"/>
              <w:ind w:right="5"/>
              <w:spacing w:after="0"/>
              <w:rPr>
                <w:sz w:val="20"/>
                <w:szCs w:val="20"/>
                <w:color w:val="auto"/>
              </w:rPr>
            </w:pPr>
            <w:r>
              <w:rPr>
                <w:rFonts w:ascii="Arial" w:cs="Arial" w:eastAsia="Arial" w:hAnsi="Arial"/>
                <w:sz w:val="18"/>
                <w:szCs w:val="18"/>
                <w:color w:val="auto"/>
              </w:rPr>
              <w:t>1,925,834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All Current Non-Employee Directors who are not Executive Officers, as a Group (7 Persons)</w:t>
            </w:r>
          </w:p>
        </w:tc>
        <w:tc>
          <w:tcPr>
            <w:tcW w:w="1840" w:type="dxa"/>
            <w:vAlign w:val="bottom"/>
          </w:tcPr>
          <w:p>
            <w:pPr>
              <w:jc w:val="right"/>
              <w:ind w:right="5"/>
              <w:spacing w:after="0"/>
              <w:rPr>
                <w:sz w:val="20"/>
                <w:szCs w:val="20"/>
                <w:color w:val="auto"/>
              </w:rPr>
            </w:pPr>
            <w:r>
              <w:rPr>
                <w:rFonts w:ascii="Arial" w:cs="Arial" w:eastAsia="Arial" w:hAnsi="Arial"/>
                <w:sz w:val="18"/>
                <w:szCs w:val="18"/>
                <w:color w:val="auto"/>
              </w:rPr>
              <w:t>628,949</w:t>
            </w:r>
          </w:p>
        </w:tc>
        <w:tc>
          <w:tcPr>
            <w:tcW w:w="1660" w:type="dxa"/>
            <w:vAlign w:val="bottom"/>
          </w:tcPr>
          <w:p>
            <w:pPr>
              <w:jc w:val="right"/>
              <w:ind w:right="5"/>
              <w:spacing w:after="0"/>
              <w:rPr>
                <w:sz w:val="20"/>
                <w:szCs w:val="20"/>
                <w:color w:val="auto"/>
              </w:rPr>
            </w:pPr>
            <w:r>
              <w:rPr>
                <w:rFonts w:ascii="Arial" w:cs="Arial" w:eastAsia="Arial" w:hAnsi="Arial"/>
                <w:sz w:val="18"/>
                <w:szCs w:val="18"/>
                <w:color w:val="auto"/>
              </w:rPr>
              <w:t>717,196</w:t>
            </w:r>
          </w:p>
        </w:tc>
      </w:tr>
      <w:tr>
        <w:trPr>
          <w:trHeight w:val="229"/>
        </w:trPr>
        <w:tc>
          <w:tcPr>
            <w:tcW w:w="774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8"/>
                <w:szCs w:val="18"/>
                <w:color w:val="auto"/>
                <w:w w:val="95"/>
              </w:rPr>
              <w:t>All Other Employees, Including all Current Officers who are not Named Executive Officers, as a Group</w:t>
            </w:r>
          </w:p>
        </w:tc>
        <w:tc>
          <w:tcPr>
            <w:tcW w:w="184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18"/>
                <w:szCs w:val="18"/>
                <w:color w:val="auto"/>
              </w:rPr>
              <w:t>2,151,166</w:t>
            </w:r>
          </w:p>
        </w:tc>
        <w:tc>
          <w:tcPr>
            <w:tcW w:w="1660" w:type="dxa"/>
            <w:vAlign w:val="bottom"/>
            <w:tcBorders>
              <w:bottom w:val="single" w:sz="8" w:color="auto"/>
            </w:tcBorders>
            <w:shd w:val="clear" w:color="auto" w:fill="E6E6E6"/>
          </w:tcPr>
          <w:p>
            <w:pPr>
              <w:jc w:val="right"/>
              <w:ind w:right="5"/>
              <w:spacing w:after="0"/>
              <w:rPr>
                <w:sz w:val="20"/>
                <w:szCs w:val="20"/>
                <w:color w:val="auto"/>
              </w:rPr>
            </w:pPr>
            <w:r>
              <w:rPr>
                <w:rFonts w:ascii="Arial" w:cs="Arial" w:eastAsia="Arial" w:hAnsi="Arial"/>
                <w:sz w:val="18"/>
                <w:szCs w:val="18"/>
                <w:color w:val="auto"/>
              </w:rPr>
              <w:t>5,324,342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 majority of the votes cast is required to approve </w:t>
      </w:r>
      <w:r>
        <w:rPr>
          <w:rFonts w:ascii="Arial" w:cs="Arial" w:eastAsia="Arial" w:hAnsi="Arial"/>
          <w:sz w:val="18"/>
          <w:szCs w:val="18"/>
          <w:u w:val="single" w:color="auto"/>
          <w:color w:val="auto"/>
        </w:rPr>
        <w:t>Proposal No. 4</w:t>
      </w:r>
      <w:r>
        <w:rPr>
          <w:rFonts w:ascii="Arial" w:cs="Arial" w:eastAsia="Arial" w:hAnsi="Arial"/>
          <w:sz w:val="18"/>
          <w:szCs w:val="18"/>
          <w:color w:val="auto"/>
        </w:rPr>
        <w:t xml:space="preserve">. </w:t>
      </w:r>
      <w:r>
        <w:rPr>
          <w:rFonts w:ascii="Arial" w:cs="Arial" w:eastAsia="Arial" w:hAnsi="Arial"/>
          <w:sz w:val="18"/>
          <w:szCs w:val="18"/>
          <w:i w:val="1"/>
          <w:iCs w:val="1"/>
          <w:color w:val="auto"/>
        </w:rPr>
        <w:t>Brokers do not have discretion to vote on this proposal without your instruction</w:t>
      </w:r>
      <w:r>
        <w:rPr>
          <w:rFonts w:ascii="Arial" w:cs="Arial" w:eastAsia="Arial" w:hAnsi="Arial"/>
          <w:sz w:val="18"/>
          <w:szCs w:val="18"/>
          <w:color w:val="auto"/>
        </w:rPr>
        <w:t xml:space="preserve">. </w:t>
      </w:r>
      <w:r>
        <w:rPr>
          <w:rFonts w:ascii="Arial" w:cs="Arial" w:eastAsia="Arial" w:hAnsi="Arial"/>
          <w:sz w:val="18"/>
          <w:szCs w:val="18"/>
          <w:i w:val="1"/>
          <w:iCs w:val="1"/>
          <w:color w:val="auto"/>
        </w:rPr>
        <w:t>If you</w:t>
      </w:r>
      <w:r>
        <w:rPr>
          <w:rFonts w:ascii="Arial" w:cs="Arial" w:eastAsia="Arial" w:hAnsi="Arial"/>
          <w:sz w:val="18"/>
          <w:szCs w:val="18"/>
          <w:color w:val="auto"/>
        </w:rPr>
        <w:t xml:space="preserve"> </w:t>
      </w:r>
      <w:r>
        <w:rPr>
          <w:rFonts w:ascii="Arial" w:cs="Arial" w:eastAsia="Arial" w:hAnsi="Arial"/>
          <w:sz w:val="18"/>
          <w:szCs w:val="18"/>
          <w:i w:val="1"/>
          <w:iCs w:val="1"/>
          <w:color w:val="auto"/>
        </w:rPr>
        <w:t>do not instruct your broker how to vote on this proposal, your broker will deliver a non-vote on this proposal</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925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amendments to the Cohu 2005 Equity Incentive Plan. The Board of Directors believes that the proposed amendments to the 2005 Plan are in the best interests of the Company and its stockholders for the reasons stated above. Therefore, the Board unanimously recommends a vote </w:t>
      </w:r>
      <w:r>
        <w:rPr>
          <w:rFonts w:ascii="Arial" w:cs="Arial" w:eastAsia="Arial" w:hAnsi="Arial"/>
          <w:sz w:val="22"/>
          <w:szCs w:val="22"/>
          <w:color w:val="FFFFFF"/>
        </w:rPr>
        <w:t>“</w:t>
      </w:r>
      <w:r>
        <w:rPr>
          <w:rFonts w:ascii="Arial" w:cs="Arial" w:eastAsia="Arial" w:hAnsi="Arial"/>
          <w:sz w:val="22"/>
          <w:szCs w:val="22"/>
          <w:b w:val="1"/>
          <w:bCs w:val="1"/>
          <w:color w:val="FFFFFF"/>
        </w:rPr>
        <w:t>FOR</w:t>
      </w:r>
      <w:r>
        <w:rPr>
          <w:rFonts w:ascii="Arial" w:cs="Arial" w:eastAsia="Arial" w:hAnsi="Arial"/>
          <w:sz w:val="22"/>
          <w:szCs w:val="22"/>
          <w:color w:val="FFFFFF"/>
        </w:rPr>
        <w:t xml:space="preserve">” </w:t>
      </w:r>
      <w:r>
        <w:rPr>
          <w:rFonts w:ascii="Arial" w:cs="Arial" w:eastAsia="Arial" w:hAnsi="Arial"/>
          <w:sz w:val="22"/>
          <w:szCs w:val="22"/>
          <w:b w:val="1"/>
          <w:bCs w:val="1"/>
          <w:color w:val="FFFFFF"/>
        </w:rPr>
        <w:t>approval of the amendments to the 2005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5: Approval of Amendments to the Cohu, Inc. 1997 Employee Stock Purchase Plan</w:t>
      </w:r>
    </w:p>
    <w:p>
      <w:pPr>
        <w:spacing w:after="0" w:line="21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are asking stockholders to approve an amendment to our 1997 Employee Stock Purchase Plan (the “</w:t>
      </w:r>
      <w:r>
        <w:rPr>
          <w:rFonts w:ascii="Arial" w:cs="Arial" w:eastAsia="Arial" w:hAnsi="Arial"/>
          <w:sz w:val="16"/>
          <w:szCs w:val="16"/>
          <w:u w:val="single" w:color="auto"/>
          <w:color w:val="auto"/>
        </w:rPr>
        <w:t>1997 ESPP</w:t>
      </w:r>
      <w:r>
        <w:rPr>
          <w:rFonts w:ascii="Arial" w:cs="Arial" w:eastAsia="Arial" w:hAnsi="Arial"/>
          <w:sz w:val="16"/>
          <w:szCs w:val="16"/>
          <w:color w:val="auto"/>
        </w:rPr>
        <w:t>”) to, among other things increase the number of shares that may be issued under the 1997 ESPP by an additional 600,000 shares. As proposed to be amended, our 1997 ESPP contains the following material changes from the terms which are currently in effect for our 1997 ESPP (together, the “</w:t>
      </w:r>
      <w:r>
        <w:rPr>
          <w:rFonts w:ascii="Arial" w:cs="Arial" w:eastAsia="Arial" w:hAnsi="Arial"/>
          <w:sz w:val="16"/>
          <w:szCs w:val="16"/>
          <w:u w:val="single" w:color="auto"/>
          <w:color w:val="auto"/>
        </w:rPr>
        <w:t>1997 ESPP Amendments</w:t>
      </w:r>
      <w:r>
        <w:rPr>
          <w:rFonts w:ascii="Arial" w:cs="Arial" w:eastAsia="Arial" w:hAnsi="Arial"/>
          <w:sz w:val="16"/>
          <w:szCs w:val="16"/>
          <w:color w:val="auto"/>
        </w:rPr>
        <w:t>”):</w:t>
      </w:r>
    </w:p>
    <w:p>
      <w:pPr>
        <w:spacing w:after="0" w:line="149" w:lineRule="exact"/>
        <w:rPr>
          <w:sz w:val="20"/>
          <w:szCs w:val="20"/>
          <w:color w:val="auto"/>
        </w:rPr>
      </w:pPr>
    </w:p>
    <w:p>
      <w:pPr>
        <w:ind w:left="820" w:right="460" w:hanging="326"/>
        <w:spacing w:after="0" w:line="25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the number of shares of common stock available for issuance under the 1997 ESPP by an additional 600,000 shares to 3,750,000 shares, and</w:t>
      </w:r>
    </w:p>
    <w:p>
      <w:pPr>
        <w:spacing w:after="0" w:line="1" w:lineRule="exact"/>
        <w:rPr>
          <w:rFonts w:ascii="Arial" w:cs="Arial" w:eastAsia="Arial" w:hAnsi="Arial"/>
          <w:sz w:val="18"/>
          <w:szCs w:val="18"/>
          <w:color w:val="auto"/>
        </w:rPr>
      </w:pPr>
    </w:p>
    <w:p>
      <w:pPr>
        <w:ind w:left="820" w:right="100" w:hanging="326"/>
        <w:spacing w:after="0" w:line="260"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eliminates the requirement that no participant may purchase shares for any offering period with a value exceeding $12,500 divided by the share value on the first date of the offering period.</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Board recommends stockholders approve the 1997 ESPP Amendments to promote our long-term growth and profitability by aligning the interests of our employees with those of other stockholders and providing additional incentives to enhance stockholder value. The 1997 ESPP is designed to allow eligible employees of the Company and its participating subsidiaries (whether now existing or subsequently established or acquired) to purchase common shares at designated intervals at a discount through their accumulated payroll deductions or other contributions.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Currently, a maximum of 3,150,000 shares of our common stock may be issued under the 1997 ESPP. As of March 16, 2023, a total of 2,803,502 shares of our common stock have been issued under the 1997 ESPP, and 346,498 shares are available for future issuances. As a result, we believe that the current authorized number of shares under the 1997 ESPP is inadequate to provide reasonable incentives to our employees going forward.</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1997 ESPP is otherwise substantially unchanged since our stockholders approved certain amendments to the 1997 ESPP at the 2019 Annual Meeting of Stockholders. Our employees are our most valuable assets, and the 1997 ESPP is important to our ability to attract and retain outstanding and highly skilled individuals in the extremely competitive labor markets in which we must compete. The purchase of stock is also crucial to our ability to motivate employees to achieve our long-term goals and provides a source of capital.</w:t>
      </w:r>
    </w:p>
    <w:p>
      <w:pPr>
        <w:spacing w:after="0" w:line="187"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 xml:space="preserve">Our Board adopted the 1997 ESPP Amendments on March 14, 2023, subject to approval by stockholders. If stockholders do not approve the 1997 ESPP Amendments, no shares will be added to the number of shares reserved for issuance under the 1997 ESPP and the $12,500 offering period purchase limit will remain in effect. A summary of the principal provisions of the 1997 ESPP as proposed to be amended is set forth below. The summary is qualified by reference to the full text of the 1997 ESPP, as amended, a copy of which is attached as </w:t>
      </w:r>
      <w:r>
        <w:rPr>
          <w:rFonts w:ascii="Arial" w:cs="Arial" w:eastAsia="Arial" w:hAnsi="Arial"/>
          <w:sz w:val="16"/>
          <w:szCs w:val="16"/>
          <w:b w:val="1"/>
          <w:bCs w:val="1"/>
          <w:u w:val="single" w:color="auto"/>
          <w:color w:val="auto"/>
        </w:rPr>
        <w:t>Appendix C</w:t>
      </w:r>
      <w:r>
        <w:rPr>
          <w:rFonts w:ascii="Arial" w:cs="Arial" w:eastAsia="Arial" w:hAnsi="Arial"/>
          <w:sz w:val="16"/>
          <w:szCs w:val="16"/>
          <w:color w:val="auto"/>
        </w:rPr>
        <w:t xml:space="preserve"> to this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2D53A6"/>
        </w:rPr>
        <w:t>Summary of the 1997 ESPP</w:t>
      </w: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Board of Directors believes that the recruitment and retention of qualified personnel are essential to the Company’s continued growth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and that the 1997 ESPP is necessary for the Company to remain competitive in its compensation practices. The majority of high technology companies have purchase plans similar to the 1997 ESPP described herein. The 1997 ESPP provides employees the opportunity to purchase our common stock at a discount from market through payroll deductions.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1997 ESPP is administered by the Compensation Committee of the Board. The Committee has full authority to adopt such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as it may deem necessary for proper plan administration and to interpret the provisions of the 1997 ESPP. All costs and expenses incurred in plan administration are paid by the Company without charge to participants.</w:t>
      </w:r>
    </w:p>
    <w:p>
      <w:pPr>
        <w:spacing w:after="0" w:line="18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Eligibility and Participation</w:t>
      </w:r>
      <w:r>
        <w:rPr>
          <w:rFonts w:ascii="Arial" w:cs="Arial" w:eastAsia="Arial" w:hAnsi="Arial"/>
          <w:sz w:val="16"/>
          <w:szCs w:val="16"/>
          <w:color w:val="auto"/>
        </w:rPr>
        <w:t>. Any regular employee, including officers, who is employed by the Company (or any of its majority-owned subsidiaries)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20 hours per week and more than five months in a calendar year is eligible to participate in the 1997 ESPP, provided that the employee is employed on the first day of an offering period and subject to certain limitations imposed by the Code. As of March 16, 2023, approximately 3,000 employees were eligible to participate in the 1997 ESPP. Eligible employees become participants in the 1997 ESPP by delivering a subscription agreement authorizing payroll deductions prior to the applicable offering date, or at such other time as may be determined by the Compensation Committee with respect to a given offering. By executing a subscription agreement to participate in the 1997 ESPP, each employee is granted a right to purchase shares of our common stock. No employee may subscribe for shares under the 1997 ESPP if, immediately after the grant of the purchase right, the employee would own 5% or more of the voting stock of all classes of stock of the Company, nor may any employee be granted purchase right that would permit such employee to purchase stock under the 1997 ESPP at a rate that exceeds $25,000 in value (determined at the fair market value of the shares at the time the purchase right is granted) for each calendar year in which such purchase right is outstanding at any time.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8" w:name="page79"/>
    <w:bookmarkEnd w:id="78"/>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Offering Periods</w:t>
      </w:r>
      <w:r>
        <w:rPr>
          <w:rFonts w:ascii="Arial" w:cs="Arial" w:eastAsia="Arial" w:hAnsi="Arial"/>
          <w:sz w:val="16"/>
          <w:szCs w:val="16"/>
          <w:color w:val="auto"/>
        </w:rPr>
        <w:t>. The 1997 ESPP is implemented in a series of successive offering periods each with a duration of six months. Offering periods commence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or about November 1 and May 1. Shares are purchased by participants on the last business day of each offering period. The Board of Directors may alter the duration of the offering periods without stockholder approval, provided that no offering period may have a term exceeding 27 months.</w:t>
      </w:r>
    </w:p>
    <w:p>
      <w:pPr>
        <w:spacing w:after="0" w:line="14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price per share at which shares are purchased under the 1997 ESPP is equal to the lower of (i) 85% of the fair market value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date of commencement of the offering period and (ii) 85% of the fair market value of the common stock on the last day of the offering period. The fair market value of our common stock on any relevant date will be deemed to equal the closing price on such date on the Nasdaq Global Select Market. On March 16, 2023, the closing price of the Company’s common stock on the Nasdaq Global Select Market was $37.68 per share.</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Payment of Purchase Price; Payroll Deductions</w:t>
      </w:r>
      <w:r>
        <w:rPr>
          <w:rFonts w:ascii="Arial" w:cs="Arial" w:eastAsia="Arial" w:hAnsi="Arial"/>
          <w:sz w:val="17"/>
          <w:szCs w:val="17"/>
          <w:color w:val="auto"/>
        </w:rPr>
        <w:t>. The purchase price for shares is accumulated by payroll deductions during the offering period.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deductions may not exceed 10% of a participant’s eligible compensation, which is defined in the 1997 ESPP to include regular straight-time salary, exclusive of any payments for overtime, bonuses, commissions or incentive compensation. Each participant’s right to purchase shares during a six-month offering period is limited to 3,000 shares. Payroll deductions commence on the first payday following the commencement of the offering and continue until the end of the offering period unless sooner terminated as provided for in the 1997 ESPP. All payroll deductions are credited to the participant’s account under the 1997 ESPP and are deposited with our general funds and may be used by the Company for any corporate purpose.</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Withdrawal</w:t>
      </w:r>
      <w:r>
        <w:rPr>
          <w:rFonts w:ascii="Arial" w:cs="Arial" w:eastAsia="Arial" w:hAnsi="Arial"/>
          <w:sz w:val="17"/>
          <w:szCs w:val="17"/>
          <w:color w:val="auto"/>
        </w:rPr>
        <w:t>. A participant’s interest in a given offering may be terminated in whole, but not in part, by signing and delivering a notice of withdrawal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1997 ESPP. Such withdrawal may be elected at any time prior 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receives a refund of their payroll deductions for the offering period in which such loss of eligibility status occurs. No interest is paid on such refunds.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Shares Reserved for Issuance; Capital Changes</w:t>
      </w:r>
      <w:r>
        <w:rPr>
          <w:rFonts w:ascii="Arial" w:cs="Arial" w:eastAsia="Arial" w:hAnsi="Arial"/>
          <w:sz w:val="18"/>
          <w:szCs w:val="18"/>
          <w:color w:val="auto"/>
        </w:rPr>
        <w:t>. If 1997 ESPP Amendments are approved by the stockholders, the number of shares authorized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under the 1997 ESPP will be 3,750,000 shares. In the event any change is made in the capitalization of the Company, such as stock splits or stock dividends, which results in an increase or decrease in the number of shares of common stock outstanding, we will make appropriate adjustments to outstanding purchase rights and the offering period purchase limits. In the event the Company is acquired by merger or asset sale during an offering period, all outstanding purchase rights may be assumed or equivalent purchase rights may be substituted by the successor corporation. If the successor corporation does not agree to assume or substitute for the purchase rights, the Board will provide for outstanding purchase rights to be exercised immediately prior to the acquisition.</w:t>
      </w:r>
    </w:p>
    <w:p>
      <w:pPr>
        <w:spacing w:after="0" w:line="19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Nonassignability</w:t>
      </w:r>
      <w:r>
        <w:rPr>
          <w:rFonts w:ascii="Arial" w:cs="Arial" w:eastAsia="Arial" w:hAnsi="Arial"/>
          <w:sz w:val="18"/>
          <w:szCs w:val="18"/>
          <w:color w:val="auto"/>
        </w:rPr>
        <w:t>. No rights or accumulated payroll deductions of an employee under the 1997 ESPP may be pledged, assigned or transferred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 and any such attempt may be treated as an election to withdraw from the 1997 ESPP.</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Amendment and Termination</w:t>
      </w:r>
      <w:r>
        <w:rPr>
          <w:rFonts w:ascii="Arial" w:cs="Arial" w:eastAsia="Arial" w:hAnsi="Arial"/>
          <w:sz w:val="16"/>
          <w:szCs w:val="16"/>
          <w:color w:val="auto"/>
        </w:rPr>
        <w:t>. The 1997 ESPP will continue in effect until the first to occur of (i) its termination by the Board of Directors, (ii) the date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all shares available for issuance under the 1997 ESPP have been issued or (iii) the date on which all outstanding purchase rights are exercised in connection with an acquisition of the Company. The Board of Directors may at any time amend or terminate the 1997 ESPP, except that such termination shall not affect purchase rights previously granted nor may any amendment make any change in a purchase right granted prior thereto which adversely affects the rights of any participant. No amendment may be made to the 1997 ESPP without the prior approval of our stockholders if such amendment would increase the number of shares reserved under the 1997 ESPP, permit payroll deductions in excess of 10% of the participant’s compensation, materially modify the eligibility requirements or materially increase the benefits which may accrue under the 1997 ESPP.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2D53A6"/>
        </w:rPr>
        <w:t>Summary of U.S. Federal Income Tax Consequences</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is only a summary of the United States federal income tax consequences to participants in the 1997 ESPP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1997 ESPP.</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1997 ESPP is intended to qualify under the provisions of Sections 421 and 423 of the Code. Under these provisions, no income will be taxable to a participant at the time of grant of the purchase right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We are not entitled to a deduction for amounts taxable to a participant, except to the extent of ordinary income reported by participants upon disposition of shares prior to the expiration of the holding periods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2D53A6"/>
        </w:rPr>
        <w:t>Amended Plan Benefits and Additional Information</w:t>
      </w:r>
    </w:p>
    <w:p>
      <w:pPr>
        <w:spacing w:after="0" w:line="21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Because benefits under the 1997 ESPP will depend on employees’ elections to participate and the fair market value of the Company’s common stock at various future dates, it is not possible to determine the benefits that will be received by executive officers and other employees if the proposed amendment to the 1997 ESPP is approved by the stockholders. Non-employee directors are not eligible to participate in the 1997 ESPP.</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number of shares of common stock purchased under the 1997 ESPP since its inception through March 16, 2023 by the following individuals and groups are as follows:</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260" w:type="dxa"/>
            <w:vAlign w:val="bottom"/>
            <w:shd w:val="clear" w:color="auto" w:fill="2D53A6"/>
          </w:tcPr>
          <w:p>
            <w:pPr>
              <w:spacing w:after="0"/>
              <w:rPr>
                <w:sz w:val="21"/>
                <w:szCs w:val="21"/>
                <w:color w:val="auto"/>
              </w:rPr>
            </w:pPr>
          </w:p>
        </w:tc>
        <w:tc>
          <w:tcPr>
            <w:tcW w:w="2400" w:type="dxa"/>
            <w:vAlign w:val="bottom"/>
            <w:shd w:val="clear" w:color="auto" w:fill="2D53A6"/>
          </w:tcPr>
          <w:p>
            <w:pPr>
              <w:ind w:left="800"/>
              <w:spacing w:after="0"/>
              <w:rPr>
                <w:sz w:val="20"/>
                <w:szCs w:val="20"/>
                <w:color w:val="auto"/>
              </w:rPr>
            </w:pPr>
            <w:r>
              <w:rPr>
                <w:rFonts w:ascii="Arial" w:cs="Arial" w:eastAsia="Arial" w:hAnsi="Arial"/>
                <w:sz w:val="22"/>
                <w:szCs w:val="22"/>
                <w:b w:val="1"/>
                <w:bCs w:val="1"/>
                <w:color w:val="FFFFFF"/>
              </w:rPr>
              <w:t>Number of</w:t>
            </w:r>
          </w:p>
        </w:tc>
      </w:tr>
      <w:tr>
        <w:trPr>
          <w:trHeight w:val="270"/>
        </w:trPr>
        <w:tc>
          <w:tcPr>
            <w:tcW w:w="20" w:type="dxa"/>
            <w:vAlign w:val="bottom"/>
          </w:tcPr>
          <w:p>
            <w:pPr>
              <w:spacing w:after="0"/>
              <w:rPr>
                <w:sz w:val="23"/>
                <w:szCs w:val="23"/>
                <w:color w:val="auto"/>
              </w:rPr>
            </w:pPr>
          </w:p>
        </w:tc>
        <w:tc>
          <w:tcPr>
            <w:tcW w:w="8260" w:type="dxa"/>
            <w:vAlign w:val="bottom"/>
            <w:shd w:val="clear" w:color="auto" w:fill="2D53A6"/>
          </w:tcPr>
          <w:p>
            <w:pPr>
              <w:spacing w:after="0"/>
              <w:rPr>
                <w:sz w:val="20"/>
                <w:szCs w:val="20"/>
                <w:color w:val="auto"/>
              </w:rPr>
            </w:pPr>
            <w:r>
              <w:rPr>
                <w:rFonts w:ascii="Arial" w:cs="Arial" w:eastAsia="Arial" w:hAnsi="Arial"/>
                <w:sz w:val="22"/>
                <w:szCs w:val="22"/>
                <w:b w:val="1"/>
                <w:bCs w:val="1"/>
                <w:color w:val="FFFFFF"/>
              </w:rPr>
              <w:t>Name and Position</w:t>
            </w:r>
          </w:p>
        </w:tc>
        <w:tc>
          <w:tcPr>
            <w:tcW w:w="2400" w:type="dxa"/>
            <w:vAlign w:val="bottom"/>
            <w:shd w:val="clear" w:color="auto" w:fill="2D53A6"/>
          </w:tcPr>
          <w:p>
            <w:pPr>
              <w:ind w:left="800"/>
              <w:spacing w:after="0"/>
              <w:rPr>
                <w:sz w:val="20"/>
                <w:szCs w:val="20"/>
                <w:color w:val="auto"/>
              </w:rPr>
            </w:pPr>
            <w:r>
              <w:rPr>
                <w:rFonts w:ascii="Arial" w:cs="Arial" w:eastAsia="Arial" w:hAnsi="Arial"/>
                <w:sz w:val="22"/>
                <w:szCs w:val="22"/>
                <w:b w:val="1"/>
                <w:bCs w:val="1"/>
                <w:color w:val="FFFFFF"/>
              </w:rPr>
              <w:t>Shares</w:t>
            </w: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tc>
        <w:tc>
          <w:tcPr>
            <w:tcW w:w="2400" w:type="dxa"/>
            <w:vAlign w:val="bottom"/>
          </w:tcPr>
          <w:p>
            <w:pPr>
              <w:spacing w:after="0"/>
              <w:rPr>
                <w:sz w:val="17"/>
                <w:szCs w:val="17"/>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400" w:type="dxa"/>
            <w:vAlign w:val="bottom"/>
          </w:tcPr>
          <w:p>
            <w:pPr>
              <w:jc w:val="right"/>
              <w:ind w:right="6"/>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260" w:type="dxa"/>
            <w:vAlign w:val="bottom"/>
            <w:shd w:val="clear" w:color="auto" w:fill="E6E6E6"/>
          </w:tcPr>
          <w:p>
            <w:pPr>
              <w:spacing w:after="0" w:line="201" w:lineRule="exact"/>
              <w:rPr>
                <w:sz w:val="20"/>
                <w:szCs w:val="20"/>
                <w:color w:val="auto"/>
              </w:rPr>
            </w:pPr>
            <w:r>
              <w:rPr>
                <w:rFonts w:ascii="Arial" w:cs="Arial" w:eastAsia="Arial" w:hAnsi="Arial"/>
                <w:sz w:val="18"/>
                <w:szCs w:val="18"/>
                <w:color w:val="auto"/>
              </w:rPr>
              <w:t>Jeffrey D. Jones</w:t>
            </w:r>
          </w:p>
        </w:tc>
        <w:tc>
          <w:tcPr>
            <w:tcW w:w="2400" w:type="dxa"/>
            <w:vAlign w:val="bottom"/>
            <w:shd w:val="clear" w:color="auto" w:fill="E6E6E6"/>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E6E6E6"/>
          </w:tcPr>
          <w:p>
            <w:pPr>
              <w:spacing w:after="0"/>
              <w:rPr>
                <w:sz w:val="20"/>
                <w:szCs w:val="20"/>
                <w:color w:val="auto"/>
              </w:rPr>
            </w:pPr>
            <w:r>
              <w:rPr>
                <w:rFonts w:ascii="Arial" w:cs="Arial" w:eastAsia="Arial" w:hAnsi="Arial"/>
                <w:sz w:val="18"/>
                <w:szCs w:val="18"/>
                <w:i w:val="1"/>
                <w:iCs w:val="1"/>
                <w:color w:val="auto"/>
              </w:rPr>
              <w:t>Senior Vice President Finance and Chief Financial Officer</w:t>
            </w:r>
          </w:p>
        </w:tc>
        <w:tc>
          <w:tcPr>
            <w:tcW w:w="2400" w:type="dxa"/>
            <w:vAlign w:val="bottom"/>
            <w:shd w:val="clear" w:color="auto" w:fill="E6E6E6"/>
          </w:tcPr>
          <w:p>
            <w:pPr>
              <w:jc w:val="right"/>
              <w:ind w:right="6"/>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Christopher G. Bohrson</w:t>
            </w:r>
          </w:p>
        </w:tc>
        <w:tc>
          <w:tcPr>
            <w:tcW w:w="2400" w:type="dxa"/>
            <w:vAlign w:val="bottom"/>
          </w:tcPr>
          <w:p>
            <w:pPr>
              <w:spacing w:after="0"/>
              <w:rPr>
                <w:sz w:val="17"/>
                <w:szCs w:val="17"/>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 and Chief Customer Officer</w:t>
            </w:r>
          </w:p>
        </w:tc>
        <w:tc>
          <w:tcPr>
            <w:tcW w:w="2400" w:type="dxa"/>
            <w:vAlign w:val="bottom"/>
          </w:tcPr>
          <w:p>
            <w:pPr>
              <w:jc w:val="right"/>
              <w:ind w:right="6"/>
              <w:spacing w:after="0"/>
              <w:rPr>
                <w:sz w:val="20"/>
                <w:szCs w:val="20"/>
                <w:color w:val="auto"/>
              </w:rPr>
            </w:pPr>
            <w:r>
              <w:rPr>
                <w:rFonts w:ascii="Arial" w:cs="Arial" w:eastAsia="Arial" w:hAnsi="Arial"/>
                <w:sz w:val="18"/>
                <w:szCs w:val="18"/>
                <w:color w:val="auto"/>
              </w:rPr>
              <w:t>1,221</w:t>
            </w:r>
          </w:p>
        </w:tc>
      </w:tr>
      <w:tr>
        <w:trPr>
          <w:trHeight w:val="202"/>
        </w:trPr>
        <w:tc>
          <w:tcPr>
            <w:tcW w:w="20" w:type="dxa"/>
            <w:vAlign w:val="bottom"/>
          </w:tcPr>
          <w:p>
            <w:pPr>
              <w:spacing w:after="0"/>
              <w:rPr>
                <w:sz w:val="17"/>
                <w:szCs w:val="17"/>
                <w:color w:val="auto"/>
              </w:rPr>
            </w:pPr>
          </w:p>
        </w:tc>
        <w:tc>
          <w:tcPr>
            <w:tcW w:w="8260" w:type="dxa"/>
            <w:vAlign w:val="bottom"/>
            <w:shd w:val="clear" w:color="auto" w:fill="E6E6E6"/>
          </w:tcPr>
          <w:p>
            <w:pPr>
              <w:spacing w:after="0" w:line="201" w:lineRule="exact"/>
              <w:rPr>
                <w:sz w:val="20"/>
                <w:szCs w:val="20"/>
                <w:color w:val="auto"/>
              </w:rPr>
            </w:pPr>
            <w:r>
              <w:rPr>
                <w:rFonts w:ascii="Arial" w:cs="Arial" w:eastAsia="Arial" w:hAnsi="Arial"/>
                <w:sz w:val="18"/>
                <w:szCs w:val="18"/>
                <w:color w:val="auto"/>
              </w:rPr>
              <w:t>Thomas D. Kampfer</w:t>
            </w:r>
          </w:p>
        </w:tc>
        <w:tc>
          <w:tcPr>
            <w:tcW w:w="2400" w:type="dxa"/>
            <w:vAlign w:val="bottom"/>
            <w:shd w:val="clear" w:color="auto" w:fill="E6E6E6"/>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E6E6E6"/>
          </w:tcPr>
          <w:p>
            <w:pPr>
              <w:spacing w:after="0"/>
              <w:rPr>
                <w:sz w:val="20"/>
                <w:szCs w:val="20"/>
                <w:color w:val="auto"/>
              </w:rPr>
            </w:pPr>
            <w:r>
              <w:rPr>
                <w:rFonts w:ascii="Arial" w:cs="Arial" w:eastAsia="Arial" w:hAnsi="Arial"/>
                <w:sz w:val="18"/>
                <w:szCs w:val="18"/>
                <w:i w:val="1"/>
                <w:iCs w:val="1"/>
                <w:color w:val="auto"/>
              </w:rPr>
              <w:t>Vice President Corporate Development, General Counsel and Secretary</w:t>
            </w:r>
          </w:p>
        </w:tc>
        <w:tc>
          <w:tcPr>
            <w:tcW w:w="2400" w:type="dxa"/>
            <w:vAlign w:val="bottom"/>
            <w:shd w:val="clear" w:color="auto" w:fill="E6E6E6"/>
          </w:tcPr>
          <w:p>
            <w:pPr>
              <w:jc w:val="right"/>
              <w:ind w:right="6"/>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260" w:type="dxa"/>
            <w:vAlign w:val="bottom"/>
          </w:tcPr>
          <w:p>
            <w:pPr>
              <w:spacing w:after="0" w:line="201" w:lineRule="exact"/>
              <w:rPr>
                <w:sz w:val="20"/>
                <w:szCs w:val="20"/>
                <w:color w:val="auto"/>
              </w:rPr>
            </w:pPr>
            <w:r>
              <w:rPr>
                <w:rFonts w:ascii="Arial" w:cs="Arial" w:eastAsia="Arial" w:hAnsi="Arial"/>
                <w:sz w:val="18"/>
                <w:szCs w:val="18"/>
                <w:color w:val="auto"/>
              </w:rPr>
              <w:t>Ian P. Lawee</w:t>
            </w:r>
          </w:p>
        </w:tc>
        <w:tc>
          <w:tcPr>
            <w:tcW w:w="2400" w:type="dxa"/>
            <w:vAlign w:val="bottom"/>
          </w:tcPr>
          <w:p>
            <w:pPr>
              <w:spacing w:after="0"/>
              <w:rPr>
                <w:sz w:val="17"/>
                <w:szCs w:val="17"/>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 and General Manager, Semiconductor Test Group</w:t>
            </w:r>
          </w:p>
        </w:tc>
        <w:tc>
          <w:tcPr>
            <w:tcW w:w="2400" w:type="dxa"/>
            <w:vAlign w:val="bottom"/>
          </w:tcPr>
          <w:p>
            <w:pPr>
              <w:jc w:val="right"/>
              <w:ind w:right="6"/>
              <w:spacing w:after="0"/>
              <w:rPr>
                <w:sz w:val="20"/>
                <w:szCs w:val="20"/>
                <w:color w:val="auto"/>
              </w:rPr>
            </w:pPr>
            <w:r>
              <w:rPr>
                <w:rFonts w:ascii="Arial" w:cs="Arial" w:eastAsia="Arial" w:hAnsi="Arial"/>
                <w:sz w:val="18"/>
                <w:szCs w:val="18"/>
                <w:color w:val="auto"/>
              </w:rPr>
              <w:t>1,684</w:t>
            </w:r>
          </w:p>
        </w:tc>
      </w:tr>
      <w:tr>
        <w:trPr>
          <w:trHeight w:val="216"/>
        </w:trPr>
        <w:tc>
          <w:tcPr>
            <w:tcW w:w="20" w:type="dxa"/>
            <w:vAlign w:val="bottom"/>
          </w:tcPr>
          <w:p>
            <w:pPr>
              <w:spacing w:after="0"/>
              <w:rPr>
                <w:sz w:val="18"/>
                <w:szCs w:val="18"/>
                <w:color w:val="auto"/>
              </w:rPr>
            </w:pPr>
          </w:p>
        </w:tc>
        <w:tc>
          <w:tcPr>
            <w:tcW w:w="8260" w:type="dxa"/>
            <w:vAlign w:val="bottom"/>
            <w:shd w:val="clear" w:color="auto" w:fill="E6E6E6"/>
          </w:tcPr>
          <w:p>
            <w:pPr>
              <w:spacing w:after="0"/>
              <w:rPr>
                <w:sz w:val="20"/>
                <w:szCs w:val="20"/>
                <w:color w:val="auto"/>
              </w:rPr>
            </w:pPr>
            <w:r>
              <w:rPr>
                <w:rFonts w:ascii="Arial" w:cs="Arial" w:eastAsia="Arial" w:hAnsi="Arial"/>
                <w:sz w:val="18"/>
                <w:szCs w:val="18"/>
                <w:color w:val="auto"/>
              </w:rPr>
              <w:t>All Current Named Executive Officers, as a Group (5 Persons)</w:t>
            </w:r>
          </w:p>
        </w:tc>
        <w:tc>
          <w:tcPr>
            <w:tcW w:w="2400" w:type="dxa"/>
            <w:vAlign w:val="bottom"/>
            <w:shd w:val="clear" w:color="auto" w:fill="E6E6E6"/>
          </w:tcPr>
          <w:p>
            <w:pPr>
              <w:jc w:val="right"/>
              <w:ind w:right="6"/>
              <w:spacing w:after="0"/>
              <w:rPr>
                <w:sz w:val="20"/>
                <w:szCs w:val="20"/>
                <w:color w:val="auto"/>
              </w:rPr>
            </w:pPr>
            <w:r>
              <w:rPr>
                <w:rFonts w:ascii="Arial" w:cs="Arial" w:eastAsia="Arial" w:hAnsi="Arial"/>
                <w:sz w:val="18"/>
                <w:szCs w:val="18"/>
                <w:color w:val="auto"/>
              </w:rPr>
              <w:t>2,905</w:t>
            </w:r>
          </w:p>
        </w:tc>
      </w:tr>
      <w:tr>
        <w:trPr>
          <w:trHeight w:val="230"/>
        </w:trPr>
        <w:tc>
          <w:tcPr>
            <w:tcW w:w="20" w:type="dxa"/>
            <w:vAlign w:val="bottom"/>
            <w:tcBorders>
              <w:bottom w:val="single" w:sz="8" w:color="auto"/>
            </w:tcBorders>
          </w:tcPr>
          <w:p>
            <w:pPr>
              <w:spacing w:after="0"/>
              <w:rPr>
                <w:sz w:val="19"/>
                <w:szCs w:val="19"/>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Employees, Including all Current Officers who are not Named Executive Officers, as a Group</w:t>
            </w:r>
          </w:p>
        </w:tc>
        <w:tc>
          <w:tcPr>
            <w:tcW w:w="240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2,803,502</w:t>
            </w: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 shares were purchased under the 1997 ESPP by any non-employee directors, any other nominees for election as directors or any associates of such directors or nominees or of any executive officers, and no person has purchased five percent or more of the total number of shares issued under the 1997 ESPP.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majority of the votes cast is required to approve </w:t>
      </w:r>
      <w:r>
        <w:rPr>
          <w:rFonts w:ascii="Arial" w:cs="Arial" w:eastAsia="Arial" w:hAnsi="Arial"/>
          <w:sz w:val="18"/>
          <w:szCs w:val="18"/>
          <w:u w:val="single" w:color="auto"/>
          <w:color w:val="auto"/>
        </w:rPr>
        <w:t>Proposal No. 5</w:t>
      </w:r>
      <w:r>
        <w:rPr>
          <w:rFonts w:ascii="Arial" w:cs="Arial" w:eastAsia="Arial" w:hAnsi="Arial"/>
          <w:sz w:val="18"/>
          <w:szCs w:val="18"/>
          <w:color w:val="auto"/>
        </w:rPr>
        <w:t xml:space="preserve">. </w:t>
      </w:r>
      <w:r>
        <w:rPr>
          <w:rFonts w:ascii="Arial" w:cs="Arial" w:eastAsia="Arial" w:hAnsi="Arial"/>
          <w:sz w:val="18"/>
          <w:szCs w:val="18"/>
          <w:i w:val="1"/>
          <w:iCs w:val="1"/>
          <w:color w:val="auto"/>
        </w:rPr>
        <w:t>Brokers do not have discretion to vote on this proposal without your instruction</w:t>
      </w:r>
      <w:r>
        <w:rPr>
          <w:rFonts w:ascii="Arial" w:cs="Arial" w:eastAsia="Arial" w:hAnsi="Arial"/>
          <w:sz w:val="18"/>
          <w:szCs w:val="18"/>
          <w:color w:val="auto"/>
        </w:rPr>
        <w:t xml:space="preserve">. </w:t>
      </w:r>
      <w:r>
        <w:rPr>
          <w:rFonts w:ascii="Arial" w:cs="Arial" w:eastAsia="Arial" w:hAnsi="Arial"/>
          <w:sz w:val="18"/>
          <w:szCs w:val="18"/>
          <w:i w:val="1"/>
          <w:iCs w:val="1"/>
          <w:color w:val="auto"/>
        </w:rPr>
        <w:t>If you</w:t>
      </w:r>
      <w:r>
        <w:rPr>
          <w:rFonts w:ascii="Arial" w:cs="Arial" w:eastAsia="Arial" w:hAnsi="Arial"/>
          <w:sz w:val="18"/>
          <w:szCs w:val="18"/>
          <w:color w:val="auto"/>
        </w:rPr>
        <w:t xml:space="preserve"> </w:t>
      </w:r>
      <w:r>
        <w:rPr>
          <w:rFonts w:ascii="Arial" w:cs="Arial" w:eastAsia="Arial" w:hAnsi="Arial"/>
          <w:sz w:val="18"/>
          <w:szCs w:val="18"/>
          <w:i w:val="1"/>
          <w:iCs w:val="1"/>
          <w:color w:val="auto"/>
        </w:rPr>
        <w:t>do not instruct your broker how to vote on this proposal, your broker will deliver a non-vote on this proposal</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925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39"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amendments to the 1997 ESPP. The Board of Directors believes that the proposed amendments to the 1997 ESPP are in the best interests of the Company and its stockholders for the reasons stated above. Therefore, the Board unanimously recommends a vote </w:t>
      </w:r>
      <w:r>
        <w:rPr>
          <w:rFonts w:ascii="Arial" w:cs="Arial" w:eastAsia="Arial" w:hAnsi="Arial"/>
          <w:sz w:val="22"/>
          <w:szCs w:val="22"/>
          <w:color w:val="FFFFFF"/>
        </w:rPr>
        <w:t>“</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the amendments to the 1997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2" w:right="419"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6: Ratification of Independent Registered Public Accounting Firm</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the Board has appointed Ernst &amp; Young LLP as Cohu’s independent registered public accounting firm for the fiscal year ending December 30, 2023. Ernst &amp; Young LLP served as Cohu’s independent registered public accounting firm for the fiscal year ended December 31, 2022, and also provided certain tax services. See “Principal Accounting Fees and Services” on page 52.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30, 2023. If the appointment is not ratified, the Audit Committee will consider whether it should select another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2D53A6"/>
        </w:rPr>
        <w:t>Required Vote</w:t>
      </w:r>
    </w:p>
    <w:p>
      <w:pPr>
        <w:spacing w:after="0" w:line="21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 majority of the votes cast is required to approve Proposal No. 6. If you hold your shares through a broker and you do not instruct the broker on how to vote on this “routine” proposal, your broker will nevertheless have authority to vote your shares on this “routine” proposal in your broker’s discretion.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2D53A6"/>
        </w:rPr>
        <w:t xml:space="preserve">Recommendation of the </w:t>
      </w:r>
      <w:r>
        <w:rPr>
          <w:rFonts w:ascii="Arial" w:cs="Arial" w:eastAsia="Arial" w:hAnsi="Arial"/>
          <w:sz w:val="22"/>
          <w:szCs w:val="22"/>
          <w:color w:val="0B5394"/>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6172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200"/>
        <w:spacing w:after="0" w:line="334" w:lineRule="auto"/>
        <w:rPr>
          <w:sz w:val="20"/>
          <w:szCs w:val="20"/>
          <w:color w:val="auto"/>
        </w:rPr>
      </w:pPr>
      <w:r>
        <w:rPr>
          <w:rFonts w:ascii="Arial" w:cs="Arial" w:eastAsia="Arial" w:hAnsi="Arial"/>
          <w:sz w:val="19"/>
          <w:szCs w:val="19"/>
          <w:b w:val="1"/>
          <w:bCs w:val="1"/>
          <w:color w:val="FFFFFF"/>
        </w:rPr>
        <w:t xml:space="preserve">The Board of Directors unanimously recommends a vote </w:t>
      </w:r>
      <w:r>
        <w:rPr>
          <w:rFonts w:ascii="Arial" w:cs="Arial" w:eastAsia="Arial" w:hAnsi="Arial"/>
          <w:sz w:val="19"/>
          <w:szCs w:val="19"/>
          <w:color w:val="FFFFFF"/>
        </w:rPr>
        <w:t>√ “</w:t>
      </w:r>
      <w:r>
        <w:rPr>
          <w:rFonts w:ascii="Arial" w:cs="Arial" w:eastAsia="Arial" w:hAnsi="Arial"/>
          <w:sz w:val="19"/>
          <w:szCs w:val="19"/>
          <w:b w:val="1"/>
          <w:bCs w:val="1"/>
          <w:color w:val="FFFFFF"/>
        </w:rPr>
        <w:t>FOR</w:t>
      </w:r>
      <w:r>
        <w:rPr>
          <w:rFonts w:ascii="Arial" w:cs="Arial" w:eastAsia="Arial" w:hAnsi="Arial"/>
          <w:sz w:val="19"/>
          <w:szCs w:val="19"/>
          <w:color w:val="FFFFFF"/>
        </w:rPr>
        <w:t>”</w:t>
      </w:r>
      <w:r>
        <w:rPr>
          <w:rFonts w:ascii="Arial" w:cs="Arial" w:eastAsia="Arial" w:hAnsi="Arial"/>
          <w:sz w:val="19"/>
          <w:szCs w:val="19"/>
          <w:b w:val="1"/>
          <w:bCs w:val="1"/>
          <w:color w:val="FFFFFF"/>
        </w:rPr>
        <w:t xml:space="preserve"> the ratification of the appointment of Ernst &amp; Young LLP as Cohu</w:t>
      </w:r>
      <w:r>
        <w:rPr>
          <w:rFonts w:ascii="Arial" w:cs="Arial" w:eastAsia="Arial" w:hAnsi="Arial"/>
          <w:sz w:val="19"/>
          <w:szCs w:val="19"/>
          <w:color w:val="FFFFFF"/>
        </w:rPr>
        <w:t>’</w:t>
      </w:r>
      <w:r>
        <w:rPr>
          <w:rFonts w:ascii="Arial" w:cs="Arial" w:eastAsia="Arial" w:hAnsi="Arial"/>
          <w:sz w:val="19"/>
          <w:szCs w:val="19"/>
          <w:b w:val="1"/>
          <w:bCs w:val="1"/>
          <w:color w:val="FFFFFF"/>
        </w:rPr>
        <w:t>s independent registered public accounting firm for the fiscal year ending December 30, 2023.</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82" w:name="page83"/>
    <w:bookmarkEnd w:id="82"/>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40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694055"/>
                    </a:xfrm>
                    <a:prstGeom prst="rect">
                      <a:avLst/>
                    </a:prstGeom>
                    <a:noFill/>
                  </pic:spPr>
                </pic:pic>
              </a:graphicData>
            </a:graphic>
          </wp:anchor>
        </w:drawing>
        <w:t>Voting and Meeting Information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Information</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This proxy statement is furnished in connection with the solicitation by the Board of Directors of Cohu, Inc., a Delaware corporation (“Cohu”), of your proxy for use at the 2023 Annual Meeting of Stockholders to be held on Wednesday, May 10, 2023, at 1:00 p.m. Pacific Time (the “Meeting”). The Meeting will be a ‘‘virtual-only” meeting of stockholders. You will be able to attend the Meeting as well as vote and submit your questions during the live webcast of the Meeting by visiting </w:t>
      </w:r>
      <w:r>
        <w:rPr>
          <w:rFonts w:ascii="Arial" w:cs="Arial" w:eastAsia="Arial" w:hAnsi="Arial"/>
          <w:sz w:val="17"/>
          <w:szCs w:val="17"/>
          <w:u w:val="single" w:color="auto"/>
          <w:color w:val="auto"/>
        </w:rPr>
        <w:t>http://www.virtualshareholdermeeting.com/COHU2023</w:t>
      </w:r>
      <w:r>
        <w:rPr>
          <w:rFonts w:ascii="Arial" w:cs="Arial" w:eastAsia="Arial" w:hAnsi="Arial"/>
          <w:sz w:val="17"/>
          <w:szCs w:val="17"/>
          <w:color w:val="auto"/>
        </w:rPr>
        <w:t xml:space="preserve"> and entering the 16-digit control number included in our notice of Internet availability of the proxy materials, on your proxy card or in the instructions that accompanied your proxy materials.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2D53A6"/>
        </w:rPr>
        <w:t>Electronic Distribution</w:t>
      </w:r>
    </w:p>
    <w:p>
      <w:pPr>
        <w:spacing w:after="0" w:line="21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furnishing our proxy materials to our stockholders over the internet using “Notice and Access” delivery. Electronic delivery is faster, convenient, economical and more environmentally friendly. On or about March 28, 2023 we expect to mail to our stockholders a Notice of Internet Availability of Proxy Materials containing instructions on how to access our proxy materials and the Cohu 2022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2D53A6"/>
        </w:rPr>
        <w:t>Voting</w:t>
      </w:r>
    </w:p>
    <w:p>
      <w:pPr>
        <w:spacing w:after="0" w:line="21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March 16, 2023, the record date fixed by our Board of Directors (the “Board”), Cohu had outstanding 47,228,231, shares of common stock. Only stockholders of record as of the close of business on March 16, 2023, will be entitled to vote at the Meeting and any adjournment thereof. We encourage you to read the entire Proxy Statement for more information prior to voting.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2D53A6"/>
        </w:rPr>
        <w:t>Voting Procedures</w:t>
      </w: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stockholder of Cohu, you have a right to vote on certain business matters affecting Cohu. This proxy statement relates only to the solicitation of proxies from the stockholders with respect to the election of the two (2) Class 1 directors nominated by the Board, an advisory vote on named executive officer compensation, an advisory vote on the frequency of holding an advisory vote on named executive officer compensation, approval of amendments to the Cohu, Inc. 2005 Equity Incentive Plan, approval of amendments to the Cohu, Inc. 1997 Employee Stock Purchase Plan, and ratification of the appointment of Cohu’s independent registered public accounting firm. Each share of Cohu’s common stock you own entitles you to one vote for each proposal.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D53A6"/>
        </w:rPr>
        <w:t>Methods of Voting</w:t>
      </w:r>
    </w:p>
    <w:p>
      <w:pPr>
        <w:spacing w:after="0" w:line="2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9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you are a stockholder of record and return a signed proxy card but do not specify how you want to vote your shares, your shares will be voted FOR the named nominees for Class 1 director, FOR the advisory vote to approve named executive officer compensation, FOR conducting the advisory vote on named executive officer compensation each year hereafter, FOR the approval of amendments to the Cohu, Inc. 2005 Equity Incentive Plan, FOR the approval of amendments to the Cohu, Inc. 1997 Employee Stock Purchase Plan, and FOR the ratification of the appointment of Ernst &amp; Young LLP as Cohu’s independent registered public accounting firm for fiscal year 2023, and in the discretion of the proxies (as defined below) as to other matters that may properly come before the Meeting.</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83" w:name="page84"/>
    <w:bookmarkEnd w:id="83"/>
    <w:p>
      <w:pPr>
        <w:ind w:right="420"/>
        <w:spacing w:after="0" w:line="263"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Voting over the Internet</w:t>
      </w:r>
      <w:r>
        <w:rPr>
          <w:rFonts w:ascii="Arial" w:cs="Arial" w:eastAsia="Arial" w:hAnsi="Arial"/>
          <w:sz w:val="18"/>
          <w:szCs w:val="18"/>
          <w:color w:val="auto"/>
        </w:rPr>
        <w:t>. If you are a stockholder of record, to vote over the Internet, please follow the instructions included on your Notice of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of Proxy Materials.</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Voting by Mai</w:t>
      </w:r>
      <w:r>
        <w:rPr>
          <w:rFonts w:ascii="Arial" w:cs="Arial" w:eastAsia="Arial" w:hAnsi="Arial"/>
          <w:sz w:val="17"/>
          <w:szCs w:val="17"/>
          <w:color w:val="auto"/>
        </w:rPr>
        <w:t>l. If you are a stockholder of record and have requested a paper copy of the proxy materials you may vote by mail by signing and returning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6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If you have requested a paper copy of the proxy materials you may vote by telephone by following the instructions included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If you vote by telephone, you do not need to complete and mail your proxy card.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Voting in Person at the Virtual Meeting</w:t>
      </w:r>
      <w:r>
        <w:rPr>
          <w:rFonts w:ascii="Arial" w:cs="Arial" w:eastAsia="Arial" w:hAnsi="Arial"/>
          <w:sz w:val="17"/>
          <w:szCs w:val="17"/>
          <w:color w:val="auto"/>
        </w:rPr>
        <w:t>. The Meeting will be held entirely online to allow for greater participation. Stockholders may participate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by visiting the following website: </w:t>
      </w:r>
      <w:r>
        <w:rPr>
          <w:rFonts w:ascii="Arial" w:cs="Arial" w:eastAsia="Arial" w:hAnsi="Arial"/>
          <w:sz w:val="17"/>
          <w:szCs w:val="17"/>
          <w:u w:val="single" w:color="auto"/>
          <w:color w:val="auto"/>
        </w:rPr>
        <w:t>http://www.virtualshareholdermeeting.com/COHU2023</w:t>
      </w:r>
      <w:r>
        <w:rPr>
          <w:rFonts w:ascii="Arial" w:cs="Arial" w:eastAsia="Arial" w:hAnsi="Arial"/>
          <w:sz w:val="17"/>
          <w:szCs w:val="17"/>
          <w:color w:val="auto"/>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spacing w:after="0" w:line="17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Log in Instructions</w:t>
      </w:r>
      <w:r>
        <w:rPr>
          <w:rFonts w:ascii="Arial" w:cs="Arial" w:eastAsia="Arial" w:hAnsi="Arial"/>
          <w:sz w:val="16"/>
          <w:szCs w:val="16"/>
          <w:color w:val="auto"/>
        </w:rPr>
        <w:t>. To attend the Meeting, please log in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http://www.virtualshareholdermeeting.com/COHU2023</w:t>
      </w:r>
      <w:r>
        <w:rPr>
          <w:rFonts w:ascii="Arial" w:cs="Arial" w:eastAsia="Arial" w:hAnsi="Arial"/>
          <w:sz w:val="16"/>
          <w:szCs w:val="16"/>
          <w:color w:val="auto"/>
        </w:rPr>
        <w:t>. Stockholders as of the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spacing w:after="0" w:line="15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Submitting Questions Prior To or at the Meeting</w:t>
      </w:r>
      <w:r>
        <w:rPr>
          <w:rFonts w:ascii="Arial" w:cs="Arial" w:eastAsia="Arial" w:hAnsi="Arial"/>
          <w:sz w:val="18"/>
          <w:szCs w:val="18"/>
          <w:color w:val="auto"/>
        </w:rPr>
        <w:t>. If you would like to submit a question to be addressed during the question and answer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you may do so in advance at </w:t>
      </w:r>
      <w:r>
        <w:rPr>
          <w:rFonts w:ascii="Arial" w:cs="Arial" w:eastAsia="Arial" w:hAnsi="Arial"/>
          <w:sz w:val="18"/>
          <w:szCs w:val="18"/>
          <w:u w:val="single" w:color="auto"/>
          <w:color w:val="auto"/>
        </w:rPr>
        <w:t>http://www.virtualshareholdermeeting.com/COHU2023,</w:t>
      </w:r>
      <w:r>
        <w:rPr>
          <w:rFonts w:ascii="Arial" w:cs="Arial" w:eastAsia="Arial" w:hAnsi="Arial"/>
          <w:sz w:val="18"/>
          <w:szCs w:val="18"/>
          <w:color w:val="auto"/>
        </w:rPr>
        <w:t xml:space="preserve">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spacing w:after="0" w:line="18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Technical Assistance</w:t>
      </w:r>
      <w:r>
        <w:rPr>
          <w:rFonts w:ascii="Arial" w:cs="Arial" w:eastAsia="Arial" w:hAnsi="Arial"/>
          <w:sz w:val="17"/>
          <w:szCs w:val="17"/>
          <w:color w:val="auto"/>
        </w:rPr>
        <w:t>. Beginning approximately thirty minutes prior to the start of and during the Meeting, we will have a support team ready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2D53A6"/>
        </w:rPr>
        <w:t>Revoking Your Proxy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voted at the Meeting. In order to do this as a stockholder of record, you must:</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are the beneficial owner of your shares (shares registered in the name of a broker, bank or other nominee), you must contact the broker, bank or other nominee holding your shares and follow their instructions to change your vote or revoke your proxy.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2D53A6"/>
        </w:rPr>
        <w:t>Quorum Requirement</w:t>
      </w:r>
    </w:p>
    <w:p>
      <w:pPr>
        <w:spacing w:after="0" w:line="21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 quorum, which is a majority of the outstanding shares entitled to vote as of the record date, March 16, 2023,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2D53A6"/>
        </w:rPr>
        <w:t>Votes Required for the Proposals</w:t>
      </w:r>
    </w:p>
    <w:p>
      <w:pPr>
        <w:spacing w:after="0" w:line="21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continues to apply in contested director elections.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affirmative vote of a majority of the shares of Cohu common stock cast at the Meeting is required for approval of the advisory vote on named executive compensation (Proposal No. 2), approval of amendments to the Cohu, Inc. 2005 Equity Incentive Plan (Proposal No. 4), approval of amendments to the Cohu, Inc. 1997 Employee Stock Purchase Plan (Proposal No. 5), and the ratification of the appointment of Cohu’s independent registered public accounting firm (Proposal No. 6). For the approval of the advisory vote of the preferred frequency with which future advisory votes on executive compensation should be held (Proposal No. 3), the choice of frequency that receives the highest number of affirmative “FOR” votes will be considered the advisory vote of our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D53A6"/>
        </w:rPr>
        <w:t>Broker Non-Votes</w:t>
      </w:r>
    </w:p>
    <w:p>
      <w:pPr>
        <w:spacing w:after="0" w:line="2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6 (the ratification of the appointment of Cohu’s independent registered public accounting firm) is considered “routine.” Your broker will not have discretion to vote on any of the other matters, which are deemed “non-routine” matters, absent direction from you. Accordingly, shares subject to a broker “non-vote” will not be considered entitled to vote with respect to Proposal Nos. 1, 2, 3, 4 and 5 and will not affect the outcome of these proposals. We strongly encourage you to provide instructions to your broker regarding the voting of your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2D53A6"/>
        </w:rPr>
        <w:t>Abstentions</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election of directors (Proposal No. 1) under our majority voting standard, abstentions are deemed to be votes cast and have the same effect as a vote “Against” this proposal. Abstentions will have no effect on the advisory vote of the preferred frequency with which future advisory votes on executive compensation should be held (Proposal No. 3). Abstentions will have no effect on the election of directors (Proposal No. 1). Abstentions will be treated as being present and entitled to vote on the approval of the advisory vote on named executive compensation (Proposal No. 2), the approval the amendments to the Cohu, Inc. 2005 Equity Incentive Plan) (Proposal No. 4), the amendments to the Cohu, Inc. 1997 Employee Stock Purchase Plan (Proposal No. 5), and the ratification of the appointment of Cohu’s independent registered public accounting firm (Proposal No. 6) and, therefore, will have the effect of votes “Against” on Proposals 2, 4, 5 and 6.</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2D53A6"/>
        </w:rPr>
        <w:t>Voting Confidentiality</w:t>
      </w: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2D53A6"/>
        </w:rPr>
        <w:t>Voting Results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8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 848-8106;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2D53A6"/>
        </w:rPr>
        <w:t>Proxy Solicitation Costs</w:t>
      </w: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2D53A6"/>
        </w:rPr>
        <w:t>Householding</w:t>
      </w:r>
    </w:p>
    <w:p>
      <w:pPr>
        <w:spacing w:after="0" w:line="21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12367 Crosthwaite Circle, Poway, CA 92064-6817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and, if applicable, the proxy materials to any stockholder at a shared address to which we delivered a single copy of any of these documents. Beneficial owners can request information about householding from their broker, banks, trustee, or other nominee.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left="340" w:right="26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10, 2023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Cohu</w:t>
      </w:r>
      <w:r>
        <w:rPr>
          <w:rFonts w:ascii="Arial" w:cs="Arial" w:eastAsia="Arial" w:hAnsi="Arial"/>
          <w:sz w:val="18"/>
          <w:szCs w:val="18"/>
          <w:color w:val="auto"/>
        </w:rPr>
        <w:t>’</w:t>
      </w:r>
      <w:r>
        <w:rPr>
          <w:rFonts w:ascii="Arial" w:cs="Arial" w:eastAsia="Arial" w:hAnsi="Arial"/>
          <w:sz w:val="18"/>
          <w:szCs w:val="18"/>
          <w:b w:val="1"/>
          <w:bCs w:val="1"/>
          <w:color w:val="auto"/>
        </w:rPr>
        <w:t>s Fiscal Year 2022 Annual Report are both</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available at </w:t>
      </w:r>
      <w:r>
        <w:rPr>
          <w:rFonts w:ascii="Arial" w:cs="Arial" w:eastAsia="Arial" w:hAnsi="Arial"/>
          <w:sz w:val="18"/>
          <w:szCs w:val="18"/>
          <w:b w:val="1"/>
          <w:bCs w:val="1"/>
          <w:u w:val="single" w:color="auto"/>
          <w:color w:val="auto"/>
        </w:rPr>
        <w:t>http://materials.proxyvote.com/192576</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www.cohu.com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86" w:name="page87"/>
    <w:bookmarkEnd w:id="8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94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6946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32"/>
          <w:szCs w:val="32"/>
          <w:b w:val="1"/>
          <w:bCs w:val="1"/>
          <w:color w:val="FFFFFF"/>
        </w:rPr>
        <w:t>Appendices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A</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2D53A6"/>
        </w:rPr>
        <w:t>Non-GAAP Financial Measures</w:t>
      </w:r>
    </w:p>
    <w:p>
      <w:pPr>
        <w:spacing w:after="0" w:line="2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Proxy Statement includes references to non-GAAP Net Income, EPS, Gross Profit and Pre-tax Income. These financial measures differ from such figures prepared under generally accepted accounting principles (GAAP) by adjusting Cohu’s actual results prepared under GAAP to exclude charges and the related income tax effect for: share-based compensation, the amortization of acquired intangible assets, restructuring costs, manufacturing transition and severance costs, acquisition-related costs and associated professional fees, fair value adjustment to contingent consideration, reduction of indemnification receivable, amortization of favorable/unfavorable lease adjustments and purchase accounting inventory step-up included in cost of sales. Reconciliations of GAAP to non-GAAP amounts for the periods presented herein are provided below and should be considered together with the Condensed Consolidated Statements of Income. Human Resources and the Compensation Committee utilized these non-GAAP measure in evaluating compensation decisions in 2022 to benchmark compensation decisions based on measures utilized by management and the Board in evaluating Cohu’s performance.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A reconciliation of these non-GAAP measures to GAAP is as follows: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80" w:type="dxa"/>
            <w:vAlign w:val="bottom"/>
            <w:tcBorders>
              <w:right w:val="single" w:sz="8" w:color="2D53A6"/>
            </w:tcBorders>
            <w:shd w:val="clear" w:color="auto" w:fill="2D53A6"/>
          </w:tcPr>
          <w:p>
            <w:pPr>
              <w:spacing w:after="0"/>
              <w:rPr>
                <w:sz w:val="17"/>
                <w:szCs w:val="17"/>
                <w:color w:val="auto"/>
              </w:rPr>
            </w:pPr>
          </w:p>
        </w:tc>
        <w:tc>
          <w:tcPr>
            <w:tcW w:w="120" w:type="dxa"/>
            <w:vAlign w:val="bottom"/>
            <w:shd w:val="clear" w:color="auto" w:fill="2D53A6"/>
          </w:tcPr>
          <w:p>
            <w:pPr>
              <w:spacing w:after="0"/>
              <w:rPr>
                <w:sz w:val="17"/>
                <w:szCs w:val="17"/>
                <w:color w:val="auto"/>
              </w:rPr>
            </w:pPr>
          </w:p>
        </w:tc>
        <w:tc>
          <w:tcPr>
            <w:tcW w:w="1580" w:type="dxa"/>
            <w:vAlign w:val="bottom"/>
            <w:tcBorders>
              <w:right w:val="single" w:sz="8" w:color="2D53A6"/>
            </w:tcBorders>
            <w:gridSpan w:val="5"/>
            <w:shd w:val="clear" w:color="auto" w:fill="2D53A6"/>
          </w:tcPr>
          <w:p>
            <w:pPr>
              <w:jc w:val="center"/>
              <w:ind w:right="100"/>
              <w:spacing w:after="0" w:line="198" w:lineRule="exact"/>
              <w:rPr>
                <w:sz w:val="20"/>
                <w:szCs w:val="20"/>
                <w:color w:val="auto"/>
              </w:rPr>
            </w:pPr>
            <w:r>
              <w:rPr>
                <w:rFonts w:ascii="Arial" w:cs="Arial" w:eastAsia="Arial" w:hAnsi="Arial"/>
                <w:sz w:val="18"/>
                <w:szCs w:val="18"/>
                <w:b w:val="1"/>
                <w:bCs w:val="1"/>
                <w:color w:val="FFFFFF"/>
                <w:w w:val="89"/>
              </w:rPr>
              <w:t>Twelve Months</w:t>
            </w:r>
          </w:p>
        </w:tc>
        <w:tc>
          <w:tcPr>
            <w:tcW w:w="100" w:type="dxa"/>
            <w:vAlign w:val="bottom"/>
            <w:shd w:val="clear" w:color="auto" w:fill="2D53A6"/>
          </w:tcPr>
          <w:p>
            <w:pPr>
              <w:spacing w:after="0"/>
              <w:rPr>
                <w:sz w:val="17"/>
                <w:szCs w:val="17"/>
                <w:color w:val="auto"/>
              </w:rPr>
            </w:pPr>
          </w:p>
        </w:tc>
        <w:tc>
          <w:tcPr>
            <w:tcW w:w="260" w:type="dxa"/>
            <w:vAlign w:val="bottom"/>
            <w:shd w:val="clear" w:color="auto" w:fill="2D53A6"/>
          </w:tcPr>
          <w:p>
            <w:pPr>
              <w:spacing w:after="0"/>
              <w:rPr>
                <w:sz w:val="17"/>
                <w:szCs w:val="17"/>
                <w:color w:val="auto"/>
              </w:rPr>
            </w:pPr>
          </w:p>
        </w:tc>
        <w:tc>
          <w:tcPr>
            <w:tcW w:w="160" w:type="dxa"/>
            <w:vAlign w:val="bottom"/>
            <w:shd w:val="clear" w:color="auto" w:fill="2D53A6"/>
          </w:tcPr>
          <w:p>
            <w:pPr>
              <w:spacing w:after="0"/>
              <w:rPr>
                <w:sz w:val="17"/>
                <w:szCs w:val="17"/>
                <w:color w:val="auto"/>
              </w:rPr>
            </w:pPr>
          </w:p>
        </w:tc>
        <w:tc>
          <w:tcPr>
            <w:tcW w:w="1040" w:type="dxa"/>
            <w:vAlign w:val="bottom"/>
            <w:shd w:val="clear" w:color="auto" w:fill="2D53A6"/>
          </w:tcPr>
          <w:p>
            <w:pPr>
              <w:spacing w:after="0"/>
              <w:rPr>
                <w:sz w:val="17"/>
                <w:szCs w:val="17"/>
                <w:color w:val="auto"/>
              </w:rPr>
            </w:pPr>
          </w:p>
        </w:tc>
        <w:tc>
          <w:tcPr>
            <w:tcW w:w="100" w:type="dxa"/>
            <w:vAlign w:val="bottom"/>
            <w:shd w:val="clear" w:color="auto" w:fill="2D53A6"/>
          </w:tcPr>
          <w:p>
            <w:pPr>
              <w:spacing w:after="0"/>
              <w:rPr>
                <w:sz w:val="17"/>
                <w:szCs w:val="17"/>
                <w:color w:val="auto"/>
              </w:rPr>
            </w:pPr>
          </w:p>
        </w:tc>
      </w:tr>
      <w:tr>
        <w:trPr>
          <w:trHeight w:val="216"/>
        </w:trPr>
        <w:tc>
          <w:tcPr>
            <w:tcW w:w="7880" w:type="dxa"/>
            <w:vAlign w:val="bottom"/>
            <w:tcBorders>
              <w:right w:val="single" w:sz="8" w:color="2D53A6"/>
            </w:tcBorders>
            <w:shd w:val="clear" w:color="auto" w:fill="2D53A6"/>
          </w:tcPr>
          <w:p>
            <w:pPr>
              <w:spacing w:after="0"/>
              <w:rPr>
                <w:sz w:val="18"/>
                <w:szCs w:val="18"/>
                <w:color w:val="auto"/>
              </w:rPr>
            </w:pPr>
          </w:p>
        </w:tc>
        <w:tc>
          <w:tcPr>
            <w:tcW w:w="120" w:type="dxa"/>
            <w:vAlign w:val="bottom"/>
            <w:shd w:val="clear" w:color="auto" w:fill="2D53A6"/>
          </w:tcPr>
          <w:p>
            <w:pPr>
              <w:spacing w:after="0"/>
              <w:rPr>
                <w:sz w:val="18"/>
                <w:szCs w:val="18"/>
                <w:color w:val="auto"/>
              </w:rPr>
            </w:pPr>
          </w:p>
        </w:tc>
        <w:tc>
          <w:tcPr>
            <w:tcW w:w="360" w:type="dxa"/>
            <w:vAlign w:val="bottom"/>
            <w:tcBorders>
              <w:right w:val="single" w:sz="8" w:color="2D53A6"/>
            </w:tcBorders>
            <w:shd w:val="clear" w:color="auto" w:fill="2D53A6"/>
          </w:tcPr>
          <w:p>
            <w:pPr>
              <w:spacing w:after="0"/>
              <w:rPr>
                <w:sz w:val="18"/>
                <w:szCs w:val="18"/>
                <w:color w:val="auto"/>
              </w:rPr>
            </w:pPr>
          </w:p>
        </w:tc>
        <w:tc>
          <w:tcPr>
            <w:tcW w:w="80" w:type="dxa"/>
            <w:vAlign w:val="bottom"/>
            <w:shd w:val="clear" w:color="auto" w:fill="2D53A6"/>
          </w:tcPr>
          <w:p>
            <w:pPr>
              <w:spacing w:after="0"/>
              <w:rPr>
                <w:sz w:val="18"/>
                <w:szCs w:val="18"/>
                <w:color w:val="auto"/>
              </w:rPr>
            </w:pPr>
          </w:p>
        </w:tc>
        <w:tc>
          <w:tcPr>
            <w:tcW w:w="1140" w:type="dxa"/>
            <w:vAlign w:val="bottom"/>
            <w:tcBorders>
              <w:right w:val="single" w:sz="8" w:color="2D53A6"/>
            </w:tcBorders>
            <w:gridSpan w:val="3"/>
            <w:shd w:val="clear" w:color="auto" w:fill="2D53A6"/>
          </w:tcPr>
          <w:p>
            <w:pPr>
              <w:jc w:val="center"/>
              <w:ind w:right="560"/>
              <w:spacing w:after="0"/>
              <w:rPr>
                <w:sz w:val="20"/>
                <w:szCs w:val="20"/>
                <w:color w:val="auto"/>
              </w:rPr>
            </w:pPr>
            <w:r>
              <w:rPr>
                <w:rFonts w:ascii="Arial" w:cs="Arial" w:eastAsia="Arial" w:hAnsi="Arial"/>
                <w:sz w:val="18"/>
                <w:szCs w:val="18"/>
                <w:b w:val="1"/>
                <w:bCs w:val="1"/>
                <w:color w:val="FFFFFF"/>
                <w:w w:val="90"/>
              </w:rPr>
              <w:t>Ended</w:t>
            </w:r>
          </w:p>
        </w:tc>
        <w:tc>
          <w:tcPr>
            <w:tcW w:w="100" w:type="dxa"/>
            <w:vAlign w:val="bottom"/>
            <w:shd w:val="clear" w:color="auto" w:fill="2D53A6"/>
          </w:tcPr>
          <w:p>
            <w:pPr>
              <w:spacing w:after="0"/>
              <w:rPr>
                <w:sz w:val="18"/>
                <w:szCs w:val="18"/>
                <w:color w:val="auto"/>
              </w:rPr>
            </w:pPr>
          </w:p>
        </w:tc>
        <w:tc>
          <w:tcPr>
            <w:tcW w:w="260" w:type="dxa"/>
            <w:vAlign w:val="bottom"/>
            <w:shd w:val="clear" w:color="auto" w:fill="2D53A6"/>
          </w:tcPr>
          <w:p>
            <w:pPr>
              <w:spacing w:after="0"/>
              <w:rPr>
                <w:sz w:val="18"/>
                <w:szCs w:val="18"/>
                <w:color w:val="auto"/>
              </w:rPr>
            </w:pPr>
          </w:p>
        </w:tc>
        <w:tc>
          <w:tcPr>
            <w:tcW w:w="160" w:type="dxa"/>
            <w:vAlign w:val="bottom"/>
            <w:shd w:val="clear" w:color="auto" w:fill="2D53A6"/>
          </w:tcPr>
          <w:p>
            <w:pPr>
              <w:spacing w:after="0"/>
              <w:rPr>
                <w:sz w:val="18"/>
                <w:szCs w:val="18"/>
                <w:color w:val="auto"/>
              </w:rPr>
            </w:pPr>
          </w:p>
        </w:tc>
        <w:tc>
          <w:tcPr>
            <w:tcW w:w="1040" w:type="dxa"/>
            <w:vAlign w:val="bottom"/>
            <w:shd w:val="clear" w:color="auto" w:fill="2D53A6"/>
          </w:tcPr>
          <w:p>
            <w:pPr>
              <w:spacing w:after="0"/>
              <w:rPr>
                <w:sz w:val="18"/>
                <w:szCs w:val="18"/>
                <w:color w:val="auto"/>
              </w:rPr>
            </w:pPr>
          </w:p>
        </w:tc>
        <w:tc>
          <w:tcPr>
            <w:tcW w:w="100" w:type="dxa"/>
            <w:vAlign w:val="bottom"/>
            <w:shd w:val="clear" w:color="auto" w:fill="2D53A6"/>
          </w:tcPr>
          <w:p>
            <w:pPr>
              <w:spacing w:after="0"/>
              <w:rPr>
                <w:sz w:val="18"/>
                <w:szCs w:val="18"/>
                <w:color w:val="auto"/>
              </w:rPr>
            </w:pPr>
          </w:p>
        </w:tc>
      </w:tr>
      <w:tr>
        <w:trPr>
          <w:trHeight w:val="234"/>
        </w:trPr>
        <w:tc>
          <w:tcPr>
            <w:tcW w:w="8000" w:type="dxa"/>
            <w:vAlign w:val="bottom"/>
            <w:tcBorders>
              <w:bottom w:val="single" w:sz="8" w:color="2D53A6"/>
            </w:tcBorders>
            <w:gridSpan w:val="2"/>
            <w:shd w:val="clear" w:color="auto" w:fill="2D53A6"/>
          </w:tcPr>
          <w:p>
            <w:pPr>
              <w:spacing w:after="0"/>
              <w:rPr>
                <w:sz w:val="20"/>
                <w:szCs w:val="20"/>
                <w:color w:val="auto"/>
              </w:rPr>
            </w:pPr>
            <w:r>
              <w:rPr>
                <w:rFonts w:ascii="Arial" w:cs="Arial" w:eastAsia="Arial" w:hAnsi="Arial"/>
                <w:sz w:val="18"/>
                <w:szCs w:val="18"/>
                <w:b w:val="1"/>
                <w:bCs w:val="1"/>
                <w:color w:val="FFFFFF"/>
              </w:rPr>
              <w:t>Net income reconciliation (in thousands)</w:t>
            </w:r>
          </w:p>
        </w:tc>
        <w:tc>
          <w:tcPr>
            <w:tcW w:w="1480" w:type="dxa"/>
            <w:vAlign w:val="bottom"/>
            <w:tcBorders>
              <w:bottom w:val="single" w:sz="8" w:color="auto"/>
            </w:tcBorders>
            <w:gridSpan w:val="4"/>
            <w:shd w:val="clear" w:color="auto" w:fill="2D53A6"/>
          </w:tcPr>
          <w:p>
            <w:pPr>
              <w:spacing w:after="0"/>
              <w:rPr>
                <w:sz w:val="20"/>
                <w:szCs w:val="20"/>
                <w:color w:val="auto"/>
              </w:rPr>
            </w:pPr>
            <w:r>
              <w:rPr>
                <w:rFonts w:ascii="Arial" w:cs="Arial" w:eastAsia="Arial" w:hAnsi="Arial"/>
                <w:sz w:val="18"/>
                <w:szCs w:val="18"/>
                <w:b w:val="1"/>
                <w:bCs w:val="1"/>
                <w:color w:val="FFFFFF"/>
                <w:w w:val="90"/>
              </w:rPr>
              <w:t>December 31, 2022</w:t>
            </w:r>
          </w:p>
        </w:tc>
        <w:tc>
          <w:tcPr>
            <w:tcW w:w="100" w:type="dxa"/>
            <w:vAlign w:val="bottom"/>
            <w:tcBorders>
              <w:bottom w:val="single" w:sz="8" w:color="2D53A6"/>
              <w:right w:val="single" w:sz="8" w:color="2D53A6"/>
            </w:tcBorders>
            <w:shd w:val="clear" w:color="auto" w:fill="2D53A6"/>
          </w:tcPr>
          <w:p>
            <w:pPr>
              <w:spacing w:after="0"/>
              <w:rPr>
                <w:sz w:val="20"/>
                <w:szCs w:val="20"/>
                <w:color w:val="auto"/>
              </w:rPr>
            </w:pPr>
          </w:p>
        </w:tc>
        <w:tc>
          <w:tcPr>
            <w:tcW w:w="100" w:type="dxa"/>
            <w:vAlign w:val="bottom"/>
            <w:tcBorders>
              <w:bottom w:val="single" w:sz="8" w:color="2D53A6"/>
            </w:tcBorders>
            <w:shd w:val="clear" w:color="auto" w:fill="2D53A6"/>
          </w:tcPr>
          <w:p>
            <w:pPr>
              <w:spacing w:after="0"/>
              <w:rPr>
                <w:sz w:val="20"/>
                <w:szCs w:val="20"/>
                <w:color w:val="auto"/>
              </w:rPr>
            </w:pPr>
          </w:p>
        </w:tc>
        <w:tc>
          <w:tcPr>
            <w:tcW w:w="1460" w:type="dxa"/>
            <w:vAlign w:val="bottom"/>
            <w:tcBorders>
              <w:bottom w:val="single" w:sz="8" w:color="auto"/>
            </w:tcBorders>
            <w:gridSpan w:val="3"/>
            <w:shd w:val="clear" w:color="auto" w:fill="2D53A6"/>
          </w:tcPr>
          <w:p>
            <w:pPr>
              <w:jc w:val="right"/>
              <w:ind w:right="170"/>
              <w:spacing w:after="0"/>
              <w:rPr>
                <w:sz w:val="20"/>
                <w:szCs w:val="20"/>
                <w:color w:val="auto"/>
              </w:rPr>
            </w:pPr>
            <w:r>
              <w:rPr>
                <w:rFonts w:ascii="Arial" w:cs="Arial" w:eastAsia="Arial" w:hAnsi="Arial"/>
                <w:sz w:val="18"/>
                <w:szCs w:val="18"/>
                <w:b w:val="1"/>
                <w:bCs w:val="1"/>
                <w:color w:val="FFFFFF"/>
              </w:rPr>
              <w:t>Diluted EPS</w:t>
            </w:r>
          </w:p>
        </w:tc>
        <w:tc>
          <w:tcPr>
            <w:tcW w:w="100" w:type="dxa"/>
            <w:vAlign w:val="bottom"/>
            <w:tcBorders>
              <w:bottom w:val="single" w:sz="8" w:color="2D53A6"/>
            </w:tcBorders>
            <w:shd w:val="clear" w:color="auto" w:fill="2D53A6"/>
          </w:tcPr>
          <w:p>
            <w:pPr>
              <w:spacing w:after="0"/>
              <w:rPr>
                <w:sz w:val="20"/>
                <w:szCs w:val="20"/>
                <w:color w:val="auto"/>
              </w:rPr>
            </w:pPr>
          </w:p>
        </w:tc>
      </w:tr>
      <w:tr>
        <w:trPr>
          <w:trHeight w:val="210"/>
        </w:trPr>
        <w:tc>
          <w:tcPr>
            <w:tcW w:w="788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Net income from continuing operations - GAAP basis</w:t>
            </w:r>
          </w:p>
        </w:tc>
        <w:tc>
          <w:tcPr>
            <w:tcW w:w="120" w:type="dxa"/>
            <w:vAlign w:val="bottom"/>
            <w:shd w:val="clear" w:color="auto" w:fill="E6E6E6"/>
          </w:tcPr>
          <w:p>
            <w:pPr>
              <w:spacing w:after="0"/>
              <w:rPr>
                <w:sz w:val="18"/>
                <w:szCs w:val="18"/>
                <w:color w:val="auto"/>
              </w:rPr>
            </w:pPr>
          </w:p>
        </w:tc>
        <w:tc>
          <w:tcPr>
            <w:tcW w:w="360" w:type="dxa"/>
            <w:vAlign w:val="bottom"/>
            <w:tcBorders>
              <w:right w:val="single" w:sz="8" w:color="E6E6E6"/>
            </w:tcBorders>
            <w:shd w:val="clear" w:color="auto" w:fill="E6E6E6"/>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0" w:type="dxa"/>
            <w:vAlign w:val="bottom"/>
            <w:tcBorders>
              <w:right w:val="single" w:sz="8" w:color="2D53A6"/>
            </w:tcBorders>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96,847</w:t>
            </w:r>
          </w:p>
        </w:tc>
        <w:tc>
          <w:tcPr>
            <w:tcW w:w="360" w:type="dxa"/>
            <w:vAlign w:val="bottom"/>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788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14,918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r>
        <w:trPr>
          <w:trHeight w:val="216"/>
        </w:trPr>
        <w:tc>
          <w:tcPr>
            <w:tcW w:w="7880" w:type="dxa"/>
            <w:vAlign w:val="bottom"/>
            <w:tcBorders>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120" w:type="dxa"/>
            <w:vAlign w:val="bottom"/>
            <w:shd w:val="clear" w:color="auto" w:fill="E6E6E6"/>
          </w:tcPr>
          <w:p>
            <w:pPr>
              <w:spacing w:after="0"/>
              <w:rPr>
                <w:sz w:val="18"/>
                <w:szCs w:val="18"/>
                <w:color w:val="auto"/>
              </w:rPr>
            </w:pPr>
          </w:p>
        </w:tc>
        <w:tc>
          <w:tcPr>
            <w:tcW w:w="36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0" w:type="dxa"/>
            <w:vAlign w:val="bottom"/>
            <w:tcBorders>
              <w:right w:val="single" w:sz="8" w:color="2D53A6"/>
            </w:tcBorders>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33,185</w:t>
            </w: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0.68</w:t>
            </w:r>
          </w:p>
        </w:tc>
      </w:tr>
      <w:tr>
        <w:trPr>
          <w:trHeight w:val="216"/>
        </w:trPr>
        <w:tc>
          <w:tcPr>
            <w:tcW w:w="788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Restructuring charges related to inventory adjustments in cost of sales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2D53A6"/>
            </w:tcBorders>
            <w:gridSpan w:val="2"/>
          </w:tcPr>
          <w:p>
            <w:pPr>
              <w:jc w:val="right"/>
              <w:ind w:right="4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7880" w:type="dxa"/>
            <w:vAlign w:val="bottom"/>
            <w:tcBorders>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E6E6E6"/>
          </w:tcPr>
          <w:p>
            <w:pPr>
              <w:spacing w:after="0"/>
              <w:rPr>
                <w:sz w:val="18"/>
                <w:szCs w:val="18"/>
                <w:color w:val="auto"/>
              </w:rPr>
            </w:pPr>
          </w:p>
        </w:tc>
        <w:tc>
          <w:tcPr>
            <w:tcW w:w="36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0" w:type="dxa"/>
            <w:vAlign w:val="bottom"/>
            <w:tcBorders>
              <w:right w:val="single" w:sz="8" w:color="2D53A6"/>
            </w:tcBorders>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788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7880" w:type="dxa"/>
            <w:vAlign w:val="bottom"/>
            <w:tcBorders>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PP&amp;E step-up included in SG&amp;A</w:t>
            </w:r>
          </w:p>
        </w:tc>
        <w:tc>
          <w:tcPr>
            <w:tcW w:w="120" w:type="dxa"/>
            <w:vAlign w:val="bottom"/>
            <w:shd w:val="clear" w:color="auto" w:fill="E6E6E6"/>
          </w:tcPr>
          <w:p>
            <w:pPr>
              <w:spacing w:after="0"/>
              <w:rPr>
                <w:sz w:val="18"/>
                <w:szCs w:val="18"/>
                <w:color w:val="auto"/>
              </w:rPr>
            </w:pPr>
          </w:p>
        </w:tc>
        <w:tc>
          <w:tcPr>
            <w:tcW w:w="36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0" w:type="dxa"/>
            <w:vAlign w:val="bottom"/>
            <w:tcBorders>
              <w:right w:val="single" w:sz="8" w:color="2D53A6"/>
            </w:tcBorders>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Payroll taxes related to accelerated vesting of share-based awards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29"/>
        </w:trPr>
        <w:tc>
          <w:tcPr>
            <w:tcW w:w="7880" w:type="dxa"/>
            <w:vAlign w:val="bottom"/>
            <w:tcBorders>
              <w:bottom w:val="single" w:sz="8" w:color="2D53A6"/>
              <w:right w:val="single" w:sz="8" w:color="2D53A6"/>
            </w:tcBorders>
            <w:shd w:val="clear" w:color="auto" w:fill="E6E6E6"/>
          </w:tcPr>
          <w:p>
            <w:pPr>
              <w:ind w:left="180"/>
              <w:spacing w:after="0"/>
              <w:rPr>
                <w:sz w:val="20"/>
                <w:szCs w:val="20"/>
                <w:color w:val="auto"/>
              </w:rPr>
            </w:pPr>
            <w:r>
              <w:rPr>
                <w:rFonts w:ascii="Arial" w:cs="Arial" w:eastAsia="Arial" w:hAnsi="Arial"/>
                <w:sz w:val="18"/>
                <w:szCs w:val="18"/>
                <w:color w:val="auto"/>
              </w:rPr>
              <w:t>Tax effect of non-GAAP adjustments</w:t>
            </w:r>
          </w:p>
        </w:tc>
        <w:tc>
          <w:tcPr>
            <w:tcW w:w="120" w:type="dxa"/>
            <w:vAlign w:val="bottom"/>
            <w:tcBorders>
              <w:bottom w:val="single" w:sz="8" w:color="2D53A6"/>
            </w:tcBorders>
            <w:shd w:val="clear" w:color="auto" w:fill="E6E6E6"/>
          </w:tcPr>
          <w:p>
            <w:pPr>
              <w:spacing w:after="0"/>
              <w:rPr>
                <w:sz w:val="19"/>
                <w:szCs w:val="19"/>
                <w:color w:val="auto"/>
              </w:rPr>
            </w:pPr>
          </w:p>
        </w:tc>
        <w:tc>
          <w:tcPr>
            <w:tcW w:w="360" w:type="dxa"/>
            <w:vAlign w:val="bottom"/>
            <w:tcBorders>
              <w:bottom w:val="single" w:sz="8" w:color="2D53A6"/>
              <w:right w:val="single" w:sz="8" w:color="E6E6E6"/>
            </w:tcBorders>
            <w:shd w:val="clear" w:color="auto" w:fill="E6E6E6"/>
          </w:tcPr>
          <w:p>
            <w:pPr>
              <w:spacing w:after="0"/>
              <w:rPr>
                <w:sz w:val="19"/>
                <w:szCs w:val="19"/>
                <w:color w:val="auto"/>
              </w:rPr>
            </w:pPr>
          </w:p>
        </w:tc>
        <w:tc>
          <w:tcPr>
            <w:tcW w:w="80" w:type="dxa"/>
            <w:vAlign w:val="bottom"/>
            <w:tcBorders>
              <w:bottom w:val="single" w:sz="8" w:color="2D53A6"/>
            </w:tcBorders>
            <w:shd w:val="clear" w:color="auto" w:fill="E6E6E6"/>
          </w:tcPr>
          <w:p>
            <w:pPr>
              <w:spacing w:after="0"/>
              <w:rPr>
                <w:sz w:val="19"/>
                <w:szCs w:val="19"/>
                <w:color w:val="auto"/>
              </w:rPr>
            </w:pPr>
          </w:p>
        </w:tc>
        <w:tc>
          <w:tcPr>
            <w:tcW w:w="140" w:type="dxa"/>
            <w:vAlign w:val="bottom"/>
            <w:tcBorders>
              <w:bottom w:val="single" w:sz="8" w:color="2D53A6"/>
            </w:tcBorders>
            <w:shd w:val="clear" w:color="auto" w:fill="E6E6E6"/>
          </w:tcPr>
          <w:p>
            <w:pPr>
              <w:spacing w:after="0"/>
              <w:rPr>
                <w:sz w:val="19"/>
                <w:szCs w:val="19"/>
                <w:color w:val="auto"/>
              </w:rPr>
            </w:pPr>
          </w:p>
        </w:tc>
        <w:tc>
          <w:tcPr>
            <w:tcW w:w="1000" w:type="dxa"/>
            <w:vAlign w:val="bottom"/>
            <w:tcBorders>
              <w:bottom w:val="single" w:sz="8" w:color="2D53A6"/>
              <w:right w:val="single" w:sz="8" w:color="2D53A6"/>
            </w:tcBorders>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2D53A6"/>
            </w:tcBorders>
            <w:shd w:val="clear" w:color="auto" w:fill="E6E6E6"/>
          </w:tcPr>
          <w:p>
            <w:pPr>
              <w:spacing w:after="0"/>
              <w:rPr>
                <w:sz w:val="19"/>
                <w:szCs w:val="19"/>
                <w:color w:val="auto"/>
              </w:rPr>
            </w:pPr>
          </w:p>
        </w:tc>
        <w:tc>
          <w:tcPr>
            <w:tcW w:w="260" w:type="dxa"/>
            <w:vAlign w:val="bottom"/>
            <w:tcBorders>
              <w:bottom w:val="single" w:sz="8" w:color="2D53A6"/>
            </w:tcBorders>
            <w:shd w:val="clear" w:color="auto" w:fill="E6E6E6"/>
          </w:tcPr>
          <w:p>
            <w:pPr>
              <w:spacing w:after="0"/>
              <w:rPr>
                <w:sz w:val="19"/>
                <w:szCs w:val="19"/>
                <w:color w:val="auto"/>
              </w:rPr>
            </w:pPr>
          </w:p>
        </w:tc>
        <w:tc>
          <w:tcPr>
            <w:tcW w:w="160" w:type="dxa"/>
            <w:vAlign w:val="bottom"/>
            <w:tcBorders>
              <w:bottom w:val="single" w:sz="8" w:color="2D53A6"/>
            </w:tcBorders>
            <w:shd w:val="clear" w:color="auto" w:fill="E6E6E6"/>
          </w:tcPr>
          <w:p>
            <w:pPr>
              <w:spacing w:after="0"/>
              <w:rPr>
                <w:sz w:val="19"/>
                <w:szCs w:val="19"/>
                <w:color w:val="auto"/>
              </w:rPr>
            </w:pPr>
          </w:p>
        </w:tc>
        <w:tc>
          <w:tcPr>
            <w:tcW w:w="1140" w:type="dxa"/>
            <w:vAlign w:val="bottom"/>
            <w:tcBorders>
              <w:bottom w:val="single" w:sz="8" w:color="2D53A6"/>
            </w:tcBorders>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(0.10)</w:t>
            </w:r>
          </w:p>
        </w:tc>
      </w:tr>
      <w:tr>
        <w:trPr>
          <w:trHeight w:val="223"/>
        </w:trPr>
        <w:tc>
          <w:tcPr>
            <w:tcW w:w="8000" w:type="dxa"/>
            <w:vAlign w:val="bottom"/>
            <w:tcBorders>
              <w:bottom w:val="single" w:sz="8" w:color="2D53A6"/>
            </w:tcBorders>
            <w:gridSpan w:val="2"/>
          </w:tcPr>
          <w:p>
            <w:pPr>
              <w:spacing w:after="0"/>
              <w:rPr>
                <w:sz w:val="20"/>
                <w:szCs w:val="20"/>
                <w:color w:val="auto"/>
              </w:rPr>
            </w:pPr>
            <w:r>
              <w:rPr>
                <w:rFonts w:ascii="Arial" w:cs="Arial" w:eastAsia="Arial" w:hAnsi="Arial"/>
                <w:sz w:val="18"/>
                <w:szCs w:val="18"/>
                <w:color w:val="auto"/>
              </w:rPr>
              <w:t>Net income - non-GAAP basis</w:t>
            </w:r>
          </w:p>
        </w:tc>
        <w:tc>
          <w:tcPr>
            <w:tcW w:w="36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9"/>
                <w:szCs w:val="19"/>
                <w:color w:val="auto"/>
              </w:rPr>
            </w:pPr>
          </w:p>
        </w:tc>
        <w:tc>
          <w:tcPr>
            <w:tcW w:w="140" w:type="dxa"/>
            <w:vAlign w:val="bottom"/>
            <w:tcBorders>
              <w:bottom w:val="single" w:sz="8" w:color="2D53A6"/>
            </w:tcBorders>
          </w:tcPr>
          <w:p>
            <w:pPr>
              <w:spacing w:after="0"/>
              <w:rPr>
                <w:sz w:val="19"/>
                <w:szCs w:val="19"/>
                <w:color w:val="auto"/>
              </w:rPr>
            </w:pPr>
          </w:p>
        </w:tc>
        <w:tc>
          <w:tcPr>
            <w:tcW w:w="1000" w:type="dxa"/>
            <w:vAlign w:val="bottom"/>
            <w:tcBorders>
              <w:bottom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141,945</w:t>
            </w:r>
          </w:p>
        </w:tc>
        <w:tc>
          <w:tcPr>
            <w:tcW w:w="360" w:type="dxa"/>
            <w:vAlign w:val="bottom"/>
            <w:tcBorders>
              <w:bottom w:val="single" w:sz="8" w:color="2D53A6"/>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2D53A6"/>
            </w:tcBorders>
          </w:tcPr>
          <w:p>
            <w:pPr>
              <w:spacing w:after="0"/>
              <w:rPr>
                <w:sz w:val="19"/>
                <w:szCs w:val="19"/>
                <w:color w:val="auto"/>
              </w:rPr>
            </w:pPr>
          </w:p>
        </w:tc>
        <w:tc>
          <w:tcPr>
            <w:tcW w:w="1140" w:type="dxa"/>
            <w:vAlign w:val="bottom"/>
            <w:tcBorders>
              <w:bottom w:val="single" w:sz="8" w:color="2D53A6"/>
            </w:tcBorders>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09"/>
        </w:trPr>
        <w:tc>
          <w:tcPr>
            <w:tcW w:w="80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Weighted average diluted shares used in computing income (loss) per shares:</w:t>
            </w:r>
          </w:p>
        </w:tc>
        <w:tc>
          <w:tcPr>
            <w:tcW w:w="36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tcBorders>
              <w:right w:val="single" w:sz="8" w:color="E6E6E6"/>
            </w:tcBorders>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GAAP-basis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48,799</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18"/>
                <w:szCs w:val="18"/>
                <w:color w:val="auto"/>
              </w:rPr>
              <w:t>Non-GAAP basis</w:t>
            </w:r>
          </w:p>
        </w:tc>
        <w:tc>
          <w:tcPr>
            <w:tcW w:w="360" w:type="dxa"/>
            <w:vAlign w:val="bottom"/>
            <w:tcBorders>
              <w:bottom w:val="single" w:sz="8" w:color="E6E6E6"/>
              <w:right w:val="single" w:sz="8" w:color="E6E6E6"/>
            </w:tcBorders>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right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48,799</w:t>
            </w:r>
          </w:p>
        </w:tc>
        <w:tc>
          <w:tcPr>
            <w:tcW w:w="100" w:type="dxa"/>
            <w:vAlign w:val="bottom"/>
            <w:tcBorders>
              <w:bottom w:val="single" w:sz="8" w:color="E6E6E6"/>
            </w:tcBorders>
            <w:shd w:val="clear" w:color="auto" w:fill="E6E6E6"/>
          </w:tcPr>
          <w:p>
            <w:pPr>
              <w:spacing w:after="0"/>
              <w:rPr>
                <w:sz w:val="18"/>
                <w:szCs w:val="18"/>
                <w:color w:val="auto"/>
              </w:rPr>
            </w:pP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80" w:type="dxa"/>
            <w:vAlign w:val="bottom"/>
            <w:tcBorders>
              <w:right w:val="single" w:sz="8" w:color="2D53A6"/>
            </w:tcBorders>
            <w:shd w:val="clear" w:color="auto" w:fill="2D53A6"/>
          </w:tcPr>
          <w:p>
            <w:pPr>
              <w:spacing w:after="0"/>
              <w:rPr>
                <w:sz w:val="17"/>
                <w:szCs w:val="17"/>
                <w:color w:val="auto"/>
              </w:rPr>
            </w:pPr>
          </w:p>
        </w:tc>
        <w:tc>
          <w:tcPr>
            <w:tcW w:w="120" w:type="dxa"/>
            <w:vAlign w:val="bottom"/>
            <w:shd w:val="clear" w:color="auto" w:fill="2D53A6"/>
          </w:tcPr>
          <w:p>
            <w:pPr>
              <w:spacing w:after="0"/>
              <w:rPr>
                <w:sz w:val="17"/>
                <w:szCs w:val="17"/>
                <w:color w:val="auto"/>
              </w:rPr>
            </w:pPr>
          </w:p>
        </w:tc>
        <w:tc>
          <w:tcPr>
            <w:tcW w:w="360" w:type="dxa"/>
            <w:vAlign w:val="bottom"/>
            <w:tcBorders>
              <w:right w:val="single" w:sz="8" w:color="2D53A6"/>
            </w:tcBorders>
            <w:shd w:val="clear" w:color="auto" w:fill="2D53A6"/>
          </w:tcPr>
          <w:p>
            <w:pPr>
              <w:spacing w:after="0"/>
              <w:rPr>
                <w:sz w:val="17"/>
                <w:szCs w:val="17"/>
                <w:color w:val="auto"/>
              </w:rPr>
            </w:pPr>
          </w:p>
        </w:tc>
        <w:tc>
          <w:tcPr>
            <w:tcW w:w="80" w:type="dxa"/>
            <w:vAlign w:val="bottom"/>
            <w:shd w:val="clear" w:color="auto" w:fill="2D53A6"/>
          </w:tcPr>
          <w:p>
            <w:pPr>
              <w:spacing w:after="0"/>
              <w:rPr>
                <w:sz w:val="17"/>
                <w:szCs w:val="17"/>
                <w:color w:val="auto"/>
              </w:rPr>
            </w:pPr>
          </w:p>
        </w:tc>
        <w:tc>
          <w:tcPr>
            <w:tcW w:w="140" w:type="dxa"/>
            <w:vAlign w:val="bottom"/>
            <w:shd w:val="clear" w:color="auto" w:fill="2D53A6"/>
          </w:tcPr>
          <w:p>
            <w:pPr>
              <w:spacing w:after="0"/>
              <w:rPr>
                <w:sz w:val="17"/>
                <w:szCs w:val="17"/>
                <w:color w:val="auto"/>
              </w:rPr>
            </w:pPr>
          </w:p>
        </w:tc>
        <w:tc>
          <w:tcPr>
            <w:tcW w:w="1520" w:type="dxa"/>
            <w:vAlign w:val="bottom"/>
            <w:gridSpan w:val="5"/>
            <w:shd w:val="clear" w:color="auto" w:fill="2D53A6"/>
          </w:tcPr>
          <w:p>
            <w:pPr>
              <w:jc w:val="right"/>
              <w:ind w:right="320"/>
              <w:spacing w:after="0" w:line="198" w:lineRule="exact"/>
              <w:rPr>
                <w:sz w:val="20"/>
                <w:szCs w:val="20"/>
                <w:color w:val="auto"/>
              </w:rPr>
            </w:pPr>
            <w:r>
              <w:rPr>
                <w:rFonts w:ascii="Arial" w:cs="Arial" w:eastAsia="Arial" w:hAnsi="Arial"/>
                <w:sz w:val="18"/>
                <w:szCs w:val="18"/>
                <w:b w:val="1"/>
                <w:bCs w:val="1"/>
                <w:color w:val="FFFFFF"/>
                <w:w w:val="91"/>
              </w:rPr>
              <w:t>Twelve Months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tcBorders>
              <w:right w:val="single" w:sz="8" w:color="2D53A6"/>
            </w:tcBorders>
            <w:shd w:val="clear" w:color="auto" w:fill="2D53A6"/>
          </w:tcPr>
          <w:p>
            <w:pPr>
              <w:spacing w:after="0"/>
              <w:rPr>
                <w:sz w:val="18"/>
                <w:szCs w:val="18"/>
                <w:color w:val="auto"/>
              </w:rPr>
            </w:pPr>
          </w:p>
        </w:tc>
        <w:tc>
          <w:tcPr>
            <w:tcW w:w="120" w:type="dxa"/>
            <w:vAlign w:val="bottom"/>
            <w:shd w:val="clear" w:color="auto" w:fill="2D53A6"/>
          </w:tcPr>
          <w:p>
            <w:pPr>
              <w:spacing w:after="0"/>
              <w:rPr>
                <w:sz w:val="18"/>
                <w:szCs w:val="18"/>
                <w:color w:val="auto"/>
              </w:rPr>
            </w:pPr>
          </w:p>
        </w:tc>
        <w:tc>
          <w:tcPr>
            <w:tcW w:w="360" w:type="dxa"/>
            <w:vAlign w:val="bottom"/>
            <w:tcBorders>
              <w:right w:val="single" w:sz="8" w:color="2D53A6"/>
            </w:tcBorders>
            <w:shd w:val="clear" w:color="auto" w:fill="2D53A6"/>
          </w:tcPr>
          <w:p>
            <w:pPr>
              <w:spacing w:after="0"/>
              <w:rPr>
                <w:sz w:val="18"/>
                <w:szCs w:val="18"/>
                <w:color w:val="auto"/>
              </w:rPr>
            </w:pPr>
          </w:p>
        </w:tc>
        <w:tc>
          <w:tcPr>
            <w:tcW w:w="80" w:type="dxa"/>
            <w:vAlign w:val="bottom"/>
            <w:shd w:val="clear" w:color="auto" w:fill="2D53A6"/>
          </w:tcPr>
          <w:p>
            <w:pPr>
              <w:spacing w:after="0"/>
              <w:rPr>
                <w:sz w:val="18"/>
                <w:szCs w:val="18"/>
                <w:color w:val="auto"/>
              </w:rPr>
            </w:pPr>
          </w:p>
        </w:tc>
        <w:tc>
          <w:tcPr>
            <w:tcW w:w="140" w:type="dxa"/>
            <w:vAlign w:val="bottom"/>
            <w:shd w:val="clear" w:color="auto" w:fill="2D53A6"/>
          </w:tcPr>
          <w:p>
            <w:pPr>
              <w:spacing w:after="0"/>
              <w:rPr>
                <w:sz w:val="18"/>
                <w:szCs w:val="18"/>
                <w:color w:val="auto"/>
              </w:rPr>
            </w:pPr>
          </w:p>
        </w:tc>
        <w:tc>
          <w:tcPr>
            <w:tcW w:w="1000" w:type="dxa"/>
            <w:vAlign w:val="bottom"/>
            <w:tcBorders>
              <w:right w:val="single" w:sz="8" w:color="2D53A6"/>
            </w:tcBorders>
            <w:gridSpan w:val="2"/>
            <w:shd w:val="clear" w:color="auto" w:fill="2D53A6"/>
          </w:tcPr>
          <w:p>
            <w:pPr>
              <w:jc w:val="right"/>
              <w:ind w:right="140"/>
              <w:spacing w:after="0"/>
              <w:rPr>
                <w:sz w:val="20"/>
                <w:szCs w:val="20"/>
                <w:color w:val="auto"/>
              </w:rPr>
            </w:pPr>
            <w:r>
              <w:rPr>
                <w:rFonts w:ascii="Arial" w:cs="Arial" w:eastAsia="Arial" w:hAnsi="Arial"/>
                <w:sz w:val="18"/>
                <w:szCs w:val="18"/>
                <w:b w:val="1"/>
                <w:bCs w:val="1"/>
                <w:color w:val="FFFFFF"/>
              </w:rPr>
              <w:t>Ended</w:t>
            </w:r>
          </w:p>
        </w:tc>
        <w:tc>
          <w:tcPr>
            <w:tcW w:w="100" w:type="dxa"/>
            <w:vAlign w:val="bottom"/>
            <w:shd w:val="clear" w:color="auto" w:fill="2D53A6"/>
          </w:tcPr>
          <w:p>
            <w:pPr>
              <w:spacing w:after="0"/>
              <w:rPr>
                <w:sz w:val="18"/>
                <w:szCs w:val="18"/>
                <w:color w:val="auto"/>
              </w:rPr>
            </w:pPr>
          </w:p>
        </w:tc>
        <w:tc>
          <w:tcPr>
            <w:tcW w:w="260" w:type="dxa"/>
            <w:vAlign w:val="bottom"/>
            <w:shd w:val="clear" w:color="auto" w:fill="2D53A6"/>
          </w:tcPr>
          <w:p>
            <w:pPr>
              <w:spacing w:after="0"/>
              <w:rPr>
                <w:sz w:val="18"/>
                <w:szCs w:val="18"/>
                <w:color w:val="auto"/>
              </w:rPr>
            </w:pPr>
          </w:p>
        </w:tc>
        <w:tc>
          <w:tcPr>
            <w:tcW w:w="160" w:type="dxa"/>
            <w:vAlign w:val="bottom"/>
            <w:shd w:val="clear" w:color="auto" w:fill="2D53A6"/>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Borders>
              <w:bottom w:val="single" w:sz="8" w:color="2D53A6"/>
            </w:tcBorders>
            <w:gridSpan w:val="2"/>
            <w:shd w:val="clear" w:color="auto" w:fill="2D53A6"/>
          </w:tcPr>
          <w:p>
            <w:pPr>
              <w:spacing w:after="0"/>
              <w:rPr>
                <w:sz w:val="20"/>
                <w:szCs w:val="20"/>
                <w:color w:val="auto"/>
              </w:rPr>
            </w:pPr>
            <w:r>
              <w:rPr>
                <w:rFonts w:ascii="Arial" w:cs="Arial" w:eastAsia="Arial" w:hAnsi="Arial"/>
                <w:sz w:val="18"/>
                <w:szCs w:val="18"/>
                <w:b w:val="1"/>
                <w:bCs w:val="1"/>
                <w:color w:val="FFFFFF"/>
              </w:rPr>
              <w:t>Gross Profit Reconciliation (in thousands)</w:t>
            </w:r>
          </w:p>
        </w:tc>
        <w:tc>
          <w:tcPr>
            <w:tcW w:w="360" w:type="dxa"/>
            <w:vAlign w:val="bottom"/>
            <w:tcBorders>
              <w:bottom w:val="single" w:sz="8" w:color="2D53A6"/>
              <w:right w:val="single" w:sz="8" w:color="2D53A6"/>
            </w:tcBorders>
            <w:shd w:val="clear" w:color="auto" w:fill="2D53A6"/>
          </w:tcPr>
          <w:p>
            <w:pPr>
              <w:spacing w:after="0"/>
              <w:rPr>
                <w:sz w:val="20"/>
                <w:szCs w:val="20"/>
                <w:color w:val="auto"/>
              </w:rPr>
            </w:pPr>
          </w:p>
        </w:tc>
        <w:tc>
          <w:tcPr>
            <w:tcW w:w="80" w:type="dxa"/>
            <w:vAlign w:val="bottom"/>
            <w:tcBorders>
              <w:bottom w:val="single" w:sz="8" w:color="2D53A6"/>
            </w:tcBorders>
            <w:shd w:val="clear" w:color="auto" w:fill="2D53A6"/>
          </w:tcPr>
          <w:p>
            <w:pPr>
              <w:spacing w:after="0"/>
              <w:rPr>
                <w:sz w:val="20"/>
                <w:szCs w:val="20"/>
                <w:color w:val="auto"/>
              </w:rPr>
            </w:pPr>
          </w:p>
        </w:tc>
        <w:tc>
          <w:tcPr>
            <w:tcW w:w="1500" w:type="dxa"/>
            <w:vAlign w:val="bottom"/>
            <w:tcBorders>
              <w:bottom w:val="single" w:sz="8" w:color="auto"/>
            </w:tcBorders>
            <w:gridSpan w:val="5"/>
            <w:shd w:val="clear" w:color="auto" w:fill="2D53A6"/>
          </w:tcPr>
          <w:p>
            <w:pPr>
              <w:ind w:left="20"/>
              <w:spacing w:after="0"/>
              <w:rPr>
                <w:sz w:val="20"/>
                <w:szCs w:val="20"/>
                <w:color w:val="auto"/>
              </w:rPr>
            </w:pPr>
            <w:r>
              <w:rPr>
                <w:rFonts w:ascii="Arial" w:cs="Arial" w:eastAsia="Arial" w:hAnsi="Arial"/>
                <w:sz w:val="18"/>
                <w:szCs w:val="18"/>
                <w:b w:val="1"/>
                <w:bCs w:val="1"/>
                <w:color w:val="FFFFFF"/>
                <w:w w:val="90"/>
              </w:rPr>
              <w:t>December 31, 2022</w:t>
            </w:r>
          </w:p>
        </w:tc>
        <w:tc>
          <w:tcPr>
            <w:tcW w:w="160" w:type="dxa"/>
            <w:vAlign w:val="bottom"/>
            <w:tcBorders>
              <w:bottom w:val="single" w:sz="8" w:color="2D53A6"/>
            </w:tcBorders>
            <w:shd w:val="clear" w:color="auto" w:fill="2D53A6"/>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right w:val="single" w:sz="8" w:color="2D53A6"/>
            </w:tcBorders>
            <w:shd w:val="clear" w:color="auto" w:fill="E6E6E6"/>
          </w:tcPr>
          <w:p>
            <w:pPr>
              <w:spacing w:after="0"/>
              <w:rPr>
                <w:sz w:val="18"/>
                <w:szCs w:val="18"/>
                <w:color w:val="auto"/>
              </w:rPr>
            </w:pPr>
          </w:p>
        </w:tc>
        <w:tc>
          <w:tcPr>
            <w:tcW w:w="220" w:type="dxa"/>
            <w:vAlign w:val="bottom"/>
            <w:gridSpan w:val="2"/>
            <w:shd w:val="clear" w:color="auto" w:fill="E6E6E6"/>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5"/>
            <w:shd w:val="clear" w:color="auto" w:fill="E6E6E6"/>
          </w:tcPr>
          <w:p>
            <w:pPr>
              <w:jc w:val="right"/>
              <w:ind w:right="160"/>
              <w:spacing w:after="0"/>
              <w:rPr>
                <w:sz w:val="20"/>
                <w:szCs w:val="20"/>
                <w:color w:val="auto"/>
              </w:rPr>
            </w:pPr>
            <w:r>
              <w:rPr>
                <w:rFonts w:ascii="Arial" w:cs="Arial" w:eastAsia="Arial" w:hAnsi="Arial"/>
                <w:sz w:val="18"/>
                <w:szCs w:val="18"/>
                <w:color w:val="auto"/>
              </w:rPr>
              <w:t>812,775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spacing w:after="0" w:line="216" w:lineRule="exact"/>
              <w:rPr>
                <w:sz w:val="20"/>
                <w:szCs w:val="20"/>
                <w:color w:val="auto"/>
              </w:rPr>
            </w:pPr>
            <w:r>
              <w:rPr>
                <w:rFonts w:ascii="Arial" w:cs="Arial" w:eastAsia="Arial" w:hAnsi="Arial"/>
                <w:sz w:val="16"/>
                <w:szCs w:val="16"/>
                <w:color w:val="auto"/>
              </w:rPr>
              <w:t xml:space="preserve">Gross profit - GAAP basis </w:t>
            </w:r>
            <w:r>
              <w:rPr>
                <w:rFonts w:ascii="Arial" w:cs="Arial" w:eastAsia="Arial" w:hAnsi="Arial"/>
                <w:sz w:val="25"/>
                <w:szCs w:val="25"/>
                <w:color w:val="auto"/>
                <w:vertAlign w:val="superscript"/>
              </w:rPr>
              <w:t>(1)</w:t>
            </w:r>
          </w:p>
        </w:tc>
        <w:tc>
          <w:tcPr>
            <w:tcW w:w="360" w:type="dxa"/>
            <w:vAlign w:val="bottom"/>
            <w:tcBorders>
              <w:right w:val="single" w:sz="8" w:color="2D53A6"/>
            </w:tcBorders>
            <w:shd w:val="clear" w:color="auto" w:fill="E6E6E6"/>
          </w:tcPr>
          <w:p>
            <w:pPr>
              <w:spacing w:after="0"/>
              <w:rPr>
                <w:sz w:val="18"/>
                <w:szCs w:val="18"/>
                <w:color w:val="auto"/>
              </w:rPr>
            </w:pPr>
          </w:p>
        </w:tc>
        <w:tc>
          <w:tcPr>
            <w:tcW w:w="220" w:type="dxa"/>
            <w:vAlign w:val="bottom"/>
            <w:gridSpan w:val="2"/>
            <w:shd w:val="clear" w:color="auto" w:fill="E6E6E6"/>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5"/>
            <w:shd w:val="clear" w:color="auto" w:fill="E6E6E6"/>
          </w:tcPr>
          <w:p>
            <w:pPr>
              <w:jc w:val="right"/>
              <w:ind w:right="160"/>
              <w:spacing w:after="0"/>
              <w:rPr>
                <w:sz w:val="20"/>
                <w:szCs w:val="20"/>
                <w:color w:val="auto"/>
              </w:rPr>
            </w:pPr>
            <w:r>
              <w:rPr>
                <w:rFonts w:ascii="Arial" w:cs="Arial" w:eastAsia="Arial" w:hAnsi="Arial"/>
                <w:sz w:val="18"/>
                <w:szCs w:val="18"/>
                <w:color w:val="auto"/>
              </w:rPr>
              <w:t>383,326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right w:val="single" w:sz="8" w:color="2D53A6"/>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646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ind w:left="180"/>
              <w:spacing w:after="0"/>
              <w:rPr>
                <w:sz w:val="20"/>
                <w:szCs w:val="20"/>
                <w:color w:val="auto"/>
              </w:rPr>
            </w:pPr>
            <w:r>
              <w:rPr>
                <w:rFonts w:ascii="Arial" w:cs="Arial" w:eastAsia="Arial" w:hAnsi="Arial"/>
                <w:sz w:val="18"/>
                <w:szCs w:val="18"/>
                <w:color w:val="auto"/>
              </w:rPr>
              <w:t>Restructuring charges related to inventory adjustments in cost of sales</w:t>
            </w:r>
          </w:p>
        </w:tc>
        <w:tc>
          <w:tcPr>
            <w:tcW w:w="360" w:type="dxa"/>
            <w:vAlign w:val="bottom"/>
            <w:tcBorders>
              <w:right w:val="single" w:sz="8" w:color="2D53A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tcBorders>
              <w:right w:val="single" w:sz="8" w:color="E6E6E6"/>
            </w:tcBorders>
            <w:shd w:val="clear" w:color="auto" w:fill="E6E6E6"/>
          </w:tcPr>
          <w:p>
            <w:pPr>
              <w:spacing w:after="0"/>
              <w:rPr>
                <w:sz w:val="18"/>
                <w:szCs w:val="18"/>
                <w:color w:val="auto"/>
              </w:rPr>
            </w:pPr>
          </w:p>
        </w:tc>
        <w:tc>
          <w:tcPr>
            <w:tcW w:w="520" w:type="dxa"/>
            <w:vAlign w:val="bottom"/>
            <w:gridSpan w:val="3"/>
            <w:shd w:val="clear" w:color="auto" w:fill="E6E6E6"/>
          </w:tcPr>
          <w:p>
            <w:pPr>
              <w:jc w:val="right"/>
              <w:ind w:right="100"/>
              <w:spacing w:after="0"/>
              <w:rPr>
                <w:sz w:val="20"/>
                <w:szCs w:val="20"/>
                <w:color w:val="auto"/>
              </w:rPr>
            </w:pPr>
            <w:r>
              <w:rPr>
                <w:rFonts w:ascii="Arial" w:cs="Arial" w:eastAsia="Arial" w:hAnsi="Arial"/>
                <w:sz w:val="18"/>
                <w:szCs w:val="18"/>
                <w:color w:val="auto"/>
                <w:w w:val="95"/>
              </w:rPr>
              <w:t>(454)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tcBorders>
              <w:bottom w:val="single" w:sz="8" w:color="2D53A6"/>
            </w:tcBorders>
            <w:gridSpan w:val="2"/>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360" w:type="dxa"/>
            <w:vAlign w:val="bottom"/>
            <w:tcBorders>
              <w:bottom w:val="single" w:sz="8" w:color="2D53A6"/>
              <w:right w:val="single" w:sz="8" w:color="2D53A6"/>
            </w:tcBorders>
          </w:tcPr>
          <w:p>
            <w:pPr>
              <w:spacing w:after="0"/>
              <w:rPr>
                <w:sz w:val="19"/>
                <w:szCs w:val="19"/>
                <w:color w:val="auto"/>
              </w:rPr>
            </w:pPr>
          </w:p>
        </w:tc>
        <w:tc>
          <w:tcPr>
            <w:tcW w:w="80" w:type="dxa"/>
            <w:vAlign w:val="bottom"/>
            <w:tcBorders>
              <w:bottom w:val="single" w:sz="8" w:color="2D53A6"/>
            </w:tcBorders>
          </w:tcPr>
          <w:p>
            <w:pPr>
              <w:spacing w:after="0"/>
              <w:rPr>
                <w:sz w:val="19"/>
                <w:szCs w:val="19"/>
                <w:color w:val="auto"/>
              </w:rPr>
            </w:pPr>
          </w:p>
        </w:tc>
        <w:tc>
          <w:tcPr>
            <w:tcW w:w="140" w:type="dxa"/>
            <w:vAlign w:val="bottom"/>
            <w:tcBorders>
              <w:bottom w:val="single" w:sz="8" w:color="2D53A6"/>
            </w:tcBorders>
          </w:tcPr>
          <w:p>
            <w:pPr>
              <w:spacing w:after="0"/>
              <w:rPr>
                <w:sz w:val="19"/>
                <w:szCs w:val="19"/>
                <w:color w:val="auto"/>
              </w:rPr>
            </w:pPr>
          </w:p>
        </w:tc>
        <w:tc>
          <w:tcPr>
            <w:tcW w:w="900" w:type="dxa"/>
            <w:vAlign w:val="bottom"/>
            <w:tcBorders>
              <w:bottom w:val="single" w:sz="8" w:color="2D53A6"/>
            </w:tcBorders>
          </w:tcPr>
          <w:p>
            <w:pPr>
              <w:spacing w:after="0"/>
              <w:rPr>
                <w:sz w:val="19"/>
                <w:szCs w:val="19"/>
                <w:color w:val="auto"/>
              </w:rPr>
            </w:pPr>
          </w:p>
        </w:tc>
        <w:tc>
          <w:tcPr>
            <w:tcW w:w="100" w:type="dxa"/>
            <w:vAlign w:val="bottom"/>
            <w:tcBorders>
              <w:bottom w:val="single" w:sz="8" w:color="2D53A6"/>
            </w:tcBorders>
          </w:tcPr>
          <w:p>
            <w:pPr>
              <w:spacing w:after="0"/>
              <w:rPr>
                <w:sz w:val="19"/>
                <w:szCs w:val="19"/>
                <w:color w:val="auto"/>
              </w:rPr>
            </w:pPr>
          </w:p>
        </w:tc>
        <w:tc>
          <w:tcPr>
            <w:tcW w:w="520" w:type="dxa"/>
            <w:vAlign w:val="bottom"/>
            <w:tcBorders>
              <w:bottom w:val="single" w:sz="8" w:color="2D53A6"/>
            </w:tcBorders>
            <w:gridSpan w:val="3"/>
          </w:tcPr>
          <w:p>
            <w:pPr>
              <w:jc w:val="right"/>
              <w:ind w:right="10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000" w:type="dxa"/>
            <w:vAlign w:val="bottom"/>
            <w:tcBorders>
              <w:bottom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Gross profit - non-GAAP basis</w:t>
            </w:r>
          </w:p>
        </w:tc>
        <w:tc>
          <w:tcPr>
            <w:tcW w:w="580" w:type="dxa"/>
            <w:vAlign w:val="bottom"/>
            <w:tcBorders>
              <w:bottom w:val="single" w:sz="8" w:color="2D53A6"/>
            </w:tcBorders>
            <w:gridSpan w:val="3"/>
            <w:shd w:val="clear" w:color="auto" w:fill="E6E6E6"/>
          </w:tcPr>
          <w:p>
            <w:pPr>
              <w:ind w:left="4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2D53A6"/>
            </w:tcBorders>
            <w:gridSpan w:val="5"/>
            <w:shd w:val="clear" w:color="auto" w:fill="E6E6E6"/>
          </w:tcPr>
          <w:p>
            <w:pPr>
              <w:jc w:val="right"/>
              <w:ind w:right="160"/>
              <w:spacing w:after="0"/>
              <w:rPr>
                <w:sz w:val="20"/>
                <w:szCs w:val="20"/>
                <w:color w:val="auto"/>
              </w:rPr>
            </w:pPr>
            <w:r>
              <w:rPr>
                <w:rFonts w:ascii="Arial" w:cs="Arial" w:eastAsia="Arial" w:hAnsi="Arial"/>
                <w:sz w:val="18"/>
                <w:szCs w:val="18"/>
                <w:color w:val="auto"/>
              </w:rPr>
              <w:t>383,505</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(1) Excludes amortization of $26,023 for the twelve months ending December 31, 2022.</w:t>
            </w:r>
          </w:p>
        </w:tc>
        <w:tc>
          <w:tcPr>
            <w:tcW w:w="36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tcBorders>
              <w:right w:val="single" w:sz="8" w:color="E6E6E6"/>
            </w:tcBorders>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GAAP gross profit (as a % of net sales)</w:t>
            </w:r>
          </w:p>
        </w:tc>
        <w:tc>
          <w:tcPr>
            <w:tcW w:w="360" w:type="dxa"/>
            <w:vAlign w:val="bottom"/>
            <w:tcBorders>
              <w:right w:val="single" w:sz="8" w:color="E6E6E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tcBorders>
              <w:right w:val="single" w:sz="8" w:color="E6E6E6"/>
            </w:tcBorders>
            <w:shd w:val="clear" w:color="auto" w:fill="E6E6E6"/>
          </w:tcPr>
          <w:p>
            <w:pPr>
              <w:spacing w:after="0"/>
              <w:rPr>
                <w:sz w:val="18"/>
                <w:szCs w:val="18"/>
                <w:color w:val="auto"/>
              </w:rPr>
            </w:pPr>
          </w:p>
        </w:tc>
        <w:tc>
          <w:tcPr>
            <w:tcW w:w="52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w w:val="97"/>
              </w:rPr>
              <w:t>47.2%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Non-GAAP gross profit (as a % of net sales)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47.2%</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880" w:type="dxa"/>
            <w:vAlign w:val="bottom"/>
            <w:tcBorders>
              <w:right w:val="single" w:sz="8" w:color="2D53A6"/>
            </w:tcBorders>
            <w:shd w:val="clear" w:color="auto" w:fill="2D53A6"/>
          </w:tcPr>
          <w:p>
            <w:pPr>
              <w:spacing w:after="0"/>
              <w:rPr>
                <w:sz w:val="17"/>
                <w:szCs w:val="17"/>
                <w:color w:val="auto"/>
              </w:rPr>
            </w:pPr>
          </w:p>
        </w:tc>
        <w:tc>
          <w:tcPr>
            <w:tcW w:w="120" w:type="dxa"/>
            <w:vAlign w:val="bottom"/>
            <w:shd w:val="clear" w:color="auto" w:fill="2D53A6"/>
          </w:tcPr>
          <w:p>
            <w:pPr>
              <w:spacing w:after="0"/>
              <w:rPr>
                <w:sz w:val="17"/>
                <w:szCs w:val="17"/>
                <w:color w:val="auto"/>
              </w:rPr>
            </w:pPr>
          </w:p>
        </w:tc>
        <w:tc>
          <w:tcPr>
            <w:tcW w:w="360" w:type="dxa"/>
            <w:vAlign w:val="bottom"/>
            <w:tcBorders>
              <w:right w:val="single" w:sz="8" w:color="2D53A6"/>
            </w:tcBorders>
            <w:shd w:val="clear" w:color="auto" w:fill="2D53A6"/>
          </w:tcPr>
          <w:p>
            <w:pPr>
              <w:spacing w:after="0"/>
              <w:rPr>
                <w:sz w:val="17"/>
                <w:szCs w:val="17"/>
                <w:color w:val="auto"/>
              </w:rPr>
            </w:pPr>
          </w:p>
        </w:tc>
        <w:tc>
          <w:tcPr>
            <w:tcW w:w="80" w:type="dxa"/>
            <w:vAlign w:val="bottom"/>
            <w:shd w:val="clear" w:color="auto" w:fill="2D53A6"/>
          </w:tcPr>
          <w:p>
            <w:pPr>
              <w:spacing w:after="0"/>
              <w:rPr>
                <w:sz w:val="17"/>
                <w:szCs w:val="17"/>
                <w:color w:val="auto"/>
              </w:rPr>
            </w:pPr>
          </w:p>
        </w:tc>
        <w:tc>
          <w:tcPr>
            <w:tcW w:w="140" w:type="dxa"/>
            <w:vAlign w:val="bottom"/>
            <w:shd w:val="clear" w:color="auto" w:fill="2D53A6"/>
          </w:tcPr>
          <w:p>
            <w:pPr>
              <w:spacing w:after="0"/>
              <w:rPr>
                <w:sz w:val="17"/>
                <w:szCs w:val="17"/>
                <w:color w:val="auto"/>
              </w:rPr>
            </w:pPr>
          </w:p>
        </w:tc>
        <w:tc>
          <w:tcPr>
            <w:tcW w:w="1520" w:type="dxa"/>
            <w:vAlign w:val="bottom"/>
            <w:gridSpan w:val="5"/>
            <w:shd w:val="clear" w:color="auto" w:fill="2D53A6"/>
          </w:tcPr>
          <w:p>
            <w:pPr>
              <w:jc w:val="right"/>
              <w:ind w:right="320"/>
              <w:spacing w:after="0" w:line="198" w:lineRule="exact"/>
              <w:rPr>
                <w:sz w:val="20"/>
                <w:szCs w:val="20"/>
                <w:color w:val="auto"/>
              </w:rPr>
            </w:pPr>
            <w:r>
              <w:rPr>
                <w:rFonts w:ascii="Arial" w:cs="Arial" w:eastAsia="Arial" w:hAnsi="Arial"/>
                <w:sz w:val="18"/>
                <w:szCs w:val="18"/>
                <w:b w:val="1"/>
                <w:bCs w:val="1"/>
                <w:color w:val="FFFFFF"/>
                <w:w w:val="91"/>
              </w:rPr>
              <w:t>Twelve Months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tcBorders>
              <w:right w:val="single" w:sz="8" w:color="2D53A6"/>
            </w:tcBorders>
            <w:shd w:val="clear" w:color="auto" w:fill="2D53A6"/>
          </w:tcPr>
          <w:p>
            <w:pPr>
              <w:spacing w:after="0"/>
              <w:rPr>
                <w:sz w:val="18"/>
                <w:szCs w:val="18"/>
                <w:color w:val="auto"/>
              </w:rPr>
            </w:pPr>
          </w:p>
        </w:tc>
        <w:tc>
          <w:tcPr>
            <w:tcW w:w="120" w:type="dxa"/>
            <w:vAlign w:val="bottom"/>
            <w:shd w:val="clear" w:color="auto" w:fill="2D53A6"/>
          </w:tcPr>
          <w:p>
            <w:pPr>
              <w:spacing w:after="0"/>
              <w:rPr>
                <w:sz w:val="18"/>
                <w:szCs w:val="18"/>
                <w:color w:val="auto"/>
              </w:rPr>
            </w:pPr>
          </w:p>
        </w:tc>
        <w:tc>
          <w:tcPr>
            <w:tcW w:w="360" w:type="dxa"/>
            <w:vAlign w:val="bottom"/>
            <w:tcBorders>
              <w:right w:val="single" w:sz="8" w:color="2D53A6"/>
            </w:tcBorders>
            <w:shd w:val="clear" w:color="auto" w:fill="2D53A6"/>
          </w:tcPr>
          <w:p>
            <w:pPr>
              <w:spacing w:after="0"/>
              <w:rPr>
                <w:sz w:val="18"/>
                <w:szCs w:val="18"/>
                <w:color w:val="auto"/>
              </w:rPr>
            </w:pPr>
          </w:p>
        </w:tc>
        <w:tc>
          <w:tcPr>
            <w:tcW w:w="80" w:type="dxa"/>
            <w:vAlign w:val="bottom"/>
            <w:shd w:val="clear" w:color="auto" w:fill="2D53A6"/>
          </w:tcPr>
          <w:p>
            <w:pPr>
              <w:spacing w:after="0"/>
              <w:rPr>
                <w:sz w:val="18"/>
                <w:szCs w:val="18"/>
                <w:color w:val="auto"/>
              </w:rPr>
            </w:pPr>
          </w:p>
        </w:tc>
        <w:tc>
          <w:tcPr>
            <w:tcW w:w="140" w:type="dxa"/>
            <w:vAlign w:val="bottom"/>
            <w:shd w:val="clear" w:color="auto" w:fill="2D53A6"/>
          </w:tcPr>
          <w:p>
            <w:pPr>
              <w:spacing w:after="0"/>
              <w:rPr>
                <w:sz w:val="18"/>
                <w:szCs w:val="18"/>
                <w:color w:val="auto"/>
              </w:rPr>
            </w:pPr>
          </w:p>
        </w:tc>
        <w:tc>
          <w:tcPr>
            <w:tcW w:w="1000" w:type="dxa"/>
            <w:vAlign w:val="bottom"/>
            <w:tcBorders>
              <w:right w:val="single" w:sz="8" w:color="2D53A6"/>
            </w:tcBorders>
            <w:gridSpan w:val="2"/>
            <w:shd w:val="clear" w:color="auto" w:fill="2D53A6"/>
          </w:tcPr>
          <w:p>
            <w:pPr>
              <w:jc w:val="right"/>
              <w:ind w:right="140"/>
              <w:spacing w:after="0"/>
              <w:rPr>
                <w:sz w:val="20"/>
                <w:szCs w:val="20"/>
                <w:color w:val="auto"/>
              </w:rPr>
            </w:pPr>
            <w:r>
              <w:rPr>
                <w:rFonts w:ascii="Arial" w:cs="Arial" w:eastAsia="Arial" w:hAnsi="Arial"/>
                <w:sz w:val="18"/>
                <w:szCs w:val="18"/>
                <w:b w:val="1"/>
                <w:bCs w:val="1"/>
                <w:color w:val="FFFFFF"/>
              </w:rPr>
              <w:t>Ended</w:t>
            </w:r>
          </w:p>
        </w:tc>
        <w:tc>
          <w:tcPr>
            <w:tcW w:w="100" w:type="dxa"/>
            <w:vAlign w:val="bottom"/>
            <w:shd w:val="clear" w:color="auto" w:fill="2D53A6"/>
          </w:tcPr>
          <w:p>
            <w:pPr>
              <w:spacing w:after="0"/>
              <w:rPr>
                <w:sz w:val="18"/>
                <w:szCs w:val="18"/>
                <w:color w:val="auto"/>
              </w:rPr>
            </w:pPr>
          </w:p>
        </w:tc>
        <w:tc>
          <w:tcPr>
            <w:tcW w:w="260" w:type="dxa"/>
            <w:vAlign w:val="bottom"/>
            <w:shd w:val="clear" w:color="auto" w:fill="2D53A6"/>
          </w:tcPr>
          <w:p>
            <w:pPr>
              <w:spacing w:after="0"/>
              <w:rPr>
                <w:sz w:val="18"/>
                <w:szCs w:val="18"/>
                <w:color w:val="auto"/>
              </w:rPr>
            </w:pPr>
          </w:p>
        </w:tc>
        <w:tc>
          <w:tcPr>
            <w:tcW w:w="160" w:type="dxa"/>
            <w:vAlign w:val="bottom"/>
            <w:shd w:val="clear" w:color="auto" w:fill="2D53A6"/>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Borders>
              <w:bottom w:val="single" w:sz="8" w:color="2D53A6"/>
            </w:tcBorders>
            <w:gridSpan w:val="2"/>
            <w:shd w:val="clear" w:color="auto" w:fill="2D53A6"/>
          </w:tcPr>
          <w:p>
            <w:pPr>
              <w:spacing w:after="0"/>
              <w:rPr>
                <w:sz w:val="20"/>
                <w:szCs w:val="20"/>
                <w:color w:val="auto"/>
              </w:rPr>
            </w:pPr>
            <w:r>
              <w:rPr>
                <w:rFonts w:ascii="Arial" w:cs="Arial" w:eastAsia="Arial" w:hAnsi="Arial"/>
                <w:sz w:val="18"/>
                <w:szCs w:val="18"/>
                <w:b w:val="1"/>
                <w:bCs w:val="1"/>
                <w:color w:val="FFFFFF"/>
              </w:rPr>
              <w:t>Pretax income reconciliation (in thousands)</w:t>
            </w:r>
          </w:p>
        </w:tc>
        <w:tc>
          <w:tcPr>
            <w:tcW w:w="360" w:type="dxa"/>
            <w:vAlign w:val="bottom"/>
            <w:tcBorders>
              <w:bottom w:val="single" w:sz="8" w:color="2D53A6"/>
              <w:right w:val="single" w:sz="8" w:color="2D53A6"/>
            </w:tcBorders>
            <w:shd w:val="clear" w:color="auto" w:fill="2D53A6"/>
          </w:tcPr>
          <w:p>
            <w:pPr>
              <w:spacing w:after="0"/>
              <w:rPr>
                <w:sz w:val="20"/>
                <w:szCs w:val="20"/>
                <w:color w:val="auto"/>
              </w:rPr>
            </w:pPr>
          </w:p>
        </w:tc>
        <w:tc>
          <w:tcPr>
            <w:tcW w:w="80" w:type="dxa"/>
            <w:vAlign w:val="bottom"/>
            <w:tcBorders>
              <w:bottom w:val="single" w:sz="8" w:color="2D53A6"/>
            </w:tcBorders>
            <w:shd w:val="clear" w:color="auto" w:fill="2D53A6"/>
          </w:tcPr>
          <w:p>
            <w:pPr>
              <w:spacing w:after="0"/>
              <w:rPr>
                <w:sz w:val="20"/>
                <w:szCs w:val="20"/>
                <w:color w:val="auto"/>
              </w:rPr>
            </w:pPr>
          </w:p>
        </w:tc>
        <w:tc>
          <w:tcPr>
            <w:tcW w:w="1500" w:type="dxa"/>
            <w:vAlign w:val="bottom"/>
            <w:tcBorders>
              <w:bottom w:val="single" w:sz="8" w:color="auto"/>
            </w:tcBorders>
            <w:gridSpan w:val="5"/>
            <w:shd w:val="clear" w:color="auto" w:fill="2D53A6"/>
          </w:tcPr>
          <w:p>
            <w:pPr>
              <w:ind w:left="20"/>
              <w:spacing w:after="0"/>
              <w:rPr>
                <w:sz w:val="20"/>
                <w:szCs w:val="20"/>
                <w:color w:val="auto"/>
              </w:rPr>
            </w:pPr>
            <w:r>
              <w:rPr>
                <w:rFonts w:ascii="Arial" w:cs="Arial" w:eastAsia="Arial" w:hAnsi="Arial"/>
                <w:sz w:val="18"/>
                <w:szCs w:val="18"/>
                <w:b w:val="1"/>
                <w:bCs w:val="1"/>
                <w:color w:val="FFFFFF"/>
                <w:w w:val="90"/>
              </w:rPr>
              <w:t>December 31, 2022</w:t>
            </w:r>
          </w:p>
        </w:tc>
        <w:tc>
          <w:tcPr>
            <w:tcW w:w="160" w:type="dxa"/>
            <w:vAlign w:val="bottom"/>
            <w:tcBorders>
              <w:bottom w:val="single" w:sz="8" w:color="2D53A6"/>
            </w:tcBorders>
            <w:shd w:val="clear" w:color="auto" w:fill="2D53A6"/>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Pretax income - GAAP basis</w:t>
            </w:r>
          </w:p>
        </w:tc>
        <w:tc>
          <w:tcPr>
            <w:tcW w:w="360" w:type="dxa"/>
            <w:vAlign w:val="bottom"/>
            <w:tcBorders>
              <w:right w:val="single" w:sz="8" w:color="2D53A6"/>
            </w:tcBorders>
            <w:shd w:val="clear" w:color="auto" w:fill="E6E6E6"/>
          </w:tcPr>
          <w:p>
            <w:pPr>
              <w:spacing w:after="0"/>
              <w:rPr>
                <w:sz w:val="18"/>
                <w:szCs w:val="18"/>
                <w:color w:val="auto"/>
              </w:rPr>
            </w:pPr>
          </w:p>
        </w:tc>
        <w:tc>
          <w:tcPr>
            <w:tcW w:w="220" w:type="dxa"/>
            <w:vAlign w:val="bottom"/>
            <w:gridSpan w:val="2"/>
            <w:shd w:val="clear" w:color="auto" w:fill="E6E6E6"/>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5"/>
            <w:shd w:val="clear" w:color="auto" w:fill="E6E6E6"/>
          </w:tcPr>
          <w:p>
            <w:pPr>
              <w:jc w:val="right"/>
              <w:ind w:right="160"/>
              <w:spacing w:after="0"/>
              <w:rPr>
                <w:sz w:val="20"/>
                <w:szCs w:val="20"/>
                <w:color w:val="auto"/>
              </w:rPr>
            </w:pPr>
            <w:r>
              <w:rPr>
                <w:rFonts w:ascii="Arial" w:cs="Arial" w:eastAsia="Arial" w:hAnsi="Arial"/>
                <w:sz w:val="18"/>
                <w:szCs w:val="18"/>
                <w:color w:val="auto"/>
              </w:rPr>
              <w:t>126,715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right w:val="single" w:sz="8" w:color="2D53A6"/>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8"/>
                <w:szCs w:val="18"/>
                <w:color w:val="auto"/>
              </w:rPr>
              <w:t>14,918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360" w:type="dxa"/>
            <w:vAlign w:val="bottom"/>
            <w:tcBorders>
              <w:right w:val="single" w:sz="8" w:color="2D53A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520" w:type="dxa"/>
            <w:vAlign w:val="bottom"/>
            <w:gridSpan w:val="5"/>
            <w:shd w:val="clear" w:color="auto" w:fill="E6E6E6"/>
          </w:tcPr>
          <w:p>
            <w:pPr>
              <w:jc w:val="right"/>
              <w:ind w:right="160"/>
              <w:spacing w:after="0"/>
              <w:rPr>
                <w:sz w:val="20"/>
                <w:szCs w:val="20"/>
                <w:color w:val="auto"/>
              </w:rPr>
            </w:pPr>
            <w:r>
              <w:rPr>
                <w:rFonts w:ascii="Arial" w:cs="Arial" w:eastAsia="Arial" w:hAnsi="Arial"/>
                <w:sz w:val="18"/>
                <w:szCs w:val="18"/>
                <w:color w:val="auto"/>
              </w:rPr>
              <w:t>33,185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Restructuring charges related to inventory adjustments in cost of sales</w:t>
            </w:r>
          </w:p>
        </w:tc>
        <w:tc>
          <w:tcPr>
            <w:tcW w:w="360" w:type="dxa"/>
            <w:vAlign w:val="bottom"/>
            <w:tcBorders>
              <w:right w:val="single" w:sz="8" w:color="2D53A6"/>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(454)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ind w:left="18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right w:val="single" w:sz="8" w:color="2D53A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tcBorders>
              <w:right w:val="single" w:sz="8" w:color="E6E6E6"/>
            </w:tcBorders>
            <w:shd w:val="clear" w:color="auto" w:fill="E6E6E6"/>
          </w:tcPr>
          <w:p>
            <w:pPr>
              <w:spacing w:after="0"/>
              <w:rPr>
                <w:sz w:val="18"/>
                <w:szCs w:val="18"/>
                <w:color w:val="auto"/>
              </w:rPr>
            </w:pPr>
          </w:p>
        </w:tc>
        <w:tc>
          <w:tcPr>
            <w:tcW w:w="52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605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360" w:type="dxa"/>
            <w:vAlign w:val="bottom"/>
            <w:tcBorders>
              <w:right w:val="single" w:sz="8" w:color="2D53A6"/>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w w:val="75"/>
              </w:rPr>
              <w:t>1,703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E6E6E6"/>
          </w:tcPr>
          <w:p>
            <w:pPr>
              <w:ind w:left="180"/>
              <w:spacing w:after="0"/>
              <w:rPr>
                <w:sz w:val="20"/>
                <w:szCs w:val="20"/>
                <w:color w:val="auto"/>
              </w:rPr>
            </w:pPr>
            <w:r>
              <w:rPr>
                <w:rFonts w:ascii="Arial" w:cs="Arial" w:eastAsia="Arial" w:hAnsi="Arial"/>
                <w:sz w:val="18"/>
                <w:szCs w:val="18"/>
                <w:color w:val="auto"/>
              </w:rPr>
              <w:t>PP&amp;E step-up included in SG&amp;A</w:t>
            </w:r>
          </w:p>
        </w:tc>
        <w:tc>
          <w:tcPr>
            <w:tcW w:w="360" w:type="dxa"/>
            <w:vAlign w:val="bottom"/>
            <w:tcBorders>
              <w:right w:val="single" w:sz="8" w:color="2D53A6"/>
            </w:tcBorders>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tcBorders>
              <w:right w:val="single" w:sz="8" w:color="E6E6E6"/>
            </w:tcBorders>
            <w:shd w:val="clear" w:color="auto" w:fill="E6E6E6"/>
          </w:tcPr>
          <w:p>
            <w:pPr>
              <w:spacing w:after="0"/>
              <w:rPr>
                <w:sz w:val="18"/>
                <w:szCs w:val="18"/>
                <w:color w:val="auto"/>
              </w:rPr>
            </w:pPr>
          </w:p>
        </w:tc>
        <w:tc>
          <w:tcPr>
            <w:tcW w:w="52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72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tcBorders>
              <w:bottom w:val="single" w:sz="8" w:color="2D53A6"/>
            </w:tcBorders>
            <w:gridSpan w:val="2"/>
          </w:tcPr>
          <w:p>
            <w:pPr>
              <w:ind w:left="180"/>
              <w:spacing w:after="0"/>
              <w:rPr>
                <w:sz w:val="20"/>
                <w:szCs w:val="20"/>
                <w:color w:val="auto"/>
              </w:rPr>
            </w:pPr>
            <w:r>
              <w:rPr>
                <w:rFonts w:ascii="Arial" w:cs="Arial" w:eastAsia="Arial" w:hAnsi="Arial"/>
                <w:sz w:val="18"/>
                <w:szCs w:val="18"/>
                <w:color w:val="auto"/>
              </w:rPr>
              <w:t>Payroll taxes related to accelerated vesting of share-based awards</w:t>
            </w:r>
          </w:p>
        </w:tc>
        <w:tc>
          <w:tcPr>
            <w:tcW w:w="360" w:type="dxa"/>
            <w:vAlign w:val="bottom"/>
            <w:tcBorders>
              <w:bottom w:val="single" w:sz="8" w:color="2D53A6"/>
              <w:right w:val="single" w:sz="8" w:color="2D53A6"/>
            </w:tcBorders>
          </w:tcPr>
          <w:p>
            <w:pPr>
              <w:spacing w:after="0"/>
              <w:rPr>
                <w:sz w:val="19"/>
                <w:szCs w:val="19"/>
                <w:color w:val="auto"/>
              </w:rPr>
            </w:pPr>
          </w:p>
        </w:tc>
        <w:tc>
          <w:tcPr>
            <w:tcW w:w="80" w:type="dxa"/>
            <w:vAlign w:val="bottom"/>
            <w:tcBorders>
              <w:bottom w:val="single" w:sz="8" w:color="2D53A6"/>
            </w:tcBorders>
          </w:tcPr>
          <w:p>
            <w:pPr>
              <w:spacing w:after="0"/>
              <w:rPr>
                <w:sz w:val="19"/>
                <w:szCs w:val="19"/>
                <w:color w:val="auto"/>
              </w:rPr>
            </w:pPr>
          </w:p>
        </w:tc>
        <w:tc>
          <w:tcPr>
            <w:tcW w:w="140" w:type="dxa"/>
            <w:vAlign w:val="bottom"/>
            <w:tcBorders>
              <w:bottom w:val="single" w:sz="8" w:color="2D53A6"/>
            </w:tcBorders>
          </w:tcPr>
          <w:p>
            <w:pPr>
              <w:spacing w:after="0"/>
              <w:rPr>
                <w:sz w:val="19"/>
                <w:szCs w:val="19"/>
                <w:color w:val="auto"/>
              </w:rPr>
            </w:pPr>
          </w:p>
        </w:tc>
        <w:tc>
          <w:tcPr>
            <w:tcW w:w="900" w:type="dxa"/>
            <w:vAlign w:val="bottom"/>
            <w:tcBorders>
              <w:bottom w:val="single" w:sz="8" w:color="2D53A6"/>
            </w:tcBorders>
          </w:tcPr>
          <w:p>
            <w:pPr>
              <w:spacing w:after="0"/>
              <w:rPr>
                <w:sz w:val="19"/>
                <w:szCs w:val="19"/>
                <w:color w:val="auto"/>
              </w:rPr>
            </w:pPr>
          </w:p>
        </w:tc>
        <w:tc>
          <w:tcPr>
            <w:tcW w:w="100" w:type="dxa"/>
            <w:vAlign w:val="bottom"/>
            <w:tcBorders>
              <w:bottom w:val="single" w:sz="8" w:color="2D53A6"/>
            </w:tcBorders>
          </w:tcPr>
          <w:p>
            <w:pPr>
              <w:spacing w:after="0"/>
              <w:rPr>
                <w:sz w:val="19"/>
                <w:szCs w:val="19"/>
                <w:color w:val="auto"/>
              </w:rPr>
            </w:pPr>
          </w:p>
        </w:tc>
        <w:tc>
          <w:tcPr>
            <w:tcW w:w="520" w:type="dxa"/>
            <w:vAlign w:val="bottom"/>
            <w:tcBorders>
              <w:bottom w:val="single" w:sz="8" w:color="2D53A6"/>
            </w:tcBorders>
            <w:gridSpan w:val="3"/>
          </w:tcPr>
          <w:p>
            <w:pPr>
              <w:jc w:val="right"/>
              <w:ind w:right="160"/>
              <w:spacing w:after="0"/>
              <w:rPr>
                <w:sz w:val="20"/>
                <w:szCs w:val="20"/>
                <w:color w:val="auto"/>
              </w:rPr>
            </w:pPr>
            <w:r>
              <w:rPr>
                <w:rFonts w:ascii="Arial" w:cs="Arial" w:eastAsia="Arial" w:hAnsi="Arial"/>
                <w:sz w:val="18"/>
                <w:szCs w:val="18"/>
                <w:color w:val="auto"/>
              </w:rPr>
              <w:t>132</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000" w:type="dxa"/>
            <w:vAlign w:val="bottom"/>
            <w:tcBorders>
              <w:bottom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Pretax income - non-GAAP basis</w:t>
            </w:r>
          </w:p>
        </w:tc>
        <w:tc>
          <w:tcPr>
            <w:tcW w:w="580" w:type="dxa"/>
            <w:vAlign w:val="bottom"/>
            <w:tcBorders>
              <w:bottom w:val="single" w:sz="8" w:color="2D53A6"/>
            </w:tcBorders>
            <w:gridSpan w:val="3"/>
            <w:shd w:val="clear" w:color="auto" w:fill="E6E6E6"/>
          </w:tcPr>
          <w:p>
            <w:pPr>
              <w:ind w:left="4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2D53A6"/>
            </w:tcBorders>
            <w:gridSpan w:val="5"/>
            <w:shd w:val="clear" w:color="auto" w:fill="E6E6E6"/>
          </w:tcPr>
          <w:p>
            <w:pPr>
              <w:jc w:val="right"/>
              <w:ind w:right="160"/>
              <w:spacing w:after="0"/>
              <w:rPr>
                <w:sz w:val="20"/>
                <w:szCs w:val="20"/>
                <w:color w:val="auto"/>
              </w:rPr>
            </w:pPr>
            <w:r>
              <w:rPr>
                <w:rFonts w:ascii="Arial" w:cs="Arial" w:eastAsia="Arial" w:hAnsi="Arial"/>
                <w:sz w:val="18"/>
                <w:szCs w:val="18"/>
                <w:color w:val="auto"/>
              </w:rPr>
              <w:t>176,876</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80" w:type="dxa"/>
            <w:vAlign w:val="bottom"/>
            <w:tcBorders>
              <w:bottom w:val="single" w:sz="8" w:color="E6E6E6"/>
            </w:tcBorders>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36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90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260" w:type="dxa"/>
            <w:vAlign w:val="bottom"/>
            <w:tcBorders>
              <w:bottom w:val="single" w:sz="8" w:color="E6E6E6"/>
            </w:tcBorders>
          </w:tcPr>
          <w:p>
            <w:pPr>
              <w:spacing w:after="0"/>
              <w:rPr>
                <w:sz w:val="20"/>
                <w:szCs w:val="20"/>
                <w:color w:val="auto"/>
              </w:rPr>
            </w:pPr>
          </w:p>
        </w:tc>
        <w:tc>
          <w:tcPr>
            <w:tcW w:w="160" w:type="dxa"/>
            <w:vAlign w:val="bottom"/>
            <w:tcBorders>
              <w:bottom w:val="single" w:sz="8" w:color="E6E6E6"/>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900" w:orient="portrait"/>
          <w:cols w:equalWidth="0" w:num="1">
            <w:col w:w="11240"/>
          </w:cols>
          <w:pgMar w:left="320" w:top="922" w:right="33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shd w:val="clear" w:color="auto" w:fill="E6E6E6"/>
          </w:tcPr>
          <w:p>
            <w:pPr>
              <w:spacing w:after="0"/>
              <w:rPr>
                <w:sz w:val="20"/>
                <w:szCs w:val="20"/>
                <w:color w:val="auto"/>
              </w:rPr>
            </w:pPr>
            <w:r>
              <w:rPr>
                <w:rFonts w:ascii="Arial" w:cs="Arial" w:eastAsia="Arial" w:hAnsi="Arial"/>
                <w:sz w:val="18"/>
                <w:szCs w:val="18"/>
                <w:color w:val="auto"/>
              </w:rPr>
              <w:t>Pretax income - GAAP basis (as a % of net sales)</w:t>
            </w:r>
          </w:p>
        </w:tc>
        <w:tc>
          <w:tcPr>
            <w:tcW w:w="5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15.6%</w:t>
            </w:r>
          </w:p>
        </w:tc>
        <w:tc>
          <w:tcPr>
            <w:tcW w:w="114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Pretax income - non-GAAP basis (as a % of net sales)</w:t>
            </w:r>
          </w:p>
        </w:tc>
        <w:tc>
          <w:tcPr>
            <w:tcW w:w="5380" w:type="dxa"/>
            <w:vAlign w:val="bottom"/>
          </w:tcPr>
          <w:p>
            <w:pPr>
              <w:jc w:val="right"/>
              <w:spacing w:after="0"/>
              <w:rPr>
                <w:sz w:val="20"/>
                <w:szCs w:val="20"/>
                <w:color w:val="auto"/>
              </w:rPr>
            </w:pPr>
            <w:r>
              <w:rPr>
                <w:rFonts w:ascii="Arial" w:cs="Arial" w:eastAsia="Arial" w:hAnsi="Arial"/>
                <w:sz w:val="18"/>
                <w:szCs w:val="18"/>
                <w:color w:val="auto"/>
              </w:rPr>
              <w:t>21.8%</w:t>
            </w:r>
          </w:p>
        </w:tc>
        <w:tc>
          <w:tcPr>
            <w:tcW w:w="1140" w:type="dxa"/>
            <w:vAlign w:val="bottom"/>
          </w:tcPr>
          <w:p>
            <w:pPr>
              <w:spacing w:after="0"/>
              <w:rPr>
                <w:sz w:val="20"/>
                <w:szCs w:val="20"/>
                <w:color w:val="auto"/>
              </w:rPr>
            </w:pPr>
          </w:p>
        </w:tc>
      </w:tr>
      <w:tr>
        <w:trPr>
          <w:trHeight w:val="418"/>
        </w:trPr>
        <w:tc>
          <w:tcPr>
            <w:tcW w:w="4720" w:type="dxa"/>
            <w:vAlign w:val="bottom"/>
          </w:tcPr>
          <w:p>
            <w:pPr>
              <w:spacing w:after="0"/>
              <w:rPr>
                <w:sz w:val="24"/>
                <w:szCs w:val="24"/>
                <w:color w:val="auto"/>
              </w:rPr>
            </w:pPr>
          </w:p>
        </w:tc>
        <w:tc>
          <w:tcPr>
            <w:tcW w:w="5380" w:type="dxa"/>
            <w:vAlign w:val="bottom"/>
          </w:tcPr>
          <w:p>
            <w:pPr>
              <w:jc w:val="right"/>
              <w:ind w:right="4290"/>
              <w:spacing w:after="0"/>
              <w:rPr>
                <w:sz w:val="20"/>
                <w:szCs w:val="20"/>
                <w:color w:val="auto"/>
              </w:rPr>
            </w:pPr>
            <w:r>
              <w:rPr>
                <w:rFonts w:ascii="Arial" w:cs="Arial" w:eastAsia="Arial" w:hAnsi="Arial"/>
                <w:sz w:val="18"/>
                <w:szCs w:val="18"/>
                <w:color w:val="auto"/>
              </w:rPr>
              <w:t>81</w:t>
            </w:r>
          </w:p>
        </w:tc>
        <w:tc>
          <w:tcPr>
            <w:tcW w:w="1140" w:type="dxa"/>
            <w:vAlign w:val="bottom"/>
          </w:tcPr>
          <w:p>
            <w:pPr>
              <w:spacing w:after="0"/>
              <w:rPr>
                <w:sz w:val="24"/>
                <w:szCs w:val="24"/>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Appendix B</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2D53A6"/>
        </w:rPr>
        <w:t>Cohu, Inc. 2005 Equity Incentive Plan, as Amended</w:t>
      </w:r>
    </w:p>
    <w:p>
      <w:pPr>
        <w:spacing w:after="0" w:line="214"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2"/>
          <w:szCs w:val="12"/>
          <w:b w:val="1"/>
          <w:bCs w:val="1"/>
          <w:u w:val="single" w:color="auto"/>
          <w:color w:val="auto"/>
        </w:rPr>
        <w:t>urpose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Cohu, Inc. 2005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originally established effective as of May 10, 2005, the date of its approval by the stockholders of the Company (the “</w:t>
      </w:r>
      <w:r>
        <w:rPr>
          <w:rFonts w:ascii="Arial" w:cs="Arial" w:eastAsia="Arial" w:hAnsi="Arial"/>
          <w:sz w:val="18"/>
          <w:szCs w:val="18"/>
          <w:b w:val="1"/>
          <w:bCs w:val="1"/>
          <w:i w:val="1"/>
          <w:iCs w:val="1"/>
          <w:color w:val="auto"/>
        </w:rPr>
        <w:t>Initial Effective Date</w:t>
      </w:r>
      <w:r>
        <w:rPr>
          <w:rFonts w:ascii="Arial" w:cs="Arial" w:eastAsia="Arial" w:hAnsi="Arial"/>
          <w:sz w:val="18"/>
          <w:szCs w:val="18"/>
          <w:color w:val="auto"/>
        </w:rPr>
        <w:t>”), and is hereby most recently amended and restated, subject to stockholder approval, effective May 10, 2023.</w:t>
      </w:r>
    </w:p>
    <w:p>
      <w:pPr>
        <w:spacing w:after="0" w:line="17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i w:val="1"/>
          <w:iCs w:val="1"/>
          <w:color w:val="auto"/>
        </w:rPr>
        <w:t>.</w:t>
      </w:r>
      <w:r>
        <w:rPr>
          <w:rFonts w:ascii="Arial" w:cs="Arial" w:eastAsia="Arial" w:hAnsi="Arial"/>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Performance Shares, Performance Units, Restricted Stock Units, Deferred Stock Units and Other Stock-Based Awards. After the Initial Effective Date, the Company terminated, and no longer issued any awards from under, the Company’s 1998 Stock Option Plan, 1996 Outside Directors Stock Option Plan and 1996 Stock Option Plan.</w:t>
      </w:r>
    </w:p>
    <w:p>
      <w:pPr>
        <w:spacing w:after="0" w:line="187"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Term of Plan</w:t>
      </w:r>
      <w:r>
        <w:rPr>
          <w:rFonts w:ascii="Arial" w:cs="Arial" w:eastAsia="Arial" w:hAnsi="Arial"/>
          <w:sz w:val="16"/>
          <w:szCs w:val="16"/>
          <w:color w:val="auto"/>
        </w:rPr>
        <w:t>. The Plan shall continue in effect until the earlier of its termination by the Board or the date on which all of the shares of Stock available for issuance under the Plan have been issued and all restrictions on such shares under the terms of the Plan and the agreements evidencing Awards granted under the Plan have lapsed. However, all Incentive Stock Options shall be granted, if at all, within ten (10) years from the Initial Effective Date.</w:t>
      </w:r>
    </w:p>
    <w:p>
      <w:pPr>
        <w:spacing w:after="0" w:line="142"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onstruction</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Whenever used herein, the following terms shall have their respective meanings set forth below:</w:t>
      </w:r>
    </w:p>
    <w:p>
      <w:pPr>
        <w:spacing w:after="0" w:line="229" w:lineRule="exact"/>
        <w:rPr>
          <w:sz w:val="20"/>
          <w:szCs w:val="20"/>
          <w:color w:val="auto"/>
        </w:rPr>
      </w:pPr>
    </w:p>
    <w:p>
      <w:pPr>
        <w:ind w:right="40" w:firstLine="1304"/>
        <w:spacing w:after="0" w:line="275" w:lineRule="auto"/>
        <w:tabs>
          <w:tab w:leader="none" w:pos="1675"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(i) an entity, other than a Parent Corporation, that directly, or indirectly through one or more intermediary entities, controls the 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176" w:lineRule="exact"/>
        <w:rPr>
          <w:rFonts w:ascii="Arial" w:cs="Arial" w:eastAsia="Arial" w:hAnsi="Arial"/>
          <w:sz w:val="17"/>
          <w:szCs w:val="17"/>
          <w:color w:val="auto"/>
        </w:rPr>
      </w:pPr>
    </w:p>
    <w:p>
      <w:pPr>
        <w:ind w:right="180" w:firstLine="1304"/>
        <w:spacing w:after="0" w:line="277" w:lineRule="auto"/>
        <w:tabs>
          <w:tab w:leader="none" w:pos="1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SAR, Restricted Stock, Performance Share, Performance Unit, Restricted Stock Unit, Deferred Stock Unit or Other Stock-Based Award granted under the Plan.</w:t>
      </w:r>
    </w:p>
    <w:p>
      <w:pPr>
        <w:spacing w:after="0" w:line="170" w:lineRule="exact"/>
        <w:rPr>
          <w:rFonts w:ascii="Arial" w:cs="Arial" w:eastAsia="Arial" w:hAnsi="Arial"/>
          <w:sz w:val="18"/>
          <w:szCs w:val="18"/>
          <w:color w:val="auto"/>
        </w:rPr>
      </w:pPr>
    </w:p>
    <w:p>
      <w:pPr>
        <w:ind w:right="400" w:firstLine="1304"/>
        <w:spacing w:after="0" w:line="259" w:lineRule="auto"/>
        <w:tabs>
          <w:tab w:leader="none" w:pos="16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setting forth the terms, conditions and restrictions of the Award granted to the Participant. An Award Agreement may be an “Option Agreement,” a “SAR Agreement,” a “Restricted Stock Agreement,” a “Performance Share Agreement,” a “Performance Unit Agreement,” a “Restricted Stock Unit Agreement,” a “Deferred Stock Unit Agreement,” or an “Other Stock-Based Award Agreement.”</w:t>
      </w:r>
    </w:p>
    <w:p>
      <w:pPr>
        <w:spacing w:after="0" w:line="186" w:lineRule="exact"/>
        <w:rPr>
          <w:rFonts w:ascii="Arial" w:cs="Arial" w:eastAsia="Arial" w:hAnsi="Arial"/>
          <w:sz w:val="18"/>
          <w:szCs w:val="18"/>
          <w:color w:val="auto"/>
        </w:rPr>
      </w:pPr>
    </w:p>
    <w:p>
      <w:pPr>
        <w:ind w:right="40" w:firstLine="1304"/>
        <w:spacing w:after="0" w:line="277" w:lineRule="auto"/>
        <w:tabs>
          <w:tab w:leader="none" w:pos="1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If one or more Committees have been appointed by the Board to administer the Plan,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also means such Committee(s).</w:t>
      </w:r>
    </w:p>
    <w:p>
      <w:pPr>
        <w:spacing w:after="0" w:line="170" w:lineRule="exact"/>
        <w:rPr>
          <w:rFonts w:ascii="Arial" w:cs="Arial" w:eastAsia="Arial" w:hAnsi="Arial"/>
          <w:sz w:val="18"/>
          <w:szCs w:val="18"/>
          <w:color w:val="auto"/>
        </w:rPr>
      </w:pPr>
    </w:p>
    <w:p>
      <w:pPr>
        <w:ind w:left="1680" w:hanging="376"/>
        <w:spacing w:after="0"/>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any applicable regulations promulgated thereunder.</w:t>
      </w:r>
    </w:p>
    <w:p>
      <w:pPr>
        <w:spacing w:after="0" w:line="236" w:lineRule="exact"/>
        <w:rPr>
          <w:rFonts w:ascii="Arial" w:cs="Arial" w:eastAsia="Arial" w:hAnsi="Arial"/>
          <w:sz w:val="17"/>
          <w:szCs w:val="17"/>
          <w:color w:val="auto"/>
        </w:rPr>
      </w:pPr>
    </w:p>
    <w:p>
      <w:pPr>
        <w:ind w:right="40" w:firstLine="1304"/>
        <w:spacing w:after="0" w:line="259" w:lineRule="auto"/>
        <w:tabs>
          <w:tab w:leader="none" w:pos="16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or other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57" w:lineRule="exact"/>
        <w:rPr>
          <w:rFonts w:ascii="Arial" w:cs="Arial" w:eastAsia="Arial" w:hAnsi="Arial"/>
          <w:sz w:val="18"/>
          <w:szCs w:val="18"/>
          <w:color w:val="auto"/>
        </w:rPr>
      </w:pPr>
    </w:p>
    <w:p>
      <w:pPr>
        <w:ind w:left="1700" w:hanging="396"/>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means Cohu, Inc., a Delaware corporation, or any successor corporation </w:t>
      </w:r>
      <w:r>
        <w:rPr>
          <w:rFonts w:ascii="Arial" w:cs="Arial" w:eastAsia="Arial" w:hAnsi="Arial"/>
          <w:sz w:val="29"/>
          <w:szCs w:val="29"/>
          <w:color w:val="auto"/>
          <w:vertAlign w:val="subscript"/>
        </w:rPr>
        <w:t>thereto.</w:t>
      </w:r>
    </w:p>
    <w:p>
      <w:pPr>
        <w:spacing w:after="0" w:line="241" w:lineRule="exact"/>
        <w:rPr>
          <w:rFonts w:ascii="Arial" w:cs="Arial" w:eastAsia="Arial" w:hAnsi="Arial"/>
          <w:sz w:val="18"/>
          <w:szCs w:val="18"/>
          <w:color w:val="auto"/>
        </w:rPr>
      </w:pPr>
    </w:p>
    <w:p>
      <w:pPr>
        <w:ind w:right="280" w:firstLine="1304"/>
        <w:spacing w:after="0" w:line="259" w:lineRule="auto"/>
        <w:tabs>
          <w:tab w:leader="none" w:pos="1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ind w:right="40" w:firstLine="1304"/>
        <w:spacing w:after="0" w:line="277" w:lineRule="auto"/>
        <w:tabs>
          <w:tab w:leader="none" w:pos="1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Unit</w:t>
      </w:r>
      <w:r>
        <w:rPr>
          <w:rFonts w:ascii="Arial" w:cs="Arial" w:eastAsia="Arial" w:hAnsi="Arial"/>
          <w:sz w:val="18"/>
          <w:szCs w:val="18"/>
          <w:color w:val="auto"/>
        </w:rPr>
        <w:t>” means a bookkeeping entry representing a right granted to a Participant pursuant to Section 9.3 of the Plan to receive a share of Stock on a date determined in accordance with the Plan and the Participant’s Award Agreement.</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of the board of directors of any other Participating Company.</w:t>
      </w:r>
    </w:p>
    <w:p>
      <w:pPr>
        <w:spacing w:after="0" w:line="225" w:lineRule="exact"/>
        <w:rPr>
          <w:rFonts w:ascii="Arial" w:cs="Arial" w:eastAsia="Arial" w:hAnsi="Arial"/>
          <w:sz w:val="18"/>
          <w:szCs w:val="18"/>
          <w:color w:val="auto"/>
        </w:rPr>
      </w:pPr>
    </w:p>
    <w:p>
      <w:pPr>
        <w:ind w:right="40" w:firstLine="1304"/>
        <w:spacing w:after="0" w:line="308" w:lineRule="auto"/>
        <w:tabs>
          <w:tab w:leader="none" w:pos="1686"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the inability of the Participant, in the opinion of a qualified physician acceptable to the Company, to perform the major duties of the Participant’s position with the Participating Company Group because of the sickness or injury of the Participant.</w:t>
      </w:r>
    </w:p>
    <w:p>
      <w:pPr>
        <w:spacing w:after="0" w:line="146" w:lineRule="exact"/>
        <w:rPr>
          <w:rFonts w:ascii="Arial" w:cs="Arial" w:eastAsia="Arial" w:hAnsi="Arial"/>
          <w:sz w:val="17"/>
          <w:szCs w:val="17"/>
          <w:color w:val="auto"/>
        </w:rPr>
      </w:pPr>
    </w:p>
    <w:p>
      <w:pPr>
        <w:jc w:val="both"/>
        <w:ind w:right="100" w:firstLine="1304"/>
        <w:spacing w:after="0" w:line="342" w:lineRule="auto"/>
        <w:tabs>
          <w:tab w:leader="none" w:pos="16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w:t>
      </w:r>
      <w:r>
        <w:rPr>
          <w:rFonts w:ascii="Arial" w:cs="Arial" w:eastAsia="Arial" w:hAnsi="Arial"/>
          <w:sz w:val="16"/>
          <w:szCs w:val="16"/>
          <w:color w:val="auto"/>
        </w:rPr>
        <w:t>” means a credit, made at the discretion of the Board or as otherwise provided by the Plan, to the account of a Participant in an amount equal to the cash dividends paid on one share of Stock for each share of Stock represented by an Award held by such Participant.</w:t>
      </w:r>
    </w:p>
    <w:p>
      <w:pPr>
        <w:spacing w:after="0" w:line="123" w:lineRule="exact"/>
        <w:rPr>
          <w:rFonts w:ascii="Arial" w:cs="Arial" w:eastAsia="Arial" w:hAnsi="Arial"/>
          <w:sz w:val="16"/>
          <w:szCs w:val="16"/>
          <w:color w:val="auto"/>
        </w:rPr>
      </w:pPr>
    </w:p>
    <w:p>
      <w:pPr>
        <w:ind w:right="40" w:firstLine="1304"/>
        <w:spacing w:after="0" w:line="291" w:lineRule="auto"/>
        <w:tabs>
          <w:tab w:leader="none" w:pos="16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66" w:lineRule="exact"/>
        <w:rPr>
          <w:rFonts w:ascii="Arial" w:cs="Arial" w:eastAsia="Arial" w:hAnsi="Arial"/>
          <w:sz w:val="16"/>
          <w:szCs w:val="16"/>
          <w:color w:val="auto"/>
        </w:rPr>
      </w:pPr>
    </w:p>
    <w:p>
      <w:pPr>
        <w:ind w:left="1700" w:hanging="396"/>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540" w:firstLine="1304"/>
        <w:spacing w:after="0" w:line="342" w:lineRule="auto"/>
        <w:tabs>
          <w:tab w:leader="none" w:pos="16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Stock or other property as determined by the Board, in its discretion, or by the Company, in its discretion, if such determination is expressly allocated to the Company herein, subject to the following:</w:t>
      </w:r>
    </w:p>
    <w:p>
      <w:pPr>
        <w:spacing w:after="0" w:line="123" w:lineRule="exact"/>
        <w:rPr>
          <w:rFonts w:ascii="Arial" w:cs="Arial" w:eastAsia="Arial" w:hAnsi="Arial"/>
          <w:sz w:val="16"/>
          <w:szCs w:val="16"/>
          <w:color w:val="auto"/>
        </w:rPr>
      </w:pPr>
    </w:p>
    <w:p>
      <w:pPr>
        <w:ind w:right="100" w:firstLine="1790"/>
        <w:spacing w:after="0" w:line="293" w:lineRule="auto"/>
        <w:tabs>
          <w:tab w:leader="none" w:pos="21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Nasdaq Stock Market or such other national or regional securities exchange or market system constituting the primary market for the Stock,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w:t>
      </w:r>
    </w:p>
    <w:p>
      <w:pPr>
        <w:spacing w:after="0" w:line="164" w:lineRule="exact"/>
        <w:rPr>
          <w:rFonts w:ascii="Arial" w:cs="Arial" w:eastAsia="Arial" w:hAnsi="Arial"/>
          <w:sz w:val="16"/>
          <w:szCs w:val="16"/>
          <w:color w:val="auto"/>
        </w:rPr>
      </w:pPr>
    </w:p>
    <w:p>
      <w:pPr>
        <w:ind w:right="40" w:firstLine="1790"/>
        <w:spacing w:after="0" w:line="263" w:lineRule="auto"/>
        <w:tabs>
          <w:tab w:leader="none" w:pos="2182"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w:t>
      </w:r>
    </w:p>
    <w:p>
      <w:pPr>
        <w:spacing w:after="0" w:line="183" w:lineRule="exact"/>
        <w:rPr>
          <w:rFonts w:ascii="Arial" w:cs="Arial" w:eastAsia="Arial" w:hAnsi="Arial"/>
          <w:sz w:val="18"/>
          <w:szCs w:val="18"/>
          <w:color w:val="auto"/>
        </w:rPr>
      </w:pPr>
    </w:p>
    <w:p>
      <w:pPr>
        <w:ind w:right="20" w:firstLine="1304"/>
        <w:spacing w:after="0" w:line="277" w:lineRule="auto"/>
        <w:tabs>
          <w:tab w:leader="none" w:pos="16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be (as set forth in the Award Agreement) and which qualifies as an incentive stock option within the meaning of Section 422(b) of the Code.</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color w:val="auto"/>
        </w:rPr>
        <w:t>” means an Officer, a Director of the Company or other person whose transactions in Stock are subject to Section 16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210" w:lineRule="exact"/>
        <w:rPr>
          <w:rFonts w:ascii="Arial" w:cs="Arial" w:eastAsia="Arial" w:hAnsi="Arial"/>
          <w:sz w:val="16"/>
          <w:szCs w:val="16"/>
          <w:color w:val="auto"/>
        </w:rPr>
      </w:pPr>
    </w:p>
    <w:p>
      <w:pPr>
        <w:ind w:firstLine="1304"/>
        <w:spacing w:after="0" w:line="290" w:lineRule="auto"/>
        <w:tabs>
          <w:tab w:leader="none" w:pos="16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ind w:right="260" w:firstLine="1304"/>
        <w:spacing w:after="0" w:line="277" w:lineRule="auto"/>
        <w:tabs>
          <w:tab w:leader="none" w:pos="16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Net-Exercise</w:t>
      </w:r>
      <w:r>
        <w:rPr>
          <w:rFonts w:ascii="Arial" w:cs="Arial" w:eastAsia="Arial" w:hAnsi="Arial"/>
          <w:sz w:val="18"/>
          <w:szCs w:val="18"/>
          <w:color w:val="auto"/>
        </w:rPr>
        <w:t>” means a procedure by which the Participant will be issued a number of shares of Stock determined in accordance with a formula X = Y(A-B) / A, where: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 = the number of shares of Stock to be issued to the Participant upon exercise of the Option;</w:t>
      </w:r>
    </w:p>
    <w:p>
      <w:pPr>
        <w:spacing w:after="0" w:line="23" w:lineRule="exact"/>
        <w:rPr>
          <w:sz w:val="20"/>
          <w:szCs w:val="20"/>
          <w:color w:val="auto"/>
        </w:rPr>
      </w:pPr>
    </w:p>
    <w:p>
      <w:pPr>
        <w:ind w:left="660" w:right="80"/>
        <w:spacing w:after="0" w:line="250" w:lineRule="auto"/>
        <w:rPr>
          <w:sz w:val="20"/>
          <w:szCs w:val="20"/>
          <w:color w:val="auto"/>
        </w:rPr>
      </w:pPr>
      <w:r>
        <w:rPr>
          <w:rFonts w:ascii="Arial" w:cs="Arial" w:eastAsia="Arial" w:hAnsi="Arial"/>
          <w:sz w:val="18"/>
          <w:szCs w:val="18"/>
          <w:color w:val="auto"/>
        </w:rPr>
        <w:t>Y = the total number of shares with respect to which the Participant has elected to exercise the Option; A = the Fair Market Value of one (1) share of Stock;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 the exercise price per share (as defined in the Participant’s Award Agreement).</w:t>
      </w:r>
    </w:p>
    <w:p>
      <w:pPr>
        <w:spacing w:after="0" w:line="211" w:lineRule="exact"/>
        <w:rPr>
          <w:sz w:val="20"/>
          <w:szCs w:val="20"/>
          <w:color w:val="auto"/>
        </w:rPr>
      </w:pPr>
    </w:p>
    <w:p>
      <w:pPr>
        <w:ind w:right="200" w:firstLine="1304"/>
        <w:spacing w:after="0" w:line="277" w:lineRule="auto"/>
        <w:tabs>
          <w:tab w:leader="none" w:pos="16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not intended to be (as set forth in the Award Agreement) or which does not qualify as an Incentive Stock Option.</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Board as an officer of the Company.</w:t>
      </w:r>
    </w:p>
    <w:p>
      <w:pPr>
        <w:spacing w:after="0" w:line="225" w:lineRule="exact"/>
        <w:rPr>
          <w:rFonts w:ascii="Arial" w:cs="Arial" w:eastAsia="Arial" w:hAnsi="Arial"/>
          <w:sz w:val="18"/>
          <w:szCs w:val="18"/>
          <w:color w:val="auto"/>
        </w:rPr>
      </w:pPr>
    </w:p>
    <w:p>
      <w:pPr>
        <w:ind w:right="240" w:firstLine="1304"/>
        <w:spacing w:after="0" w:line="277" w:lineRule="auto"/>
        <w:tabs>
          <w:tab w:leader="none" w:pos="1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Stock pursuant to the terms and conditions of the Plan. An Option may be either an Incentive Stock Option or a Nonstatutory Stock Option.</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Stock-Based Award</w:t>
      </w:r>
      <w:r>
        <w:rPr>
          <w:rFonts w:ascii="Arial" w:cs="Arial" w:eastAsia="Arial" w:hAnsi="Arial"/>
          <w:sz w:val="16"/>
          <w:szCs w:val="16"/>
          <w:color w:val="auto"/>
        </w:rPr>
        <w:t>” means an Award granted or denominated in Stock or units of Stock pursuant to Section 9.5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1700" w:hanging="396"/>
        <w:spacing w:after="0"/>
        <w:tabs>
          <w:tab w:leader="none" w:pos="1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color w:val="auto"/>
        </w:rPr>
        <w:t>” means any present or future “parent corporation” of the Company, as defined in Section 424(e) of the Code.</w:t>
      </w:r>
    </w:p>
    <w:p>
      <w:pPr>
        <w:spacing w:after="0" w:line="248" w:lineRule="exact"/>
        <w:rPr>
          <w:rFonts w:ascii="Arial" w:cs="Arial" w:eastAsia="Arial" w:hAnsi="Arial"/>
          <w:sz w:val="16"/>
          <w:szCs w:val="16"/>
          <w:color w:val="auto"/>
        </w:rPr>
      </w:pPr>
    </w:p>
    <w:p>
      <w:pPr>
        <w:ind w:left="1700" w:hanging="396"/>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person who has been granted one or more Awards.</w:t>
      </w:r>
    </w:p>
    <w:p>
      <w:pPr>
        <w:spacing w:after="0" w:line="225" w:lineRule="exact"/>
        <w:rPr>
          <w:rFonts w:ascii="Arial" w:cs="Arial" w:eastAsia="Arial" w:hAnsi="Arial"/>
          <w:sz w:val="18"/>
          <w:szCs w:val="18"/>
          <w:color w:val="auto"/>
        </w:rPr>
      </w:pPr>
    </w:p>
    <w:p>
      <w:pPr>
        <w:ind w:left="1680" w:hanging="376"/>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means the Company or any Parent Corporation or Subsidiary Corporation or Affiliate.</w:t>
      </w:r>
    </w:p>
    <w:p>
      <w:pPr>
        <w:spacing w:after="0" w:line="225" w:lineRule="exact"/>
        <w:rPr>
          <w:sz w:val="20"/>
          <w:szCs w:val="20"/>
          <w:color w:val="auto"/>
        </w:rPr>
      </w:pPr>
    </w:p>
    <w:p>
      <w:pPr>
        <w:ind w:left="1760" w:hanging="456"/>
        <w:spacing w:after="0"/>
        <w:tabs>
          <w:tab w:leader="none" w:pos="1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Company Group</w:t>
      </w:r>
      <w:r>
        <w:rPr>
          <w:rFonts w:ascii="Arial" w:cs="Arial" w:eastAsia="Arial" w:hAnsi="Arial"/>
          <w:sz w:val="16"/>
          <w:szCs w:val="16"/>
          <w:color w:val="auto"/>
        </w:rPr>
        <w:t>” means, at any point in time, all corporations collectively which are then Participating Companies.</w:t>
      </w:r>
    </w:p>
    <w:p>
      <w:pPr>
        <w:spacing w:after="0" w:line="248" w:lineRule="exact"/>
        <w:rPr>
          <w:rFonts w:ascii="Arial" w:cs="Arial" w:eastAsia="Arial" w:hAnsi="Arial"/>
          <w:sz w:val="16"/>
          <w:szCs w:val="16"/>
          <w:color w:val="auto"/>
        </w:rPr>
      </w:pPr>
    </w:p>
    <w:p>
      <w:pPr>
        <w:ind w:right="60" w:firstLine="1304"/>
        <w:spacing w:after="0" w:line="277" w:lineRule="auto"/>
        <w:tabs>
          <w:tab w:leader="none" w:pos="17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color w:val="auto"/>
        </w:rPr>
        <w:t>” means an Award the earning or vesting of which is based all or in part upon the attainment of one or more Performance Goals.</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Bonus Award</w:t>
      </w:r>
      <w:r>
        <w:rPr>
          <w:rFonts w:ascii="Arial" w:cs="Arial" w:eastAsia="Arial" w:hAnsi="Arial"/>
          <w:sz w:val="18"/>
          <w:szCs w:val="18"/>
          <w:color w:val="auto"/>
        </w:rPr>
        <w:t>” means the cash award set forth in Section 9.6</w:t>
      </w:r>
    </w:p>
    <w:p>
      <w:pPr>
        <w:spacing w:after="0" w:line="225" w:lineRule="exact"/>
        <w:rPr>
          <w:rFonts w:ascii="Arial" w:cs="Arial" w:eastAsia="Arial" w:hAnsi="Arial"/>
          <w:sz w:val="18"/>
          <w:szCs w:val="18"/>
          <w:color w:val="auto"/>
        </w:rPr>
      </w:pPr>
    </w:p>
    <w:p>
      <w:pPr>
        <w:ind w:firstLine="1304"/>
        <w:spacing w:after="0" w:line="268" w:lineRule="auto"/>
        <w:tabs>
          <w:tab w:leader="none" w:pos="177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w:t>
      </w:r>
      <w:r>
        <w:rPr>
          <w:rFonts w:ascii="Arial" w:cs="Arial" w:eastAsia="Arial" w:hAnsi="Arial"/>
          <w:sz w:val="17"/>
          <w:szCs w:val="17"/>
          <w:color w:val="auto"/>
        </w:rPr>
        <w:t>” means the criteria that the Committee uses to establish performance targets and the formulas for determining whether such performance targets have been obtained. Such Performance Goals may be based upon one or more Performance Measures, subject to the following: Performance Measures shall have the same meanings as used in the Company’s financial statements, or, if such terms are not used in the Company’s financial statements, they shall have the meaning applied pursuant to generally accepted accounting principles, as used generally in the Company’s industry, or as defined by the Committee before granting the Performance-Based Award. Performance Measures shall be calculated with respect to the Company and each Subsidiary Corporation consolidated therewith for financial reporting purposes or such division or other business unit or business segment as may be selected by the Committee. Performance Measures may be measured annually or cumulatively over a period of whole or partial years. For purposes of the Plan, the Performance Measures applicable to a Performance-Based Award shall be calculated in accordance with U.S. generally accepted accounting principles, but prior to the accrual or payment of any Performance-Based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Performance-Based Award. Performance targets may include a minimum, maximum, target level and intermediate levels of performance, with the final value of a Performance-Based Award determined under the applicable Performance-Based Award formula by the level attained during the applicable Performance Period. A Performance target may be stated as an absolute value or as a value determined relative to a standard, including against the results of one or more prior years or against one or more companies or indexes, selected by the Committee.</w:t>
      </w:r>
    </w:p>
    <w:p>
      <w:pPr>
        <w:spacing w:after="0" w:line="181" w:lineRule="exact"/>
        <w:rPr>
          <w:rFonts w:ascii="Arial" w:cs="Arial" w:eastAsia="Arial" w:hAnsi="Arial"/>
          <w:sz w:val="17"/>
          <w:szCs w:val="17"/>
          <w:color w:val="auto"/>
        </w:rPr>
      </w:pPr>
    </w:p>
    <w:p>
      <w:pPr>
        <w:ind w:right="40" w:firstLine="1304"/>
        <w:spacing w:after="0" w:line="277" w:lineRule="auto"/>
        <w:tabs>
          <w:tab w:leader="none" w:pos="17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Measures</w:t>
      </w:r>
      <w:r>
        <w:rPr>
          <w:rFonts w:ascii="Arial" w:cs="Arial" w:eastAsia="Arial" w:hAnsi="Arial"/>
          <w:sz w:val="18"/>
          <w:szCs w:val="18"/>
          <w:color w:val="auto"/>
        </w:rPr>
        <w:t>” means one or more measures of objective or subjective business, financial, or individual performance or other performance criteria established by the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left="1300"/>
        <w:spacing w:after="0"/>
        <w:tabs>
          <w:tab w:leader="none" w:pos="1700" w:val="left"/>
        </w:tabs>
        <w:rPr>
          <w:sz w:val="20"/>
          <w:szCs w:val="20"/>
          <w:color w:val="auto"/>
        </w:rPr>
      </w:pPr>
      <w:r>
        <w:rPr>
          <w:rFonts w:ascii="Arial" w:cs="Arial" w:eastAsia="Arial" w:hAnsi="Arial"/>
          <w:sz w:val="18"/>
          <w:szCs w:val="18"/>
          <w:color w:val="auto"/>
        </w:rPr>
        <w:t>(ff)</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means a period established by the Committee at the end of which one or more Performance Goals are to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measured.</w:t>
      </w:r>
    </w:p>
    <w:p>
      <w:pPr>
        <w:spacing w:after="0" w:line="211" w:lineRule="exact"/>
        <w:rPr>
          <w:sz w:val="20"/>
          <w:szCs w:val="20"/>
          <w:color w:val="auto"/>
        </w:rPr>
      </w:pPr>
    </w:p>
    <w:p>
      <w:pPr>
        <w:ind w:right="120" w:firstLine="1304"/>
        <w:spacing w:after="0" w:line="263"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 right granted to a Participant pursuant to Section 9.1, to receive Stock, the vesting and/or issuance of which is contingent upon achieving certain Performance Goals or other performance based targets established by the Committee. Performance Shares rights may be granted in the form of Restricted Stock or Restricted Stock Units.</w:t>
      </w:r>
    </w:p>
    <w:p>
      <w:pPr>
        <w:spacing w:after="0" w:line="183" w:lineRule="exact"/>
        <w:rPr>
          <w:rFonts w:ascii="Arial" w:cs="Arial" w:eastAsia="Arial" w:hAnsi="Arial"/>
          <w:sz w:val="18"/>
          <w:szCs w:val="18"/>
          <w:color w:val="auto"/>
        </w:rPr>
      </w:pPr>
    </w:p>
    <w:p>
      <w:pPr>
        <w:ind w:right="60" w:firstLine="1304"/>
        <w:spacing w:after="0" w:line="263"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 bookkeeping entry representing a right granted to a Participant pursuant to Section 9.2 of the Plan to receive a cash payment equal to the value of a Performance Unit, as determined by the Committee, based upon achieving certain Performance Goals or other performance based targets.</w:t>
      </w:r>
    </w:p>
    <w:p>
      <w:pPr>
        <w:spacing w:after="0" w:line="183" w:lineRule="exact"/>
        <w:rPr>
          <w:rFonts w:ascii="Arial" w:cs="Arial" w:eastAsia="Arial" w:hAnsi="Arial"/>
          <w:sz w:val="18"/>
          <w:szCs w:val="18"/>
          <w:color w:val="auto"/>
        </w:rPr>
      </w:pPr>
    </w:p>
    <w:p>
      <w:pPr>
        <w:ind w:right="560" w:firstLine="1304"/>
        <w:spacing w:after="0" w:line="277" w:lineRule="auto"/>
        <w:tabs>
          <w:tab w:leader="none" w:pos="16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Stock granted to a Participant pursuant to Section 8 of the Plan that is subject to certain conditions (including any applicable Vesting Conditions), and may be subject to risk of forfeiture.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6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representing a right granted to a Participant pursuant to Section 9.4 of the Plan to receive the value associated with a share of Stock on a date determined in accordance with the provisions of the Plan and the Participant’s Award Agreement.</w:t>
      </w:r>
    </w:p>
    <w:p>
      <w:pPr>
        <w:spacing w:after="0" w:line="183" w:lineRule="exact"/>
        <w:rPr>
          <w:rFonts w:ascii="Arial" w:cs="Arial" w:eastAsia="Arial" w:hAnsi="Arial"/>
          <w:sz w:val="18"/>
          <w:szCs w:val="18"/>
          <w:color w:val="auto"/>
        </w:rPr>
      </w:pPr>
    </w:p>
    <w:p>
      <w:pPr>
        <w:ind w:right="520" w:firstLine="1304"/>
        <w:spacing w:after="0" w:line="277" w:lineRule="auto"/>
        <w:tabs>
          <w:tab w:leader="none" w:pos="17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Restriction Period</w:t>
      </w:r>
      <w:r>
        <w:rPr>
          <w:rFonts w:ascii="Arial" w:cs="Arial" w:eastAsia="Arial" w:hAnsi="Arial"/>
          <w:sz w:val="18"/>
          <w:szCs w:val="18"/>
          <w:color w:val="auto"/>
        </w:rPr>
        <w:t>” means the period established in accordance with Section 8 of the Plan during which shares subject to a Restricted Stock Award are subject to Vesting Conditions.</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under the Exchange Act, as amended from time to time, or any successor rule or regulation.</w:t>
      </w:r>
    </w:p>
    <w:p>
      <w:pPr>
        <w:spacing w:after="0" w:line="236" w:lineRule="exact"/>
        <w:rPr>
          <w:rFonts w:ascii="Arial" w:cs="Arial" w:eastAsia="Arial" w:hAnsi="Arial"/>
          <w:sz w:val="17"/>
          <w:szCs w:val="17"/>
          <w:color w:val="auto"/>
        </w:rPr>
      </w:pPr>
    </w:p>
    <w:p>
      <w:pPr>
        <w:ind w:right="200" w:firstLine="1304"/>
        <w:spacing w:after="0" w:line="263" w:lineRule="auto"/>
        <w:tabs>
          <w:tab w:leader="none" w:pos="18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w:t>
      </w:r>
      <w:r>
        <w:rPr>
          <w:rFonts w:ascii="Arial" w:cs="Arial" w:eastAsia="Arial" w:hAnsi="Arial"/>
          <w:sz w:val="18"/>
          <w:szCs w:val="18"/>
          <w:color w:val="auto"/>
        </w:rPr>
        <w:t>” or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bookkeeping entry representing, for each share of Stock subject to such SAR, a right granted to a Participant pursuant to Section 7 of the Plan to receive payment of an amount equal to the excess, if any, of the Fair Market Value of a share of Stock on the date of exercise of the SAR over the exercise price.</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40" w:firstLine="1304"/>
        <w:spacing w:after="0" w:line="287" w:lineRule="auto"/>
        <w:tabs>
          <w:tab w:leader="none" w:pos="17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means a Participant’s employment or service with the Participating Company Group, whether in the capacity of an 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the Participant’s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71" w:lineRule="exact"/>
        <w:rPr>
          <w:rFonts w:ascii="Arial" w:cs="Arial" w:eastAsia="Arial" w:hAnsi="Arial"/>
          <w:sz w:val="16"/>
          <w:szCs w:val="16"/>
          <w:color w:val="auto"/>
        </w:rPr>
      </w:pPr>
    </w:p>
    <w:p>
      <w:pPr>
        <w:ind w:left="1780" w:hanging="476"/>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the common stock of the Company, as adjusted from time to time in accordance with Section 4.2.</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 Corporation</w:t>
      </w:r>
      <w:r>
        <w:rPr>
          <w:rFonts w:ascii="Arial" w:cs="Arial" w:eastAsia="Arial" w:hAnsi="Arial"/>
          <w:sz w:val="16"/>
          <w:szCs w:val="16"/>
          <w:color w:val="auto"/>
        </w:rPr>
        <w:t>” means any present or future “subsidiary corporation” of the Company, as defined in Section 424(f)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color w:val="auto"/>
        </w:rPr>
      </w:pPr>
    </w:p>
    <w:p>
      <w:pPr>
        <w:ind w:right="420" w:firstLine="1304"/>
        <w:spacing w:after="0" w:line="263" w:lineRule="auto"/>
        <w:tabs>
          <w:tab w:leader="none" w:pos="17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83" w:lineRule="exact"/>
        <w:rPr>
          <w:rFonts w:ascii="Arial" w:cs="Arial" w:eastAsia="Arial" w:hAnsi="Arial"/>
          <w:sz w:val="18"/>
          <w:szCs w:val="18"/>
          <w:color w:val="auto"/>
        </w:rPr>
      </w:pPr>
    </w:p>
    <w:p>
      <w:pPr>
        <w:jc w:val="both"/>
        <w:ind w:right="100" w:firstLine="1304"/>
        <w:spacing w:after="0" w:line="286" w:lineRule="auto"/>
        <w:tabs>
          <w:tab w:leader="none" w:pos="17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Vesting Conditions</w:t>
      </w:r>
      <w:r>
        <w:rPr>
          <w:rFonts w:ascii="Arial" w:cs="Arial" w:eastAsia="Arial" w:hAnsi="Arial"/>
          <w:sz w:val="17"/>
          <w:szCs w:val="17"/>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right="120" w:firstLine="648"/>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Administration by the Board</w:t>
      </w:r>
      <w:r>
        <w:rPr>
          <w:rFonts w:ascii="Arial" w:cs="Arial" w:eastAsia="Arial" w:hAnsi="Arial"/>
          <w:sz w:val="17"/>
          <w:szCs w:val="17"/>
          <w:color w:val="auto"/>
        </w:rPr>
        <w:t>. The Plan shall be administered by the Board. All questions of interpretation of the Plan or of any Award shall be determined by the Board, and such determinations shall be final and binding upon all persons having an interest in the Plan or such Award.</w:t>
      </w:r>
    </w:p>
    <w:p>
      <w:pPr>
        <w:spacing w:after="0" w:line="14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Authority of Officers</w:t>
      </w:r>
      <w:r>
        <w:rPr>
          <w:rFonts w:ascii="Arial" w:cs="Arial" w:eastAsia="Arial" w:hAnsi="Arial"/>
          <w:sz w:val="17"/>
          <w:szCs w:val="17"/>
          <w:color w:val="auto"/>
        </w:rPr>
        <w:t>.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may, in its discretion, delegate to a committee comprised of one or more Officers the authority to grant one or more Awards, without further approval of the Board or the Committee, to any Employee, other than a person who, at the time of such grant, is an Insider; provided, however, that (a) such Awards shall not be granted for shares in excess of the maximum aggregate number of shares of Stock authorized for issuance pursuant to Section 4.1, (b) the exercise price per share of each Option shall be not less than the Fair Market Value per share of the Stock on the effective date of grant (or, if the Stock has not traded on such date, on the last day preceding the effective date of grant on which the Stock was traded), and (iii) each such Award shall be subject to the terms and conditions of the appropriate standard form of Award Agreement approved by the Board or the Committee and shall conform to the provisions of the Plan and such other guidelines as shall be established from time to time by the Board or the Committee.</w:t>
      </w:r>
    </w:p>
    <w:p>
      <w:pPr>
        <w:spacing w:after="0" w:line="17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Powers of the Board</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to any other powers set forth in the Plan and subject to the provisions of the Plan, the Board shall have the full and final power and authority, in its discretion:</w:t>
      </w:r>
    </w:p>
    <w:p>
      <w:pPr>
        <w:spacing w:after="0" w:line="166" w:lineRule="exact"/>
        <w:rPr>
          <w:sz w:val="20"/>
          <w:szCs w:val="20"/>
          <w:color w:val="auto"/>
        </w:rPr>
      </w:pPr>
    </w:p>
    <w:p>
      <w:pPr>
        <w:ind w:right="100" w:firstLine="1142"/>
        <w:spacing w:after="0" w:line="277" w:lineRule="auto"/>
        <w:tabs>
          <w:tab w:leader="none" w:pos="15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or units to be subject to each Award;</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determine the type(s) of Other Stock-Based Awards, and their terms and conditions that may be granted under the Plan;</w:t>
      </w:r>
    </w:p>
    <w:p>
      <w:pPr>
        <w:spacing w:after="0" w:line="236" w:lineRule="exact"/>
        <w:rPr>
          <w:rFonts w:ascii="Arial" w:cs="Arial" w:eastAsia="Arial" w:hAnsi="Arial"/>
          <w:sz w:val="17"/>
          <w:szCs w:val="17"/>
          <w:color w:val="auto"/>
        </w:rPr>
      </w:pPr>
    </w:p>
    <w:p>
      <w:pPr>
        <w:ind w:left="1540" w:hanging="398"/>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225" w:lineRule="exact"/>
        <w:rPr>
          <w:rFonts w:ascii="Arial" w:cs="Arial" w:eastAsia="Arial" w:hAnsi="Arial"/>
          <w:sz w:val="18"/>
          <w:szCs w:val="18"/>
          <w:color w:val="auto"/>
        </w:rPr>
      </w:pPr>
    </w:p>
    <w:p>
      <w:pPr>
        <w:ind w:right="100" w:firstLine="1142"/>
        <w:spacing w:after="0" w:line="271" w:lineRule="auto"/>
        <w:tabs>
          <w:tab w:leader="none" w:pos="151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determine the terms, conditions and restrictions applicable to each Award (which need not be identical) and any shares acquired upon the exercise thereof, including, without limitation, (i) the exercise or purchase price of shares purchased pursuant to any Award, (ii) the method of payment for shares purchased pursuant to any Award, (iii) the method for satisfaction of any tax withholding obligation arising in connection with the Award, including by the withholding or delivery of shares of Stock, (iv) subject to Section 3.6 below (Minimum Vesting), the timing, terms and conditions of the exercisability of the Award or the vesting of any Award of any shares acquired pursuant thereto, (v) the Performance Goals applicable to any Award and the extent to which such Performance Goals have been attained, (vi) the time of the expiration of any Award, (vii) the effect of the Participant’s termination of Service with the Participating Company Group on any of the foregoing, and (viii) all other terms, conditions and restrictions applicable to any Award or shares acquired pursuant thereto not inconsistent with the terms of the Plan;</w:t>
      </w:r>
    </w:p>
    <w:p>
      <w:pPr>
        <w:spacing w:after="0" w:line="178" w:lineRule="exact"/>
        <w:rPr>
          <w:rFonts w:ascii="Arial" w:cs="Arial" w:eastAsia="Arial" w:hAnsi="Arial"/>
          <w:sz w:val="17"/>
          <w:szCs w:val="17"/>
          <w:color w:val="auto"/>
        </w:rPr>
      </w:pPr>
    </w:p>
    <w:p>
      <w:pPr>
        <w:ind w:left="1500" w:hanging="358"/>
        <w:spacing w:after="0"/>
        <w:tabs>
          <w:tab w:leader="none" w:pos="1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or in any combination thereof;</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225" w:lineRule="exact"/>
        <w:rPr>
          <w:rFonts w:ascii="Arial" w:cs="Arial" w:eastAsia="Arial" w:hAnsi="Arial"/>
          <w:sz w:val="18"/>
          <w:szCs w:val="18"/>
          <w:color w:val="auto"/>
        </w:rPr>
      </w:pPr>
    </w:p>
    <w:p>
      <w:pPr>
        <w:jc w:val="both"/>
        <w:ind w:right="40" w:firstLine="1142"/>
        <w:spacing w:after="0" w:line="263" w:lineRule="auto"/>
        <w:tabs>
          <w:tab w:leader="none" w:pos="15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to amend, modify, extend, cancel or renew any Award or to waive any restrictions or conditions applicable to any Award or any shares acquired pursuant thereto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Participant’s rights under any Award will not be Materially Impaired by any such amendment unless (i) the Company requests the consent of the affected Participant, and (ii) such Participant consents in writing;</w:t>
      </w:r>
    </w:p>
    <w:p>
      <w:pPr>
        <w:spacing w:after="0" w:line="183" w:lineRule="exact"/>
        <w:rPr>
          <w:rFonts w:ascii="Arial" w:cs="Arial" w:eastAsia="Arial" w:hAnsi="Arial"/>
          <w:sz w:val="18"/>
          <w:szCs w:val="18"/>
          <w:color w:val="auto"/>
        </w:rPr>
      </w:pPr>
    </w:p>
    <w:p>
      <w:pPr>
        <w:ind w:right="40" w:firstLine="1142"/>
        <w:spacing w:after="0" w:line="259" w:lineRule="auto"/>
        <w:tabs>
          <w:tab w:leader="none" w:pos="1484"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to accelerate, continue, extend or defer the exercisability of any Award or any shares acquired pursuant thereto, including with respect to the period following a Participant’s termination of Service with the Participating Company Group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Participant’s rights under any Award will not be Materially Impaired by any such amendment unless (i) the Company requests the consent of the affected Participant, and (ii) such Participant consents in writing;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1142"/>
        <w:spacing w:after="0" w:line="286" w:lineRule="auto"/>
        <w:tabs>
          <w:tab w:leader="none" w:pos="148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sub-plans or supplements to, or alternative versions of, the Plan, including, without limitation, as the Board deems necessary or desirable to comply with the laws or regulations of, or to accommodate the tax policy, financial accounting or custom of, foreign jurisdictions whose citizens may be granted Awards;</w:t>
      </w:r>
    </w:p>
    <w:p>
      <w:pPr>
        <w:spacing w:after="0" w:line="165" w:lineRule="exact"/>
        <w:rPr>
          <w:rFonts w:ascii="Arial" w:cs="Arial" w:eastAsia="Arial" w:hAnsi="Arial"/>
          <w:sz w:val="17"/>
          <w:szCs w:val="17"/>
          <w:color w:val="auto"/>
        </w:rPr>
      </w:pPr>
    </w:p>
    <w:p>
      <w:pPr>
        <w:ind w:right="80" w:firstLine="1142"/>
        <w:spacing w:after="0" w:line="277" w:lineRule="auto"/>
        <w:tabs>
          <w:tab w:leader="none" w:pos="15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authorize, in conjunction with any applicable Company deferred compensation plan, that the receipt of cash or Stock subject to any Award under this Plan, may be deferred under the terms and conditions of such Company deferred compensation plan; and</w:t>
      </w:r>
    </w:p>
    <w:p>
      <w:pPr>
        <w:spacing w:after="0" w:line="170" w:lineRule="exact"/>
        <w:rPr>
          <w:rFonts w:ascii="Arial" w:cs="Arial" w:eastAsia="Arial" w:hAnsi="Arial"/>
          <w:sz w:val="18"/>
          <w:szCs w:val="18"/>
          <w:color w:val="auto"/>
        </w:rPr>
      </w:pPr>
    </w:p>
    <w:p>
      <w:pPr>
        <w:jc w:val="both"/>
        <w:ind w:right="220" w:firstLine="1142"/>
        <w:spacing w:after="0" w:line="263" w:lineRule="auto"/>
        <w:tabs>
          <w:tab w:leader="none" w:pos="14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w:t>
      </w:r>
    </w:p>
    <w:p>
      <w:pPr>
        <w:spacing w:after="0" w:line="18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No Option or SAR Repricing</w:t>
      </w:r>
      <w:r>
        <w:rPr>
          <w:rFonts w:ascii="Arial" w:cs="Arial" w:eastAsia="Arial" w:hAnsi="Arial"/>
          <w:sz w:val="17"/>
          <w:szCs w:val="17"/>
          <w:color w:val="auto"/>
        </w:rPr>
        <w:t>. Without the affirmative vote of holders of a majority of the shares of Stock cast in person or by proxy at a meeting of the stockholders of the Company at which a quorum representing a majority of all outstanding shares of Stock is present or represented by proxy, the Board shall not approve a program providing for either (a) the cancellation of outstanding Options and/or SARs having exercise prices per share greater than the then Fair Market Value of a share of Stock (“</w:t>
      </w:r>
      <w:r>
        <w:rPr>
          <w:rFonts w:ascii="Arial" w:cs="Arial" w:eastAsia="Arial" w:hAnsi="Arial"/>
          <w:sz w:val="17"/>
          <w:szCs w:val="17"/>
          <w:b w:val="1"/>
          <w:bCs w:val="1"/>
          <w:i w:val="1"/>
          <w:iCs w:val="1"/>
          <w:color w:val="auto"/>
        </w:rPr>
        <w:t>Underwater Awards</w:t>
      </w:r>
      <w:r>
        <w:rPr>
          <w:rFonts w:ascii="Arial" w:cs="Arial" w:eastAsia="Arial" w:hAnsi="Arial"/>
          <w:sz w:val="17"/>
          <w:szCs w:val="17"/>
          <w:color w:val="auto"/>
        </w:rPr>
        <w:t>”) and the grant in substitution therefor of new Options or SARs having a lower exercise price, full-value Awards or payments in cash, or (b) the amendment of outstanding Underwater Awards to reduce the exercise price thereof. This paragraph shall not be construed to apply to (x) “issuing or assuming a stock option in a transaction to which section 424(a) applies,” within the meaning of Section 424 of the Code; (y) adjustments pursuant to an assumption or substitution of an Option or SAR that complies with Section 409A of the Code; or (z) adjustments under Section 4.2 (Adjustments for Changes in Capital Structure).</w:t>
      </w:r>
    </w:p>
    <w:p>
      <w:pPr>
        <w:spacing w:after="0" w:line="172"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Minimum Vesting</w:t>
      </w:r>
      <w:r>
        <w:rPr>
          <w:rFonts w:ascii="Arial" w:cs="Arial" w:eastAsia="Arial" w:hAnsi="Arial"/>
          <w:sz w:val="18"/>
          <w:szCs w:val="18"/>
          <w:color w:val="auto"/>
        </w:rPr>
        <w:t>. Notwithstanding any provision of the Plan to the contrary, except with respect to five percent (5%) of the maximum aggregate number of shares of Stock that may be issued under the Plan, as provided in Section 4, no Award that may be exercisable for, or settled in, shares of Stock shall vest earlier than one year following the date of grant of such Award, provided, however, that such limitations shall not preclude the acceleration of vesting of such Award upon the death or disability of the Participant or in connection with a Change in Control, as determined by the Committee in accordance with Section 11.</w:t>
      </w:r>
    </w:p>
    <w:p>
      <w:pPr>
        <w:spacing w:after="0" w:line="18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Indemnification</w:t>
      </w:r>
      <w:r>
        <w:rPr>
          <w:rFonts w:ascii="Arial" w:cs="Arial" w:eastAsia="Arial" w:hAnsi="Arial"/>
          <w:sz w:val="18"/>
          <w:szCs w:val="18"/>
          <w:color w:val="auto"/>
        </w:rPr>
        <w:t>. In addition to such other rights of indemnification as they may have as members of the Board or officers or employees of the Participating Company Group,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94"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Maximum Number of Shares Issuable</w:t>
      </w:r>
      <w:r>
        <w:rPr>
          <w:rFonts w:ascii="Arial" w:cs="Arial" w:eastAsia="Arial" w:hAnsi="Arial"/>
          <w:sz w:val="17"/>
          <w:szCs w:val="17"/>
          <w:color w:val="auto"/>
        </w:rPr>
        <w:t>. Subject to adjustment as provided in Section 4.2, the maximum aggregate number of shares of Stock that may be issued under the Plan shall be 13,430,747, and such shares shall consist of authorized but unissued or reacquired shares of Stock or any combination thereof. If any outstanding Award for any reason expires or is terminated or canceled without having been exercised or settled in full, or if shares of Stock acquired pursuant to an Award subject to forfeiture or repurchase are forfeited or repurchased by the Company, the shares of Stock allocable to the terminated portion of such Award or such forfeited or repurchased shares of Stock shall again be available for grant under the Plan. Shares of Stock shall not be deemed to have been granted pursuant to the Plan with respect to any portion of an Award that is settled in cash. Notwithstanding anything to the contrary in this Section 4.1, the following shares of Stock shall not be available for reissuance under the Plan: (i) shares of Stock with respect to which the Participant has received the benefits of ownership (other than voting rights), either in the form of dividends, shares sold pursuant to a Cashless Exercise described in Section 6.3(a) or otherwise; (ii) shares of Stock which are withheld from any Award or payment under the Plan to satisfy tax withholding obligations pursuant to Section 14.2; (iii) shares of Stock which are surrendered by any Participant (through a Cashless Exercise, actual delivery of the shares or attestation of ownership) to fulfill tax withholding obligations or to pay the applicable exercise price for any Award; (iv) shares of Stock subject to the grant of a SAR which are not issued upon settlement of the SAR; and (v) shares of Stock repurchased by the Company using proceeds from the exercise of an Option.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ind w:firstLine="648"/>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Adjustments for Changes in Capital Structure</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of any stock dividend, stock split, reverse stock split, recapitalization, combination, reclassification or similar change in the capital structure of the Company, appropriate adjustments shall be made in the number and class of shares subject to the Plan and to any outstanding Awards, in the Award Limits set forth in Section 5.4 and in the exercise price or purchaser price of any outstanding Awards. If a majority of the shares which are of the same class as the shares that are subject to outstanding Awards are exchanged for, converted into, or otherwise become (whether or not pursuant to an Ownership Change Event, as defined in Section 11.1) shares of another corporation (the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the Board may unilaterally amend the outstanding Awards to provide that such Awards are accurately reflected for New Shares. In the event of any such amendment, the number of shares subject to, and the exercise price and/or purchase price per share of, the outstanding Awards (if any) shall be adjusted in a fair and equitable manner as determined by the Board, in its discretion. Notwithstanding the foregoing, any fractional share resulting from an adjustment pursuant to this Section 4.2 shall be rounded down to the nearest whole number, and in no event may the exercise price and/or purchase price of any Award be decreased to an amount less than the par value, if any, of the stock subject to the Award. The adjustments determined by the Board pursuant to this Section 4.2 shall be final, binding and conclusive.</w:t>
      </w:r>
    </w:p>
    <w:p>
      <w:pPr>
        <w:spacing w:after="0" w:line="18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Assumption or Substitution of Awards</w:t>
      </w:r>
      <w:r>
        <w:rPr>
          <w:rFonts w:ascii="Arial" w:cs="Arial" w:eastAsia="Arial" w:hAnsi="Arial"/>
          <w:sz w:val="18"/>
          <w:szCs w:val="18"/>
          <w:color w:val="auto"/>
        </w:rPr>
        <w:t>. The Board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80"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ligibility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imitations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Persons Eligible for Awards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may be granted only to Employees, Consultants, and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w:t>
      </w:r>
      <w:r>
        <w:rPr>
          <w:rFonts w:ascii="Arial" w:cs="Arial" w:eastAsia="Arial" w:hAnsi="Arial"/>
          <w:sz w:val="18"/>
          <w:szCs w:val="18"/>
          <w:color w:val="auto"/>
        </w:rPr>
        <w:t>. Awards are granted solely at the discretion of the Board. Eligible persons may be granted more than one (1) Award. However, eligibility in accordance with this Section shall not entitle any person to be granted an Award, or, having been granted an Award, to be granted an additional Award.</w:t>
      </w:r>
    </w:p>
    <w:p>
      <w:pPr>
        <w:spacing w:after="0" w:line="1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Incentive Stock Option Limitations</w:t>
      </w:r>
      <w:r>
        <w:rPr>
          <w:rFonts w:ascii="Arial" w:cs="Arial" w:eastAsia="Arial" w:hAnsi="Arial"/>
          <w:sz w:val="16"/>
          <w:szCs w:val="16"/>
          <w:i w:val="1"/>
          <w:iCs w:val="1"/>
          <w:color w:val="auto"/>
        </w:rPr>
        <w:t>.</w:t>
      </w:r>
    </w:p>
    <w:p>
      <w:pPr>
        <w:spacing w:after="0" w:line="229" w:lineRule="exact"/>
        <w:rPr>
          <w:sz w:val="20"/>
          <w:szCs w:val="20"/>
          <w:color w:val="auto"/>
        </w:rPr>
      </w:pPr>
    </w:p>
    <w:p>
      <w:pPr>
        <w:ind w:right="40" w:firstLine="1142"/>
        <w:spacing w:after="0" w:line="255" w:lineRule="auto"/>
        <w:tabs>
          <w:tab w:leader="none" w:pos="1513"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Persons Eligible</w:t>
      </w:r>
      <w:r>
        <w:rPr>
          <w:rFonts w:ascii="Arial" w:cs="Arial" w:eastAsia="Arial" w:hAnsi="Arial"/>
          <w:sz w:val="18"/>
          <w:szCs w:val="18"/>
          <w:color w:val="auto"/>
        </w:rPr>
        <w:t>. An Incentive Stock Option may be granted only to a person who, on the effective date of grant, is an Employee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 Parent Corporation or a Subsidiary Corporation (each being an “</w:t>
      </w:r>
      <w:r>
        <w:rPr>
          <w:rFonts w:ascii="Arial" w:cs="Arial" w:eastAsia="Arial" w:hAnsi="Arial"/>
          <w:sz w:val="18"/>
          <w:szCs w:val="18"/>
          <w:b w:val="1"/>
          <w:bCs w:val="1"/>
          <w:i w:val="1"/>
          <w:iCs w:val="1"/>
          <w:color w:val="auto"/>
        </w:rPr>
        <w:t>ISO-Qualifying Corporation</w:t>
      </w:r>
      <w:r>
        <w:rPr>
          <w:rFonts w:ascii="Arial" w:cs="Arial" w:eastAsia="Arial" w:hAnsi="Arial"/>
          <w:sz w:val="18"/>
          <w:szCs w:val="18"/>
          <w:color w:val="auto"/>
        </w:rPr>
        <w:t>”). Any person who is not an Employee of an ISO-Qualifying Corporation on the effective date of the grant of an Option to such person may be granted only a Nonstatutory Stock Option. An Incentive Stock Option granted to a prospective Employee upon the condition that such person become an Employee of an ISO-Qualifying Corporation shall be deemed granted effective on the date such person commences Service with an ISO-Qualifying Corporation, with an exercise price determined as of such date in accordance with Section 6.1.</w:t>
      </w:r>
    </w:p>
    <w:p>
      <w:pPr>
        <w:spacing w:after="0" w:line="192" w:lineRule="exact"/>
        <w:rPr>
          <w:rFonts w:ascii="Arial" w:cs="Arial" w:eastAsia="Arial" w:hAnsi="Arial"/>
          <w:sz w:val="18"/>
          <w:szCs w:val="18"/>
          <w:color w:val="auto"/>
        </w:rPr>
      </w:pPr>
    </w:p>
    <w:p>
      <w:pPr>
        <w:ind w:right="40" w:firstLine="1142"/>
        <w:spacing w:after="0" w:line="288" w:lineRule="auto"/>
        <w:tabs>
          <w:tab w:leader="none" w:pos="1524"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Fair Market Value Limitation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that options designated as Incentive Stock Options (granted under all stock option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5" w:name="page96"/>
    <w:bookmarkEnd w:id="95"/>
    <w:p>
      <w:pPr>
        <w:ind w:left="660"/>
        <w:spacing w:after="0"/>
        <w:tabs>
          <w:tab w:leader="none" w:pos="10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Award Limits</w:t>
      </w:r>
      <w:r>
        <w:rPr>
          <w:rFonts w:ascii="Arial" w:cs="Arial" w:eastAsia="Arial" w:hAnsi="Arial"/>
          <w:sz w:val="16"/>
          <w:szCs w:val="16"/>
          <w:color w:val="auto"/>
        </w:rPr>
        <w:t>.</w:t>
      </w:r>
    </w:p>
    <w:p>
      <w:pPr>
        <w:spacing w:after="0" w:line="229" w:lineRule="exact"/>
        <w:rPr>
          <w:sz w:val="20"/>
          <w:szCs w:val="20"/>
          <w:color w:val="auto"/>
        </w:rPr>
      </w:pPr>
    </w:p>
    <w:p>
      <w:pPr>
        <w:ind w:right="160" w:firstLine="1142"/>
        <w:spacing w:after="0" w:line="259" w:lineRule="auto"/>
        <w:tabs>
          <w:tab w:leader="none" w:pos="1513"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Options and SARs</w:t>
      </w:r>
      <w:r>
        <w:rPr>
          <w:rFonts w:ascii="Arial" w:cs="Arial" w:eastAsia="Arial" w:hAnsi="Arial"/>
          <w:sz w:val="18"/>
          <w:szCs w:val="18"/>
          <w:color w:val="auto"/>
        </w:rPr>
        <w:t>. Subject to adjustment as provided in Section 4.2, no Employee shall be granted within any fiscal year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one or more Options or Freestanding SARs which in the aggregate are for more than Five Hundred Thousand (500,000) shares of Stock, provided, however, that the Company may make an additional one- time grant to any newly-hired Employee of an Option and/or SAR for the purchase of up to an additional Two Hundred and Fifty Thousand (250,000) shares of Stock.</w:t>
      </w:r>
    </w:p>
    <w:p>
      <w:pPr>
        <w:spacing w:after="0" w:line="186" w:lineRule="exact"/>
        <w:rPr>
          <w:rFonts w:ascii="Arial" w:cs="Arial" w:eastAsia="Arial" w:hAnsi="Arial"/>
          <w:sz w:val="18"/>
          <w:szCs w:val="18"/>
          <w:color w:val="auto"/>
        </w:rPr>
      </w:pPr>
    </w:p>
    <w:p>
      <w:pPr>
        <w:jc w:val="both"/>
        <w:ind w:right="180" w:firstLine="1142"/>
        <w:spacing w:after="0" w:line="301" w:lineRule="auto"/>
        <w:tabs>
          <w:tab w:leader="none" w:pos="1524"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and Restricted Stock Units</w:t>
      </w:r>
      <w:r>
        <w:rPr>
          <w:rFonts w:ascii="Arial" w:cs="Arial" w:eastAsia="Arial" w:hAnsi="Arial"/>
          <w:sz w:val="16"/>
          <w:szCs w:val="16"/>
          <w:color w:val="auto"/>
        </w:rPr>
        <w:t>. Subject to adjustment as provided in Section 4.2, no Employee shall be granted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fiscal year of the Company one or more Restricted Stock Awards or Restricted Stock Units which are not Performance Shares or Performance Units, for more than Two Hundred Thousand (200,000) shares of Stock, provided, however, that the Company may make an additional one-time grant to any newly-hired Employee of a Restricted Stock Award or Restricted Stock Units of up to an additional One Hundred Thousand (100,000) shares of Stock.</w:t>
      </w:r>
    </w:p>
    <w:p>
      <w:pPr>
        <w:spacing w:after="0" w:line="157" w:lineRule="exact"/>
        <w:rPr>
          <w:rFonts w:ascii="Arial" w:cs="Arial" w:eastAsia="Arial" w:hAnsi="Arial"/>
          <w:sz w:val="16"/>
          <w:szCs w:val="16"/>
          <w:color w:val="auto"/>
        </w:rPr>
      </w:pPr>
    </w:p>
    <w:p>
      <w:pPr>
        <w:ind w:right="180" w:firstLine="1142"/>
        <w:spacing w:after="0" w:line="275" w:lineRule="auto"/>
        <w:tabs>
          <w:tab w:leader="none" w:pos="1513"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Shares and Performance Units</w:t>
      </w:r>
      <w:r>
        <w:rPr>
          <w:rFonts w:ascii="Arial" w:cs="Arial" w:eastAsia="Arial" w:hAnsi="Arial"/>
          <w:sz w:val="17"/>
          <w:szCs w:val="17"/>
          <w:color w:val="auto"/>
        </w:rPr>
        <w:t>. Subject to adjustment as provided in Section 4.2, no Employee shall be granted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which could result in such Employee receiving an issuance of more than Two Hundred Fifty Thousand (250,000) shares of Stock for each full fiscal year of the Company contained in the Performance Period for such Award, (B) Performance Units which could result in such Employee receiving more than $4,000,000 for each full fiscal year of the Company contained in the Performance Period for such Award. No Participant may be granted more than one Performance Share or Performance Unit for the same Performance Period.</w:t>
      </w:r>
    </w:p>
    <w:p>
      <w:pPr>
        <w:spacing w:after="0" w:line="176" w:lineRule="exact"/>
        <w:rPr>
          <w:rFonts w:ascii="Arial" w:cs="Arial" w:eastAsia="Arial" w:hAnsi="Arial"/>
          <w:sz w:val="17"/>
          <w:szCs w:val="17"/>
          <w:color w:val="auto"/>
        </w:rPr>
      </w:pPr>
    </w:p>
    <w:p>
      <w:pPr>
        <w:ind w:right="200" w:firstLine="1142"/>
        <w:spacing w:after="0" w:line="277" w:lineRule="auto"/>
        <w:tabs>
          <w:tab w:leader="none" w:pos="1524"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Bonus Awards</w:t>
      </w:r>
      <w:r>
        <w:rPr>
          <w:rFonts w:ascii="Arial" w:cs="Arial" w:eastAsia="Arial" w:hAnsi="Arial"/>
          <w:sz w:val="18"/>
          <w:szCs w:val="18"/>
          <w:color w:val="auto"/>
        </w:rPr>
        <w:t>. No Employee shall be paid a Performance Bonus Award pursuant to Section 9.6 which is greater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$4,000,000 for each full fiscal year of the Company contained in the Performance Period for such award.</w:t>
      </w:r>
    </w:p>
    <w:p>
      <w:pPr>
        <w:spacing w:after="0" w:line="166" w:lineRule="exact"/>
        <w:rPr>
          <w:sz w:val="20"/>
          <w:szCs w:val="20"/>
          <w:color w:val="auto"/>
        </w:rPr>
      </w:pPr>
    </w:p>
    <w:p>
      <w:pPr>
        <w:jc w:val="both"/>
        <w:ind w:right="140" w:firstLine="648"/>
        <w:spacing w:after="0" w:line="28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Nonemployee Director Award Limit.</w:t>
      </w:r>
      <w:r>
        <w:rPr>
          <w:rFonts w:ascii="Arial" w:cs="Arial" w:eastAsia="Arial" w:hAnsi="Arial"/>
          <w:sz w:val="17"/>
          <w:szCs w:val="17"/>
          <w:color w:val="auto"/>
        </w:rPr>
        <w:t xml:space="preserve"> Annual compensation awarded to any Nonemployee Director during each calendar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spacing w:after="0" w:line="165"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Board shall from time to time establish. No Option or purported Option shall be a valid and binding obligation of the Company unless evidenced by a fully executed Award Agreement. Award Agreements evidencing Options may incorporate all or any of the terms of the Plan by reference and shall comply with and be subject to the following terms and conditions:</w:t>
      </w:r>
    </w:p>
    <w:p>
      <w:pPr>
        <w:spacing w:after="0" w:line="183"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Exercise Price</w:t>
      </w:r>
      <w:r>
        <w:rPr>
          <w:rFonts w:ascii="Arial" w:cs="Arial" w:eastAsia="Arial" w:hAnsi="Arial"/>
          <w:sz w:val="17"/>
          <w:szCs w:val="17"/>
          <w:i w:val="1"/>
          <w:iCs w:val="1"/>
          <w:color w:val="auto"/>
        </w:rPr>
        <w:t>.</w:t>
      </w:r>
      <w:r>
        <w:rPr>
          <w:rFonts w:ascii="Arial" w:cs="Arial" w:eastAsia="Arial" w:hAnsi="Arial"/>
          <w:sz w:val="17"/>
          <w:szCs w:val="17"/>
          <w:color w:val="auto"/>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may be granted with an exercise price lower than the minimum exercise price set forth above if such Option is granted pursuant to an assumption or substitution for another option in a manner qualifying under the provisions of Sections 409A or 424(a) of the Code.</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Exercisability and Term of Options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Section 3.6 (Minimum Vesting),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and (b) no Incentive Stock Option granted to a Ten Percent Owner shall be exercisable after the expiration of five (5) years after the effective date of grant of such Option. Subject to the foregoing, unless otherwise specified by the Board in the grant of an Option, any Option granted hereunder shall terminate ten (10) years after the effective date of grant of the Option, unless earlier terminated in accordance with its provisions.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6" w:name="page97"/>
    <w:bookmarkEnd w:id="96"/>
    <w:p>
      <w:pPr>
        <w:ind w:left="660"/>
        <w:spacing w:after="0"/>
        <w:tabs>
          <w:tab w:leader="none" w:pos="10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Payment of Exercise Price</w:t>
      </w:r>
      <w:r>
        <w:rPr>
          <w:rFonts w:ascii="Arial" w:cs="Arial" w:eastAsia="Arial" w:hAnsi="Arial"/>
          <w:sz w:val="16"/>
          <w:szCs w:val="16"/>
          <w:color w:val="auto"/>
        </w:rPr>
        <w:t>.</w:t>
      </w:r>
    </w:p>
    <w:p>
      <w:pPr>
        <w:spacing w:after="0" w:line="229" w:lineRule="exact"/>
        <w:rPr>
          <w:sz w:val="20"/>
          <w:szCs w:val="20"/>
          <w:color w:val="auto"/>
        </w:rPr>
      </w:pPr>
    </w:p>
    <w:p>
      <w:pPr>
        <w:ind w:right="120" w:firstLine="1142"/>
        <w:spacing w:after="0" w:line="288" w:lineRule="auto"/>
        <w:tabs>
          <w:tab w:leader="none" w:pos="1513"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Forms of Consideration Authorized</w:t>
      </w:r>
      <w:r>
        <w:rPr>
          <w:rFonts w:ascii="Arial" w:cs="Arial" w:eastAsia="Arial" w:hAnsi="Arial"/>
          <w:sz w:val="16"/>
          <w:szCs w:val="16"/>
          <w:color w:val="auto"/>
        </w:rPr>
        <w:t>. Except as otherwise provided below, payment of the exercise price for the number of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being purchased pursuant to any Option shall be made (i) in cash, by check or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(iv) by delivery of a properly executed notice of exercise electing a Net-Exercise, (v) by such other consideration as may be approved by the Board from time to time to the extent permitted by applicable law, or (vi) by any combination thereof. The Board may at any time or from time to time, by approval of or by amendment to the standard forms of Award Agreement described in Section 10, or by other means, grant Options which do not permit all of the foregoing forms of consideration to be used in payment of the exercise price or which otherwise restrict one or more forms of consideration.</w:t>
      </w:r>
    </w:p>
    <w:p>
      <w:pPr>
        <w:spacing w:after="0" w:line="168" w:lineRule="exact"/>
        <w:rPr>
          <w:rFonts w:ascii="Arial" w:cs="Arial" w:eastAsia="Arial" w:hAnsi="Arial"/>
          <w:sz w:val="16"/>
          <w:szCs w:val="16"/>
          <w:color w:val="auto"/>
        </w:rPr>
      </w:pPr>
    </w:p>
    <w:p>
      <w:pPr>
        <w:ind w:left="1540" w:hanging="398"/>
        <w:spacing w:after="0"/>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1628"/>
        <w:spacing w:after="0" w:line="277" w:lineRule="auto"/>
        <w:tabs>
          <w:tab w:leader="none" w:pos="1966" w:val="left"/>
        </w:tabs>
        <w:numPr>
          <w:ilvl w:val="1"/>
          <w:numId w:val="68"/>
        </w:numPr>
        <w:rPr>
          <w:rFonts w:ascii="Arial" w:cs="Arial" w:eastAsia="Arial" w:hAnsi="Arial"/>
          <w:sz w:val="17"/>
          <w:szCs w:val="17"/>
          <w:color w:val="auto"/>
        </w:rPr>
      </w:pPr>
      <w:r>
        <w:rPr>
          <w:rFonts w:ascii="Arial" w:cs="Arial" w:eastAsia="Arial" w:hAnsi="Arial"/>
          <w:sz w:val="17"/>
          <w:szCs w:val="17"/>
          <w:b w:val="1"/>
          <w:bCs w:val="1"/>
          <w:color w:val="auto"/>
        </w:rPr>
        <w:t>Tender of Stock</w:t>
      </w:r>
      <w:r>
        <w:rPr>
          <w:rFonts w:ascii="Arial" w:cs="Arial" w:eastAsia="Arial" w:hAnsi="Arial"/>
          <w:sz w:val="17"/>
          <w:szCs w:val="17"/>
          <w:color w:val="auto"/>
        </w:rPr>
        <w:t>. Notwithstanding the foregoing, an Option may not be exercised by tender to the Company, or attestation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ownership, of 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(and not used for another Option exercise by attestation during such period) or were not acquired, directly or indirectly, from the Company.</w:t>
      </w:r>
    </w:p>
    <w:p>
      <w:pPr>
        <w:spacing w:after="0" w:line="167" w:lineRule="exact"/>
        <w:rPr>
          <w:rFonts w:ascii="Arial" w:cs="Arial" w:eastAsia="Arial" w:hAnsi="Arial"/>
          <w:sz w:val="17"/>
          <w:szCs w:val="17"/>
          <w:color w:val="auto"/>
        </w:rPr>
      </w:pPr>
    </w:p>
    <w:p>
      <w:pPr>
        <w:ind w:right="40" w:firstLine="1628"/>
        <w:spacing w:after="0" w:line="314" w:lineRule="auto"/>
        <w:tabs>
          <w:tab w:leader="none" w:pos="2020" w:val="left"/>
        </w:tabs>
        <w:numPr>
          <w:ilvl w:val="1"/>
          <w:numId w:val="68"/>
        </w:numPr>
        <w:rPr>
          <w:rFonts w:ascii="Arial" w:cs="Arial" w:eastAsia="Arial" w:hAnsi="Arial"/>
          <w:sz w:val="16"/>
          <w:szCs w:val="16"/>
          <w:color w:val="auto"/>
        </w:rPr>
      </w:pPr>
      <w:r>
        <w:rPr>
          <w:rFonts w:ascii="Arial" w:cs="Arial" w:eastAsia="Arial" w:hAnsi="Arial"/>
          <w:sz w:val="16"/>
          <w:szCs w:val="16"/>
          <w:b w:val="1"/>
          <w:bCs w:val="1"/>
          <w:color w:val="auto"/>
        </w:rPr>
        <w:t>Cashless Exercise</w:t>
      </w:r>
      <w:r>
        <w:rPr>
          <w:rFonts w:ascii="Arial" w:cs="Arial" w:eastAsia="Arial" w:hAnsi="Arial"/>
          <w:sz w:val="16"/>
          <w:szCs w:val="16"/>
          <w:color w:val="auto"/>
        </w:rPr>
        <w:t>. The Company reserves, at any and all times, the right, in the Company’s sole and absolute discretion, to</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41" w:lineRule="exact"/>
        <w:rPr>
          <w:rFonts w:ascii="Arial" w:cs="Arial" w:eastAsia="Arial" w:hAnsi="Arial"/>
          <w:sz w:val="16"/>
          <w:szCs w:val="16"/>
          <w:color w:val="auto"/>
        </w:rPr>
      </w:pPr>
    </w:p>
    <w:p>
      <w:pPr>
        <w:jc w:val="both"/>
        <w:ind w:right="220" w:firstLine="1628"/>
        <w:spacing w:after="0" w:line="261" w:lineRule="auto"/>
        <w:tabs>
          <w:tab w:leader="none" w:pos="207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Net-Exercise</w:t>
      </w:r>
      <w:r>
        <w:rPr>
          <w:rFonts w:ascii="Arial" w:cs="Arial" w:eastAsia="Arial" w:hAnsi="Arial"/>
          <w:sz w:val="18"/>
          <w:szCs w:val="18"/>
          <w:color w:val="auto"/>
        </w:rPr>
        <w:t>. The Company reserves, at any and all times, the right, in the Company’s sole and absolute discretion,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or to grant, or amend, any Nonstatutory Options to provide that such Options may be exercised by the means of a Net-Exercise, including with respect to one or more Participants specified by the Company notwithstanding that such program or procedures may be available to other Participants.</w:t>
      </w:r>
    </w:p>
    <w:p>
      <w:pPr>
        <w:spacing w:after="0" w:line="180"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An Option shall be exercisable after a Participant’s termination of Service to such extent and during such period as determined by the Board, in its discretion, and set forth in the Award Agreement evidencing such Option. Notwithstanding the foregoing, if the exercise of an Option within the applicable time periods set forth in the Award Agreement is prevented by the provisions of Section 13.1, the Option shall remain exercisable until the later of (a) thirty (30) days after the date such exercise first would no longer be prevented by such provisions or (b) the end of the applicable time period set forth in the Award Agreement, but in any event, no later than the expiration date of the Option.</w:t>
      </w:r>
    </w:p>
    <w:p>
      <w:pPr>
        <w:spacing w:after="0" w:line="15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color w:val="auto"/>
        </w:rPr>
        <w:t>Transferability of Options</w:t>
      </w:r>
      <w:r>
        <w:rPr>
          <w:rFonts w:ascii="Arial" w:cs="Arial" w:eastAsia="Arial" w:hAnsi="Arial"/>
          <w:sz w:val="17"/>
          <w:szCs w:val="17"/>
          <w:color w:val="auto"/>
        </w:rPr>
        <w:t>. During the lifetime of the Participant, an Option shall be exercisable only by the Participant or the Participant’s guardian or legal representative. Prior to the issuance of shares of Stock upon the exercise of an Option, the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Securities Act, provided that no Option may be transferred to a third party financial institution for value.</w:t>
      </w:r>
    </w:p>
    <w:p>
      <w:pPr>
        <w:spacing w:after="0" w:line="17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No Reload Options</w:t>
      </w:r>
      <w:r>
        <w:rPr>
          <w:rFonts w:ascii="Arial" w:cs="Arial" w:eastAsia="Arial" w:hAnsi="Arial"/>
          <w:sz w:val="18"/>
          <w:szCs w:val="18"/>
          <w:color w:val="auto"/>
        </w:rPr>
        <w:t>. No Option shall contain a reload feature that results in a new Option granted automatically upon delivery of shares of Stock to the Company in payment of the exercise price or any tax withholding obligation.</w:t>
      </w:r>
    </w:p>
    <w:p>
      <w:pPr>
        <w:spacing w:after="0" w:line="162"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Board shall from time to time establish. No SAR or purported SAR shall be a valid and binding obligation of the Company unless evidenced by a fully executed Award Agreement. Award Agreements evidencing SARs may incorporate all or any of the terms of the Plan by reference and shall comply with and be subject to the following terms and conditions: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ind w:firstLine="648"/>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Types of SARs Authorized</w:t>
      </w:r>
      <w:r>
        <w:rPr>
          <w:rFonts w:ascii="Arial" w:cs="Arial" w:eastAsia="Arial" w:hAnsi="Arial"/>
          <w:sz w:val="18"/>
          <w:szCs w:val="18"/>
          <w:color w:val="auto"/>
        </w:rPr>
        <w:t>. SARs may be granted in tandem with all or any portion of a related Option (a “</w:t>
      </w:r>
      <w:r>
        <w:rPr>
          <w:rFonts w:ascii="Arial" w:cs="Arial" w:eastAsia="Arial" w:hAnsi="Arial"/>
          <w:sz w:val="18"/>
          <w:szCs w:val="18"/>
          <w:b w:val="1"/>
          <w:bCs w:val="1"/>
          <w:i w:val="1"/>
          <w:iCs w:val="1"/>
          <w:color w:val="auto"/>
        </w:rPr>
        <w:t>Tandem SAR</w:t>
      </w:r>
      <w:r>
        <w:rPr>
          <w:rFonts w:ascii="Arial" w:cs="Arial" w:eastAsia="Arial" w:hAnsi="Arial"/>
          <w:sz w:val="18"/>
          <w:szCs w:val="18"/>
          <w:color w:val="auto"/>
        </w:rPr>
        <w:t>”) or may be granted independently of any Option (a “</w:t>
      </w:r>
      <w:r>
        <w:rPr>
          <w:rFonts w:ascii="Arial" w:cs="Arial" w:eastAsia="Arial" w:hAnsi="Arial"/>
          <w:sz w:val="18"/>
          <w:szCs w:val="18"/>
          <w:b w:val="1"/>
          <w:bCs w:val="1"/>
          <w:i w:val="1"/>
          <w:iCs w:val="1"/>
          <w:color w:val="auto"/>
        </w:rPr>
        <w:t>Freestanding SAR</w:t>
      </w:r>
      <w:r>
        <w:rPr>
          <w:rFonts w:ascii="Arial" w:cs="Arial" w:eastAsia="Arial" w:hAnsi="Arial"/>
          <w:sz w:val="18"/>
          <w:szCs w:val="18"/>
          <w:color w:val="auto"/>
        </w:rPr>
        <w:t>”). A Tandem SAR may be granted either concurrently with the grant of the related Option or at any time thereafter prior to the complete exercise, termination, expiration or cancellation of such related Option.</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Exercise Price and Other Terms</w:t>
      </w:r>
      <w:r>
        <w:rPr>
          <w:rFonts w:ascii="Arial" w:cs="Arial" w:eastAsia="Arial" w:hAnsi="Arial"/>
          <w:sz w:val="18"/>
          <w:szCs w:val="18"/>
          <w:color w:val="auto"/>
        </w:rPr>
        <w:t>. The Board, subject to the provisions of the Plan, will have complete discretion to determine the terms and conditions of each SAR granted under the Plan;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Exercise of SARs</w:t>
      </w:r>
      <w:r>
        <w:rPr>
          <w:rFonts w:ascii="Arial" w:cs="Arial" w:eastAsia="Arial" w:hAnsi="Arial"/>
          <w:sz w:val="18"/>
          <w:szCs w:val="18"/>
          <w:color w:val="auto"/>
        </w:rPr>
        <w:t>. Subject to Section 3.6 (Minimum Vesting), SARs will be exercisable on such terms and conditions as the Board, in its sole and absolute discretion, will determine.</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Award Agreement</w:t>
      </w:r>
      <w:r>
        <w:rPr>
          <w:rFonts w:ascii="Arial" w:cs="Arial" w:eastAsia="Arial" w:hAnsi="Arial"/>
          <w:sz w:val="18"/>
          <w:szCs w:val="18"/>
          <w:color w:val="auto"/>
        </w:rPr>
        <w:t>. Each SAR grant will be evidenced by an Award Agreement that will specify the exercise price, the term of the SAR, the conditions of exercise, and such other terms and conditions as the Board, in its sole discretion, will determine.</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Expiration of SARs</w:t>
      </w:r>
      <w:r>
        <w:rPr>
          <w:rFonts w:ascii="Arial" w:cs="Arial" w:eastAsia="Arial" w:hAnsi="Arial"/>
          <w:sz w:val="18"/>
          <w:szCs w:val="18"/>
          <w:color w:val="auto"/>
        </w:rPr>
        <w:t>. Each SAR grant under the Plan will expire upon the date determined by the Board, in its sole discretion, and set forth in the Award Agreement. Notwithstanding the foregoing, the requirements of Sections 6.2, 6.3, 6.4 and 6.5 also will apply to SARs to the extent not replaced or superseded by the terms of any Award Agreement.</w:t>
      </w:r>
    </w:p>
    <w:p>
      <w:pPr>
        <w:spacing w:after="0" w:line="176"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Restricted Stock Awards shall be evidenced by Award Agreements specifying the number of shares of Stock subject to the Award, in such form as the Board shall from time to time establish. No Restricted Stock Award or purported Restricted Stock Award shall be a valid and binding obligation of the Company unless evidenced by a fully executed Award Agreement. Award Agreements evidencing Restricted Stock Awards may incorporate all or any of the terms of the Plan by reference and shall comply with and be subject to the following terms and conditions:</w:t>
      </w:r>
    </w:p>
    <w:p>
      <w:pPr>
        <w:spacing w:after="0" w:line="16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Grant of Restricted Stock</w:t>
      </w:r>
      <w:r>
        <w:rPr>
          <w:rFonts w:ascii="Arial" w:cs="Arial" w:eastAsia="Arial" w:hAnsi="Arial"/>
          <w:sz w:val="18"/>
          <w:szCs w:val="18"/>
          <w:color w:val="auto"/>
        </w:rPr>
        <w:t>. The Board is authorized to make Awards of Restricted Stock to any Participant selected by the Board in such amounts and subject to such terms and conditions as determined by the Board.</w:t>
      </w:r>
    </w:p>
    <w:p>
      <w:pPr>
        <w:spacing w:after="0" w:line="16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Issuance and Restrictions</w:t>
      </w:r>
      <w:r>
        <w:rPr>
          <w:rFonts w:ascii="Arial" w:cs="Arial" w:eastAsia="Arial" w:hAnsi="Arial"/>
          <w:sz w:val="18"/>
          <w:szCs w:val="18"/>
          <w:color w:val="auto"/>
        </w:rPr>
        <w:t>. Restricted Stock Awards will be subject to such restrictions on transferability and other restrictions as the Board may impose (including, without limitation, limitations on the right to vote shares of Stock or the right to receive dividends on the Stock). Subject to Section 3.6 (Minimum Vesting), these restrictions may lapse separately or in combination at such times, pursuant to such circumstances, in such installments, or otherwise, as the Board determines at the time of the grant of the Award or thereafter.</w:t>
      </w:r>
    </w:p>
    <w:p>
      <w:pPr>
        <w:spacing w:after="0" w:line="18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determined by the Board at the time of grant of the Award or thereafter, upon termination of Service during the applicable Restriction Period, Restricted Stock that is at that time subject to restrictions will be forfeited.</w:t>
      </w:r>
    </w:p>
    <w:p>
      <w:pPr>
        <w:spacing w:after="0" w:line="16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Voting Rights; Dividends and Distributions</w:t>
      </w:r>
      <w:r>
        <w:rPr>
          <w:rFonts w:ascii="Arial" w:cs="Arial" w:eastAsia="Arial" w:hAnsi="Arial"/>
          <w:sz w:val="16"/>
          <w:szCs w:val="16"/>
          <w:color w:val="auto"/>
        </w:rPr>
        <w:t>. Except as may be provided in any Award Agreement, during the Restriction Period applicable to shares subject to a Restricted Stock Award, the Participant shall have all of the rights of a stockholder of the Company holding shares of Stock, including the right to vote such shares and to receive all dividends and other distributions paid with respect to such shares; provided, however, that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4.2, then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59"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ypes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Other types of Awards, such as Performance Shares, Performance Units, Deferred Stock Units, Restricted Stock Units, Other Stock-Based Awards and Performance Bonus Awards (collectively “</w:t>
      </w:r>
      <w:r>
        <w:rPr>
          <w:rFonts w:ascii="Arial" w:cs="Arial" w:eastAsia="Arial" w:hAnsi="Arial"/>
          <w:sz w:val="16"/>
          <w:szCs w:val="16"/>
          <w:b w:val="1"/>
          <w:bCs w:val="1"/>
          <w:i w:val="1"/>
          <w:iCs w:val="1"/>
          <w:color w:val="auto"/>
        </w:rPr>
        <w:t>Other Types of Award</w:t>
      </w:r>
      <w:r>
        <w:rPr>
          <w:rFonts w:ascii="Arial" w:cs="Arial" w:eastAsia="Arial" w:hAnsi="Arial"/>
          <w:sz w:val="16"/>
          <w:szCs w:val="16"/>
          <w:color w:val="auto"/>
        </w:rPr>
        <w:t>”) shall be evidenced by Award Agreements specifying the type of Award and the number of shares of Stock subject to the Award, in such form as the Board shall from time to time establish. No Other Type of Award or purported Award shall be a valid and binding obligation of the Company unless evidenced by a fully executed Award Agreement. Award Agreements evidencing any Other Type of Award may incorporate all or any of the terms of the Plan by reference and shall comply with and be subject to the following terms and conditions: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right="80" w:firstLine="648"/>
        <w:spacing w:after="0" w:line="277"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Performance Shares</w:t>
      </w:r>
      <w:r>
        <w:rPr>
          <w:rFonts w:ascii="Arial" w:cs="Arial" w:eastAsia="Arial" w:hAnsi="Arial"/>
          <w:sz w:val="17"/>
          <w:szCs w:val="17"/>
          <w:color w:val="auto"/>
        </w:rPr>
        <w:t>. Any Participant selected by the Committee may be granted one or more Performance Share awards which will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subject to Section 3.6 (Minimum Vesting). In making such determinations, the Committee will consider (among other such factors as it deems relevant in light of the specific type of Award) the contributions, responsibilities and other compensation of the particular Participant.</w:t>
      </w:r>
    </w:p>
    <w:p>
      <w:pPr>
        <w:spacing w:after="0" w:line="16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Performance Units</w:t>
      </w:r>
      <w:r>
        <w:rPr>
          <w:rFonts w:ascii="Arial" w:cs="Arial" w:eastAsia="Arial" w:hAnsi="Arial"/>
          <w:sz w:val="18"/>
          <w:szCs w:val="18"/>
          <w:color w:val="auto"/>
        </w:rPr>
        <w:t>. Any Participant selected by the Committee may be granted one or more Performance Unit awards which will be denominated in units of value, which, without limitation, may include the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subject to Section 3.6 (Minimum Vesting). In making such determinations, the Committee will consider (among other such factors as it deems relevant in light of the specific type of Award) the contributions, responsibilities and other compensation of the particular Participant.</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Deferred Stock Units</w:t>
      </w:r>
      <w:r>
        <w:rPr>
          <w:rFonts w:ascii="Arial" w:cs="Arial" w:eastAsia="Arial" w:hAnsi="Arial"/>
          <w:sz w:val="17"/>
          <w:szCs w:val="17"/>
          <w:color w:val="auto"/>
        </w:rPr>
        <w:t>. Any Participant selected by the Board may be granted an award of Deferred Stock Units in the manner determined from time to time by the Board. The number of Deferred Stock Units will be determined by the Board and may be linked to the Performance Goals or other specific performance criteria determined to be appropriate by the Board, in each case on a specified date or dates or over any period or periods determined by the Board, subject to Section 3.6 (Minimum Vesting). Stock underlying a Deferred Stock Unit award will not be issued until the Deferred Stock Units have vested, pursuant to a vesting schedule or performance criteria set by the Committee if applicable, or upon such settlement date as may be elected by the Participant. Unless otherwise provided by the Board, a Participant awarded Deferred Stock Units will have no rights as a Company stockholder with respect to such Deferred Stock Units until such time as the Award has vested, if applicable, and the Stock underlying such Award has been issued. In addition, Deferred Stock Units may be granted automatically with respect to such number of shares of Stock and upon such other terms and conditions as established by the Board in lieu of:</w:t>
      </w:r>
    </w:p>
    <w:p>
      <w:pPr>
        <w:spacing w:after="0" w:line="178" w:lineRule="exact"/>
        <w:rPr>
          <w:sz w:val="20"/>
          <w:szCs w:val="20"/>
          <w:color w:val="auto"/>
        </w:rPr>
      </w:pPr>
    </w:p>
    <w:p>
      <w:pPr>
        <w:ind w:right="520" w:firstLine="1142"/>
        <w:spacing w:after="0" w:line="277" w:lineRule="auto"/>
        <w:tabs>
          <w:tab w:leader="none" w:pos="151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or shares of Stock otherwise issuable to such Participant upon the exercise or settlement of a Restricted Stock Unit Award, Performance Share Award or Performance Unit Award; or</w:t>
      </w:r>
    </w:p>
    <w:p>
      <w:pPr>
        <w:spacing w:after="0" w:line="170" w:lineRule="exact"/>
        <w:rPr>
          <w:rFonts w:ascii="Arial" w:cs="Arial" w:eastAsia="Arial" w:hAnsi="Arial"/>
          <w:sz w:val="18"/>
          <w:szCs w:val="18"/>
          <w:color w:val="auto"/>
        </w:rPr>
      </w:pPr>
    </w:p>
    <w:p>
      <w:pPr>
        <w:ind w:right="520" w:firstLine="1142"/>
        <w:spacing w:after="0" w:line="277" w:lineRule="auto"/>
        <w:tabs>
          <w:tab w:leader="none" w:pos="15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cash to be otherwise paid to the Participant in the form of salary, bonus, commissions, or such other compensation program maintained by the Company.</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color w:val="auto"/>
        </w:rPr>
        <w:t>Restricted Stock Units</w:t>
      </w:r>
      <w:r>
        <w:rPr>
          <w:rFonts w:ascii="Arial" w:cs="Arial" w:eastAsia="Arial" w:hAnsi="Arial"/>
          <w:sz w:val="17"/>
          <w:szCs w:val="17"/>
          <w:color w:val="auto"/>
        </w:rPr>
        <w:t>. The Board is authorized to make Awards of Restricted Stock Units to any Participant selected by the Board in such amounts and subject to such terms and conditions as determined by the Board. The number of Restricted Stock Units will be determined by the Board and may be linked to the Performance Goals or other specific performance criteria determined to be appropriate by the Board, in each case on a specified date or dates or over any period or periods determined by the Board, subject to Section 3.6 (Minimum Vesting). At the time of grant, the Board will specify the date or dates on which the Restricted Stock Units will become fully vested and nonforfeitable, and may specify such conditions to vesting as it deems appropriate. At the time of grant, the Board will specify the settlement date applicable to each grant of Restricted Stock Units which will be no earlier than the vesting date or dates of the Award and may be determined at the election of the Participant if permitted by the Board, in its discretion. On the settlement date, the Company will transfer to the Participant either (i) one unrestricted, fully transferable share of Stock or (ii) cash equal to the value of one such share of Stock for each Restricted Stock Unit scheduled to be paid out on such date and which was not previously forfeited. The Board will specify the purchase price, if any, to be paid by the Participant to the Company for such shares of Stock.</w:t>
      </w:r>
    </w:p>
    <w:p>
      <w:pPr>
        <w:spacing w:after="0" w:line="177"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Other Stock-Based Awards</w:t>
      </w:r>
      <w:r>
        <w:rPr>
          <w:rFonts w:ascii="Arial" w:cs="Arial" w:eastAsia="Arial" w:hAnsi="Arial"/>
          <w:sz w:val="16"/>
          <w:szCs w:val="16"/>
          <w:color w:val="auto"/>
        </w:rPr>
        <w:t>. Any Participant selected by the Board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Board, in each case on a specified date or dates or over any period or periods determined by the Board, subject to Section 3.6 (Minimum Vesting). In making such determinations, the Board will consider (among such other factors as it deems relevant in light of the specific type of award) the contributions, responsibilities and other compensation to the particular Participant.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9" w:name="page100"/>
    <w:bookmarkEnd w:id="99"/>
    <w:p>
      <w:pPr>
        <w:ind w:right="120" w:firstLine="648"/>
        <w:spacing w:after="0" w:line="266"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Performance Bonus Awards</w:t>
      </w:r>
      <w:r>
        <w:rPr>
          <w:rFonts w:ascii="Arial" w:cs="Arial" w:eastAsia="Arial" w:hAnsi="Arial"/>
          <w:sz w:val="18"/>
          <w:szCs w:val="18"/>
          <w:color w:val="auto"/>
        </w:rPr>
        <w:t>. Any Participant selected by the Committee may be granted one or more Performance-Based Award in the form of a cash bonus payable upon the attainment of Performance Goals that are established by the Committee, in each case on a specified date or dates or over any period or periods determined by the Committee.</w:t>
      </w:r>
    </w:p>
    <w:p>
      <w:pPr>
        <w:spacing w:after="0" w:line="17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Term of Other Type Awards</w:t>
      </w:r>
      <w:r>
        <w:rPr>
          <w:rFonts w:ascii="Arial" w:cs="Arial" w:eastAsia="Arial" w:hAnsi="Arial"/>
          <w:sz w:val="18"/>
          <w:szCs w:val="18"/>
          <w:color w:val="auto"/>
        </w:rPr>
        <w:t>. Except as otherwise provided herein, the term of any Other Type Award will be set by the Board in its sole and absolute discretion and set forth in any applicable Award Agreement.</w:t>
      </w:r>
    </w:p>
    <w:p>
      <w:pPr>
        <w:spacing w:after="0" w:line="162" w:lineRule="exact"/>
        <w:rPr>
          <w:sz w:val="20"/>
          <w:szCs w:val="20"/>
          <w:color w:val="auto"/>
        </w:rPr>
      </w:pPr>
    </w:p>
    <w:p>
      <w:pPr>
        <w:ind w:right="160" w:firstLine="648"/>
        <w:spacing w:after="0" w:line="312"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b w:val="1"/>
          <w:bCs w:val="1"/>
          <w:color w:val="auto"/>
        </w:rPr>
        <w:t>Exercise or Purchase Price</w:t>
      </w:r>
      <w:r>
        <w:rPr>
          <w:rFonts w:ascii="Arial" w:cs="Arial" w:eastAsia="Arial" w:hAnsi="Arial"/>
          <w:sz w:val="17"/>
          <w:szCs w:val="17"/>
          <w:color w:val="auto"/>
        </w:rPr>
        <w:t>. The Board may establish the exercise or purchase price, if any, of any Other Type Award; provided, however, that such price will not be less than the par value of a share of Stock on the date of grant, unless otherwise permitted by applicable law.</w:t>
      </w:r>
    </w:p>
    <w:p>
      <w:pPr>
        <w:spacing w:after="0" w:line="1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Exercise Upon Termination of Service</w:t>
      </w:r>
      <w:r>
        <w:rPr>
          <w:rFonts w:ascii="Arial" w:cs="Arial" w:eastAsia="Arial" w:hAnsi="Arial"/>
          <w:sz w:val="18"/>
          <w:szCs w:val="18"/>
          <w:color w:val="auto"/>
        </w:rPr>
        <w:t>. Any Other Type of Award will only be exercisable or payable while the Participant is an Employee, Consultant or Director, as applicable; provided, however, that the Board in its sole and absolute discretion may provide that any Other Type of Award may be exercised or paid subsequent to a termination of Service, as applicable, or following a Change in Control, or because of the Participant’s retirement, death or disability, or otherwise, subject to Section 3.6 (Minimum Vesting).</w:t>
      </w:r>
    </w:p>
    <w:p>
      <w:pPr>
        <w:spacing w:after="0" w:line="180"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color w:val="auto"/>
        </w:rPr>
        <w:t>Form of Payment</w:t>
      </w:r>
      <w:r>
        <w:rPr>
          <w:rFonts w:ascii="Arial" w:cs="Arial" w:eastAsia="Arial" w:hAnsi="Arial"/>
          <w:sz w:val="18"/>
          <w:szCs w:val="18"/>
          <w:color w:val="auto"/>
        </w:rPr>
        <w:t>. Payments with respect to any Other Type of Award will be made in cash, in Stock or a combination of both, as determined by the Board and as set forth in any applicable Award Agreement.</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b w:val="1"/>
          <w:bCs w:val="1"/>
          <w:color w:val="auto"/>
        </w:rPr>
        <w:t>Award Agreement</w:t>
      </w:r>
      <w:r>
        <w:rPr>
          <w:rFonts w:ascii="Arial" w:cs="Arial" w:eastAsia="Arial" w:hAnsi="Arial"/>
          <w:sz w:val="18"/>
          <w:szCs w:val="18"/>
          <w:color w:val="auto"/>
        </w:rPr>
        <w:t>. All Other Types of Awards will be subject to such additional terms and conditions as determined by the Board and will be evidenced by a written Award Agreement.</w:t>
      </w:r>
    </w:p>
    <w:p>
      <w:pPr>
        <w:spacing w:after="0" w:line="16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Participants shall have no voting rights with respect to shares of Stock represented by any Other Type of Award until the date of the issuance of such shares, if any (as evidenced by the appropriate entry on the books of the Company or of a duly authorized transfer agent of the Company). However, the Board, in its discretion, may provide in the Award Agreement evidencing any Other Type of Award that the Participant shall be entitled to receive Dividend Equivalents with respect to the payment of cash dividends on Stock having a record date prior to the date on which such shares of Stock underlying any such award are settled or forfeited. Such Dividend Equivalents, if any, shall be credited to the Participant in the form of additional units with respect to whole shares of Stock, or such cash equivalent, depending on the type of award, as of the date of payment of such cash dividends on Stock or any other date determined by the Board. The number of additional units (rounded to the nearest whole number) to be so credited shall be determined by dividing (a) the amount of cash dividends paid on such date with respect to the number of shares of Stock represented by the shares of Stock underlying such award previously credited to the Participant by (b) the Fair Market Value per share of Stock on such date. Dividend Equivalents shall be accumulated and paid to the extent that such Award becomes nonforfeitable upon the satisfaction of the applicable Vesting Conditions or, if applicable, on the deferred settlement date of the underlying Deferred Stock Units award. Settlement of Dividend Equivalents may be made in cash, shares of Stock, or a combination thereof as determined by the Board. In the event of a dividend or distribution paid in shares of Stock or any other adjustment made upon a change in the capital structure of the Company as described in Section 4.2, appropriate adjustments shall be made in the Participant’s Other Type of Awards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74"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b w:val="1"/>
          <w:bCs w:val="1"/>
          <w:color w:val="auto"/>
        </w:rPr>
        <w:t>Nontransferability of Awards</w:t>
      </w:r>
      <w:r>
        <w:rPr>
          <w:rFonts w:ascii="Arial" w:cs="Arial" w:eastAsia="Arial" w:hAnsi="Arial"/>
          <w:sz w:val="18"/>
          <w:szCs w:val="18"/>
          <w:color w:val="auto"/>
        </w:rPr>
        <w:t>. Prior to settlement or payment of any Other Type of Award in accordance with the provisions of the Plan, no such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such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greement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120" w:firstLine="648"/>
        <w:spacing w:after="0" w:line="28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Award Agreements</w:t>
      </w:r>
      <w:r>
        <w:rPr>
          <w:rFonts w:ascii="Arial" w:cs="Arial" w:eastAsia="Arial" w:hAnsi="Arial"/>
          <w:sz w:val="17"/>
          <w:szCs w:val="17"/>
          <w:i w:val="1"/>
          <w:iCs w:val="1"/>
          <w:color w:val="auto"/>
        </w:rPr>
        <w:t>.</w:t>
      </w:r>
      <w:r>
        <w:rPr>
          <w:rFonts w:ascii="Arial" w:cs="Arial" w:eastAsia="Arial" w:hAnsi="Arial"/>
          <w:sz w:val="17"/>
          <w:szCs w:val="17"/>
          <w:color w:val="auto"/>
        </w:rPr>
        <w:t xml:space="preserve"> Each Award shall comply with and be subject to the terms and conditions set forth in the appropriate form of Award Agreement approved by the Board and as amended from time to time. Any Award Agreement may consist of an appropriate form of Notice of Grant and a form of Agreement incorporated therein by reference, or such other form or forms as the Board may approve from time to time.</w:t>
      </w:r>
    </w:p>
    <w:p>
      <w:pPr>
        <w:spacing w:after="0" w:line="158"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Authority to Vary Terms</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ind w:left="680" w:hanging="672"/>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ontrol</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firstLine="1142"/>
        <w:spacing w:after="0" w:line="257" w:lineRule="auto"/>
        <w:tabs>
          <w:tab w:leader="none" w:pos="15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Ownership Change Event</w:t>
      </w:r>
      <w:r>
        <w:rPr>
          <w:rFonts w:ascii="Arial" w:cs="Arial" w:eastAsia="Arial" w:hAnsi="Arial"/>
          <w:sz w:val="18"/>
          <w:szCs w:val="18"/>
          <w:color w:val="auto"/>
        </w:rPr>
        <w:t>”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(other than a sale, exchange or transfer to one or more subsidiaries of the Company); or (iv) a liquidation or dissolution of the Company.</w:t>
      </w:r>
    </w:p>
    <w:p>
      <w:pPr>
        <w:spacing w:after="0" w:line="187" w:lineRule="exact"/>
        <w:rPr>
          <w:rFonts w:ascii="Arial" w:cs="Arial" w:eastAsia="Arial" w:hAnsi="Arial"/>
          <w:sz w:val="18"/>
          <w:szCs w:val="18"/>
          <w:color w:val="auto"/>
        </w:rPr>
      </w:pPr>
    </w:p>
    <w:p>
      <w:pPr>
        <w:ind w:left="1520" w:hanging="378"/>
        <w:spacing w:after="0"/>
        <w:tabs>
          <w:tab w:leader="none" w:pos="1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mean an Ownership Change Event or a series of related Ownership Change Events (collectively, a</w:t>
      </w:r>
    </w:p>
    <w:p>
      <w:pPr>
        <w:spacing w:after="0" w:line="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in which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securities of the Company or, in the case of an Ownership Change Event described in Section 11.1(a)(iii), the entity to which the assets of the Company were transferred (the “</w:t>
      </w:r>
      <w:r>
        <w:rPr>
          <w:rFonts w:ascii="Arial" w:cs="Arial" w:eastAsia="Arial" w:hAnsi="Arial"/>
          <w:sz w:val="16"/>
          <w:szCs w:val="16"/>
          <w:b w:val="1"/>
          <w:bCs w:val="1"/>
          <w:i w:val="1"/>
          <w:iCs w:val="1"/>
          <w:color w:val="auto"/>
        </w:rPr>
        <w:t>Transferee</w:t>
      </w:r>
      <w:r>
        <w:rPr>
          <w:rFonts w:ascii="Arial" w:cs="Arial" w:eastAsia="Arial" w:hAnsi="Arial"/>
          <w:sz w:val="16"/>
          <w:szCs w:val="16"/>
          <w:color w:val="auto"/>
        </w:rPr>
        <w:t>”), as the case may be.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have the right to determine whether multiple sales or exchanges of the voting securities of the Company or multiple Ownership Change Events are related, and its determination shall be final, binding and conclusive. Notwithstanding this Section 11.1(b), to the extent that an Award constitutes a “deferral of compensation” (as defined in and subject to Section 409A of the Code) and provides for a payment or a change in the time or form of payment upon a Change in Control, then no Change in Control shall be deemed to have occurred upon an event described above unless such event shall constitute a “change in control event” under Section 409A.</w:t>
      </w:r>
    </w:p>
    <w:p>
      <w:pPr>
        <w:spacing w:after="0" w:line="1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Effect of Change in Control on Awards</w:t>
      </w:r>
      <w:r>
        <w:rPr>
          <w:rFonts w:ascii="Arial" w:cs="Arial" w:eastAsia="Arial" w:hAnsi="Arial"/>
          <w:sz w:val="16"/>
          <w:szCs w:val="16"/>
          <w:i w:val="1"/>
          <w:iCs w:val="1"/>
          <w:color w:val="auto"/>
        </w:rPr>
        <w:t>.</w:t>
      </w:r>
    </w:p>
    <w:p>
      <w:pPr>
        <w:spacing w:after="0" w:line="229" w:lineRule="exact"/>
        <w:rPr>
          <w:sz w:val="20"/>
          <w:szCs w:val="20"/>
          <w:color w:val="auto"/>
        </w:rPr>
      </w:pPr>
    </w:p>
    <w:p>
      <w:pPr>
        <w:ind w:right="100" w:firstLine="1142"/>
        <w:spacing w:after="0" w:line="259" w:lineRule="auto"/>
        <w:tabs>
          <w:tab w:leader="none" w:pos="1507"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Accelerated Vesting</w:t>
      </w:r>
      <w:r>
        <w:rPr>
          <w:rFonts w:ascii="Arial" w:cs="Arial" w:eastAsia="Arial" w:hAnsi="Arial"/>
          <w:sz w:val="18"/>
          <w:szCs w:val="18"/>
          <w:color w:val="auto"/>
        </w:rPr>
        <w:t>. Notwithstanding any other provision of the Plan to the contrary, the Board, in its sole discretion, may provide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Award Agreement or, in the event of a Change in Control, may take such actions as it deems appropriate to provide for the acceleration of the exercisability, vesting and/or settlement in connection with such Change in Control of any or all outstanding Awards and shares acquired pursuant thereto upon such conditions and to such extent as the Board shall determine.</w:t>
      </w:r>
    </w:p>
    <w:p>
      <w:pPr>
        <w:spacing w:after="0" w:line="186" w:lineRule="exact"/>
        <w:rPr>
          <w:rFonts w:ascii="Arial" w:cs="Arial" w:eastAsia="Arial" w:hAnsi="Arial"/>
          <w:sz w:val="18"/>
          <w:szCs w:val="18"/>
          <w:color w:val="auto"/>
        </w:rPr>
      </w:pPr>
    </w:p>
    <w:p>
      <w:pPr>
        <w:ind w:right="20" w:firstLine="1142"/>
        <w:spacing w:after="0" w:line="285" w:lineRule="auto"/>
        <w:tabs>
          <w:tab w:leader="none" w:pos="1517"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Assumption or Substitution</w:t>
      </w:r>
      <w:r>
        <w:rPr>
          <w:rFonts w:ascii="Arial" w:cs="Arial" w:eastAsia="Arial" w:hAnsi="Arial"/>
          <w:sz w:val="16"/>
          <w:szCs w:val="16"/>
          <w:color w:val="auto"/>
        </w:rPr>
        <w:t>. In the event of a Change in Control, the surviving, continuing, successor, or purchasing corporation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business entity or parent thereof, as the case may be (the “</w:t>
      </w:r>
      <w:r>
        <w:rPr>
          <w:rFonts w:ascii="Arial" w:cs="Arial" w:eastAsia="Arial" w:hAnsi="Arial"/>
          <w:sz w:val="16"/>
          <w:szCs w:val="16"/>
          <w:b w:val="1"/>
          <w:bCs w:val="1"/>
          <w:i w:val="1"/>
          <w:iCs w:val="1"/>
          <w:color w:val="auto"/>
        </w:rPr>
        <w:t>Acquiring Corporation</w:t>
      </w:r>
      <w:r>
        <w:rPr>
          <w:rFonts w:ascii="Arial" w:cs="Arial" w:eastAsia="Arial" w:hAnsi="Arial"/>
          <w:sz w:val="16"/>
          <w:szCs w:val="16"/>
          <w:color w:val="auto"/>
        </w:rPr>
        <w:t>”), may, without the consent of the Participant, assume or continue the Company’s rights and obligations under any or all outstanding Awards or substitute for any or all outstanding Awards substantially equivalent awards for the Acquiring Corporation’s stock. In the event that the Acquiring Corporation elects not to assume or substitute for outstanding Awards in connection with a Change in Control, or if the Acquiring Corporation is not a “publicly held corporation” within the meaning of Section 162(m) of the Code, the exercisability, vesting and/or settlement of each such outstanding Award and any shares acquired pursuant thereto held by a Participant whose Service has not terminated prior to such date shall be accelerated effective immediately prior to, but conditioned upon, the consummation of the Change in Control or another date determined by the Board, subject to any applicable limitations imposed thereon by Section 409A of the Code. The exercise, vesting and/or settlement of any Award and any shares acquired pursuant thereto that was permissible solely by reason of this Section 11.2 and the provisions of such applicable Award Agreement shall be conditioned upon the consummation of the Change in Control. Any Award or portion thereof which is neither assumed or continued by the Acquiring Corporation in connection with the Change in Control nor exercised or settled as of the time of the Change in Control shall terminate and cease to be outstanding effective as of the time of the Change in Control. Furthermore, notwithstanding the foregoing, if the corporation the stock of which is subject to the outstanding Awards immediately prior to an Ownership Change Event described in Section 11.1(a)(i) constituting a Change in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Board otherwise provides in its discretion.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1" w:name="page102"/>
    <w:bookmarkEnd w:id="101"/>
    <w:p>
      <w:pPr>
        <w:ind w:firstLine="1142"/>
        <w:spacing w:after="0" w:line="253" w:lineRule="auto"/>
        <w:tabs>
          <w:tab w:leader="none" w:pos="1513"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Cash-Out of Outstanding Stock-Based Awards</w:t>
      </w:r>
      <w:r>
        <w:rPr>
          <w:rFonts w:ascii="Arial" w:cs="Arial" w:eastAsia="Arial" w:hAnsi="Arial"/>
          <w:sz w:val="18"/>
          <w:szCs w:val="18"/>
          <w:color w:val="auto"/>
        </w:rPr>
        <w:t>. The Board may, in its sole discretion and without the consent of any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that, upon the occurrence of a Change in Control, each or any Award denominated in shares of Stock outstanding immediately prior to the Change in Control shall be canceled in exchange for a payment with respect to each share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price per share, if any, under such.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as otherwise determined by the Board.</w:t>
      </w:r>
    </w:p>
    <w:p>
      <w:pPr>
        <w:spacing w:after="0" w:line="19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Federal Excise Tax Under Section 4999 of the Code</w:t>
      </w:r>
      <w:r>
        <w:rPr>
          <w:rFonts w:ascii="Arial" w:cs="Arial" w:eastAsia="Arial" w:hAnsi="Arial"/>
          <w:sz w:val="16"/>
          <w:szCs w:val="16"/>
          <w:color w:val="auto"/>
        </w:rPr>
        <w:t>.</w:t>
      </w:r>
    </w:p>
    <w:p>
      <w:pPr>
        <w:spacing w:after="0" w:line="229" w:lineRule="exact"/>
        <w:rPr>
          <w:sz w:val="20"/>
          <w:szCs w:val="20"/>
          <w:color w:val="auto"/>
        </w:rPr>
      </w:pPr>
    </w:p>
    <w:p>
      <w:pPr>
        <w:ind w:right="80" w:firstLine="1142"/>
        <w:spacing w:after="0" w:line="257" w:lineRule="auto"/>
        <w:tabs>
          <w:tab w:leader="none" w:pos="1513"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Excess Parachute Payment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acceleration of vesting pursuant to an Award and any other payment or benefit received or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of the Code, the Participant may elect to reduce the amount of any acceleration of vesting called for under the Award in order to avoid such characterization.</w:t>
      </w:r>
    </w:p>
    <w:p>
      <w:pPr>
        <w:spacing w:after="0" w:line="187" w:lineRule="exact"/>
        <w:rPr>
          <w:rFonts w:ascii="Arial" w:cs="Arial" w:eastAsia="Arial" w:hAnsi="Arial"/>
          <w:sz w:val="18"/>
          <w:szCs w:val="18"/>
          <w:color w:val="auto"/>
        </w:rPr>
      </w:pPr>
    </w:p>
    <w:p>
      <w:pPr>
        <w:ind w:right="200" w:firstLine="1142"/>
        <w:spacing w:after="0" w:line="291" w:lineRule="auto"/>
        <w:tabs>
          <w:tab w:leader="none" w:pos="1524"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Determination by Tax Firm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aid the Participant in making any election called for under Section 11.3(a), no later than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occurrence of any event that might reasonably be anticipated to result in an “excess parachute payment” to the Participant as described in Section</w:t>
      </w: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11.3(a), the Company shall request a determination in writing by the professional firm engaged by the Company for general tax purposes, or, if the tax firm so engaged by the Company is serving as accountant or auditor for the Acquiring Corporation, the Company will appoint a nationally recognized tax firm to make the determinations required by this Section (the “</w:t>
      </w:r>
      <w:r>
        <w:rPr>
          <w:rFonts w:ascii="Arial" w:cs="Arial" w:eastAsia="Arial" w:hAnsi="Arial"/>
          <w:sz w:val="17"/>
          <w:szCs w:val="17"/>
          <w:b w:val="1"/>
          <w:bCs w:val="1"/>
          <w:i w:val="1"/>
          <w:iCs w:val="1"/>
          <w:color w:val="auto"/>
        </w:rPr>
        <w:t>Tax Firm</w:t>
      </w:r>
      <w:r>
        <w:rPr>
          <w:rFonts w:ascii="Arial" w:cs="Arial" w:eastAsia="Arial" w:hAnsi="Arial"/>
          <w:sz w:val="17"/>
          <w:szCs w:val="17"/>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83" w:lineRule="exact"/>
        <w:rPr>
          <w:rFonts w:ascii="Arial" w:cs="Arial" w:eastAsia="Arial" w:hAnsi="Arial"/>
          <w:sz w:val="16"/>
          <w:szCs w:val="16"/>
          <w:color w:val="auto"/>
        </w:rPr>
      </w:pPr>
    </w:p>
    <w:p>
      <w:pPr>
        <w:ind w:left="1520" w:hanging="378"/>
        <w:spacing w:after="0"/>
        <w:tabs>
          <w:tab w:leader="none" w:pos="1520"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No Tax Gross-ups</w:t>
      </w:r>
      <w:r>
        <w:rPr>
          <w:rFonts w:ascii="Arial" w:cs="Arial" w:eastAsia="Arial" w:hAnsi="Arial"/>
          <w:sz w:val="16"/>
          <w:szCs w:val="16"/>
          <w:color w:val="auto"/>
        </w:rPr>
        <w:t>. The Company shall have no obligation to make any tax gross-up payment for any Award granted under the Plan.</w:t>
      </w:r>
    </w:p>
    <w:p>
      <w:pPr>
        <w:spacing w:after="0" w:line="244" w:lineRule="exact"/>
        <w:rPr>
          <w:rFonts w:ascii="Arial" w:cs="Arial" w:eastAsia="Arial" w:hAnsi="Arial"/>
          <w:sz w:val="16"/>
          <w:szCs w:val="16"/>
          <w:color w:val="auto"/>
        </w:rPr>
      </w:pPr>
    </w:p>
    <w:p>
      <w:pPr>
        <w:ind w:left="640" w:hanging="632"/>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rovision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2"/>
          <w:szCs w:val="12"/>
          <w:b w:val="1"/>
          <w:bCs w:val="1"/>
          <w:u w:val="single" w:color="auto"/>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166"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pplicable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aw</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Securities Laws</w:t>
      </w:r>
      <w:r>
        <w:rPr>
          <w:rFonts w:ascii="Arial" w:cs="Arial" w:eastAsia="Arial" w:hAnsi="Arial"/>
          <w:sz w:val="17"/>
          <w:szCs w:val="17"/>
          <w:color w:val="auto"/>
        </w:rPr>
        <w:t>. The grant of Options and the issuance of shares of Stock upon exercise of Options shall be subject to compliance with all applicable requirements of federal, state and foreign law with respect to such securities. Options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no Option may be exercised unless (a) a registration statement under the Securities Act shall at the time of exercise of the Option be in effect with respect to the shares issuable upon exercise of the Option or (b) in the opinion of legal counsel to the Company, the shares issuable upon exercise of the Option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the exercise of any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2" w:name="page103"/>
    <w:bookmarkEnd w:id="102"/>
    <w:p>
      <w:pPr>
        <w:ind w:right="100" w:firstLine="648"/>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Section 409A</w:t>
      </w:r>
      <w:r>
        <w:rPr>
          <w:rFonts w:ascii="Arial" w:cs="Arial" w:eastAsia="Arial" w:hAnsi="Arial"/>
          <w:sz w:val="16"/>
          <w:szCs w:val="16"/>
          <w:color w:val="auto"/>
        </w:rPr>
        <w:t>. The Plan and all Awards are intended to be exempt from or comply with Section 409A of the Code and shall be interpreted and administered accordingly. Unless exempt from Section 409A of the Code, each payment made under the Plan to any Participant is designated as a separate payment. Any payment under the Plan that is subject to Section 409A of the Code and is otherwise due to a “specified employee” within the six-month period after “separation from service,” as each specified term is defined under Section 409A, shall accumulate without interest and be paid on the first payroll date after the end of the six- month period or, if earlier, within ten business days after the appointment of a personal representative or executor of the estate after the Participant’s death. Notwithstanding the foregoing, none of the Participating Company Group, its contractors, agents and employees, the Board and each member of the Board shall have any obligation to prevent, minimize, or pay any gross-up payment to offset any negative tax consequences of any failure to follow the requirements of Section 409A or be liable for these consequences.</w:t>
      </w:r>
    </w:p>
    <w:p>
      <w:pPr>
        <w:spacing w:after="0" w:line="159"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2"/>
          <w:szCs w:val="12"/>
          <w:b w:val="1"/>
          <w:bCs w:val="1"/>
          <w:u w:val="single" w:color="auto"/>
          <w:color w:val="auto"/>
        </w:rPr>
        <w:t>ithholding</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Tax Withholding in General</w:t>
      </w:r>
      <w:r>
        <w:rPr>
          <w:rFonts w:ascii="Arial" w:cs="Arial" w:eastAsia="Arial" w:hAnsi="Arial"/>
          <w:sz w:val="18"/>
          <w:szCs w:val="18"/>
          <w:color w:val="auto"/>
        </w:rPr>
        <w:t>. The Company shall have the right to deduct from any and all payments made under the Plan, or to require the Participant, through payroll withholding, cash payment or otherwise, including by means of a Cashless Exercise of an Option, to make adequate provision for, the federal, state, local and foreign taxes, if any, required by law to be withheld by the Participating Company Group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87"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Withholding in Shares</w:t>
      </w:r>
      <w:r>
        <w:rPr>
          <w:rFonts w:ascii="Arial" w:cs="Arial" w:eastAsia="Arial" w:hAnsi="Arial"/>
          <w:sz w:val="18"/>
          <w:szCs w:val="18"/>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the Participating Company Group. The Fair Market Value of any shares of Stock withheld or tendered to satisfy any such tax withholding obligations shall not exceed the amount determined by the applicable minimum statutory withholding rates.</w:t>
      </w:r>
    </w:p>
    <w:p>
      <w:pPr>
        <w:spacing w:after="0" w:line="183" w:lineRule="exact"/>
        <w:rPr>
          <w:sz w:val="20"/>
          <w:szCs w:val="20"/>
          <w:color w:val="auto"/>
        </w:rPr>
      </w:pPr>
    </w:p>
    <w:p>
      <w:pPr>
        <w:ind w:left="640" w:hanging="632"/>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mendment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4.2),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Option unless expressly provided by the Board. In any event, no termination or amendment of the Plan may adversely affect any then outstanding Option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174"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pproval</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Plan or any increase in the maximum aggregate number of shares of Stock issuable thereunder as provided in Section 4.1 (the “</w:t>
      </w:r>
      <w:r>
        <w:rPr>
          <w:rFonts w:ascii="Arial" w:cs="Arial" w:eastAsia="Arial" w:hAnsi="Arial"/>
          <w:sz w:val="17"/>
          <w:szCs w:val="17"/>
          <w:b w:val="1"/>
          <w:bCs w:val="1"/>
          <w:i w:val="1"/>
          <w:iCs w:val="1"/>
          <w:color w:val="auto"/>
        </w:rPr>
        <w:t>Authorized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be approved by the stockholders of the Company within twelve (12) months of the date of adoption thereof by the Board. Options granted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stockholder approval of the Plan or in excess of the Authorized Shares previously approved by the stockholders shall become exercisable no earlier than the date of stockholder approval of the Plan or such increase in the Authorized Shares, as the case may be.</w:t>
      </w:r>
    </w:p>
    <w:p>
      <w:pPr>
        <w:spacing w:after="0" w:line="167"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Forfeiture Events</w:t>
      </w:r>
      <w:r>
        <w:rPr>
          <w:rFonts w:ascii="Arial" w:cs="Arial" w:eastAsia="Arial" w:hAnsi="Arial"/>
          <w:sz w:val="17"/>
          <w:szCs w:val="17"/>
          <w:color w:val="auto"/>
        </w:rPr>
        <w:t>. The Board may specify in an Award Agreement that a Participant’s rights or payments under an Award shall be reduced or forfeited upon certain events. These events may include, among other things, breach of non-competition, non- solicitation, confidentiality, or other restrictive covenants in the Award Agreement or otherwise applicable to the Participant, a termination of the Participant’s Service for specified causes, or other conduct by the Participant that is detrimental to the business or reputation of the Participating Company Group.</w:t>
      </w:r>
    </w:p>
    <w:p>
      <w:pPr>
        <w:spacing w:after="0" w:line="165"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Fractional Shares</w:t>
      </w:r>
      <w:r>
        <w:rPr>
          <w:rFonts w:ascii="Arial" w:cs="Arial" w:eastAsia="Arial" w:hAnsi="Arial"/>
          <w:sz w:val="18"/>
          <w:szCs w:val="18"/>
          <w:color w:val="auto"/>
        </w:rPr>
        <w:t>. No Award shall be exercisable for fractional shares of Common Stock, nor shall fractional shares be issued under the Plan. The Board may choose to pay cash, additional Awards, or other securities or property instead of fractional shares of Common Stock, or to round off or eliminate fractional shares.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3" w:name="page104"/>
    <w:bookmarkEnd w:id="103"/>
    <w:p>
      <w:pPr>
        <w:ind w:right="160" w:firstLine="648"/>
        <w:spacing w:after="0" w:line="266"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Clawback or Recoupment</w:t>
      </w:r>
      <w:r>
        <w:rPr>
          <w:rFonts w:ascii="Arial" w:cs="Arial" w:eastAsia="Arial" w:hAnsi="Arial"/>
          <w:sz w:val="18"/>
          <w:szCs w:val="18"/>
          <w:color w:val="auto"/>
        </w:rPr>
        <w:t>. Unless otherwise specified in the Award Agreement or determined in the Board’s sole discretion, all Awards, and all shares of Stock or cash payable under each Award, are subject to any clawback or recoupment policy adopted by the Company (including any policy required under the Dodd-Frank Wall Street Reform and Consumer Protection Act or other applicable laws).</w:t>
      </w:r>
    </w:p>
    <w:p>
      <w:pPr>
        <w:spacing w:after="0" w:line="176"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color w:val="auto"/>
        </w:rPr>
        <w:t>Beneficiary Designation</w:t>
      </w:r>
      <w:r>
        <w:rPr>
          <w:rFonts w:ascii="Arial" w:cs="Arial" w:eastAsia="Arial" w:hAnsi="Arial"/>
          <w:sz w:val="16"/>
          <w:szCs w:val="16"/>
          <w:color w:val="auto"/>
        </w:rPr>
        <w:t>. A Participant may designate one or more beneficiaries who may exercise the Participant’s rights under the Plan upon the Participant’s death. Any beneficiary designation shall be in the written form the Company requires, shall revoke all prior designations by the same Participant, and shall be effective when filed with the Company during the Participant’s lifetime. A married Participant who designates a beneficiary other than a spouse may be required by applicable laws to provide the spouse’s consent. If a Participant dies without a properly designated living beneficiary, the Company shall pay any remaining unpaid benefits under the Plan in accordance with the applicable laws of descent and distribution.</w:t>
      </w:r>
    </w:p>
    <w:p>
      <w:pPr>
        <w:spacing w:after="0" w:line="154"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b w:val="1"/>
          <w:bCs w:val="1"/>
          <w:color w:val="auto"/>
        </w:rPr>
        <w:t>Stockholder Rights</w:t>
      </w:r>
      <w:r>
        <w:rPr>
          <w:rFonts w:ascii="Arial" w:cs="Arial" w:eastAsia="Arial" w:hAnsi="Arial"/>
          <w:sz w:val="16"/>
          <w:szCs w:val="16"/>
          <w:color w:val="auto"/>
        </w:rPr>
        <w:t>. Unless applicable laws require or the Board determines, (a) no Participant shall have the rights of a holder of shares of Common Stock subject to an Award unless and until the Participant has been issued shares; and (b) no adjustments shall be made for any dividends (ordinary or extraordinary; whether in cash, shares, or other securities or property) or distributions of other rights for which the record date precedes the date shares are issued, except that the Board may specify in an Award Agreement that a Participant is entitled to dividend-equivalent rights.</w:t>
      </w:r>
    </w:p>
    <w:p>
      <w:pPr>
        <w:spacing w:after="0" w:line="15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Board or another third party selected by the Board. The form of delivery of any Stock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 by the Company.</w:t>
      </w:r>
    </w:p>
    <w:p>
      <w:pPr>
        <w:spacing w:after="0" w:line="187" w:lineRule="exact"/>
        <w:rPr>
          <w:sz w:val="20"/>
          <w:szCs w:val="20"/>
          <w:color w:val="auto"/>
        </w:rPr>
      </w:pPr>
    </w:p>
    <w:p>
      <w:pPr>
        <w:ind w:right="500" w:firstLine="648"/>
        <w:spacing w:after="0" w:line="266"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No Constraint on Corporate Action</w:t>
      </w:r>
      <w:r>
        <w:rPr>
          <w:rFonts w:ascii="Arial" w:cs="Arial" w:eastAsia="Arial" w:hAnsi="Arial"/>
          <w:sz w:val="18"/>
          <w:szCs w:val="18"/>
          <w:color w:val="auto"/>
        </w:rPr>
        <w:t>. Nothing in this Plan affects the Participating Company Group’s right to (a) adjust, reclassify, reorganize, or otherwise change its capital or business structure; (b) merge, consolidate, dissolve, liquidate, sell, or transfer any part of its business or assets; or (c) act as considered necessary or appropriate.</w:t>
      </w:r>
    </w:p>
    <w:p>
      <w:pPr>
        <w:spacing w:after="0" w:line="17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color w:val="auto"/>
        </w:rPr>
        <w:t>No Guarantee of Award or Continued Service</w:t>
      </w:r>
      <w:r>
        <w:rPr>
          <w:rFonts w:ascii="Arial" w:cs="Arial" w:eastAsia="Arial" w:hAnsi="Arial"/>
          <w:sz w:val="18"/>
          <w:szCs w:val="18"/>
          <w:color w:val="auto"/>
        </w:rPr>
        <w:t>. No person eligible to receive an Award under Section 5.1 is guaranteed to receive an Award, and no Participant who receives an Award is guaranteed to receive another. Neither the Plan nor any Award Agreement gives a Participant any right to continued Service with the Participating Company Group or prevents the Participating Company Group from terminating the Participant’s Service at any time, for any or no reason, with or without notice. The grant of an Award to an Employee of a Participating Company shall not be interpreted to mean that the Employee is employed by the Company.</w:t>
      </w:r>
    </w:p>
    <w:p>
      <w:pPr>
        <w:spacing w:after="0" w:line="183"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 xml:space="preserve">17.9 </w:t>
      </w:r>
      <w:r>
        <w:rPr>
          <w:rFonts w:ascii="Arial" w:cs="Arial" w:eastAsia="Arial" w:hAnsi="Arial"/>
          <w:sz w:val="17"/>
          <w:szCs w:val="17"/>
          <w:b w:val="1"/>
          <w:bCs w:val="1"/>
          <w:color w:val="auto"/>
        </w:rPr>
        <w:t>Unfunded Plan</w:t>
      </w:r>
      <w:r>
        <w:rPr>
          <w:rFonts w:ascii="Arial" w:cs="Arial" w:eastAsia="Arial" w:hAnsi="Arial"/>
          <w:sz w:val="17"/>
          <w:szCs w:val="17"/>
          <w:color w:val="auto"/>
        </w:rPr>
        <w:t>. The Plan is unfunded. Neither the Participating Company Group, the Board, nor the Committee shall be required to establish any special or separate fund or to segregate any assets to assure the performance of its obligations under the Plan. Proceeds from the sale of shares of Common Stock pursuant to Awards, or upon exercise or settlement thereof, shall constitute general funds of the Company.</w:t>
      </w:r>
    </w:p>
    <w:p>
      <w:pPr>
        <w:spacing w:after="0" w:line="15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color w:val="auto"/>
        </w:rPr>
        <w:t>Retirement and Welfare Plans</w:t>
      </w:r>
      <w:r>
        <w:rPr>
          <w:rFonts w:ascii="Arial" w:cs="Arial" w:eastAsia="Arial" w:hAnsi="Arial"/>
          <w:sz w:val="18"/>
          <w:szCs w:val="18"/>
          <w:color w:val="auto"/>
        </w:rPr>
        <w:t>. Neither Awards made under this Plan nor shares of Common Stock or cash paid pursuant to such Awards may be included as “compensation” for purposes of computing the benefits payable to any Participant under any Participating Company’s retirement plans (both qualified and non- qualified) or welfare benefit plans, except to the extent such other plan expressly provides that such compensation shall be included in computing a Participant’s benefit.</w:t>
      </w:r>
    </w:p>
    <w:p>
      <w:pPr>
        <w:spacing w:after="0" w:line="180"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b w:val="1"/>
          <w:bCs w:val="1"/>
          <w:color w:val="auto"/>
        </w:rPr>
        <w:t>Severability</w:t>
      </w:r>
      <w:r>
        <w:rPr>
          <w:rFonts w:ascii="Arial" w:cs="Arial" w:eastAsia="Arial" w:hAnsi="Arial"/>
          <w:sz w:val="16"/>
          <w:szCs w:val="16"/>
          <w:color w:val="auto"/>
        </w:rPr>
        <w:t>. To the extent any term of the Plan or any Award Agreement is held wholly or partially invalid, illegal, or unenforceable, that term shall be considered modified to the extent necessary to render the remaining portion of the term and any other term valid, legal, and enforceable.</w:t>
      </w:r>
    </w:p>
    <w:p>
      <w:pPr>
        <w:spacing w:after="0" w:line="11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color w:val="auto"/>
        </w:rPr>
        <w:t>Choice of Law</w:t>
      </w:r>
      <w:r>
        <w:rPr>
          <w:rFonts w:ascii="Arial" w:cs="Arial" w:eastAsia="Arial" w:hAnsi="Arial"/>
          <w:sz w:val="18"/>
          <w:szCs w:val="18"/>
          <w:color w:val="auto"/>
        </w:rPr>
        <w:t>. The Plan is governed by the laws of the State of California, without regard to its conflict-of-law rules, except to the extent U.S. federal law applies.</w:t>
      </w:r>
    </w:p>
    <w:p>
      <w:pPr>
        <w:spacing w:after="0" w:line="16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Appendix C</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2D53A6"/>
        </w:rPr>
        <w:t>Cohu, Inc. 1997 Employee Stock Purchase Plan, as Amended</w:t>
      </w:r>
    </w:p>
    <w:p>
      <w:pPr>
        <w:spacing w:after="0" w:line="214" w:lineRule="exact"/>
        <w:rPr>
          <w:sz w:val="20"/>
          <w:szCs w:val="20"/>
          <w:color w:val="auto"/>
        </w:rPr>
      </w:pPr>
    </w:p>
    <w:p>
      <w:pPr>
        <w:ind w:left="1460" w:hanging="804"/>
        <w:spacing w:after="0"/>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and Purpose</w:t>
      </w:r>
      <w:r>
        <w:rPr>
          <w:rFonts w:ascii="Arial" w:cs="Arial" w:eastAsia="Arial" w:hAnsi="Arial"/>
          <w:sz w:val="18"/>
          <w:szCs w:val="18"/>
          <w:b w:val="1"/>
          <w:bCs w:val="1"/>
          <w:color w:val="auto"/>
        </w:rPr>
        <w:t>.</w:t>
      </w:r>
    </w:p>
    <w:p>
      <w:pPr>
        <w:spacing w:after="0" w:line="225" w:lineRule="exact"/>
        <w:rPr>
          <w:sz w:val="20"/>
          <w:szCs w:val="20"/>
          <w:color w:val="auto"/>
        </w:rPr>
      </w:pPr>
    </w:p>
    <w:p>
      <w:pPr>
        <w:ind w:right="420" w:firstLine="1458"/>
        <w:spacing w:after="0" w:line="31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Establishment.</w:t>
      </w:r>
      <w:r>
        <w:rPr>
          <w:rFonts w:ascii="Arial" w:cs="Arial" w:eastAsia="Arial" w:hAnsi="Arial"/>
          <w:sz w:val="17"/>
          <w:szCs w:val="17"/>
          <w:color w:val="auto"/>
        </w:rPr>
        <w:t xml:space="preserve"> The Cohu, Inc. 1997 Employee Stock Purchase Plan (the “Plan”) was originally established effective as of February 28, 1997 and is hereby most recently amended and restated, subject to stockholder approval, effective as of May 10, 2023.</w:t>
      </w:r>
    </w:p>
    <w:p>
      <w:pPr>
        <w:spacing w:after="0" w:line="140" w:lineRule="exact"/>
        <w:rPr>
          <w:sz w:val="20"/>
          <w:szCs w:val="20"/>
          <w:color w:val="auto"/>
        </w:rPr>
      </w:pPr>
    </w:p>
    <w:p>
      <w:pPr>
        <w:ind w:right="100" w:firstLine="1458"/>
        <w:spacing w:after="0" w:line="31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Purpose.</w:t>
      </w:r>
      <w:r>
        <w:rPr>
          <w:rFonts w:ascii="Arial" w:cs="Arial" w:eastAsia="Arial" w:hAnsi="Arial"/>
          <w:sz w:val="16"/>
          <w:szCs w:val="16"/>
          <w:color w:val="auto"/>
        </w:rPr>
        <w:t xml:space="preserve"> The purpose of the Plan is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spacing w:after="0" w:line="142" w:lineRule="exact"/>
        <w:rPr>
          <w:sz w:val="20"/>
          <w:szCs w:val="20"/>
          <w:color w:val="auto"/>
        </w:rPr>
      </w:pPr>
    </w:p>
    <w:p>
      <w:pPr>
        <w:ind w:left="1460" w:hanging="804"/>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1458"/>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Any term not expressly defined in the Plan but defined for purposes of Section 423 of the Code shall have the same definition herein. Whenever used herein, the following terms shall have their respective meanings set forth below:</w:t>
      </w:r>
    </w:p>
    <w:p>
      <w:pPr>
        <w:spacing w:after="0" w:line="166" w:lineRule="exact"/>
        <w:rPr>
          <w:sz w:val="20"/>
          <w:szCs w:val="20"/>
          <w:color w:val="auto"/>
        </w:rPr>
      </w:pPr>
    </w:p>
    <w:p>
      <w:pPr>
        <w:ind w:right="80" w:firstLine="1466"/>
        <w:spacing w:after="0" w:line="254" w:lineRule="auto"/>
        <w:tabs>
          <w:tab w:leader="none" w:pos="18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If one or more Committees have been appointed by the Board to administer the Plan, “Board” also means such Committee(s). In addition, the Company’s Vice President of Human Resources, or any officer or officers of the Company, to the extent appointed by the Board or the Committee, shall have all of the powers of the Board granted herein, except the power to (i) amend Sections 4 (Shares Subject to Plan), 5 (Eligibility), and 9 (Purchase Price) or otherwise amend the Plan in a manner that requires stockholder approval under applicable law or the rules of any securities exchange or market system on which the Stock is then listed or quoted, (ii) terminate the Plan, or (iii) act beyond specific limits set by the Board or the Committee. Any officer appointed by the Board or the Committee to administer the Plan also is referred to herein as the “Board.”</w:t>
      </w:r>
    </w:p>
    <w:p>
      <w:pPr>
        <w:spacing w:after="0" w:line="194" w:lineRule="exact"/>
        <w:rPr>
          <w:rFonts w:ascii="Arial" w:cs="Arial" w:eastAsia="Arial" w:hAnsi="Arial"/>
          <w:sz w:val="18"/>
          <w:szCs w:val="18"/>
          <w:color w:val="auto"/>
        </w:rPr>
      </w:pPr>
    </w:p>
    <w:p>
      <w:pPr>
        <w:ind w:left="1860" w:hanging="394"/>
        <w:spacing w:after="0"/>
        <w:tabs>
          <w:tab w:leader="none" w:pos="18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and any applicable regulations promulgated thereunder.</w:t>
      </w:r>
    </w:p>
    <w:p>
      <w:pPr>
        <w:spacing w:after="0" w:line="236" w:lineRule="exact"/>
        <w:rPr>
          <w:rFonts w:ascii="Arial" w:cs="Arial" w:eastAsia="Arial" w:hAnsi="Arial"/>
          <w:sz w:val="17"/>
          <w:szCs w:val="17"/>
          <w:color w:val="auto"/>
        </w:rPr>
      </w:pPr>
    </w:p>
    <w:p>
      <w:pPr>
        <w:ind w:firstLine="1466"/>
        <w:spacing w:after="0" w:line="259" w:lineRule="auto"/>
        <w:tabs>
          <w:tab w:leader="none" w:pos="18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“Committee” means a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86" w:lineRule="exact"/>
        <w:rPr>
          <w:rFonts w:ascii="Arial" w:cs="Arial" w:eastAsia="Arial" w:hAnsi="Arial"/>
          <w:sz w:val="18"/>
          <w:szCs w:val="18"/>
          <w:color w:val="auto"/>
        </w:rPr>
      </w:pPr>
    </w:p>
    <w:p>
      <w:pPr>
        <w:ind w:left="1860" w:hanging="394"/>
        <w:spacing w:after="0"/>
        <w:tabs>
          <w:tab w:leader="none" w:pos="1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“Company” means Cohu, Inc., a Delaware corporation, or any successor corporation</w:t>
      </w:r>
    </w:p>
    <w:p>
      <w:pPr>
        <w:spacing w:after="0" w:line="225" w:lineRule="exact"/>
        <w:rPr>
          <w:rFonts w:ascii="Arial" w:cs="Arial" w:eastAsia="Arial" w:hAnsi="Arial"/>
          <w:sz w:val="18"/>
          <w:szCs w:val="18"/>
          <w:color w:val="auto"/>
        </w:rPr>
      </w:pPr>
    </w:p>
    <w:p>
      <w:pPr>
        <w:ind w:firstLine="1466"/>
        <w:spacing w:after="0" w:line="296" w:lineRule="auto"/>
        <w:tabs>
          <w:tab w:leader="none" w:pos="1838"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“Compensation” means, with respect to an Offering Period under the Plan, all amounts paid in cash in the form of base salary and base wages, paid during such Offering Period before deduction for any contributions to any plan maintained by a Participating Company and described in Section 401(k) or Section 125 of the Code. Compensation shall not include cash or non-cash payments of any other amounts, whether consisting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spacing w:after="0" w:line="161" w:lineRule="exact"/>
        <w:rPr>
          <w:rFonts w:ascii="Arial" w:cs="Arial" w:eastAsia="Arial" w:hAnsi="Arial"/>
          <w:sz w:val="16"/>
          <w:szCs w:val="16"/>
          <w:color w:val="auto"/>
        </w:rPr>
      </w:pPr>
    </w:p>
    <w:p>
      <w:pPr>
        <w:ind w:left="1820" w:hanging="354"/>
        <w:spacing w:after="0"/>
        <w:tabs>
          <w:tab w:leader="none" w:pos="1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“Eligible Employee” means an Employee who meets the requirements set forth 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5 for eligibility to participate in the Plan.</w:t>
      </w:r>
    </w:p>
    <w:p>
      <w:pPr>
        <w:spacing w:after="0" w:line="211" w:lineRule="exact"/>
        <w:rPr>
          <w:sz w:val="20"/>
          <w:szCs w:val="20"/>
          <w:color w:val="auto"/>
        </w:rPr>
      </w:pPr>
    </w:p>
    <w:p>
      <w:pPr>
        <w:ind w:right="40" w:firstLine="1466"/>
        <w:spacing w:after="0" w:line="263" w:lineRule="auto"/>
        <w:tabs>
          <w:tab w:leader="none" w:pos="18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means any person treated as an employee (including an officer or a director 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spacing w:after="0" w:line="183" w:lineRule="exact"/>
        <w:rPr>
          <w:rFonts w:ascii="Arial" w:cs="Arial" w:eastAsia="Arial" w:hAnsi="Arial"/>
          <w:sz w:val="18"/>
          <w:szCs w:val="18"/>
          <w:color w:val="auto"/>
        </w:rPr>
      </w:pPr>
    </w:p>
    <w:p>
      <w:pPr>
        <w:ind w:left="1860" w:hanging="394"/>
        <w:spacing w:after="0"/>
        <w:tabs>
          <w:tab w:leader="none" w:pos="1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05" w:name="page106"/>
    <w:bookmarkEnd w:id="105"/>
    <w:p>
      <w:pPr>
        <w:ind w:right="40" w:firstLine="1466"/>
        <w:spacing w:after="0" w:line="267" w:lineRule="auto"/>
        <w:tabs>
          <w:tab w:leader="none" w:pos="1763" w:val="left"/>
        </w:tabs>
        <w:numPr>
          <w:ilvl w:val="0"/>
          <w:numId w:val="89"/>
        </w:numPr>
        <w:rPr>
          <w:rFonts w:ascii="Arial" w:cs="Arial" w:eastAsia="Arial" w:hAnsi="Arial"/>
          <w:sz w:val="17"/>
          <w:szCs w:val="17"/>
          <w:color w:val="auto"/>
        </w:rPr>
      </w:pPr>
      <w:r>
        <w:rPr>
          <w:rFonts w:ascii="Arial" w:cs="Arial" w:eastAsia="Arial" w:hAnsi="Arial"/>
          <w:sz w:val="17"/>
          <w:szCs w:val="17"/>
          <w:color w:val="auto"/>
        </w:rPr>
        <w:t>“Fair Market Value” means, as of any date, if there is then a public market for the Stock, the closing price of a share of Stock (or the mean of the closing bid and asked prices of a share of Stock if the Stock is so reported instead) as reported on the National Association of Securities Dealers Automated Quotation Stock Market (“Nasdaq”) or such other national or regional securities exchange or market system constituting the primary market for the Stock. If the relevant date does not fall on a day on which the Stock is trading on Nasdaq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w:t>
      </w:r>
    </w:p>
    <w:p>
      <w:pPr>
        <w:spacing w:after="0" w:line="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Board without regard to any restriction other than a restriction which, by its terms, will never lapse.</w:t>
      </w:r>
    </w:p>
    <w:p>
      <w:pPr>
        <w:spacing w:after="0" w:line="210" w:lineRule="exact"/>
        <w:rPr>
          <w:rFonts w:ascii="Arial" w:cs="Arial" w:eastAsia="Arial" w:hAnsi="Arial"/>
          <w:sz w:val="17"/>
          <w:szCs w:val="17"/>
          <w:color w:val="auto"/>
        </w:rPr>
      </w:pPr>
    </w:p>
    <w:p>
      <w:pPr>
        <w:ind w:left="1780" w:hanging="314"/>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“Offering” means an offering of Stock as provided in Section 6.</w:t>
      </w:r>
    </w:p>
    <w:p>
      <w:pPr>
        <w:spacing w:after="0" w:line="225" w:lineRule="exact"/>
        <w:rPr>
          <w:rFonts w:ascii="Arial" w:cs="Arial" w:eastAsia="Arial" w:hAnsi="Arial"/>
          <w:sz w:val="18"/>
          <w:szCs w:val="18"/>
          <w:color w:val="auto"/>
        </w:rPr>
      </w:pPr>
    </w:p>
    <w:p>
      <w:pPr>
        <w:ind w:left="1820" w:hanging="354"/>
        <w:spacing w:after="0"/>
        <w:tabs>
          <w:tab w:leader="none" w:pos="1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“Offering Date” means, for any Offering Period, the first day of such Offering Period.</w:t>
      </w:r>
    </w:p>
    <w:p>
      <w:pPr>
        <w:spacing w:after="0" w:line="225" w:lineRule="exact"/>
        <w:rPr>
          <w:rFonts w:ascii="Arial" w:cs="Arial" w:eastAsia="Arial" w:hAnsi="Arial"/>
          <w:sz w:val="18"/>
          <w:szCs w:val="18"/>
          <w:color w:val="auto"/>
        </w:rPr>
      </w:pPr>
    </w:p>
    <w:p>
      <w:pPr>
        <w:ind w:left="1820" w:hanging="354"/>
        <w:spacing w:after="0"/>
        <w:tabs>
          <w:tab w:leader="none" w:pos="1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“Offering Period” means a period determined in accordance with Section 6.1.</w:t>
      </w:r>
    </w:p>
    <w:p>
      <w:pPr>
        <w:spacing w:after="0" w:line="225" w:lineRule="exact"/>
        <w:rPr>
          <w:rFonts w:ascii="Arial" w:cs="Arial" w:eastAsia="Arial" w:hAnsi="Arial"/>
          <w:sz w:val="18"/>
          <w:szCs w:val="18"/>
          <w:color w:val="auto"/>
        </w:rPr>
      </w:pPr>
    </w:p>
    <w:p>
      <w:pPr>
        <w:ind w:left="1820" w:hanging="354"/>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“Parent Corporation” means any present or future “parent corporation” of the Company, as defined in Section 424(e) of the Code.</w:t>
      </w:r>
    </w:p>
    <w:p>
      <w:pPr>
        <w:spacing w:after="0" w:line="248" w:lineRule="exact"/>
        <w:rPr>
          <w:rFonts w:ascii="Arial" w:cs="Arial" w:eastAsia="Arial" w:hAnsi="Arial"/>
          <w:sz w:val="16"/>
          <w:szCs w:val="16"/>
          <w:color w:val="auto"/>
        </w:rPr>
      </w:pPr>
    </w:p>
    <w:p>
      <w:pPr>
        <w:ind w:left="1820" w:hanging="354"/>
        <w:spacing w:after="0"/>
        <w:tabs>
          <w:tab w:leader="none" w:pos="1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means an Eligible Employee participating in the Plan.</w:t>
      </w:r>
    </w:p>
    <w:p>
      <w:pPr>
        <w:spacing w:after="0" w:line="225" w:lineRule="exact"/>
        <w:rPr>
          <w:rFonts w:ascii="Arial" w:cs="Arial" w:eastAsia="Arial" w:hAnsi="Arial"/>
          <w:sz w:val="18"/>
          <w:szCs w:val="18"/>
          <w:color w:val="auto"/>
        </w:rPr>
      </w:pPr>
    </w:p>
    <w:p>
      <w:pPr>
        <w:ind w:right="160" w:firstLine="1466"/>
        <w:spacing w:after="0" w:line="263" w:lineRule="auto"/>
        <w:tabs>
          <w:tab w:leader="none" w:pos="18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“Participating Company” means the Company or any Parent Corporation or Subsidiary Corporation which the Board determines should be included in the Plan. The Board shall have the sole and absolute discretion to determine from time-to-time what Parent Corporations or Subsidiary Corporations shall be Participating Companies.</w:t>
      </w:r>
    </w:p>
    <w:p>
      <w:pPr>
        <w:spacing w:after="0" w:line="183" w:lineRule="exact"/>
        <w:rPr>
          <w:rFonts w:ascii="Arial" w:cs="Arial" w:eastAsia="Arial" w:hAnsi="Arial"/>
          <w:sz w:val="18"/>
          <w:szCs w:val="18"/>
          <w:color w:val="auto"/>
        </w:rPr>
      </w:pPr>
    </w:p>
    <w:p>
      <w:pPr>
        <w:ind w:right="160" w:firstLine="1466"/>
        <w:spacing w:after="0" w:line="277" w:lineRule="auto"/>
        <w:tabs>
          <w:tab w:leader="none" w:pos="18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“Participating Company Group” means, at any point in time, the Company and all other corporations collectively which are then Participating Companies.</w:t>
      </w:r>
    </w:p>
    <w:p>
      <w:pPr>
        <w:spacing w:after="0" w:line="170" w:lineRule="exact"/>
        <w:rPr>
          <w:rFonts w:ascii="Arial" w:cs="Arial" w:eastAsia="Arial" w:hAnsi="Arial"/>
          <w:sz w:val="18"/>
          <w:szCs w:val="18"/>
          <w:color w:val="auto"/>
        </w:rPr>
      </w:pPr>
    </w:p>
    <w:p>
      <w:pPr>
        <w:ind w:left="1820" w:hanging="354"/>
        <w:spacing w:after="0"/>
        <w:tabs>
          <w:tab w:leader="none" w:pos="1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 Date” means, for any Offering Period, the last day of such Offering Period.</w:t>
      </w:r>
    </w:p>
    <w:p>
      <w:pPr>
        <w:spacing w:after="0" w:line="225" w:lineRule="exact"/>
        <w:rPr>
          <w:rFonts w:ascii="Arial" w:cs="Arial" w:eastAsia="Arial" w:hAnsi="Arial"/>
          <w:sz w:val="18"/>
          <w:szCs w:val="18"/>
          <w:color w:val="auto"/>
        </w:rPr>
      </w:pPr>
    </w:p>
    <w:p>
      <w:pPr>
        <w:ind w:left="1820" w:hanging="354"/>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“Purchase Price” means the price at which a share of Stock may be purchased pursuant to the Plan, as determined in accordance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Section 9.</w:t>
      </w:r>
    </w:p>
    <w:p>
      <w:pPr>
        <w:spacing w:after="0" w:line="210" w:lineRule="exact"/>
        <w:rPr>
          <w:rFonts w:ascii="Arial" w:cs="Arial" w:eastAsia="Arial" w:hAnsi="Arial"/>
          <w:sz w:val="16"/>
          <w:szCs w:val="16"/>
          <w:color w:val="auto"/>
        </w:rPr>
      </w:pPr>
    </w:p>
    <w:p>
      <w:pPr>
        <w:ind w:right="20" w:firstLine="1466"/>
        <w:spacing w:after="0" w:line="286" w:lineRule="auto"/>
        <w:tabs>
          <w:tab w:leader="none" w:pos="1828" w:val="left"/>
        </w:tabs>
        <w:numPr>
          <w:ilvl w:val="0"/>
          <w:numId w:val="89"/>
        </w:numPr>
        <w:rPr>
          <w:rFonts w:ascii="Arial" w:cs="Arial" w:eastAsia="Arial" w:hAnsi="Arial"/>
          <w:sz w:val="17"/>
          <w:szCs w:val="17"/>
          <w:color w:val="auto"/>
        </w:rPr>
      </w:pPr>
      <w:r>
        <w:rPr>
          <w:rFonts w:ascii="Arial" w:cs="Arial" w:eastAsia="Arial" w:hAnsi="Arial"/>
          <w:sz w:val="17"/>
          <w:szCs w:val="17"/>
          <w:color w:val="auto"/>
        </w:rPr>
        <w:t>“Purchase Right” means an option pursuant to the Plan to purchase such shares of Stock as 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an Offering Period.</w:t>
      </w:r>
    </w:p>
    <w:p>
      <w:pPr>
        <w:spacing w:after="0" w:line="165" w:lineRule="exact"/>
        <w:rPr>
          <w:rFonts w:ascii="Arial" w:cs="Arial" w:eastAsia="Arial" w:hAnsi="Arial"/>
          <w:sz w:val="17"/>
          <w:szCs w:val="17"/>
          <w:color w:val="auto"/>
        </w:rPr>
      </w:pPr>
    </w:p>
    <w:p>
      <w:pPr>
        <w:ind w:left="1820" w:hanging="354"/>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“Stock” means the common stock, $1.00 par value, of the Company, as adjusted from time to time in accordance with Section 4.2.</w:t>
      </w:r>
    </w:p>
    <w:p>
      <w:pPr>
        <w:spacing w:after="0" w:line="248" w:lineRule="exact"/>
        <w:rPr>
          <w:rFonts w:ascii="Arial" w:cs="Arial" w:eastAsia="Arial" w:hAnsi="Arial"/>
          <w:sz w:val="16"/>
          <w:szCs w:val="16"/>
          <w:color w:val="auto"/>
        </w:rPr>
      </w:pPr>
    </w:p>
    <w:p>
      <w:pPr>
        <w:ind w:left="1820" w:hanging="354"/>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“Subsidiary Corporation” means any present or future “subsidiary corporation” of the Company, as defined in Section 424(f)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1" w:lineRule="exact"/>
        <w:rPr>
          <w:sz w:val="20"/>
          <w:szCs w:val="20"/>
          <w:color w:val="auto"/>
        </w:rPr>
      </w:pPr>
    </w:p>
    <w:p>
      <w:pPr>
        <w:ind w:firstLine="1458"/>
        <w:spacing w:after="0" w:line="263" w:lineRule="auto"/>
        <w:rPr>
          <w:sz w:val="20"/>
          <w:szCs w:val="20"/>
          <w:color w:val="auto"/>
        </w:rPr>
      </w:pPr>
      <w:r>
        <w:rPr>
          <w:rFonts w:ascii="Arial" w:cs="Arial" w:eastAsia="Arial" w:hAnsi="Arial"/>
          <w:sz w:val="18"/>
          <w:szCs w:val="18"/>
          <w:color w:val="auto"/>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spacing w:after="0" w:line="180" w:lineRule="exact"/>
        <w:rPr>
          <w:sz w:val="20"/>
          <w:szCs w:val="20"/>
          <w:color w:val="auto"/>
        </w:rPr>
      </w:pPr>
    </w:p>
    <w:p>
      <w:pPr>
        <w:ind w:right="20" w:firstLine="656"/>
        <w:spacing w:after="0" w:line="254" w:lineRule="auto"/>
        <w:tabs>
          <w:tab w:leader="none" w:pos="1368"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Board, including any duly appointed Committee of the Board or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of the Company. In administering the Plan, the Board may prescribe, amend, and rescind procedural rules and adopt subplans (for some or all Participating Companies, for non-U.S. jurisdictions, and whether or not intended to be an “employee stock purchase plan” under Section 423 of the Code).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423(b)(5) of the Code. All expenses incurred in connection with the administration of the Plan shall be paid by the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6" w:name="page107"/>
    <w:bookmarkEnd w:id="106"/>
    <w:p>
      <w:pPr>
        <w:ind w:left="1460" w:hanging="804"/>
        <w:spacing w:after="0"/>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80" w:firstLine="1458"/>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Maximum Number of Shares Issuable.</w:t>
      </w:r>
      <w:r>
        <w:rPr>
          <w:rFonts w:ascii="Arial" w:cs="Arial" w:eastAsia="Arial" w:hAnsi="Arial"/>
          <w:sz w:val="18"/>
          <w:szCs w:val="18"/>
          <w:color w:val="auto"/>
        </w:rPr>
        <w:t xml:space="preserve"> Subject to adjustment as provided in Section 4.2, the maximum aggregate number of shares of Stock that may be issued under the Plan shall be 3,750,000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spacing w:after="0" w:line="180" w:lineRule="exact"/>
        <w:rPr>
          <w:sz w:val="20"/>
          <w:szCs w:val="20"/>
          <w:color w:val="auto"/>
        </w:rPr>
      </w:pPr>
    </w:p>
    <w:p>
      <w:pPr>
        <w:ind w:right="120" w:firstLine="1458"/>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 xml:space="preserv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 number and class of shares subject to the Plan, to the Per Offering Share Limit set forth in Section 8.1 and to each Purchase Right and to the Purchase Price.</w:t>
      </w:r>
    </w:p>
    <w:p>
      <w:pPr>
        <w:spacing w:after="0" w:line="183" w:lineRule="exact"/>
        <w:rPr>
          <w:sz w:val="20"/>
          <w:szCs w:val="20"/>
          <w:color w:val="auto"/>
        </w:rPr>
      </w:pPr>
    </w:p>
    <w:p>
      <w:pPr>
        <w:ind w:left="1460" w:hanging="678"/>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Employees Eligible to Participate.</w:t>
      </w:r>
      <w:r>
        <w:rPr>
          <w:rFonts w:ascii="Arial" w:cs="Arial" w:eastAsia="Arial" w:hAnsi="Arial"/>
          <w:sz w:val="16"/>
          <w:szCs w:val="16"/>
          <w:color w:val="auto"/>
        </w:rPr>
        <w:t xml:space="preserve"> Any Employee of a Participating Company is eligible to participate in the Plan except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940" w:hanging="474"/>
        <w:spacing w:after="0"/>
        <w:tabs>
          <w:tab w:leader="none" w:pos="19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Employees who are customarily employed by the Participating Company Group for twenty (20) hours or less per week;</w:t>
      </w:r>
    </w:p>
    <w:p>
      <w:pPr>
        <w:spacing w:after="0" w:line="236" w:lineRule="exact"/>
        <w:rPr>
          <w:rFonts w:ascii="Arial" w:cs="Arial" w:eastAsia="Arial" w:hAnsi="Arial"/>
          <w:sz w:val="17"/>
          <w:szCs w:val="17"/>
          <w:color w:val="auto"/>
        </w:rPr>
      </w:pPr>
    </w:p>
    <w:p>
      <w:pPr>
        <w:ind w:left="1940" w:hanging="474"/>
        <w:spacing w:after="0"/>
        <w:tabs>
          <w:tab w:leader="none" w:pos="19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Employees who are customarily employed by the Participating Company Group for not more than five (5) months in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calendar year; and</w:t>
      </w:r>
    </w:p>
    <w:p>
      <w:pPr>
        <w:spacing w:after="0" w:line="211" w:lineRule="exact"/>
        <w:rPr>
          <w:sz w:val="20"/>
          <w:szCs w:val="20"/>
          <w:color w:val="auto"/>
        </w:rPr>
      </w:pPr>
    </w:p>
    <w:p>
      <w:pPr>
        <w:ind w:firstLine="1466"/>
        <w:spacing w:after="0" w:line="255" w:lineRule="auto"/>
        <w:tabs>
          <w:tab w:leader="none" w:pos="19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Employees who own or hold options to purchase or who, as a result of participation in the Plan, would own or hold options to purchase, stock of the Company or of any Parent Corporation or Subsidiary Corporation possessing five percent (5%) or more of the total combined voting power or value of</w:t>
      </w:r>
    </w:p>
    <w:p>
      <w:pPr>
        <w:spacing w:after="0" w:line="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all classes of stock of such corporation within the meaning of Section 423(b)(3) of the Code.</w:t>
      </w:r>
    </w:p>
    <w:p>
      <w:pPr>
        <w:spacing w:after="0" w:line="207" w:lineRule="exact"/>
        <w:rPr>
          <w:sz w:val="20"/>
          <w:szCs w:val="20"/>
          <w:color w:val="auto"/>
        </w:rPr>
      </w:pPr>
    </w:p>
    <w:p>
      <w:pPr>
        <w:jc w:val="both"/>
        <w:ind w:right="520" w:firstLine="1458"/>
        <w:spacing w:after="0" w:line="34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Leased Employees Excluded.</w:t>
      </w:r>
      <w:r>
        <w:rPr>
          <w:rFonts w:ascii="Arial" w:cs="Arial" w:eastAsia="Arial" w:hAnsi="Arial"/>
          <w:sz w:val="16"/>
          <w:szCs w:val="16"/>
          <w:color w:val="auto"/>
        </w:rPr>
        <w:t xml:space="preserve"> Notwithstanding anything herein to the contrary, any individual performing services for a Participating Company solely through a leasing agency or employment agency shall not be deemed an “Employee” of such Participating Company.</w:t>
      </w:r>
    </w:p>
    <w:p>
      <w:pPr>
        <w:spacing w:after="0" w:line="116" w:lineRule="exact"/>
        <w:rPr>
          <w:sz w:val="20"/>
          <w:szCs w:val="20"/>
          <w:color w:val="auto"/>
        </w:rPr>
      </w:pPr>
    </w:p>
    <w:p>
      <w:pPr>
        <w:ind w:left="1420" w:hanging="638"/>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1458"/>
        <w:spacing w:after="0" w:line="271" w:lineRule="auto"/>
        <w:rPr>
          <w:sz w:val="20"/>
          <w:szCs w:val="20"/>
          <w:color w:val="auto"/>
        </w:rPr>
      </w:pPr>
      <w:r>
        <w:rPr>
          <w:rFonts w:ascii="Arial" w:cs="Arial" w:eastAsia="Arial" w:hAnsi="Arial"/>
          <w:sz w:val="17"/>
          <w:szCs w:val="17"/>
          <w:color w:val="auto"/>
        </w:rPr>
        <w:t>6.1 Offering Periods. Except as otherwise set forth below, the Plan shall be implemented by sequential Offerings of six (6) months’ duration (an “Offering Period”).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spacing w:after="0" w:line="174" w:lineRule="exact"/>
        <w:rPr>
          <w:sz w:val="20"/>
          <w:szCs w:val="20"/>
          <w:color w:val="auto"/>
        </w:rPr>
      </w:pPr>
    </w:p>
    <w:p>
      <w:pPr>
        <w:ind w:right="40" w:firstLine="1458"/>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Governmental Approval;</w:t>
      </w:r>
      <w:r>
        <w:rPr>
          <w:rFonts w:ascii="Arial" w:cs="Arial" w:eastAsia="Arial" w:hAnsi="Arial"/>
          <w:sz w:val="18"/>
          <w:szCs w:val="18"/>
          <w:color w:val="auto"/>
        </w:rPr>
        <w:t xml:space="preserve">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 (b) obtaining stockholder approval of the Plan.</w:t>
      </w:r>
    </w:p>
    <w:p>
      <w:pPr>
        <w:spacing w:after="0" w:line="176" w:lineRule="exact"/>
        <w:rPr>
          <w:sz w:val="20"/>
          <w:szCs w:val="20"/>
          <w:color w:val="auto"/>
        </w:rPr>
      </w:pPr>
    </w:p>
    <w:p>
      <w:pPr>
        <w:ind w:left="1420" w:hanging="638"/>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in the Plan</w:t>
      </w:r>
      <w:r>
        <w:rPr>
          <w:rFonts w:ascii="Arial" w:cs="Arial" w:eastAsia="Arial" w:hAnsi="Arial"/>
          <w:sz w:val="18"/>
          <w:szCs w:val="18"/>
          <w:b w:val="1"/>
          <w:bCs w:val="1"/>
          <w:color w:val="auto"/>
        </w:rPr>
        <w:t>.</w:t>
      </w:r>
    </w:p>
    <w:p>
      <w:pPr>
        <w:spacing w:after="0" w:line="225" w:lineRule="exact"/>
        <w:rPr>
          <w:sz w:val="20"/>
          <w:szCs w:val="20"/>
          <w:color w:val="auto"/>
        </w:rPr>
      </w:pPr>
    </w:p>
    <w:p>
      <w:pPr>
        <w:ind w:firstLine="1458"/>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Initial Participation.</w:t>
      </w:r>
      <w:r>
        <w:rPr>
          <w:rFonts w:ascii="Arial" w:cs="Arial" w:eastAsia="Arial" w:hAnsi="Arial"/>
          <w:sz w:val="18"/>
          <w:szCs w:val="18"/>
          <w:color w:val="auto"/>
        </w:rPr>
        <w:t xml:space="preserve">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“Subscription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07" w:name="page108"/>
    <w:bookmarkEnd w:id="107"/>
    <w:p>
      <w:pPr>
        <w:ind w:right="20" w:firstLine="1458"/>
        <w:spacing w:after="0" w:line="25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Continued Participation.</w:t>
      </w:r>
      <w:r>
        <w:rPr>
          <w:rFonts w:ascii="Arial" w:cs="Arial" w:eastAsia="Arial" w:hAnsi="Arial"/>
          <w:sz w:val="18"/>
          <w:szCs w:val="18"/>
          <w:color w:val="auto"/>
        </w:rPr>
        <w:t xml:space="preserve">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spacing w:after="0" w:line="187" w:lineRule="exact"/>
        <w:rPr>
          <w:sz w:val="20"/>
          <w:szCs w:val="20"/>
          <w:color w:val="auto"/>
        </w:rPr>
      </w:pPr>
    </w:p>
    <w:p>
      <w:pPr>
        <w:ind w:right="440" w:firstLine="818"/>
        <w:spacing w:after="0" w:line="266" w:lineRule="auto"/>
        <w:tabs>
          <w:tab w:leader="none" w:pos="144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Purchase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below, during an Offering Period each Participant shall have a Purchase Right</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the right to purchase up to 3,000 shares (the “Per Offering Share Limit”). Shares of Stock may only be purchased through a Participant’s payroll deductions pursuant to Section 10.</w:t>
      </w:r>
    </w:p>
    <w:p>
      <w:pPr>
        <w:spacing w:after="0" w:line="175" w:lineRule="exact"/>
        <w:rPr>
          <w:rFonts w:ascii="Arial" w:cs="Arial" w:eastAsia="Arial" w:hAnsi="Arial"/>
          <w:sz w:val="18"/>
          <w:szCs w:val="18"/>
          <w:color w:val="auto"/>
        </w:rPr>
      </w:pPr>
    </w:p>
    <w:p>
      <w:pPr>
        <w:ind w:right="140" w:firstLine="818"/>
        <w:spacing w:after="0" w:line="292" w:lineRule="auto"/>
        <w:tabs>
          <w:tab w:leader="none" w:pos="1440"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Price at which each share of Stock may be acquired in a given Offering Period pursuant to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any portion of a Purchase Right granted under the Plan shall be set by the Board; provided, however, that the Purchase Price shall not be less than eighty five percent (85%) of the lesser of (a) the Fair Market Value of 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 five percent (85%) of the lesser of (a) the Fair Market Value of a share of Stock on the Offering Date of the Offering Period, or (b) the Fair Market Value of a share of Stock on the Purchase Date of the Offering Period. Notwithstanding anything in the Plan to the contrary, the Purchase Price per share of Stock shall in no event be less than par value.</w:t>
      </w:r>
    </w:p>
    <w:p>
      <w:pPr>
        <w:spacing w:after="0" w:line="161" w:lineRule="exact"/>
        <w:rPr>
          <w:rFonts w:ascii="Arial" w:cs="Arial" w:eastAsia="Arial" w:hAnsi="Arial"/>
          <w:sz w:val="16"/>
          <w:szCs w:val="16"/>
          <w:color w:val="auto"/>
        </w:rPr>
      </w:pPr>
    </w:p>
    <w:p>
      <w:pPr>
        <w:ind w:right="140" w:firstLine="818"/>
        <w:spacing w:after="0" w:line="261" w:lineRule="auto"/>
        <w:tabs>
          <w:tab w:leader="none" w:pos="1485"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Accumulation of Purchase Price through Payroll Deduction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Stock which are acquired pursuant to the exercise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spacing w:after="0" w:line="180" w:lineRule="exact"/>
        <w:rPr>
          <w:sz w:val="20"/>
          <w:szCs w:val="20"/>
          <w:color w:val="auto"/>
        </w:rPr>
      </w:pPr>
    </w:p>
    <w:p>
      <w:pPr>
        <w:ind w:right="280" w:firstLine="1458"/>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Commencement of Payroll Deductions.</w:t>
      </w:r>
      <w:r>
        <w:rPr>
          <w:rFonts w:ascii="Arial" w:cs="Arial" w:eastAsia="Arial" w:hAnsi="Arial"/>
          <w:sz w:val="18"/>
          <w:szCs w:val="18"/>
          <w:color w:val="auto"/>
        </w:rPr>
        <w:t xml:space="preserve"> Payroll deductions shall commence on the first payday following the Offering Date and shall continue to the end of the Offering Period unless sooner altered or terminated as provided in the Plan.</w:t>
      </w:r>
    </w:p>
    <w:p>
      <w:pPr>
        <w:spacing w:after="0" w:line="162" w:lineRule="exact"/>
        <w:rPr>
          <w:sz w:val="20"/>
          <w:szCs w:val="20"/>
          <w:color w:val="auto"/>
        </w:rPr>
      </w:pPr>
    </w:p>
    <w:p>
      <w:pPr>
        <w:ind w:firstLine="145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Limitations on Payroll Deductions.</w:t>
      </w:r>
      <w:r>
        <w:rPr>
          <w:rFonts w:ascii="Arial" w:cs="Arial" w:eastAsia="Arial" w:hAnsi="Arial"/>
          <w:sz w:val="18"/>
          <w:szCs w:val="18"/>
          <w:color w:val="auto"/>
        </w:rPr>
        <w:t xml:space="preserve">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spacing w:after="0" w:line="183" w:lineRule="exact"/>
        <w:rPr>
          <w:sz w:val="20"/>
          <w:szCs w:val="20"/>
          <w:color w:val="auto"/>
        </w:rPr>
      </w:pPr>
    </w:p>
    <w:p>
      <w:pPr>
        <w:ind w:right="180" w:firstLine="1458"/>
        <w:spacing w:after="0" w:line="281"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Election to Increase, Decrease or Stop Payroll Deductions.</w:t>
      </w:r>
      <w:r>
        <w:rPr>
          <w:rFonts w:ascii="Arial" w:cs="Arial" w:eastAsia="Arial" w:hAnsi="Arial"/>
          <w:sz w:val="17"/>
          <w:szCs w:val="17"/>
          <w:color w:val="auto"/>
        </w:rPr>
        <w:t xml:space="preserve">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spacing w:after="0" w:line="165" w:lineRule="exact"/>
        <w:rPr>
          <w:sz w:val="20"/>
          <w:szCs w:val="20"/>
          <w:color w:val="auto"/>
        </w:rPr>
      </w:pPr>
    </w:p>
    <w:p>
      <w:pPr>
        <w:ind w:right="20" w:firstLine="1458"/>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Participant Accounts.</w:t>
      </w:r>
      <w:r>
        <w:rPr>
          <w:rFonts w:ascii="Arial" w:cs="Arial" w:eastAsia="Arial" w:hAnsi="Arial"/>
          <w:sz w:val="18"/>
          <w:szCs w:val="18"/>
          <w:color w:val="auto"/>
        </w:rPr>
        <w:t xml:space="preserve">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spacing w:after="0" w:line="17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color w:val="auto"/>
        </w:rPr>
        <w:t>No Interest Paid.</w:t>
      </w:r>
      <w:r>
        <w:rPr>
          <w:rFonts w:ascii="Arial" w:cs="Arial" w:eastAsia="Arial" w:hAnsi="Arial"/>
          <w:sz w:val="17"/>
          <w:szCs w:val="17"/>
          <w:color w:val="auto"/>
        </w:rPr>
        <w:t xml:space="preserve"> Interest shall not be paid on sums deducted from a Participant’s Compensation pursuant to the Plan.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ind w:right="120" w:firstLine="1458"/>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Company Established Procedures.</w:t>
      </w:r>
      <w:r>
        <w:rPr>
          <w:rFonts w:ascii="Arial" w:cs="Arial" w:eastAsia="Arial" w:hAnsi="Arial"/>
          <w:sz w:val="18"/>
          <w:szCs w:val="18"/>
          <w:color w:val="auto"/>
        </w:rPr>
        <w:t xml:space="preserve">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 Participant in order to adjust for delays or mistakes in the Company’s processing of subscription agreements, (e) the date(s) and manner by which the Fair Market Value of a share of Stock is determined for purposes of administration of the Plan, or (f) such other limitations or procedures as deemed advisable by the Company in the Company’s sole discretion which are consistent with the Plan and in accordance with the requirements of Section 423 of the Code.</w:t>
      </w:r>
    </w:p>
    <w:p>
      <w:pPr>
        <w:spacing w:after="0" w:line="189" w:lineRule="exact"/>
        <w:rPr>
          <w:sz w:val="20"/>
          <w:szCs w:val="20"/>
          <w:color w:val="auto"/>
        </w:rPr>
      </w:pPr>
    </w:p>
    <w:p>
      <w:pPr>
        <w:ind w:left="1420" w:hanging="620"/>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1458"/>
        <w:spacing w:after="0" w:line="29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Exercise of Purchase Right.</w:t>
      </w:r>
      <w:r>
        <w:rPr>
          <w:rFonts w:ascii="Arial" w:cs="Arial" w:eastAsia="Arial" w:hAnsi="Arial"/>
          <w:sz w:val="16"/>
          <w:szCs w:val="16"/>
          <w:color w:val="auto"/>
        </w:rPr>
        <w:t xml:space="preserve">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or the pro rata allocation under Section 12.2. No shares of Stock shall be purchased on a Purchase Date on behalf of a Participant whose participation in the Offering or the Plan has terminated on or before such Purchase Date.</w:t>
      </w:r>
    </w:p>
    <w:p>
      <w:pPr>
        <w:spacing w:after="0" w:line="160" w:lineRule="exact"/>
        <w:rPr>
          <w:sz w:val="20"/>
          <w:szCs w:val="20"/>
          <w:color w:val="auto"/>
        </w:rPr>
      </w:pPr>
    </w:p>
    <w:p>
      <w:pPr>
        <w:ind w:right="20" w:firstLine="1458"/>
        <w:spacing w:after="0" w:line="28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Return of Cash Balance.</w:t>
      </w:r>
      <w:r>
        <w:rPr>
          <w:rFonts w:ascii="Arial" w:cs="Arial" w:eastAsia="Arial" w:hAnsi="Arial"/>
          <w:sz w:val="17"/>
          <w:szCs w:val="17"/>
          <w:color w:val="auto"/>
        </w:rPr>
        <w:t xml:space="preserv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spacing w:after="0" w:line="165" w:lineRule="exact"/>
        <w:rPr>
          <w:sz w:val="20"/>
          <w:szCs w:val="20"/>
          <w:color w:val="auto"/>
        </w:rPr>
      </w:pPr>
    </w:p>
    <w:p>
      <w:pPr>
        <w:ind w:firstLine="1458"/>
        <w:spacing w:after="0" w:line="25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Tax Withholding.</w:t>
      </w:r>
      <w:r>
        <w:rPr>
          <w:rFonts w:ascii="Arial" w:cs="Arial" w:eastAsia="Arial" w:hAnsi="Arial"/>
          <w:sz w:val="18"/>
          <w:szCs w:val="18"/>
          <w:color w:val="auto"/>
        </w:rPr>
        <w:t xml:space="preserve">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83" w:lineRule="exact"/>
        <w:rPr>
          <w:sz w:val="20"/>
          <w:szCs w:val="20"/>
          <w:color w:val="auto"/>
        </w:rPr>
      </w:pPr>
    </w:p>
    <w:p>
      <w:pPr>
        <w:ind w:left="120" w:firstLine="1296"/>
        <w:spacing w:after="0" w:line="28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Expiration of Purchase Right.</w:t>
      </w:r>
      <w:r>
        <w:rPr>
          <w:rFonts w:ascii="Arial" w:cs="Arial" w:eastAsia="Arial" w:hAnsi="Arial"/>
          <w:sz w:val="18"/>
          <w:szCs w:val="18"/>
          <w:color w:val="auto"/>
        </w:rPr>
        <w:t xml:space="preserve"> Any portion of a Participant’s Purchase Right remaining unexercised after the end of the Offering Period to which such Purchase Right relates shall expire immediately upon the end of such Offering Period.</w:t>
      </w:r>
    </w:p>
    <w:p>
      <w:pPr>
        <w:spacing w:after="0" w:line="162" w:lineRule="exact"/>
        <w:rPr>
          <w:sz w:val="20"/>
          <w:szCs w:val="20"/>
          <w:color w:val="auto"/>
        </w:rPr>
      </w:pPr>
    </w:p>
    <w:p>
      <w:pPr>
        <w:ind w:left="1420" w:hanging="638"/>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Purchase of Shares; Rights as a Stockholder</w:t>
      </w:r>
      <w:r>
        <w:rPr>
          <w:rFonts w:ascii="Arial" w:cs="Arial" w:eastAsia="Arial" w:hAnsi="Arial"/>
          <w:sz w:val="18"/>
          <w:szCs w:val="18"/>
          <w:b w:val="1"/>
          <w:bCs w:val="1"/>
          <w:color w:val="auto"/>
        </w:rPr>
        <w:t>.</w:t>
      </w:r>
    </w:p>
    <w:p>
      <w:pPr>
        <w:spacing w:after="0" w:line="225" w:lineRule="exact"/>
        <w:rPr>
          <w:sz w:val="20"/>
          <w:szCs w:val="20"/>
          <w:color w:val="auto"/>
        </w:rPr>
      </w:pPr>
    </w:p>
    <w:p>
      <w:pPr>
        <w:ind w:right="180" w:firstLine="1458"/>
        <w:spacing w:after="0" w:line="29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Fair Market Value Limitation.</w:t>
      </w:r>
      <w:r>
        <w:rPr>
          <w:rFonts w:ascii="Arial" w:cs="Arial" w:eastAsia="Arial" w:hAnsi="Arial"/>
          <w:sz w:val="16"/>
          <w:szCs w:val="16"/>
          <w:color w:val="auto"/>
        </w:rPr>
        <w:t xml:space="preserve"> 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spacing w:after="0" w:line="154" w:lineRule="exact"/>
        <w:rPr>
          <w:sz w:val="20"/>
          <w:szCs w:val="20"/>
          <w:color w:val="auto"/>
        </w:rPr>
      </w:pPr>
    </w:p>
    <w:p>
      <w:pPr>
        <w:ind w:right="140" w:firstLine="1458"/>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Pro Rata Allocation.</w:t>
      </w:r>
      <w:r>
        <w:rPr>
          <w:rFonts w:ascii="Arial" w:cs="Arial" w:eastAsia="Arial" w:hAnsi="Arial"/>
          <w:sz w:val="18"/>
          <w:szCs w:val="18"/>
          <w:color w:val="auto"/>
        </w:rPr>
        <w:t xml:space="preserve">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 Any fractional share of Stock remaining from a pro rata allocation under this Section shall be disregarded.</w:t>
      </w:r>
    </w:p>
    <w:p>
      <w:pPr>
        <w:spacing w:after="0" w:line="180" w:lineRule="exact"/>
        <w:rPr>
          <w:sz w:val="20"/>
          <w:szCs w:val="20"/>
          <w:color w:val="auto"/>
        </w:rPr>
      </w:pPr>
    </w:p>
    <w:p>
      <w:pPr>
        <w:ind w:right="80" w:firstLine="1458"/>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Rights as a Stockholder and Employee.</w:t>
      </w:r>
      <w:r>
        <w:rPr>
          <w:rFonts w:ascii="Arial" w:cs="Arial" w:eastAsia="Arial" w:hAnsi="Arial"/>
          <w:sz w:val="17"/>
          <w:szCs w:val="17"/>
          <w:color w:val="auto"/>
        </w:rPr>
        <w:t xml:space="preserve"> A Participant shall have no rights as a stockholder by virtue of the Participant’s participation in the Plan until the date of the 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 Nothing in this Plan affects the Participating Company Group’s right to (a) adjust, reclassify, reorganize, or otherwise change its capital or business structure; (b) merge, consolidate, dissolve, liquidate, sell, or transfer any part of its business or assets; or (c) act as considered necessary or appropriate.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9" w:name="page110"/>
    <w:bookmarkEnd w:id="109"/>
    <w:p>
      <w:pPr>
        <w:ind w:left="1440" w:hanging="622"/>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Withdrawal</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1458"/>
        <w:spacing w:after="0" w:line="274"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Withdrawal From an Offering.</w:t>
      </w:r>
      <w:r>
        <w:rPr>
          <w:rFonts w:ascii="Arial" w:cs="Arial" w:eastAsia="Arial" w:hAnsi="Arial"/>
          <w:sz w:val="17"/>
          <w:szCs w:val="17"/>
          <w:color w:val="auto"/>
        </w:rPr>
        <w:t xml:space="preserve"> 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spacing w:after="0" w:line="173" w:lineRule="exact"/>
        <w:rPr>
          <w:sz w:val="20"/>
          <w:szCs w:val="20"/>
          <w:color w:val="auto"/>
        </w:rPr>
      </w:pPr>
    </w:p>
    <w:p>
      <w:pPr>
        <w:ind w:right="100" w:firstLine="1458"/>
        <w:spacing w:after="0" w:line="25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Withdrawal from the Plan.</w:t>
      </w:r>
      <w:r>
        <w:rPr>
          <w:rFonts w:ascii="Arial" w:cs="Arial" w:eastAsia="Arial" w:hAnsi="Arial"/>
          <w:sz w:val="18"/>
          <w:szCs w:val="18"/>
          <w:color w:val="auto"/>
        </w:rPr>
        <w:t xml:space="preserve">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spacing w:after="0" w:line="189" w:lineRule="exact"/>
        <w:rPr>
          <w:sz w:val="20"/>
          <w:szCs w:val="20"/>
          <w:color w:val="auto"/>
        </w:rPr>
      </w:pPr>
    </w:p>
    <w:p>
      <w:pPr>
        <w:ind w:firstLine="1458"/>
        <w:spacing w:after="0" w:line="281"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Return of Payroll Deductions.</w:t>
      </w:r>
      <w:r>
        <w:rPr>
          <w:rFonts w:ascii="Arial" w:cs="Arial" w:eastAsia="Arial" w:hAnsi="Arial"/>
          <w:sz w:val="17"/>
          <w:szCs w:val="17"/>
          <w:color w:val="auto"/>
        </w:rPr>
        <w:t xml:space="preserve">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spacing w:after="0" w:line="165" w:lineRule="exact"/>
        <w:rPr>
          <w:sz w:val="20"/>
          <w:szCs w:val="20"/>
          <w:color w:val="auto"/>
        </w:rPr>
      </w:pPr>
    </w:p>
    <w:p>
      <w:pPr>
        <w:ind w:right="80" w:firstLine="818"/>
        <w:spacing w:after="0" w:line="294" w:lineRule="auto"/>
        <w:tabs>
          <w:tab w:leader="none" w:pos="1440" w:val="left"/>
        </w:tabs>
        <w:numPr>
          <w:ilvl w:val="2"/>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or Eligibility. </w:t>
      </w:r>
      <w:r>
        <w:rPr>
          <w:rFonts w:ascii="Arial" w:cs="Arial" w:eastAsia="Arial" w:hAnsi="Arial"/>
          <w:sz w:val="16"/>
          <w:szCs w:val="16"/>
          <w:color w:val="auto"/>
        </w:rPr>
        <w:t>Termination of a Participant’s employment with a Participating Company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spacing w:after="0" w:line="159" w:lineRule="exact"/>
        <w:rPr>
          <w:rFonts w:ascii="Arial" w:cs="Arial" w:eastAsia="Arial" w:hAnsi="Arial"/>
          <w:sz w:val="16"/>
          <w:szCs w:val="16"/>
          <w:color w:val="auto"/>
        </w:rPr>
      </w:pPr>
    </w:p>
    <w:p>
      <w:pPr>
        <w:ind w:left="1420" w:hanging="638"/>
        <w:spacing w:after="0"/>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Control</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15.1</w:t>
      </w:r>
      <w:r>
        <w:rPr>
          <w:rFonts w:ascii="Arial" w:cs="Arial" w:eastAsia="Arial" w:hAnsi="Arial"/>
          <w:sz w:val="16"/>
          <w:szCs w:val="16"/>
          <w:b w:val="1"/>
          <w:bCs w:val="1"/>
          <w:color w:val="auto"/>
        </w:rPr>
        <w:t>Definitions.</w:t>
      </w:r>
    </w:p>
    <w:p>
      <w:pPr>
        <w:spacing w:after="0" w:line="229" w:lineRule="exact"/>
        <w:rPr>
          <w:rFonts w:ascii="Arial" w:cs="Arial" w:eastAsia="Arial" w:hAnsi="Arial"/>
          <w:sz w:val="18"/>
          <w:szCs w:val="18"/>
          <w:color w:val="auto"/>
        </w:rPr>
      </w:pPr>
    </w:p>
    <w:p>
      <w:pPr>
        <w:ind w:left="2060" w:hanging="594"/>
        <w:spacing w:after="0"/>
        <w:tabs>
          <w:tab w:leader="none" w:pos="2060" w:val="left"/>
        </w:tabs>
        <w:numPr>
          <w:ilvl w:val="3"/>
          <w:numId w:val="102"/>
        </w:numPr>
        <w:rPr>
          <w:rFonts w:ascii="Arial" w:cs="Arial" w:eastAsia="Arial" w:hAnsi="Arial"/>
          <w:sz w:val="16"/>
          <w:szCs w:val="16"/>
          <w:color w:val="auto"/>
        </w:rPr>
      </w:pPr>
      <w:r>
        <w:rPr>
          <w:rFonts w:ascii="Arial" w:cs="Arial" w:eastAsia="Arial" w:hAnsi="Arial"/>
          <w:sz w:val="16"/>
          <w:szCs w:val="16"/>
          <w:color w:val="auto"/>
        </w:rPr>
        <w:t>An “Ownership Change Event” shall be deemed to have occurred if any of the following occurs with respect to the Company:</w:t>
      </w:r>
    </w:p>
    <w:p>
      <w:pPr>
        <w:spacing w:after="0" w:line="46" w:lineRule="exact"/>
        <w:rPr>
          <w:rFonts w:ascii="Arial" w:cs="Arial" w:eastAsia="Arial" w:hAnsi="Arial"/>
          <w:sz w:val="16"/>
          <w:szCs w:val="16"/>
          <w:color w:val="auto"/>
        </w:rPr>
      </w:pPr>
    </w:p>
    <w:p>
      <w:pPr>
        <w:ind w:firstLine="8"/>
        <w:spacing w:after="0" w:line="255" w:lineRule="auto"/>
        <w:tabs>
          <w:tab w:leader="none" w:pos="2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189" w:lineRule="exact"/>
        <w:rPr>
          <w:rFonts w:ascii="Arial" w:cs="Arial" w:eastAsia="Arial" w:hAnsi="Arial"/>
          <w:sz w:val="18"/>
          <w:szCs w:val="18"/>
          <w:color w:val="auto"/>
        </w:rPr>
      </w:pPr>
    </w:p>
    <w:p>
      <w:pPr>
        <w:ind w:right="40" w:firstLine="1466"/>
        <w:spacing w:after="0" w:line="270" w:lineRule="auto"/>
        <w:tabs>
          <w:tab w:leader="none" w:pos="2063" w:val="left"/>
        </w:tabs>
        <w:numPr>
          <w:ilvl w:val="3"/>
          <w:numId w:val="103"/>
        </w:numPr>
        <w:rPr>
          <w:rFonts w:ascii="Arial" w:cs="Arial" w:eastAsia="Arial" w:hAnsi="Arial"/>
          <w:sz w:val="17"/>
          <w:szCs w:val="17"/>
          <w:color w:val="auto"/>
        </w:rPr>
      </w:pPr>
      <w:r>
        <w:rPr>
          <w:rFonts w:ascii="Arial" w:cs="Arial" w:eastAsia="Arial" w:hAnsi="Arial"/>
          <w:sz w:val="17"/>
          <w:szCs w:val="17"/>
          <w:color w:val="auto"/>
        </w:rPr>
        <w:t>A “Transfer of Control” shall mean an Ownership Change Event or a series of related Ownership Change Events (collectively, the “Transaction”)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“Transferee 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0" w:name="page111"/>
    <w:bookmarkEnd w:id="110"/>
    <w:p>
      <w:pPr>
        <w:ind w:firstLine="1458"/>
        <w:spacing w:after="0" w:line="28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color w:val="auto"/>
        </w:rPr>
        <w:t>Effect of Transfer of Control on Purchase Rights.</w:t>
      </w:r>
      <w:r>
        <w:rPr>
          <w:rFonts w:ascii="Arial" w:cs="Arial" w:eastAsia="Arial" w:hAnsi="Arial"/>
          <w:sz w:val="16"/>
          <w:szCs w:val="16"/>
          <w:color w:val="auto"/>
        </w:rPr>
        <w:t xml:space="preserve"> In the event of a Transfer of Control, the surviving, continuing, successor, or purchasing corporation or parent corporation thereof, as the case may be (the “Acquiring Corporation”), may assume the Company’s rights and obligations under the Plan or substitute substantially equivalent Purchase Rights for stock of the Acquiring Corporation. If the Acquiring Corporation elects not to assume or 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 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spacing w:after="0" w:line="168" w:lineRule="exact"/>
        <w:rPr>
          <w:sz w:val="20"/>
          <w:szCs w:val="20"/>
          <w:color w:val="auto"/>
        </w:rPr>
      </w:pPr>
    </w:p>
    <w:p>
      <w:pPr>
        <w:ind w:firstLine="818"/>
        <w:spacing w:after="0" w:line="298" w:lineRule="auto"/>
        <w:tabs>
          <w:tab w:leader="none" w:pos="1485"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Purchase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 Purchase Right may not be transferred in any manner otherwise than by will or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descent and distribution and shall 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spacing w:after="0" w:line="153" w:lineRule="exact"/>
        <w:rPr>
          <w:rFonts w:ascii="Arial" w:cs="Arial" w:eastAsia="Arial" w:hAnsi="Arial"/>
          <w:sz w:val="16"/>
          <w:szCs w:val="16"/>
          <w:color w:val="auto"/>
        </w:rPr>
      </w:pPr>
    </w:p>
    <w:p>
      <w:pPr>
        <w:ind w:right="120" w:firstLine="818"/>
        <w:spacing w:after="0" w:line="258" w:lineRule="auto"/>
        <w:tabs>
          <w:tab w:leader="none" w:pos="1485"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exercised all or part of his or her Purchase Right for an Offering Period shall receive,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spacing w:after="0" w:line="183" w:lineRule="exact"/>
        <w:rPr>
          <w:rFonts w:ascii="Arial" w:cs="Arial" w:eastAsia="Arial" w:hAnsi="Arial"/>
          <w:sz w:val="18"/>
          <w:szCs w:val="18"/>
          <w:color w:val="auto"/>
        </w:rPr>
      </w:pPr>
    </w:p>
    <w:p>
      <w:pPr>
        <w:ind w:right="20" w:firstLine="818"/>
        <w:spacing w:after="0" w:line="283" w:lineRule="auto"/>
        <w:tabs>
          <w:tab w:leader="none" w:pos="1485"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 on Issuance of</w:t>
      </w:r>
      <w:r>
        <w:rPr>
          <w:rFonts w:ascii="Arial" w:cs="Arial" w:eastAsia="Arial" w:hAnsi="Arial"/>
          <w:sz w:val="16"/>
          <w:szCs w:val="16"/>
          <w:b w:val="1"/>
          <w:bCs w:val="1"/>
          <w:color w:val="auto"/>
        </w:rPr>
        <w:t xml:space="preserve"> Shares. </w:t>
      </w:r>
      <w:r>
        <w:rPr>
          <w:rFonts w:ascii="Arial" w:cs="Arial" w:eastAsia="Arial" w:hAnsi="Arial"/>
          <w:sz w:val="16"/>
          <w:szCs w:val="16"/>
          <w:color w:val="auto"/>
        </w:rPr>
        <w:t>The issuance of shares under the Plan shall be subject to compliance with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w:t>
      </w:r>
    </w:p>
    <w:p>
      <w:pPr>
        <w:spacing w:after="0" w:line="7"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6" w:lineRule="exact"/>
        <w:rPr>
          <w:rFonts w:ascii="Arial" w:cs="Arial" w:eastAsia="Arial" w:hAnsi="Arial"/>
          <w:sz w:val="16"/>
          <w:szCs w:val="16"/>
          <w:color w:val="auto"/>
        </w:rPr>
      </w:pPr>
    </w:p>
    <w:p>
      <w:pPr>
        <w:ind w:right="40" w:firstLine="818"/>
        <w:spacing w:after="0" w:line="277" w:lineRule="auto"/>
        <w:tabs>
          <w:tab w:leader="none" w:pos="1440" w:val="left"/>
        </w:tabs>
        <w:numPr>
          <w:ilvl w:val="0"/>
          <w:numId w:val="104"/>
        </w:numPr>
        <w:rPr>
          <w:rFonts w:ascii="Arial" w:cs="Arial" w:eastAsia="Arial" w:hAnsi="Arial"/>
          <w:sz w:val="17"/>
          <w:szCs w:val="17"/>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at any time place legends or other identifying symbols referencing any applicable foreign, federal or state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72" w:lineRule="exact"/>
        <w:rPr>
          <w:sz w:val="20"/>
          <w:szCs w:val="20"/>
          <w:color w:val="auto"/>
        </w:rPr>
      </w:pPr>
    </w:p>
    <w:p>
      <w:pPr>
        <w:ind w:right="120" w:firstLine="1341"/>
        <w:spacing w:after="0" w:line="255" w:lineRule="auto"/>
        <w:rPr>
          <w:sz w:val="20"/>
          <w:szCs w:val="20"/>
          <w:color w:val="auto"/>
        </w:rPr>
      </w:pPr>
      <w:r>
        <w:rPr>
          <w:rFonts w:ascii="Arial" w:cs="Arial" w:eastAsia="Arial" w:hAnsi="Arial"/>
          <w:sz w:val="18"/>
          <w:szCs w:val="18"/>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ind w:right="80" w:firstLine="818"/>
        <w:spacing w:after="0" w:line="274" w:lineRule="auto"/>
        <w:tabs>
          <w:tab w:leader="none" w:pos="1305" w:val="left"/>
        </w:tabs>
        <w:numPr>
          <w:ilvl w:val="2"/>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Notification of Sale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the Participant to give the Company prompt notice of any disposition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spacing w:after="0" w:line="173" w:lineRule="exact"/>
        <w:rPr>
          <w:rFonts w:ascii="Arial" w:cs="Arial" w:eastAsia="Arial" w:hAnsi="Arial"/>
          <w:sz w:val="17"/>
          <w:szCs w:val="17"/>
          <w:color w:val="auto"/>
        </w:rPr>
      </w:pPr>
    </w:p>
    <w:p>
      <w:pPr>
        <w:ind w:right="60" w:firstLine="818"/>
        <w:spacing w:after="0" w:line="284" w:lineRule="auto"/>
        <w:tabs>
          <w:tab w:leader="none" w:pos="1305" w:val="left"/>
        </w:tabs>
        <w:numPr>
          <w:ilvl w:val="2"/>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Termination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terminate on the earliest to occur of (i) the date on which all available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are issued; or (ii)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 (b) 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w:t>
      </w:r>
    </w:p>
    <w:p>
      <w:pPr>
        <w:spacing w:after="0" w:line="4" w:lineRule="exact"/>
        <w:rPr>
          <w:rFonts w:ascii="Arial" w:cs="Arial" w:eastAsia="Arial" w:hAnsi="Arial"/>
          <w:sz w:val="16"/>
          <w:szCs w:val="16"/>
          <w:color w:val="auto"/>
        </w:rPr>
      </w:pPr>
    </w:p>
    <w:p>
      <w:pPr>
        <w:ind w:right="20" w:firstLine="8"/>
        <w:spacing w:after="0" w:line="290" w:lineRule="auto"/>
        <w:tabs>
          <w:tab w:leader="none" w:pos="24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spacing w:after="0" w:line="157" w:lineRule="exact"/>
        <w:rPr>
          <w:rFonts w:ascii="Arial" w:cs="Arial" w:eastAsia="Arial" w:hAnsi="Arial"/>
          <w:sz w:val="17"/>
          <w:szCs w:val="17"/>
          <w:color w:val="auto"/>
        </w:rPr>
      </w:pPr>
    </w:p>
    <w:p>
      <w:pPr>
        <w:ind w:left="1320" w:hanging="538"/>
        <w:spacing w:after="0"/>
        <w:tabs>
          <w:tab w:leader="none" w:pos="1320"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firstLine="1458"/>
        <w:spacing w:after="0" w:line="298"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color w:val="auto"/>
        </w:rPr>
        <w:t>Beneficiary Designation.</w:t>
      </w:r>
      <w:r>
        <w:rPr>
          <w:rFonts w:ascii="Arial" w:cs="Arial" w:eastAsia="Arial" w:hAnsi="Arial"/>
          <w:sz w:val="16"/>
          <w:szCs w:val="16"/>
          <w:color w:val="auto"/>
        </w:rPr>
        <w:t xml:space="preserve"> A Participant may designate one or more beneficiaries who may exercise the Participant’s rights under the Plan upon the Participant’s death. Any beneficiary designation shall be in the written form the Company requires, revoke all prior designations by the same Participant, and be effective when filed with the Company during the Participant’s lifetime. A married Participant who designates a beneficiary other than a spouse may be required by applicable laws to provide the spouse’s consent. If a Participant dies without a properly designated living beneficiary, the Company shall pay any remaining unpaid benefits under the Plan in accordance with the applicable laws of descent and distribution.</w:t>
      </w:r>
    </w:p>
    <w:p>
      <w:pPr>
        <w:spacing w:after="0" w:line="154" w:lineRule="exact"/>
        <w:rPr>
          <w:sz w:val="20"/>
          <w:szCs w:val="20"/>
          <w:color w:val="auto"/>
        </w:rPr>
      </w:pPr>
    </w:p>
    <w:p>
      <w:pPr>
        <w:ind w:right="240" w:firstLine="1458"/>
        <w:spacing w:after="0" w:line="31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color w:val="auto"/>
        </w:rPr>
        <w:t>Severability.</w:t>
      </w:r>
      <w:r>
        <w:rPr>
          <w:rFonts w:ascii="Arial" w:cs="Arial" w:eastAsia="Arial" w:hAnsi="Arial"/>
          <w:sz w:val="17"/>
          <w:szCs w:val="17"/>
          <w:color w:val="auto"/>
        </w:rPr>
        <w:t xml:space="preserve"> To the extent any term of the Plan is held wholly or partially invalid, illegal, or unenforceable, that term shall be considered modified to the extent necessary to render the remaining portion of the term and any other term valid, legal, and enforceable.</w:t>
      </w:r>
    </w:p>
    <w:p>
      <w:pPr>
        <w:spacing w:after="0" w:line="140" w:lineRule="exact"/>
        <w:rPr>
          <w:sz w:val="20"/>
          <w:szCs w:val="20"/>
          <w:color w:val="auto"/>
        </w:rPr>
      </w:pPr>
    </w:p>
    <w:p>
      <w:pPr>
        <w:ind w:right="80" w:firstLine="1458"/>
        <w:spacing w:after="0" w:line="282"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Choice of Law.</w:t>
      </w:r>
      <w:r>
        <w:rPr>
          <w:rFonts w:ascii="Arial" w:cs="Arial" w:eastAsia="Arial" w:hAnsi="Arial"/>
          <w:sz w:val="18"/>
          <w:szCs w:val="18"/>
          <w:color w:val="auto"/>
        </w:rPr>
        <w:t xml:space="preserve"> The Plan is governed by the laws of the State of California, without regard to its conflict-of-law rules, except to the extent U.S. federal law applies.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9086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858000" cy="88722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1)"/>
      <w:numFmt w:val="decimal"/>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1)"/>
      <w:numFmt w:val="decimal"/>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1)"/>
      <w:numFmt w:val="decimal"/>
      <w:start w:val="1"/>
    </w:lvl>
  </w:abstractNum>
  <w:abstractNum w:abstractNumId="13">
    <w:nsid w:val="741226BB"/>
    <w:multiLevelType w:val="hybridMultilevel"/>
    <w:lvl w:ilvl="0">
      <w:lvlJc w:val="left"/>
      <w:lvlText w:val="(%1)"/>
      <w:numFmt w:val="decimal"/>
      <w:start w:val="1"/>
    </w:lvl>
  </w:abstractNum>
  <w:abstractNum w:abstractNumId="14">
    <w:nsid w:val="D34B6A8"/>
    <w:multiLevelType w:val="hybridMultilevel"/>
    <w:lvl w:ilvl="0">
      <w:lvlJc w:val="left"/>
      <w:lvlText w:val="(%1)"/>
      <w:numFmt w:val="decimal"/>
    </w:lvl>
    <w:lvl w:ilvl="1">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lvl w:ilvl="1">
      <w:lvlJc w:val="left"/>
      <w:lvlText w:val="-"/>
      <w:numFmt w:val="bullet"/>
      <w:start w:val="1"/>
    </w:lvl>
  </w:abstractNum>
  <w:abstractNum w:abstractNumId="19">
    <w:nsid w:val="77AE35EB"/>
    <w:multiLevelType w:val="hybridMultilevel"/>
    <w:lvl w:ilvl="0">
      <w:lvlJc w:val="left"/>
      <w:lvlText w:val="(%1)"/>
      <w:numFmt w:val="decimal"/>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lvl w:ilvl="1">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1)"/>
      <w:numFmt w:val="decimal"/>
      <w:start w:val="1"/>
    </w:lvl>
    <w:lvl w:ilvl="1">
      <w:lvlJc w:val="left"/>
      <w:lvlText w:val="■"/>
      <w:numFmt w:val="bullet"/>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1)"/>
      <w:numFmt w:val="decimal"/>
      <w:start w:val="2"/>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1)"/>
      <w:numFmt w:val="decimal"/>
      <w:start w:val="1"/>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1)"/>
      <w:numFmt w:val="decimal"/>
      <w:start w:val="1"/>
    </w:lvl>
  </w:abstractNum>
  <w:abstractNum w:abstractNumId="38">
    <w:nsid w:val="168E121F"/>
    <w:multiLevelType w:val="hybridMultilevel"/>
    <w:lvl w:ilvl="0">
      <w:lvlJc w:val="left"/>
      <w:lvlText w:val="(%1)"/>
      <w:numFmt w:val="lowerRoman"/>
      <w:start w:val="1"/>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1."/>
      <w:numFmt w:val="decimal"/>
      <w:start w:val="1"/>
    </w:lvl>
  </w:abstractNum>
  <w:abstractNum w:abstractNumId="52">
    <w:nsid w:val="3B0FD379"/>
    <w:multiLevelType w:val="hybridMultilevel"/>
    <w:lvl w:ilvl="0">
      <w:lvlJc w:val="left"/>
      <w:lvlText w:val="%1."/>
      <w:numFmt w:val="decimal"/>
      <w:start w:val="2"/>
    </w:lvl>
  </w:abstractNum>
  <w:abstractNum w:abstractNumId="53">
    <w:nsid w:val="68EB2F63"/>
    <w:multiLevelType w:val="hybridMultilevel"/>
    <w:lvl w:ilvl="0">
      <w:lvlJc w:val="left"/>
      <w:lvlText w:val="(%1)"/>
      <w:numFmt w:val="lowerLetter"/>
      <w:start w:val="1"/>
    </w:lvl>
  </w:abstractNum>
  <w:abstractNum w:abstractNumId="54">
    <w:nsid w:val="4962813B"/>
    <w:multiLevelType w:val="hybridMultilevel"/>
    <w:lvl w:ilvl="0">
      <w:lvlJc w:val="left"/>
      <w:lvlText w:val="(%1)"/>
      <w:numFmt w:val="lowerLetter"/>
      <w:start w:val="9"/>
    </w:lvl>
    <w:lvl w:ilvl="1">
      <w:lvlJc w:val="left"/>
      <w:lvlText w:val="(%2)"/>
      <w:numFmt w:val="lowerRoman"/>
      <w:start w:val="1"/>
    </w:lvl>
  </w:abstractNum>
  <w:abstractNum w:abstractNumId="55">
    <w:nsid w:val="60B6DF70"/>
    <w:multiLevelType w:val="hybridMultilevel"/>
    <w:lvl w:ilvl="0">
      <w:lvlJc w:val="left"/>
      <w:lvlText w:val="(%1)"/>
      <w:numFmt w:val="lowerLetter"/>
      <w:start w:val="19"/>
    </w:lvl>
  </w:abstractNum>
  <w:abstractNum w:abstractNumId="56">
    <w:nsid w:val="6A5EE64"/>
    <w:multiLevelType w:val="hybridMultilevel"/>
    <w:lvl w:ilvl="0">
      <w:lvlJc w:val="left"/>
      <w:lvlText w:val="(%1)"/>
      <w:numFmt w:val="lowerLetter"/>
      <w:start w:val="20"/>
    </w:lvl>
  </w:abstractNum>
  <w:abstractNum w:abstractNumId="57">
    <w:nsid w:val="14330624"/>
    <w:multiLevelType w:val="hybridMultilevel"/>
    <w:lvl w:ilvl="0">
      <w:lvlJc w:val="left"/>
      <w:lvlText w:val="(%1)"/>
      <w:numFmt w:val="lowerLetter"/>
      <w:start w:val="27"/>
    </w:lvl>
  </w:abstractNum>
  <w:abstractNum w:abstractNumId="58">
    <w:nsid w:val="7FFFCA11"/>
    <w:multiLevelType w:val="hybridMultilevel"/>
    <w:lvl w:ilvl="0">
      <w:lvlJc w:val="left"/>
      <w:lvlText w:val="(%1)"/>
      <w:numFmt w:val="lowerLetter"/>
      <w:start w:val="33"/>
    </w:lvl>
  </w:abstractNum>
  <w:abstractNum w:abstractNumId="59">
    <w:nsid w:val="1A27709E"/>
    <w:multiLevelType w:val="hybridMultilevel"/>
    <w:lvl w:ilvl="0">
      <w:lvlJc w:val="left"/>
      <w:lvlText w:val="%1."/>
      <w:numFmt w:val="decimal"/>
      <w:start w:val="3"/>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1)"/>
      <w:numFmt w:val="lowerLetter"/>
      <w:start w:val="10"/>
    </w:lvl>
  </w:abstractNum>
  <w:abstractNum w:abstractNumId="62">
    <w:nsid w:val="7FB7E0AA"/>
    <w:multiLevelType w:val="hybridMultilevel"/>
    <w:lvl w:ilvl="0">
      <w:lvlJc w:val="left"/>
      <w:lvlText w:val="%1."/>
      <w:numFmt w:val="decimal"/>
      <w:start w:val="4"/>
    </w:lvl>
  </w:abstractNum>
  <w:abstractNum w:abstractNumId="63">
    <w:nsid w:val="6EB5BD4"/>
    <w:multiLevelType w:val="hybridMultilevel"/>
    <w:lvl w:ilvl="0">
      <w:lvlJc w:val="left"/>
      <w:lvlText w:val="%1."/>
      <w:numFmt w:val="decimal"/>
      <w:start w:val="5"/>
    </w:lvl>
  </w:abstractNum>
  <w:abstractNum w:abstractNumId="64">
    <w:nsid w:val="6F6DD9AC"/>
    <w:multiLevelType w:val="hybridMultilevel"/>
    <w:lvl w:ilvl="0">
      <w:lvlJc w:val="left"/>
      <w:lvlText w:val="(%1)"/>
      <w:numFmt w:val="lowerLetter"/>
      <w:start w:val="1"/>
    </w:lvl>
  </w:abstractNum>
  <w:abstractNum w:abstractNumId="65">
    <w:nsid w:val="94211F2"/>
    <w:multiLevelType w:val="hybridMultilevel"/>
    <w:lvl w:ilvl="0">
      <w:lvlJc w:val="left"/>
      <w:lvlText w:val="(%1)"/>
      <w:numFmt w:val="lowerLetter"/>
      <w:start w:val="1"/>
    </w:lvl>
  </w:abstractNum>
  <w:abstractNum w:abstractNumId="66">
    <w:nsid w:val="885E1B"/>
    <w:multiLevelType w:val="hybridMultilevel"/>
    <w:lvl w:ilvl="0">
      <w:lvlJc w:val="left"/>
      <w:lvlText w:val="%1."/>
      <w:numFmt w:val="decimal"/>
      <w:start w:val="6"/>
    </w:lvl>
  </w:abstractNum>
  <w:abstractNum w:abstractNumId="67">
    <w:nsid w:val="76272110"/>
    <w:multiLevelType w:val="hybridMultilevel"/>
    <w:lvl w:ilvl="0">
      <w:lvlJc w:val="left"/>
      <w:lvlText w:val="(%1)"/>
      <w:numFmt w:val="lowerLetter"/>
      <w:start w:val="1"/>
    </w:lvl>
    <w:lvl w:ilvl="1">
      <w:lvlJc w:val="left"/>
      <w:lvlText w:val="(%2)"/>
      <w:numFmt w:val="lowerRoman"/>
      <w:start w:val="1"/>
    </w:lvl>
  </w:abstractNum>
  <w:abstractNum w:abstractNumId="68">
    <w:nsid w:val="4C04A8AF"/>
    <w:multiLevelType w:val="hybridMultilevel"/>
    <w:lvl w:ilvl="0">
      <w:lvlJc w:val="left"/>
      <w:lvlText w:val="%1."/>
      <w:numFmt w:val="decimal"/>
      <w:start w:val="7"/>
    </w:lvl>
  </w:abstractNum>
  <w:abstractNum w:abstractNumId="69">
    <w:nsid w:val="1716703B"/>
    <w:multiLevelType w:val="hybridMultilevel"/>
    <w:lvl w:ilvl="0">
      <w:lvlJc w:val="left"/>
      <w:lvlText w:val="%1."/>
      <w:numFmt w:val="decimal"/>
      <w:start w:val="8"/>
    </w:lvl>
  </w:abstractNum>
  <w:abstractNum w:abstractNumId="70">
    <w:nsid w:val="14E17E33"/>
    <w:multiLevelType w:val="hybridMultilevel"/>
    <w:lvl w:ilvl="0">
      <w:lvlJc w:val="left"/>
      <w:lvlText w:val="%1."/>
      <w:numFmt w:val="decimal"/>
      <w:start w:val="9"/>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decimal"/>
      <w:start w:val="10"/>
    </w:lvl>
  </w:abstractNum>
  <w:abstractNum w:abstractNumId="73">
    <w:nsid w:val="68EBC550"/>
    <w:multiLevelType w:val="hybridMultilevel"/>
    <w:lvl w:ilvl="0">
      <w:lvlJc w:val="left"/>
      <w:lvlText w:val="%1."/>
      <w:numFmt w:val="decimal"/>
      <w:start w:val="11"/>
    </w:lvl>
  </w:abstractNum>
  <w:abstractNum w:abstractNumId="74">
    <w:nsid w:val="2DF6D648"/>
    <w:multiLevelType w:val="hybridMultilevel"/>
    <w:lvl w:ilvl="0">
      <w:lvlJc w:val="left"/>
      <w:lvlText w:val="(%1)"/>
      <w:numFmt w:val="lowerLetter"/>
      <w:start w:val="1"/>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3"/>
    </w:lvl>
  </w:abstractNum>
  <w:abstractNum w:abstractNumId="77">
    <w:nsid w:val="39EE015C"/>
    <w:multiLevelType w:val="hybridMultilevel"/>
    <w:lvl w:ilvl="0">
      <w:lvlJc w:val="left"/>
      <w:lvlText w:val="%1"/>
      <w:numFmt w:val="decimal"/>
      <w:start w:val="1"/>
    </w:lvl>
    <w:lvl w:ilvl="1">
      <w:lvlJc w:val="left"/>
      <w:lvlText w:val="(%2)"/>
      <w:numFmt w:val="lowerLetter"/>
      <w:start w:val="1"/>
    </w:lvl>
  </w:abstractNum>
  <w:abstractNum w:abstractNumId="78">
    <w:nsid w:val="57FC4FBB"/>
    <w:multiLevelType w:val="hybridMultilevel"/>
    <w:lvl w:ilvl="0">
      <w:lvlJc w:val="left"/>
      <w:lvlText w:val="%1."/>
      <w:numFmt w:val="decimal"/>
      <w:start w:val="12"/>
    </w:lvl>
    <w:lvl w:ilvl="1">
      <w:lvlJc w:val="left"/>
      <w:lvlText w:val="%2"/>
      <w:numFmt w:val="lowerLetter"/>
      <w:start w:val="1"/>
    </w:lvl>
  </w:abstractNum>
  <w:abstractNum w:abstractNumId="79">
    <w:nsid w:val="CC1016F"/>
    <w:multiLevelType w:val="hybridMultilevel"/>
    <w:lvl w:ilvl="0">
      <w:lvlJc w:val="left"/>
      <w:lvlText w:val="%1."/>
      <w:numFmt w:val="decimal"/>
      <w:start w:val="13"/>
    </w:lvl>
  </w:abstractNum>
  <w:abstractNum w:abstractNumId="80">
    <w:nsid w:val="43F18422"/>
    <w:multiLevelType w:val="hybridMultilevel"/>
    <w:lvl w:ilvl="0">
      <w:lvlJc w:val="left"/>
      <w:lvlText w:val="%1."/>
      <w:numFmt w:val="decimal"/>
      <w:start w:val="14"/>
    </w:lvl>
  </w:abstractNum>
  <w:abstractNum w:abstractNumId="81">
    <w:nsid w:val="60EF0119"/>
    <w:multiLevelType w:val="hybridMultilevel"/>
    <w:lvl w:ilvl="0">
      <w:lvlJc w:val="left"/>
      <w:lvlText w:val="%1."/>
      <w:numFmt w:val="decimal"/>
      <w:start w:val="15"/>
    </w:lvl>
  </w:abstractNum>
  <w:abstractNum w:abstractNumId="82">
    <w:nsid w:val="26F324BA"/>
    <w:multiLevelType w:val="hybridMultilevel"/>
    <w:lvl w:ilvl="0">
      <w:lvlJc w:val="left"/>
      <w:lvlText w:val="%1."/>
      <w:numFmt w:val="decimal"/>
      <w:start w:val="16"/>
    </w:lvl>
  </w:abstractNum>
  <w:abstractNum w:abstractNumId="83">
    <w:nsid w:val="7F01579B"/>
    <w:multiLevelType w:val="hybridMultilevel"/>
    <w:lvl w:ilvl="0">
      <w:lvlJc w:val="left"/>
      <w:lvlText w:val="%1."/>
      <w:numFmt w:val="decimal"/>
      <w:start w:val="17"/>
    </w:lvl>
  </w:abstractNum>
  <w:abstractNum w:abstractNumId="84">
    <w:nsid w:val="49DA307D"/>
    <w:multiLevelType w:val="hybridMultilevel"/>
    <w:lvl w:ilvl="0">
      <w:lvlJc w:val="left"/>
      <w:lvlText w:val="%1."/>
      <w:numFmt w:val="decimal"/>
      <w:start w:val="1"/>
    </w:lvl>
  </w:abstractNum>
  <w:abstractNum w:abstractNumId="85">
    <w:nsid w:val="7055A5F5"/>
    <w:multiLevelType w:val="hybridMultilevel"/>
    <w:lvl w:ilvl="0">
      <w:lvlJc w:val="left"/>
      <w:lvlText w:val="%1."/>
      <w:numFmt w:val="decimal"/>
      <w:start w:val="2"/>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Letter"/>
      <w:start w:val="7"/>
    </w:lvl>
  </w:abstractNum>
  <w:abstractNum w:abstractNumId="88">
    <w:nsid w:val="488AC1A"/>
    <w:multiLevelType w:val="hybridMultilevel"/>
    <w:lvl w:ilvl="0">
      <w:lvlJc w:val="left"/>
      <w:lvlText w:val="(%1)"/>
      <w:numFmt w:val="lowerLetter"/>
      <w:start w:val="9"/>
    </w:lvl>
  </w:abstractNum>
  <w:abstractNum w:abstractNumId="89">
    <w:nsid w:val="5FB8011C"/>
    <w:multiLevelType w:val="hybridMultilevel"/>
    <w:lvl w:ilvl="0">
      <w:lvlJc w:val="left"/>
      <w:lvlText w:val="%1."/>
      <w:numFmt w:val="decimal"/>
      <w:start w:val="3"/>
    </w:lvl>
  </w:abstractNum>
  <w:abstractNum w:abstractNumId="90">
    <w:nsid w:val="6AA78F7F"/>
    <w:multiLevelType w:val="hybridMultilevel"/>
    <w:lvl w:ilvl="0">
      <w:lvlJc w:val="left"/>
      <w:lvlText w:val="%1."/>
      <w:numFmt w:val="decimal"/>
      <w:start w:val="4"/>
    </w:lvl>
  </w:abstractNum>
  <w:abstractNum w:abstractNumId="91">
    <w:nsid w:val="7672BD23"/>
    <w:multiLevelType w:val="hybridMultilevel"/>
    <w:lvl w:ilvl="0">
      <w:lvlJc w:val="left"/>
      <w:lvlText w:val="%1."/>
      <w:numFmt w:val="decimal"/>
      <w:start w:val="5"/>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3"/>
    </w:lvl>
  </w:abstractNum>
  <w:abstractNum w:abstractNumId="94">
    <w:nsid w:val="7D5E18F8"/>
    <w:multiLevelType w:val="hybridMultilevel"/>
    <w:lvl w:ilvl="0">
      <w:lvlJc w:val="left"/>
      <w:lvlText w:val="%1."/>
      <w:numFmt w:val="decimal"/>
      <w:start w:val="6"/>
    </w:lvl>
  </w:abstractNum>
  <w:abstractNum w:abstractNumId="95">
    <w:nsid w:val="5F3534A4"/>
    <w:multiLevelType w:val="hybridMultilevel"/>
    <w:lvl w:ilvl="0">
      <w:lvlJc w:val="left"/>
      <w:lvlText w:val="%1."/>
      <w:numFmt w:val="decimal"/>
      <w:start w:val="7"/>
    </w:lvl>
  </w:abstractNum>
  <w:abstractNum w:abstractNumId="96">
    <w:nsid w:val="73A1821B"/>
    <w:multiLevelType w:val="hybridMultilevel"/>
    <w:lvl w:ilvl="0">
      <w:lvlJc w:val="left"/>
      <w:lvlText w:val="%1."/>
      <w:numFmt w:val="decimal"/>
      <w:start w:val="8"/>
    </w:lvl>
  </w:abstractNum>
  <w:abstractNum w:abstractNumId="97">
    <w:nsid w:val="7DE67713"/>
    <w:multiLevelType w:val="hybridMultilevel"/>
    <w:lvl w:ilvl="0">
      <w:lvlJc w:val="left"/>
      <w:lvlText w:val="%1."/>
      <w:numFmt w:val="decimal"/>
      <w:start w:val="11"/>
    </w:lvl>
  </w:abstractNum>
  <w:abstractNum w:abstractNumId="98">
    <w:nsid w:val="555C55B5"/>
    <w:multiLevelType w:val="hybridMultilevel"/>
    <w:lvl w:ilvl="0">
      <w:lvlJc w:val="left"/>
      <w:lvlText w:val="%1."/>
      <w:numFmt w:val="decimal"/>
      <w:start w:val="12"/>
    </w:lvl>
  </w:abstractNum>
  <w:abstractNum w:abstractNumId="99">
    <w:nsid w:val="3FA62ACA"/>
    <w:multiLevelType w:val="hybridMultilevel"/>
    <w:lvl w:ilvl="0">
      <w:lvlJc w:val="left"/>
      <w:lvlText w:val="%1."/>
      <w:numFmt w:val="decimal"/>
      <w:start w:val="13"/>
    </w:lvl>
  </w:abstractNum>
  <w:abstractNum w:abstractNumId="100">
    <w:nsid w:val="14FCE74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4"/>
    </w:lvl>
    <w:lvl w:ilvl="3">
      <w:lvlJc w:val="left"/>
      <w:lvlText w:val="%4"/>
      <w:numFmt w:val="lowerLetter"/>
      <w:start w:val="1"/>
    </w:lvl>
  </w:abstractNum>
  <w:abstractNum w:abstractNumId="101">
    <w:nsid w:val="6A3DD3E8"/>
    <w:multiLevelType w:val="hybridMultilevel"/>
    <w:lvl w:ilvl="0">
      <w:lvlJc w:val="left"/>
      <w:lvlText w:val="%1"/>
      <w:numFmt w:val="lowerLetter"/>
      <w:start w:val="1"/>
    </w:lvl>
    <w:lvl w:ilvl="1">
      <w:lvlJc w:val="left"/>
      <w:lvlText w:val="%2."/>
      <w:numFmt w:val="decimal"/>
      <w:start w:val="15"/>
    </w:lvl>
    <w:lvl w:ilvl="2">
      <w:lvlJc w:val="left"/>
      <w:lvlText w:val="%3"/>
      <w:numFmt w:val="decimal"/>
      <w:start w:val="1"/>
    </w:lvl>
    <w:lvl w:ilvl="3">
      <w:lvlJc w:val="left"/>
      <w:lvlText w:val="(%4)"/>
      <w:numFmt w:val="lowerLetter"/>
      <w:start w:val="1"/>
    </w:lvl>
  </w:abstractNum>
  <w:abstractNum w:abstractNumId="102">
    <w:nsid w:val="71C91298"/>
    <w:multiLevelType w:val="hybridMultilevel"/>
    <w:lvl w:ilvl="0">
      <w:lvlJc w:val="left"/>
      <w:lvlText w:val="(%1)"/>
      <w:numFmt w:val="lowerLetter"/>
      <w:start w:val="9"/>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03">
    <w:nsid w:val="9DAF632"/>
    <w:multiLevelType w:val="hybridMultilevel"/>
    <w:lvl w:ilvl="0">
      <w:lvlJc w:val="left"/>
      <w:lvlText w:val="%1."/>
      <w:numFmt w:val="decimal"/>
      <w:start w:val="16"/>
    </w:lvl>
  </w:abstractNum>
  <w:abstractNum w:abstractNumId="104">
    <w:nsid w:val="53299938"/>
    <w:multiLevelType w:val="hybridMultilevel"/>
    <w:lvl w:ilvl="0">
      <w:lvlJc w:val="left"/>
      <w:lvlText w:val="%1"/>
      <w:numFmt w:val="lowerLetter"/>
      <w:start w:val="1"/>
    </w:lvl>
    <w:lvl w:ilvl="1">
      <w:lvlJc w:val="left"/>
      <w:lvlText w:val="%2"/>
      <w:numFmt w:val="decimal"/>
      <w:start w:val="1"/>
    </w:lvl>
    <w:lvl w:ilvl="2">
      <w:lvlJc w:val="left"/>
      <w:lvlText w:val="%3."/>
      <w:numFmt w:val="decimal"/>
      <w:start w:val="20"/>
    </w:lvl>
  </w:abstractNum>
  <w:abstractNum w:abstractNumId="105">
    <w:nsid w:val="1FBFE8E0"/>
    <w:multiLevelType w:val="hybridMultilevel"/>
    <w:lvl w:ilvl="0">
      <w:lvlJc w:val="left"/>
      <w:lvlText w:val="(%1)"/>
      <w:numFmt w:val="lowerLetter"/>
      <w:start w:val="3"/>
    </w:lvl>
    <w:lvl w:ilvl="1">
      <w:lvlJc w:val="left"/>
      <w:lvlText w:val="%2."/>
      <w:numFmt w:val="decimal"/>
      <w:start w:val="22"/>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2023-03-17T15:34:59Z</dcterms:created>
  <dcterms:modified xsi:type="dcterms:W3CDTF">2023-03-17T15:34:59Z</dcterms:modified>
</cp:coreProperties>
</file>